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5904A" w14:textId="50585F5F" w:rsidR="00CF6D08" w:rsidRPr="00CF6D08" w:rsidRDefault="00CF6D08" w:rsidP="00CF6D08">
      <w:pPr>
        <w:pStyle w:val="pf0"/>
      </w:pPr>
      <w:r w:rsidRPr="00CF6D08">
        <w:rPr>
          <w:rStyle w:val="cf01"/>
          <w:rFonts w:ascii="Times New Roman" w:hAnsi="Times New Roman" w:cs="Times New Roman"/>
          <w:b/>
          <w:bCs/>
          <w:sz w:val="24"/>
          <w:szCs w:val="24"/>
        </w:rPr>
        <w:t>Journal name</w:t>
      </w:r>
      <w:r w:rsidRPr="00CF6D08">
        <w:rPr>
          <w:rStyle w:val="cf01"/>
          <w:rFonts w:ascii="Times New Roman" w:hAnsi="Times New Roman" w:cs="Times New Roman"/>
          <w:sz w:val="24"/>
          <w:szCs w:val="24"/>
        </w:rPr>
        <w:t xml:space="preserve">: </w:t>
      </w:r>
      <w:r w:rsidR="00B57826">
        <w:rPr>
          <w:rStyle w:val="cf01"/>
          <w:rFonts w:ascii="Times New Roman" w:hAnsi="Times New Roman" w:cs="Times New Roman"/>
          <w:sz w:val="24"/>
          <w:szCs w:val="24"/>
        </w:rPr>
        <w:t>PharmacoEconomics - Open</w:t>
      </w:r>
    </w:p>
    <w:p w14:paraId="31C7BBB2" w14:textId="77777777" w:rsidR="00CF6D08" w:rsidRPr="00CF6D08" w:rsidRDefault="00CF6D08" w:rsidP="00CF6D08">
      <w:pPr>
        <w:rPr>
          <w:rFonts w:cs="Times New Roman"/>
        </w:rPr>
      </w:pPr>
      <w:r w:rsidRPr="00CF6D08">
        <w:rPr>
          <w:rFonts w:cs="Times New Roman"/>
          <w:b/>
          <w:bCs/>
          <w:color w:val="000000" w:themeColor="text1"/>
        </w:rPr>
        <w:t xml:space="preserve">Title: </w:t>
      </w:r>
      <w:r w:rsidRPr="00CF6D08">
        <w:rPr>
          <w:rFonts w:cs="Times New Roman"/>
        </w:rPr>
        <w:t>Understanding the natural history of chronic hepatitis D: Proposal of a model for cost-effectiveness studies</w:t>
      </w:r>
      <w:r w:rsidRPr="00CF6D08" w:rsidDel="004841EA">
        <w:rPr>
          <w:rFonts w:cs="Times New Roman"/>
        </w:rPr>
        <w:t xml:space="preserve"> </w:t>
      </w:r>
    </w:p>
    <w:p w14:paraId="70C4DD6D" w14:textId="69F89617" w:rsidR="00CF6D08" w:rsidRPr="00CF6D08" w:rsidRDefault="00CF6D08" w:rsidP="009D1C03">
      <w:pPr>
        <w:spacing w:after="120" w:line="360" w:lineRule="auto"/>
        <w:rPr>
          <w:rFonts w:cs="Times New Roman"/>
          <w:b/>
          <w:bCs/>
          <w:color w:val="000000" w:themeColor="text1"/>
        </w:rPr>
      </w:pPr>
      <w:r w:rsidRPr="00CF6D08">
        <w:rPr>
          <w:rFonts w:cs="Times New Roman"/>
          <w:b/>
          <w:bCs/>
          <w:color w:val="000000" w:themeColor="text1"/>
        </w:rPr>
        <w:t xml:space="preserve">Authors: </w:t>
      </w:r>
    </w:p>
    <w:p w14:paraId="3E496C2F" w14:textId="6F224A60" w:rsidR="00CF6D08" w:rsidRPr="00CF6D08" w:rsidRDefault="00CF6D08" w:rsidP="00CF6D08">
      <w:pPr>
        <w:spacing w:after="120" w:line="276" w:lineRule="auto"/>
        <w:rPr>
          <w:rFonts w:cs="Times New Roman"/>
          <w:vertAlign w:val="superscript"/>
        </w:rPr>
      </w:pPr>
      <w:r w:rsidRPr="00CF6D08">
        <w:rPr>
          <w:rFonts w:cs="Times New Roman"/>
        </w:rPr>
        <w:t>Ankita Kaushik</w:t>
      </w:r>
    </w:p>
    <w:p w14:paraId="21C82676" w14:textId="4D4B81B3" w:rsidR="00CF6D08" w:rsidRPr="00CF6D08" w:rsidRDefault="00CF6D08" w:rsidP="00CF6D08">
      <w:pPr>
        <w:spacing w:after="120" w:line="276" w:lineRule="auto"/>
        <w:rPr>
          <w:rFonts w:cs="Times New Roman"/>
        </w:rPr>
      </w:pPr>
      <w:r w:rsidRPr="00CF6D08">
        <w:rPr>
          <w:rFonts w:cs="Times New Roman"/>
        </w:rPr>
        <w:t>Geoffrey Dusheiko</w:t>
      </w:r>
    </w:p>
    <w:p w14:paraId="1678391D" w14:textId="34C4BDD9" w:rsidR="00CF6D08" w:rsidRPr="00CF6D08" w:rsidRDefault="00CF6D08" w:rsidP="00CF6D08">
      <w:pPr>
        <w:spacing w:after="120" w:line="276" w:lineRule="auto"/>
        <w:rPr>
          <w:rFonts w:cs="Times New Roman"/>
          <w:vertAlign w:val="superscript"/>
        </w:rPr>
      </w:pPr>
      <w:r w:rsidRPr="00CF6D08">
        <w:rPr>
          <w:rFonts w:cs="Times New Roman"/>
        </w:rPr>
        <w:t>Chong Kim</w:t>
      </w:r>
      <w:r w:rsidRPr="00CF6D08">
        <w:rPr>
          <w:rFonts w:cs="Times New Roman"/>
        </w:rPr>
        <w:t>*</w:t>
      </w:r>
      <w:r w:rsidRPr="00CF6D08">
        <w:rPr>
          <w:rFonts w:cs="Times New Roman"/>
          <w:vertAlign w:val="superscript"/>
        </w:rPr>
        <w:t>,1</w:t>
      </w:r>
    </w:p>
    <w:p w14:paraId="1D33C283" w14:textId="0A9EE68B" w:rsidR="00CF6D08" w:rsidRPr="00CF6D08" w:rsidRDefault="00CF6D08" w:rsidP="00CF6D08">
      <w:pPr>
        <w:spacing w:after="120" w:line="276" w:lineRule="auto"/>
        <w:rPr>
          <w:rFonts w:cs="Times New Roman"/>
        </w:rPr>
      </w:pPr>
      <w:r w:rsidRPr="00CF6D08">
        <w:rPr>
          <w:rFonts w:cs="Times New Roman"/>
        </w:rPr>
        <w:t>Nathaniel J. Smith</w:t>
      </w:r>
    </w:p>
    <w:p w14:paraId="65B9DF2C" w14:textId="0CFF0FFB" w:rsidR="00CF6D08" w:rsidRPr="00CF6D08" w:rsidRDefault="00CF6D08" w:rsidP="00CF6D08">
      <w:pPr>
        <w:spacing w:after="120" w:line="276" w:lineRule="auto"/>
        <w:rPr>
          <w:rFonts w:cs="Times New Roman"/>
          <w:vertAlign w:val="superscript"/>
        </w:rPr>
      </w:pPr>
      <w:r w:rsidRPr="00CF6D08">
        <w:rPr>
          <w:rFonts w:cs="Times New Roman"/>
        </w:rPr>
        <w:t>Csilla Kinyik-Merena</w:t>
      </w:r>
    </w:p>
    <w:p w14:paraId="26B3950B" w14:textId="5FC92076" w:rsidR="00CF6D08" w:rsidRPr="00CF6D08" w:rsidRDefault="00CF6D08" w:rsidP="00CF6D08">
      <w:pPr>
        <w:spacing w:after="120" w:line="276" w:lineRule="auto"/>
        <w:rPr>
          <w:rFonts w:cs="Times New Roman"/>
        </w:rPr>
      </w:pPr>
      <w:r w:rsidRPr="00CF6D08">
        <w:rPr>
          <w:rFonts w:cs="Times New Roman"/>
        </w:rPr>
        <w:t>Gian Luca Di Tanna</w:t>
      </w:r>
    </w:p>
    <w:p w14:paraId="52699CB7" w14:textId="12777135" w:rsidR="00CF6D08" w:rsidRPr="00CF6D08" w:rsidRDefault="00CF6D08" w:rsidP="00CF6D08">
      <w:pPr>
        <w:spacing w:after="120" w:line="276" w:lineRule="auto"/>
        <w:rPr>
          <w:rFonts w:cs="Times New Roman"/>
        </w:rPr>
      </w:pPr>
      <w:r w:rsidRPr="00CF6D08">
        <w:rPr>
          <w:rFonts w:cs="Times New Roman"/>
        </w:rPr>
        <w:t>Robert J. Wong</w:t>
      </w:r>
    </w:p>
    <w:p w14:paraId="040DA57B" w14:textId="2678608E" w:rsidR="00CF6D08" w:rsidRPr="00CF6D08" w:rsidRDefault="00CF6D08" w:rsidP="00CF6D08">
      <w:pPr>
        <w:spacing w:line="240" w:lineRule="auto"/>
        <w:rPr>
          <w:rFonts w:cs="Times New Roman"/>
        </w:rPr>
      </w:pPr>
      <w:r w:rsidRPr="00CF6D08">
        <w:rPr>
          <w:rFonts w:cs="Times New Roman"/>
          <w:b/>
          <w:bCs/>
          <w:color w:val="000000" w:themeColor="text1"/>
        </w:rPr>
        <w:t xml:space="preserve">*Corresponding author: </w:t>
      </w:r>
      <w:hyperlink r:id="rId5" w:history="1">
        <w:r w:rsidRPr="00CF6D08">
          <w:rPr>
            <w:rStyle w:val="Hyperlink"/>
            <w:rFonts w:cs="Times New Roman"/>
          </w:rPr>
          <w:t>chong.kim9@gilead.com</w:t>
        </w:r>
      </w:hyperlink>
      <w:r w:rsidRPr="00CF6D08">
        <w:rPr>
          <w:rFonts w:cs="Times New Roman"/>
        </w:rPr>
        <w:br/>
      </w:r>
    </w:p>
    <w:p w14:paraId="79824230" w14:textId="77777777" w:rsidR="00CF6D08" w:rsidRPr="00CF6D08" w:rsidRDefault="00CF6D08" w:rsidP="00CF6D08">
      <w:pPr>
        <w:spacing w:after="120" w:line="276" w:lineRule="auto"/>
        <w:rPr>
          <w:rFonts w:cs="Times New Roman"/>
        </w:rPr>
      </w:pPr>
      <w:r w:rsidRPr="00CF6D08">
        <w:rPr>
          <w:rFonts w:cs="Times New Roman"/>
          <w:vertAlign w:val="superscript"/>
        </w:rPr>
        <w:t xml:space="preserve">1 </w:t>
      </w:r>
      <w:r w:rsidRPr="00CF6D08">
        <w:rPr>
          <w:rFonts w:cs="Times New Roman"/>
        </w:rPr>
        <w:t>Gilead Sciences, Inc., Foster City, CA, United States</w:t>
      </w:r>
    </w:p>
    <w:p w14:paraId="360980AD" w14:textId="77777777" w:rsidR="00CF6D08" w:rsidRPr="00CF6D08" w:rsidRDefault="00CF6D08" w:rsidP="00CF6D08">
      <w:pPr>
        <w:spacing w:after="240" w:line="360" w:lineRule="auto"/>
        <w:rPr>
          <w:rFonts w:cs="Times New Roman"/>
        </w:rPr>
      </w:pPr>
      <w:r w:rsidRPr="00CF6D08">
        <w:rPr>
          <w:rFonts w:cs="Times New Roman"/>
          <w:b/>
          <w:bCs/>
        </w:rPr>
        <w:t>Funding support:</w:t>
      </w:r>
      <w:r w:rsidRPr="00CF6D08">
        <w:rPr>
          <w:rFonts w:cs="Times New Roman"/>
        </w:rPr>
        <w:t xml:space="preserve"> This study was supported by Gilead Sciences.</w:t>
      </w:r>
    </w:p>
    <w:p w14:paraId="259A3980" w14:textId="77777777" w:rsidR="00CF6D08" w:rsidRPr="00CF6D08" w:rsidRDefault="00CF6D08" w:rsidP="00CF6D08">
      <w:pPr>
        <w:spacing w:after="240" w:line="240" w:lineRule="auto"/>
        <w:rPr>
          <w:rFonts w:cs="Times New Roman"/>
        </w:rPr>
      </w:pPr>
      <w:r w:rsidRPr="00CF6D08">
        <w:rPr>
          <w:rFonts w:cs="Times New Roman"/>
          <w:b/>
          <w:bCs/>
        </w:rPr>
        <w:t xml:space="preserve">Conflicts of interest: </w:t>
      </w:r>
      <w:r w:rsidRPr="00CF6D08">
        <w:rPr>
          <w:rFonts w:cs="Times New Roman"/>
        </w:rPr>
        <w:t xml:space="preserve">Ankita Kaushik and Chong Kim are employees and stockholders of Gilead. Robert J. Wong has received consulting fees for Gilead Sciences and research grants (in kind) from Gilead Sciences. George Dusheiko has received consulting fees and speaker fees from Gilead Sciences, has participated on Data Safety Monitoring Board/Advisory Board for janssen, Glaxo Smith Kline, Arbutus, Aligos, Vir and has roles in the National Medical Research Council Singapore and the World Health Organisation Pediatric Working Group on Viral Hepatitis. </w:t>
      </w:r>
      <w:proofErr w:type="gramStart"/>
      <w:r w:rsidRPr="00CF6D08">
        <w:rPr>
          <w:rFonts w:cs="Times New Roman"/>
        </w:rPr>
        <w:t>A</w:t>
      </w:r>
      <w:proofErr w:type="gramEnd"/>
      <w:r w:rsidRPr="00CF6D08">
        <w:rPr>
          <w:rFonts w:cs="Times New Roman"/>
        </w:rPr>
        <w:t xml:space="preserve"> honorary fee has been paid from Gilead to The George Institute for methodological support provided by Gian Luca di Tanna. Nathaniel J. Smith and Csilla Kinyik-Merena have no financial </w:t>
      </w:r>
      <w:commentRangeStart w:id="0"/>
      <w:commentRangeStart w:id="1"/>
      <w:r w:rsidRPr="00CF6D08">
        <w:rPr>
          <w:rFonts w:cs="Times New Roman"/>
        </w:rPr>
        <w:t>disclosures</w:t>
      </w:r>
      <w:commentRangeEnd w:id="0"/>
      <w:r w:rsidRPr="00CF6D08">
        <w:rPr>
          <w:rStyle w:val="CommentReference"/>
          <w:rFonts w:cs="Times New Roman"/>
          <w:sz w:val="24"/>
          <w:szCs w:val="24"/>
        </w:rPr>
        <w:commentReference w:id="0"/>
      </w:r>
      <w:commentRangeEnd w:id="1"/>
      <w:r w:rsidRPr="00CF6D08">
        <w:rPr>
          <w:rStyle w:val="CommentReference"/>
          <w:rFonts w:cs="Times New Roman"/>
          <w:sz w:val="24"/>
          <w:szCs w:val="24"/>
        </w:rPr>
        <w:commentReference w:id="1"/>
      </w:r>
      <w:r w:rsidRPr="00CF6D08">
        <w:rPr>
          <w:rFonts w:cs="Times New Roman"/>
        </w:rPr>
        <w:t xml:space="preserve">. </w:t>
      </w:r>
    </w:p>
    <w:p w14:paraId="0BC5F452" w14:textId="77777777" w:rsidR="00CF6D08" w:rsidRDefault="00CF6D08" w:rsidP="009D1C03">
      <w:pPr>
        <w:spacing w:after="120" w:line="360" w:lineRule="auto"/>
        <w:rPr>
          <w:b/>
          <w:bCs/>
          <w:color w:val="000000" w:themeColor="text1"/>
          <w:szCs w:val="22"/>
        </w:rPr>
      </w:pPr>
    </w:p>
    <w:p w14:paraId="19E76CC1" w14:textId="77777777" w:rsidR="00CF6D08" w:rsidRDefault="00CF6D08">
      <w:pPr>
        <w:spacing w:after="160" w:line="259" w:lineRule="auto"/>
        <w:rPr>
          <w:b/>
          <w:bCs/>
          <w:color w:val="000000" w:themeColor="text1"/>
          <w:szCs w:val="22"/>
        </w:rPr>
      </w:pPr>
      <w:r>
        <w:rPr>
          <w:b/>
          <w:bCs/>
          <w:color w:val="000000" w:themeColor="text1"/>
          <w:szCs w:val="22"/>
        </w:rPr>
        <w:br w:type="page"/>
      </w:r>
    </w:p>
    <w:p w14:paraId="57349C0E" w14:textId="443AAC0E" w:rsidR="009D1C03" w:rsidRPr="001861BA" w:rsidRDefault="009D1C03" w:rsidP="009D1C03">
      <w:pPr>
        <w:spacing w:after="120" w:line="360" w:lineRule="auto"/>
        <w:rPr>
          <w:b/>
          <w:bCs/>
          <w:color w:val="000000" w:themeColor="text1"/>
          <w:szCs w:val="22"/>
        </w:rPr>
      </w:pPr>
      <w:r w:rsidRPr="001861BA">
        <w:rPr>
          <w:b/>
          <w:bCs/>
          <w:color w:val="000000" w:themeColor="text1"/>
          <w:szCs w:val="22"/>
        </w:rPr>
        <w:lastRenderedPageBreak/>
        <w:t>Appendix</w:t>
      </w:r>
      <w:r w:rsidR="006A7DF2">
        <w:rPr>
          <w:b/>
          <w:bCs/>
          <w:color w:val="000000" w:themeColor="text1"/>
          <w:szCs w:val="22"/>
        </w:rPr>
        <w:t xml:space="preserve"> S1</w:t>
      </w:r>
      <w:r w:rsidRPr="001861BA">
        <w:rPr>
          <w:b/>
          <w:bCs/>
          <w:color w:val="000000" w:themeColor="text1"/>
          <w:szCs w:val="22"/>
        </w:rPr>
        <w:t>. Executive summary of the Delphi panel methodology and proceedings</w:t>
      </w:r>
    </w:p>
    <w:p w14:paraId="1853A0F3" w14:textId="77777777" w:rsidR="009D1C03" w:rsidRPr="00670702" w:rsidRDefault="009D1C03" w:rsidP="009D1C03">
      <w:pPr>
        <w:spacing w:after="120" w:line="360" w:lineRule="auto"/>
        <w:rPr>
          <w:b/>
          <w:bCs/>
          <w:i/>
          <w:iCs/>
          <w:color w:val="000000" w:themeColor="text1"/>
          <w:szCs w:val="22"/>
        </w:rPr>
      </w:pPr>
      <w:r w:rsidRPr="00670702">
        <w:rPr>
          <w:b/>
          <w:bCs/>
          <w:i/>
          <w:iCs/>
          <w:color w:val="000000" w:themeColor="text1"/>
          <w:szCs w:val="22"/>
        </w:rPr>
        <w:t>Background and Objective</w:t>
      </w:r>
    </w:p>
    <w:p w14:paraId="5B525847" w14:textId="77777777" w:rsidR="009D1C03" w:rsidRPr="00A66A24" w:rsidRDefault="009D1C03" w:rsidP="009D1C03">
      <w:pPr>
        <w:spacing w:after="120" w:line="360" w:lineRule="auto"/>
        <w:rPr>
          <w:color w:val="000000" w:themeColor="text1"/>
          <w:szCs w:val="22"/>
        </w:rPr>
      </w:pPr>
      <w:r w:rsidRPr="00A66A24">
        <w:rPr>
          <w:color w:val="000000" w:themeColor="text1"/>
          <w:szCs w:val="22"/>
        </w:rPr>
        <w:t xml:space="preserve">An economic model has been developed that incorporates the natural history of chronic hepatitis delta virus (HDV) infection and the impact of treatment on disease progression. The modeled natural history includes progressive liver disease from HDV, leading to compensated cirrhosis, decompensated cirrhosis, and hepatocellular carcinoma. The rate of disease progression (i.e., transition to cirrhosis, decompensated cirrhosis, and hepatocellular carcinoma) is lower for patients who achieve a specific endpoint, a composite endpoint that consists of virologic (HDV RNA undetectable or </w:t>
      </w:r>
      <w:r>
        <w:rPr>
          <w:color w:val="000000" w:themeColor="text1"/>
          <w:szCs w:val="22"/>
        </w:rPr>
        <w:t>≥</w:t>
      </w:r>
      <w:r w:rsidRPr="00A66A24">
        <w:rPr>
          <w:color w:val="000000" w:themeColor="text1"/>
          <w:szCs w:val="22"/>
        </w:rPr>
        <w:t xml:space="preserve">2-log decline) and biochemical (alanine aminotransferase, ALT, normalization) markers. This composite endpoint was used to measure the efficacy of </w:t>
      </w:r>
      <w:r>
        <w:rPr>
          <w:color w:val="000000" w:themeColor="text1"/>
          <w:szCs w:val="22"/>
        </w:rPr>
        <w:t>HDV treatment</w:t>
      </w:r>
      <w:r w:rsidRPr="00A66A24">
        <w:rPr>
          <w:color w:val="000000" w:themeColor="text1"/>
          <w:szCs w:val="22"/>
        </w:rPr>
        <w:t>, which is in line with guideline recommendations</w:t>
      </w:r>
      <w:r w:rsidRPr="00E127BA">
        <w:rPr>
          <w:color w:val="000000" w:themeColor="text1"/>
          <w:szCs w:val="22"/>
        </w:rPr>
        <w:t xml:space="preserve"> </w:t>
      </w:r>
      <w:r w:rsidRPr="00A66A24">
        <w:rPr>
          <w:color w:val="000000" w:themeColor="text1"/>
          <w:szCs w:val="22"/>
        </w:rPr>
        <w:t>in Europe.</w:t>
      </w:r>
    </w:p>
    <w:p w14:paraId="01117902" w14:textId="77777777" w:rsidR="009D1C03" w:rsidRPr="00A66A24" w:rsidRDefault="009D1C03" w:rsidP="009D1C03">
      <w:pPr>
        <w:spacing w:after="120" w:line="360" w:lineRule="auto"/>
        <w:rPr>
          <w:color w:val="000000" w:themeColor="text1"/>
          <w:szCs w:val="22"/>
        </w:rPr>
      </w:pPr>
      <w:r w:rsidRPr="00A66A24">
        <w:rPr>
          <w:color w:val="000000" w:themeColor="text1"/>
          <w:szCs w:val="22"/>
        </w:rPr>
        <w:t xml:space="preserve">There is uncertainty in the difference in the disease progression rates between patients who have achieved the composite endpoint versus those who have not as there are no long-term data that follow patients based on their composite endpoint status. Without data linking the composite endpoint to the clinical events, assumptions are needed to inform the inputs of the economic model. </w:t>
      </w:r>
    </w:p>
    <w:p w14:paraId="165BF3B5" w14:textId="77777777" w:rsidR="009D1C03" w:rsidRPr="00A66A24" w:rsidRDefault="009D1C03" w:rsidP="009D1C03">
      <w:pPr>
        <w:spacing w:after="120" w:line="360" w:lineRule="auto"/>
        <w:rPr>
          <w:color w:val="000000" w:themeColor="text1"/>
          <w:szCs w:val="22"/>
        </w:rPr>
      </w:pPr>
      <w:r w:rsidRPr="00A66A24">
        <w:rPr>
          <w:color w:val="000000" w:themeColor="text1"/>
          <w:szCs w:val="22"/>
        </w:rPr>
        <w:t>The objective of this Delphi panel was to systematically elicit expert clinical input on the assumptions and data used for the transitions in the economic model that may depend on achieving the composite outcome and to determine if consensus could be obtained.</w:t>
      </w:r>
    </w:p>
    <w:p w14:paraId="60A12026" w14:textId="77777777" w:rsidR="009D1C03" w:rsidRPr="00670702" w:rsidRDefault="009D1C03" w:rsidP="009D1C03">
      <w:pPr>
        <w:rPr>
          <w:b/>
          <w:bCs/>
          <w:i/>
          <w:iCs/>
        </w:rPr>
      </w:pPr>
      <w:bookmarkStart w:id="2" w:name="_Toc80270371"/>
      <w:r w:rsidRPr="00670702">
        <w:rPr>
          <w:b/>
          <w:bCs/>
          <w:i/>
          <w:iCs/>
        </w:rPr>
        <w:t>Methods</w:t>
      </w:r>
      <w:bookmarkEnd w:id="2"/>
    </w:p>
    <w:p w14:paraId="205B3C64" w14:textId="77777777" w:rsidR="009D1C03" w:rsidRPr="00A66A24" w:rsidRDefault="009D1C03" w:rsidP="009D1C03">
      <w:pPr>
        <w:spacing w:after="120" w:line="360" w:lineRule="auto"/>
        <w:rPr>
          <w:color w:val="000000" w:themeColor="text1"/>
          <w:szCs w:val="22"/>
        </w:rPr>
      </w:pPr>
      <w:r w:rsidRPr="00A66A24">
        <w:rPr>
          <w:color w:val="000000" w:themeColor="text1"/>
          <w:szCs w:val="22"/>
        </w:rPr>
        <w:t>To elicit input from clinical experts, a modified Delphi method was employed. The Delphi method is a systematic approach to gaining consensus from a group of experts on a particular topic or set of topics. The Delphi method is often preferred over a focus group because it seeks to minimize bias due to “groupthink”, a dominant participant, or varying levels of expertise within the focus group. The focus of this panel was to determine if consensus could be obtained on the clinical analogue that could be used to underpin the transitions in the economic model. Clinical experts met 1:1 with a facilitator and participated in a structured interview. They were given the same information and asked the same questions to ensure consistency. Prior to the first structured interview, each clinical expert was provided with background information on the composite endpoint and an overview of the economic model.</w:t>
      </w:r>
    </w:p>
    <w:p w14:paraId="67289DBF" w14:textId="77777777" w:rsidR="009D1C03" w:rsidRPr="00A66A24" w:rsidRDefault="009D1C03" w:rsidP="009D1C03">
      <w:pPr>
        <w:spacing w:after="120" w:line="360" w:lineRule="auto"/>
        <w:rPr>
          <w:color w:val="000000" w:themeColor="text1"/>
          <w:szCs w:val="22"/>
        </w:rPr>
      </w:pPr>
      <w:r w:rsidRPr="00A66A24">
        <w:rPr>
          <w:color w:val="000000" w:themeColor="text1"/>
          <w:szCs w:val="22"/>
        </w:rPr>
        <w:lastRenderedPageBreak/>
        <w:t xml:space="preserve">To facilitate the 1:1 </w:t>
      </w:r>
      <w:proofErr w:type="gramStart"/>
      <w:r w:rsidRPr="00A66A24">
        <w:rPr>
          <w:color w:val="000000" w:themeColor="text1"/>
          <w:szCs w:val="22"/>
        </w:rPr>
        <w:t>conversations</w:t>
      </w:r>
      <w:proofErr w:type="gramEnd"/>
      <w:r w:rsidRPr="00A66A24">
        <w:rPr>
          <w:color w:val="000000" w:themeColor="text1"/>
          <w:szCs w:val="22"/>
        </w:rPr>
        <w:t xml:space="preserve"> with clinical experts, a presentation was developed for the initial round of discussion. During the first part of the meetings, the information from the pre-read was reviewed with the clinical experts and each was given the opportunity to ask clarifying questions. Subsequently, the presentation included the Delphi-based questions focused on the potential clinical analogues that could be used to underpin the transitions in the economic model. Given the paucity of HDV-specific data, four approaches that have been previously suggested by experts in HDV to model the effects of achieving the composite endpoint were shared with the clinical experts:</w:t>
      </w:r>
    </w:p>
    <w:p w14:paraId="1C3884ED" w14:textId="77777777" w:rsidR="009D1C03" w:rsidRPr="00685BAC" w:rsidRDefault="009D1C03" w:rsidP="009D1C03">
      <w:pPr>
        <w:pStyle w:val="ListParagraph"/>
        <w:numPr>
          <w:ilvl w:val="0"/>
          <w:numId w:val="1"/>
        </w:numPr>
        <w:spacing w:after="120" w:line="360" w:lineRule="auto"/>
        <w:ind w:left="540"/>
        <w:contextualSpacing w:val="0"/>
        <w:rPr>
          <w:color w:val="000000" w:themeColor="text1"/>
          <w:szCs w:val="22"/>
        </w:rPr>
      </w:pPr>
      <w:r w:rsidRPr="00685BAC">
        <w:rPr>
          <w:color w:val="000000" w:themeColor="text1"/>
          <w:szCs w:val="22"/>
        </w:rPr>
        <w:t>Based on the relationship to HDV RNA negativity: By achieving both a virologic (HDV RNA) and biochemical (ALT normalization) marker of disease control, though patients aren’t necessarily HDV RNA undetectable</w:t>
      </w:r>
      <w:r>
        <w:rPr>
          <w:color w:val="000000" w:themeColor="text1"/>
          <w:szCs w:val="22"/>
        </w:rPr>
        <w:t>/</w:t>
      </w:r>
      <w:r w:rsidRPr="00685BAC">
        <w:rPr>
          <w:color w:val="000000" w:themeColor="text1"/>
          <w:szCs w:val="22"/>
        </w:rPr>
        <w:t>negative, they would achieve a slowing of progression on par with achieving HDV RNA-.</w:t>
      </w:r>
    </w:p>
    <w:p w14:paraId="3F503816" w14:textId="77777777" w:rsidR="009D1C03" w:rsidRPr="00685BAC" w:rsidRDefault="009D1C03" w:rsidP="009D1C03">
      <w:pPr>
        <w:pStyle w:val="ListParagraph"/>
        <w:numPr>
          <w:ilvl w:val="0"/>
          <w:numId w:val="1"/>
        </w:numPr>
        <w:spacing w:after="120" w:line="360" w:lineRule="auto"/>
        <w:ind w:left="540"/>
        <w:contextualSpacing w:val="0"/>
        <w:rPr>
          <w:color w:val="000000" w:themeColor="text1"/>
          <w:szCs w:val="22"/>
        </w:rPr>
      </w:pPr>
      <w:r w:rsidRPr="00685BAC">
        <w:rPr>
          <w:color w:val="000000" w:themeColor="text1"/>
          <w:szCs w:val="22"/>
        </w:rPr>
        <w:t>Based on hepatitis B virus (HBV) versus HDV progression differences: By achieving both a virologic (HDV RNA) and biochemical (ALT normalization) marker of disease control, patients would revert to rates of disease progression similar to those of HBV mono-infection.</w:t>
      </w:r>
    </w:p>
    <w:p w14:paraId="0384827B" w14:textId="77777777" w:rsidR="009D1C03" w:rsidRPr="00685BAC" w:rsidRDefault="009D1C03" w:rsidP="009D1C03">
      <w:pPr>
        <w:pStyle w:val="ListParagraph"/>
        <w:numPr>
          <w:ilvl w:val="0"/>
          <w:numId w:val="1"/>
        </w:numPr>
        <w:spacing w:after="120" w:line="360" w:lineRule="auto"/>
        <w:ind w:left="540"/>
        <w:contextualSpacing w:val="0"/>
        <w:rPr>
          <w:color w:val="000000" w:themeColor="text1"/>
          <w:szCs w:val="22"/>
        </w:rPr>
      </w:pPr>
      <w:r w:rsidRPr="00685BAC">
        <w:rPr>
          <w:color w:val="000000" w:themeColor="text1"/>
          <w:szCs w:val="22"/>
        </w:rPr>
        <w:t>Inferred from ALT normalization impact in HBV: In the absence of reliable data from HDV, the impact of ALT normalization on disease progression could be inferred from a better</w:t>
      </w:r>
      <w:r>
        <w:rPr>
          <w:color w:val="000000" w:themeColor="text1"/>
          <w:szCs w:val="22"/>
        </w:rPr>
        <w:t>-</w:t>
      </w:r>
      <w:r w:rsidRPr="00685BAC">
        <w:rPr>
          <w:color w:val="000000" w:themeColor="text1"/>
          <w:szCs w:val="22"/>
        </w:rPr>
        <w:t>understood relationship of ALT normalization in HBV liver outcomes.</w:t>
      </w:r>
    </w:p>
    <w:p w14:paraId="0D8E5E09" w14:textId="77777777" w:rsidR="009D1C03" w:rsidRPr="00685BAC" w:rsidRDefault="009D1C03" w:rsidP="009D1C03">
      <w:pPr>
        <w:pStyle w:val="ListParagraph"/>
        <w:numPr>
          <w:ilvl w:val="0"/>
          <w:numId w:val="1"/>
        </w:numPr>
        <w:spacing w:after="120" w:line="360" w:lineRule="auto"/>
        <w:ind w:left="540"/>
        <w:contextualSpacing w:val="0"/>
        <w:rPr>
          <w:color w:val="000000" w:themeColor="text1"/>
          <w:szCs w:val="22"/>
        </w:rPr>
      </w:pPr>
      <w:r w:rsidRPr="00685BAC">
        <w:rPr>
          <w:color w:val="000000" w:themeColor="text1"/>
          <w:szCs w:val="22"/>
        </w:rPr>
        <w:t>Inferred from HBV DNA reduction impact in HBV: In the absence of reliable data from HDV, the impact of 2log HDV RNA reduction could be inferred based on the relationship of HBV DNA reduction and liver outcomes in HBV.</w:t>
      </w:r>
    </w:p>
    <w:p w14:paraId="29BA3F56" w14:textId="6883C1E0" w:rsidR="009D1C03" w:rsidRPr="00A66A24" w:rsidRDefault="009D1C03" w:rsidP="009D1C03">
      <w:pPr>
        <w:spacing w:after="120" w:line="360" w:lineRule="auto"/>
        <w:rPr>
          <w:color w:val="000000" w:themeColor="text1"/>
          <w:szCs w:val="22"/>
        </w:rPr>
      </w:pPr>
      <w:r w:rsidRPr="00685BAC">
        <w:rPr>
          <w:color w:val="000000" w:themeColor="text1"/>
          <w:szCs w:val="22"/>
        </w:rPr>
        <w:t xml:space="preserve">The clinical experts were then asked which approach they believed to be the most clinically reasonable to underpin the transitions in the model and to provide </w:t>
      </w:r>
      <w:r>
        <w:rPr>
          <w:color w:val="000000" w:themeColor="text1"/>
          <w:szCs w:val="22"/>
        </w:rPr>
        <w:t xml:space="preserve">a </w:t>
      </w:r>
      <w:r w:rsidRPr="00685BAC">
        <w:rPr>
          <w:color w:val="000000" w:themeColor="text1"/>
          <w:szCs w:val="22"/>
        </w:rPr>
        <w:t xml:space="preserve">rationale as to why they selected the approach (Figure </w:t>
      </w:r>
      <w:r>
        <w:rPr>
          <w:color w:val="000000" w:themeColor="text1"/>
          <w:szCs w:val="22"/>
        </w:rPr>
        <w:t>A</w:t>
      </w:r>
      <w:r w:rsidRPr="00685BAC">
        <w:rPr>
          <w:color w:val="000000" w:themeColor="text1"/>
          <w:szCs w:val="22"/>
        </w:rPr>
        <w:t>).</w:t>
      </w:r>
    </w:p>
    <w:p w14:paraId="691C8554" w14:textId="0E42A117" w:rsidR="009D1C03" w:rsidRPr="00904858" w:rsidRDefault="009D1C03" w:rsidP="009D1C03">
      <w:pPr>
        <w:keepNext/>
        <w:spacing w:after="120" w:line="360" w:lineRule="auto"/>
        <w:rPr>
          <w:b/>
          <w:bCs/>
          <w:color w:val="000000" w:themeColor="text1"/>
          <w:szCs w:val="22"/>
        </w:rPr>
      </w:pPr>
      <w:r w:rsidRPr="00904858">
        <w:rPr>
          <w:b/>
          <w:bCs/>
          <w:color w:val="000000" w:themeColor="text1"/>
          <w:szCs w:val="22"/>
        </w:rPr>
        <w:lastRenderedPageBreak/>
        <w:t>Figure A. HDV Delphi Panel Approaches and Question to Clinical Experts</w:t>
      </w:r>
    </w:p>
    <w:p w14:paraId="0633E579" w14:textId="77777777" w:rsidR="009D1C03" w:rsidRPr="00A66A24" w:rsidRDefault="009D1C03" w:rsidP="009D1C03">
      <w:pPr>
        <w:spacing w:after="120" w:line="360" w:lineRule="auto"/>
        <w:rPr>
          <w:color w:val="000000" w:themeColor="text1"/>
          <w:szCs w:val="22"/>
        </w:rPr>
      </w:pPr>
      <w:r w:rsidRPr="00A66A24">
        <w:rPr>
          <w:noProof/>
          <w:color w:val="000000" w:themeColor="text1"/>
          <w:szCs w:val="22"/>
        </w:rPr>
        <w:drawing>
          <wp:inline distT="0" distB="0" distL="0" distR="0" wp14:anchorId="2AA91C20" wp14:editId="34A8B36B">
            <wp:extent cx="5624299" cy="3158259"/>
            <wp:effectExtent l="19050" t="19050" r="14605" b="2349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34184" cy="3163810"/>
                    </a:xfrm>
                    <a:prstGeom prst="rect">
                      <a:avLst/>
                    </a:prstGeom>
                    <a:noFill/>
                    <a:ln>
                      <a:solidFill>
                        <a:schemeClr val="tx1"/>
                      </a:solidFill>
                    </a:ln>
                  </pic:spPr>
                </pic:pic>
              </a:graphicData>
            </a:graphic>
          </wp:inline>
        </w:drawing>
      </w:r>
    </w:p>
    <w:p w14:paraId="0FF71366" w14:textId="77777777" w:rsidR="009D1C03" w:rsidRDefault="009D1C03" w:rsidP="009D1C03">
      <w:pPr>
        <w:spacing w:after="120" w:line="360" w:lineRule="auto"/>
        <w:ind w:firstLine="720"/>
        <w:rPr>
          <w:color w:val="000000" w:themeColor="text1"/>
          <w:szCs w:val="22"/>
        </w:rPr>
      </w:pPr>
    </w:p>
    <w:p w14:paraId="14AFEBA0" w14:textId="77777777" w:rsidR="009D1C03" w:rsidRPr="00A66A24" w:rsidRDefault="009D1C03" w:rsidP="009D1C03">
      <w:pPr>
        <w:spacing w:after="120" w:line="360" w:lineRule="auto"/>
        <w:rPr>
          <w:color w:val="000000" w:themeColor="text1"/>
          <w:szCs w:val="22"/>
        </w:rPr>
      </w:pPr>
      <w:r w:rsidRPr="00A66A24">
        <w:rPr>
          <w:color w:val="000000" w:themeColor="text1"/>
          <w:szCs w:val="22"/>
        </w:rPr>
        <w:t xml:space="preserve">Twelve clinical experts from 6 countries (Germany, Italy, Spain, Turkey, UK, USA) agreed to participate in the modified Delphi panel. These experts are physicians who have treated HDV patients and are considered highly knowledgeable about HDV. </w:t>
      </w:r>
      <w:r>
        <w:rPr>
          <w:color w:val="000000" w:themeColor="text1"/>
          <w:szCs w:val="22"/>
        </w:rPr>
        <w:t xml:space="preserve">One-on-one </w:t>
      </w:r>
      <w:r w:rsidRPr="00A66A24">
        <w:rPr>
          <w:color w:val="000000" w:themeColor="text1"/>
          <w:szCs w:val="22"/>
        </w:rPr>
        <w:t>virtual meetings were scheduled with each clinical expert (via Zoom or WebEx) between May 28, 2011 – August 11, 2021. Meetings were recorded for note-taking purposes. The same facilitator</w:t>
      </w:r>
      <w:r>
        <w:rPr>
          <w:color w:val="000000" w:themeColor="text1"/>
          <w:szCs w:val="22"/>
        </w:rPr>
        <w:t>-</w:t>
      </w:r>
      <w:r w:rsidRPr="00A66A24">
        <w:rPr>
          <w:color w:val="000000" w:themeColor="text1"/>
          <w:szCs w:val="22"/>
        </w:rPr>
        <w:t>led each meeting. Clinical experts were given the same information and asked the same questions to ensure consistency. The clinical experts’ response and stated context and rationale w</w:t>
      </w:r>
      <w:r>
        <w:rPr>
          <w:color w:val="000000" w:themeColor="text1"/>
          <w:szCs w:val="22"/>
        </w:rPr>
        <w:t>ere</w:t>
      </w:r>
      <w:r w:rsidRPr="00A66A24">
        <w:rPr>
          <w:color w:val="000000" w:themeColor="text1"/>
          <w:szCs w:val="22"/>
        </w:rPr>
        <w:t xml:space="preserve"> documented, and the recordings were revisited to capture additional details. </w:t>
      </w:r>
    </w:p>
    <w:p w14:paraId="3BEF1C1D" w14:textId="77777777" w:rsidR="009D1C03" w:rsidRPr="00A66A24" w:rsidRDefault="009D1C03" w:rsidP="009D1C03">
      <w:pPr>
        <w:spacing w:after="120" w:line="360" w:lineRule="auto"/>
        <w:rPr>
          <w:color w:val="000000" w:themeColor="text1"/>
          <w:szCs w:val="22"/>
        </w:rPr>
      </w:pPr>
      <w:r w:rsidRPr="00A66A24">
        <w:rPr>
          <w:color w:val="000000" w:themeColor="text1"/>
          <w:szCs w:val="22"/>
        </w:rPr>
        <w:t xml:space="preserve">The design of the modified Delphi process included up to 3 rounds of questions to the experts. </w:t>
      </w:r>
      <w:r>
        <w:rPr>
          <w:color w:val="000000" w:themeColor="text1"/>
          <w:szCs w:val="22"/>
        </w:rPr>
        <w:t>The c</w:t>
      </w:r>
      <w:r w:rsidRPr="00A66A24">
        <w:rPr>
          <w:color w:val="000000" w:themeColor="text1"/>
          <w:szCs w:val="22"/>
        </w:rPr>
        <w:t>onsensus was reached when at least 75% of participants agree on a value or answer. If consensus was not obtained after the first round, the responses and context provided by the clinical experts were to be anonymized and shared with other participants in the subsequent round or used to ask a more refined question, with a narrower range of options</w:t>
      </w:r>
      <w:r>
        <w:rPr>
          <w:color w:val="000000" w:themeColor="text1"/>
          <w:szCs w:val="22"/>
        </w:rPr>
        <w:t xml:space="preserve"> for the answers</w:t>
      </w:r>
      <w:r w:rsidRPr="00A66A24">
        <w:rPr>
          <w:color w:val="000000" w:themeColor="text1"/>
          <w:szCs w:val="22"/>
        </w:rPr>
        <w:t xml:space="preserve">. However, as consensus on the approach was attained after the first round and follow-up conversations, subsequent rounds were not pursued.  </w:t>
      </w:r>
    </w:p>
    <w:p w14:paraId="3D8E1183" w14:textId="77777777" w:rsidR="009D1C03" w:rsidRDefault="009D1C03">
      <w:pPr>
        <w:spacing w:after="160" w:line="259" w:lineRule="auto"/>
        <w:rPr>
          <w:b/>
          <w:bCs/>
          <w:i/>
          <w:iCs/>
          <w:color w:val="000000" w:themeColor="text1"/>
          <w:szCs w:val="22"/>
        </w:rPr>
      </w:pPr>
      <w:r>
        <w:rPr>
          <w:b/>
          <w:bCs/>
          <w:i/>
          <w:iCs/>
          <w:color w:val="000000" w:themeColor="text1"/>
          <w:szCs w:val="22"/>
        </w:rPr>
        <w:br w:type="page"/>
      </w:r>
    </w:p>
    <w:p w14:paraId="5F1646D8" w14:textId="47B31DE1" w:rsidR="009D1C03" w:rsidRPr="00670702" w:rsidRDefault="009D1C03" w:rsidP="009D1C03">
      <w:pPr>
        <w:spacing w:after="120" w:line="360" w:lineRule="auto"/>
        <w:rPr>
          <w:b/>
          <w:bCs/>
          <w:i/>
          <w:iCs/>
          <w:color w:val="000000" w:themeColor="text1"/>
          <w:szCs w:val="22"/>
        </w:rPr>
      </w:pPr>
      <w:r w:rsidRPr="00670702">
        <w:rPr>
          <w:b/>
          <w:bCs/>
          <w:i/>
          <w:iCs/>
          <w:color w:val="000000" w:themeColor="text1"/>
          <w:szCs w:val="22"/>
        </w:rPr>
        <w:lastRenderedPageBreak/>
        <w:t>Results</w:t>
      </w:r>
    </w:p>
    <w:p w14:paraId="74A8C327" w14:textId="48815E2F" w:rsidR="009D1C03" w:rsidRPr="001F3E3D" w:rsidRDefault="009D1C03" w:rsidP="009D1C03">
      <w:pPr>
        <w:spacing w:after="120" w:line="360" w:lineRule="auto"/>
        <w:rPr>
          <w:color w:val="000000" w:themeColor="text1"/>
          <w:szCs w:val="22"/>
        </w:rPr>
      </w:pPr>
      <w:r w:rsidRPr="00A66A24">
        <w:rPr>
          <w:color w:val="000000" w:themeColor="text1"/>
          <w:szCs w:val="22"/>
        </w:rPr>
        <w:t>Consensus on the approach was obtained with 10 of 12 (83%) of the clinical experts selecting HDV RNA undetectability as the clinical analogue after the first round of and follow-up discussions (</w:t>
      </w:r>
      <w:r w:rsidRPr="00685BAC">
        <w:rPr>
          <w:color w:val="000000" w:themeColor="text1"/>
          <w:szCs w:val="22"/>
        </w:rPr>
        <w:t xml:space="preserve">Figure </w:t>
      </w:r>
      <w:r>
        <w:rPr>
          <w:color w:val="000000" w:themeColor="text1"/>
          <w:szCs w:val="22"/>
        </w:rPr>
        <w:t>B</w:t>
      </w:r>
      <w:r w:rsidRPr="00685BAC">
        <w:rPr>
          <w:color w:val="000000" w:themeColor="text1"/>
          <w:szCs w:val="22"/>
        </w:rPr>
        <w:t>). Given consensus was obtained, subsequent rounds were not pursued.</w:t>
      </w:r>
    </w:p>
    <w:p w14:paraId="0953A496" w14:textId="28AE745F" w:rsidR="009D1C03" w:rsidRPr="00904858" w:rsidRDefault="009D1C03" w:rsidP="009D1C03">
      <w:pPr>
        <w:spacing w:after="120" w:line="360" w:lineRule="auto"/>
        <w:rPr>
          <w:b/>
          <w:bCs/>
          <w:color w:val="000000" w:themeColor="text1"/>
          <w:szCs w:val="22"/>
        </w:rPr>
      </w:pPr>
      <w:r w:rsidRPr="00904858">
        <w:rPr>
          <w:b/>
          <w:bCs/>
          <w:color w:val="000000" w:themeColor="text1"/>
          <w:szCs w:val="22"/>
        </w:rPr>
        <w:t xml:space="preserve">Figure </w:t>
      </w:r>
      <w:r>
        <w:rPr>
          <w:b/>
          <w:bCs/>
          <w:color w:val="000000" w:themeColor="text1"/>
          <w:szCs w:val="22"/>
        </w:rPr>
        <w:t>B</w:t>
      </w:r>
      <w:r w:rsidRPr="00904858">
        <w:rPr>
          <w:b/>
          <w:bCs/>
          <w:color w:val="000000" w:themeColor="text1"/>
          <w:szCs w:val="22"/>
        </w:rPr>
        <w:t xml:space="preserve">. Delphi </w:t>
      </w:r>
      <w:r>
        <w:rPr>
          <w:b/>
          <w:bCs/>
          <w:color w:val="000000" w:themeColor="text1"/>
          <w:szCs w:val="22"/>
        </w:rPr>
        <w:t>p</w:t>
      </w:r>
      <w:r w:rsidRPr="00904858">
        <w:rPr>
          <w:b/>
          <w:bCs/>
          <w:color w:val="000000" w:themeColor="text1"/>
          <w:szCs w:val="22"/>
        </w:rPr>
        <w:t xml:space="preserve">anel </w:t>
      </w:r>
      <w:r>
        <w:rPr>
          <w:b/>
          <w:bCs/>
          <w:color w:val="000000" w:themeColor="text1"/>
          <w:szCs w:val="22"/>
        </w:rPr>
        <w:t>r</w:t>
      </w:r>
      <w:r w:rsidRPr="00904858">
        <w:rPr>
          <w:b/>
          <w:bCs/>
          <w:color w:val="000000" w:themeColor="text1"/>
          <w:szCs w:val="22"/>
        </w:rPr>
        <w:t xml:space="preserve">esults on the </w:t>
      </w:r>
      <w:r>
        <w:rPr>
          <w:b/>
          <w:bCs/>
          <w:color w:val="000000" w:themeColor="text1"/>
          <w:szCs w:val="22"/>
        </w:rPr>
        <w:t>s</w:t>
      </w:r>
      <w:r w:rsidRPr="00904858">
        <w:rPr>
          <w:b/>
          <w:bCs/>
          <w:color w:val="000000" w:themeColor="text1"/>
          <w:szCs w:val="22"/>
        </w:rPr>
        <w:t xml:space="preserve">elected </w:t>
      </w:r>
      <w:r>
        <w:rPr>
          <w:b/>
          <w:bCs/>
          <w:color w:val="000000" w:themeColor="text1"/>
          <w:szCs w:val="22"/>
        </w:rPr>
        <w:t>a</w:t>
      </w:r>
      <w:r w:rsidRPr="00904858">
        <w:rPr>
          <w:b/>
          <w:bCs/>
          <w:color w:val="000000" w:themeColor="text1"/>
          <w:szCs w:val="22"/>
        </w:rPr>
        <w:t xml:space="preserve">pproach for a </w:t>
      </w:r>
      <w:r>
        <w:rPr>
          <w:b/>
          <w:bCs/>
          <w:color w:val="000000" w:themeColor="text1"/>
          <w:szCs w:val="22"/>
        </w:rPr>
        <w:t>c</w:t>
      </w:r>
      <w:r w:rsidRPr="00904858">
        <w:rPr>
          <w:b/>
          <w:bCs/>
          <w:color w:val="000000" w:themeColor="text1"/>
          <w:szCs w:val="22"/>
        </w:rPr>
        <w:t xml:space="preserve">linical </w:t>
      </w:r>
      <w:r>
        <w:rPr>
          <w:b/>
          <w:bCs/>
          <w:color w:val="000000" w:themeColor="text1"/>
          <w:szCs w:val="22"/>
        </w:rPr>
        <w:t>a</w:t>
      </w:r>
      <w:r w:rsidRPr="00904858">
        <w:rPr>
          <w:b/>
          <w:bCs/>
          <w:color w:val="000000" w:themeColor="text1"/>
          <w:szCs w:val="22"/>
        </w:rPr>
        <w:t>nalog</w:t>
      </w:r>
    </w:p>
    <w:p w14:paraId="68DDB3E1" w14:textId="77777777" w:rsidR="009D1C03" w:rsidRPr="00A66A24" w:rsidRDefault="009D1C03" w:rsidP="009D1C03">
      <w:pPr>
        <w:spacing w:after="120" w:line="360" w:lineRule="auto"/>
        <w:rPr>
          <w:color w:val="000000" w:themeColor="text1"/>
          <w:szCs w:val="22"/>
        </w:rPr>
      </w:pPr>
      <w:r w:rsidRPr="00A66A24">
        <w:rPr>
          <w:noProof/>
          <w:color w:val="000000" w:themeColor="text1"/>
          <w:szCs w:val="22"/>
        </w:rPr>
        <w:drawing>
          <wp:inline distT="0" distB="0" distL="0" distR="0" wp14:anchorId="46F7E7C3" wp14:editId="2F830027">
            <wp:extent cx="5086350" cy="2834640"/>
            <wp:effectExtent l="0" t="0" r="0" b="381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C4AB115" w14:textId="77777777" w:rsidR="009D1C03" w:rsidRPr="00670702" w:rsidRDefault="009D1C03" w:rsidP="009D1C03">
      <w:pPr>
        <w:spacing w:after="120" w:line="360" w:lineRule="auto"/>
        <w:rPr>
          <w:color w:val="000000" w:themeColor="text1"/>
          <w:sz w:val="18"/>
          <w:szCs w:val="16"/>
        </w:rPr>
      </w:pPr>
      <w:r w:rsidRPr="00670702">
        <w:rPr>
          <w:color w:val="000000" w:themeColor="text1"/>
          <w:sz w:val="18"/>
          <w:szCs w:val="16"/>
        </w:rPr>
        <w:t>Abbreviations: ALT, alanine aminotransferase; HBV, hepatitis B virus; HDV, hepatitis delta virus.</w:t>
      </w:r>
    </w:p>
    <w:p w14:paraId="78782D25" w14:textId="77777777" w:rsidR="009D1C03" w:rsidRDefault="009D1C03" w:rsidP="009D1C03">
      <w:pPr>
        <w:spacing w:after="120" w:line="360" w:lineRule="auto"/>
        <w:rPr>
          <w:color w:val="000000" w:themeColor="text1"/>
          <w:szCs w:val="22"/>
        </w:rPr>
      </w:pPr>
    </w:p>
    <w:p w14:paraId="3568DF53" w14:textId="2E74C41C" w:rsidR="009D1C03" w:rsidRDefault="009D1C03" w:rsidP="009D1C03">
      <w:pPr>
        <w:spacing w:after="120" w:line="360" w:lineRule="auto"/>
        <w:rPr>
          <w:color w:val="000000" w:themeColor="text1"/>
          <w:szCs w:val="22"/>
        </w:rPr>
      </w:pPr>
      <w:r>
        <w:rPr>
          <w:color w:val="000000" w:themeColor="text1"/>
          <w:szCs w:val="22"/>
        </w:rPr>
        <w:t>The r</w:t>
      </w:r>
      <w:r w:rsidRPr="00A66A24">
        <w:rPr>
          <w:color w:val="000000" w:themeColor="text1"/>
          <w:szCs w:val="22"/>
        </w:rPr>
        <w:t xml:space="preserve">ationale for choosing the HDV RNA undetectability approach included </w:t>
      </w:r>
      <w:r>
        <w:rPr>
          <w:color w:val="000000" w:themeColor="text1"/>
          <w:szCs w:val="22"/>
        </w:rPr>
        <w:t xml:space="preserve">the </w:t>
      </w:r>
      <w:r w:rsidRPr="00A66A24">
        <w:rPr>
          <w:color w:val="000000" w:themeColor="text1"/>
          <w:szCs w:val="22"/>
        </w:rPr>
        <w:t xml:space="preserve">clinical rationale that achieving the composite endpoint would slow disease progression even among patients who did not achieve RNA undetectability and that these data exist for the HDV </w:t>
      </w:r>
      <w:r w:rsidRPr="0001759D">
        <w:rPr>
          <w:color w:val="000000" w:themeColor="text1"/>
          <w:szCs w:val="22"/>
        </w:rPr>
        <w:t>population (Table A). Two clinical experts selected an alternative approach: one selected HBV</w:t>
      </w:r>
      <w:r w:rsidRPr="00A66A24">
        <w:rPr>
          <w:color w:val="000000" w:themeColor="text1"/>
          <w:szCs w:val="22"/>
        </w:rPr>
        <w:t xml:space="preserve"> mono-infection and one selected ALT normalization.</w:t>
      </w:r>
    </w:p>
    <w:p w14:paraId="50943DFD" w14:textId="77777777" w:rsidR="009D1C03" w:rsidRDefault="009D1C03">
      <w:pPr>
        <w:spacing w:after="160" w:line="259" w:lineRule="auto"/>
        <w:rPr>
          <w:color w:val="000000" w:themeColor="text1"/>
          <w:szCs w:val="22"/>
        </w:rPr>
      </w:pPr>
      <w:r>
        <w:rPr>
          <w:color w:val="000000" w:themeColor="text1"/>
          <w:szCs w:val="22"/>
        </w:rPr>
        <w:br w:type="page"/>
      </w:r>
    </w:p>
    <w:p w14:paraId="134C48CC" w14:textId="39E7B827" w:rsidR="009D1C03" w:rsidRPr="00904858" w:rsidRDefault="009D1C03" w:rsidP="009D1C03">
      <w:pPr>
        <w:keepNext/>
        <w:spacing w:after="120" w:line="360" w:lineRule="auto"/>
        <w:rPr>
          <w:b/>
          <w:bCs/>
          <w:color w:val="000000" w:themeColor="text1"/>
          <w:szCs w:val="22"/>
        </w:rPr>
      </w:pPr>
      <w:r w:rsidRPr="00904858">
        <w:rPr>
          <w:b/>
          <w:bCs/>
          <w:color w:val="000000" w:themeColor="text1"/>
          <w:szCs w:val="22"/>
        </w:rPr>
        <w:lastRenderedPageBreak/>
        <w:t xml:space="preserve">Table </w:t>
      </w:r>
      <w:r>
        <w:rPr>
          <w:b/>
          <w:bCs/>
          <w:color w:val="000000" w:themeColor="text1"/>
          <w:szCs w:val="22"/>
        </w:rPr>
        <w:t>A</w:t>
      </w:r>
      <w:r w:rsidRPr="00904858">
        <w:rPr>
          <w:b/>
          <w:bCs/>
          <w:color w:val="000000" w:themeColor="text1"/>
          <w:szCs w:val="22"/>
        </w:rPr>
        <w:t xml:space="preserve">. </w:t>
      </w:r>
      <w:r>
        <w:rPr>
          <w:b/>
          <w:bCs/>
          <w:color w:val="000000" w:themeColor="text1"/>
          <w:szCs w:val="22"/>
        </w:rPr>
        <w:t>Selected D</w:t>
      </w:r>
      <w:r w:rsidRPr="00904858">
        <w:rPr>
          <w:b/>
          <w:bCs/>
          <w:color w:val="000000" w:themeColor="text1"/>
          <w:szCs w:val="22"/>
        </w:rPr>
        <w:t xml:space="preserve">elphi </w:t>
      </w:r>
      <w:r>
        <w:rPr>
          <w:b/>
          <w:bCs/>
          <w:color w:val="000000" w:themeColor="text1"/>
          <w:szCs w:val="22"/>
        </w:rPr>
        <w:t>p</w:t>
      </w:r>
      <w:r w:rsidRPr="00904858">
        <w:rPr>
          <w:b/>
          <w:bCs/>
          <w:color w:val="000000" w:themeColor="text1"/>
          <w:szCs w:val="22"/>
        </w:rPr>
        <w:t xml:space="preserve">anel </w:t>
      </w:r>
      <w:r>
        <w:rPr>
          <w:b/>
          <w:bCs/>
          <w:color w:val="000000" w:themeColor="text1"/>
          <w:szCs w:val="22"/>
        </w:rPr>
        <w:t>r</w:t>
      </w:r>
      <w:r w:rsidRPr="00904858">
        <w:rPr>
          <w:b/>
          <w:bCs/>
          <w:color w:val="000000" w:themeColor="text1"/>
          <w:szCs w:val="22"/>
        </w:rPr>
        <w:t>ational</w:t>
      </w:r>
      <w:r>
        <w:rPr>
          <w:b/>
          <w:bCs/>
          <w:color w:val="000000" w:themeColor="text1"/>
          <w:szCs w:val="22"/>
        </w:rPr>
        <w:t>e</w:t>
      </w:r>
      <w:r w:rsidRPr="00904858">
        <w:rPr>
          <w:b/>
          <w:bCs/>
          <w:color w:val="000000" w:themeColor="text1"/>
          <w:szCs w:val="22"/>
        </w:rPr>
        <w:t xml:space="preserve"> for </w:t>
      </w:r>
      <w:r>
        <w:rPr>
          <w:b/>
          <w:bCs/>
          <w:color w:val="000000" w:themeColor="text1"/>
          <w:szCs w:val="22"/>
        </w:rPr>
        <w:t>the s</w:t>
      </w:r>
      <w:r w:rsidRPr="00904858">
        <w:rPr>
          <w:b/>
          <w:bCs/>
          <w:color w:val="000000" w:themeColor="text1"/>
          <w:szCs w:val="22"/>
        </w:rPr>
        <w:t xml:space="preserve">elected </w:t>
      </w:r>
      <w:r>
        <w:rPr>
          <w:b/>
          <w:bCs/>
          <w:color w:val="000000" w:themeColor="text1"/>
          <w:szCs w:val="22"/>
        </w:rPr>
        <w:t>a</w:t>
      </w:r>
      <w:r w:rsidRPr="00904858">
        <w:rPr>
          <w:b/>
          <w:bCs/>
          <w:color w:val="000000" w:themeColor="text1"/>
          <w:szCs w:val="22"/>
        </w:rPr>
        <w:t>pproach</w:t>
      </w:r>
    </w:p>
    <w:tbl>
      <w:tblPr>
        <w:tblStyle w:val="ListTable3-Accent2"/>
        <w:tblW w:w="9240" w:type="dxa"/>
        <w:tblBorders>
          <w:top w:val="none" w:sz="0" w:space="0" w:color="auto"/>
          <w:left w:val="none" w:sz="0" w:space="0" w:color="auto"/>
          <w:bottom w:val="none" w:sz="0" w:space="0" w:color="auto"/>
          <w:right w:val="none" w:sz="0" w:space="0" w:color="auto"/>
        </w:tblBorders>
        <w:tblLook w:val="0420" w:firstRow="1" w:lastRow="0" w:firstColumn="0" w:lastColumn="0" w:noHBand="0" w:noVBand="1"/>
      </w:tblPr>
      <w:tblGrid>
        <w:gridCol w:w="2157"/>
        <w:gridCol w:w="7083"/>
      </w:tblGrid>
      <w:tr w:rsidR="009D1C03" w:rsidRPr="002E6FCA" w14:paraId="7779A147" w14:textId="77777777" w:rsidTr="003F0EC8">
        <w:trPr>
          <w:cnfStyle w:val="100000000000" w:firstRow="1" w:lastRow="0" w:firstColumn="0" w:lastColumn="0" w:oddVBand="0" w:evenVBand="0" w:oddHBand="0" w:evenHBand="0" w:firstRowFirstColumn="0" w:firstRowLastColumn="0" w:lastRowFirstColumn="0" w:lastRowLastColumn="0"/>
          <w:cantSplit/>
          <w:trHeight w:val="576"/>
        </w:trPr>
        <w:tc>
          <w:tcPr>
            <w:tcW w:w="2157" w:type="dxa"/>
            <w:tcBorders>
              <w:top w:val="single" w:sz="4" w:space="0" w:color="auto"/>
              <w:bottom w:val="single" w:sz="4" w:space="0" w:color="auto"/>
            </w:tcBorders>
            <w:shd w:val="clear" w:color="auto" w:fill="auto"/>
            <w:vAlign w:val="center"/>
          </w:tcPr>
          <w:p w14:paraId="7091852F" w14:textId="77777777" w:rsidR="009D1C03" w:rsidRPr="002E6FCA" w:rsidRDefault="009D1C03" w:rsidP="003F0EC8">
            <w:pPr>
              <w:rPr>
                <w:rFonts w:cs="Times New Roman"/>
                <w:color w:val="000000" w:themeColor="text1"/>
                <w:sz w:val="20"/>
                <w:szCs w:val="20"/>
              </w:rPr>
            </w:pPr>
            <w:r w:rsidRPr="002E6FCA">
              <w:rPr>
                <w:rFonts w:cs="Times New Roman"/>
                <w:color w:val="000000" w:themeColor="text1"/>
                <w:sz w:val="20"/>
                <w:szCs w:val="20"/>
              </w:rPr>
              <w:t>Approach</w:t>
            </w:r>
          </w:p>
        </w:tc>
        <w:tc>
          <w:tcPr>
            <w:tcW w:w="7083" w:type="dxa"/>
            <w:tcBorders>
              <w:top w:val="single" w:sz="4" w:space="0" w:color="auto"/>
              <w:bottom w:val="single" w:sz="4" w:space="0" w:color="auto"/>
            </w:tcBorders>
            <w:shd w:val="clear" w:color="auto" w:fill="auto"/>
            <w:vAlign w:val="center"/>
          </w:tcPr>
          <w:p w14:paraId="19AF5C6E" w14:textId="77777777" w:rsidR="009D1C03" w:rsidRPr="002E6FCA" w:rsidRDefault="009D1C03" w:rsidP="003F0EC8">
            <w:pPr>
              <w:rPr>
                <w:rFonts w:cs="Times New Roman"/>
                <w:color w:val="000000" w:themeColor="text1"/>
                <w:sz w:val="20"/>
                <w:szCs w:val="20"/>
              </w:rPr>
            </w:pPr>
            <w:r w:rsidRPr="002E6FCA">
              <w:rPr>
                <w:rFonts w:cs="Times New Roman"/>
                <w:color w:val="000000" w:themeColor="text1"/>
                <w:sz w:val="20"/>
                <w:szCs w:val="20"/>
              </w:rPr>
              <w:t xml:space="preserve">Select Rationale Provided by Clinical Experts </w:t>
            </w:r>
          </w:p>
        </w:tc>
      </w:tr>
      <w:tr w:rsidR="009D1C03" w:rsidRPr="002E6FCA" w14:paraId="0B8D349B" w14:textId="77777777" w:rsidTr="003F0EC8">
        <w:trPr>
          <w:cnfStyle w:val="000000100000" w:firstRow="0" w:lastRow="0" w:firstColumn="0" w:lastColumn="0" w:oddVBand="0" w:evenVBand="0" w:oddHBand="1" w:evenHBand="0" w:firstRowFirstColumn="0" w:firstRowLastColumn="0" w:lastRowFirstColumn="0" w:lastRowLastColumn="0"/>
          <w:trHeight w:val="981"/>
        </w:trPr>
        <w:tc>
          <w:tcPr>
            <w:tcW w:w="2157" w:type="dxa"/>
            <w:vMerge w:val="restart"/>
            <w:tcBorders>
              <w:top w:val="single" w:sz="4" w:space="0" w:color="auto"/>
              <w:bottom w:val="none" w:sz="0" w:space="0" w:color="auto"/>
            </w:tcBorders>
            <w:vAlign w:val="center"/>
          </w:tcPr>
          <w:p w14:paraId="102D1F46" w14:textId="77777777" w:rsidR="009D1C03" w:rsidRPr="002E6FCA" w:rsidRDefault="009D1C03" w:rsidP="003F0EC8">
            <w:pPr>
              <w:spacing w:line="360" w:lineRule="auto"/>
              <w:rPr>
                <w:rFonts w:cs="Times New Roman"/>
                <w:color w:val="000000" w:themeColor="text1"/>
                <w:sz w:val="20"/>
                <w:szCs w:val="20"/>
              </w:rPr>
            </w:pPr>
            <w:r w:rsidRPr="002E6FCA">
              <w:rPr>
                <w:rFonts w:cs="Times New Roman"/>
                <w:color w:val="000000" w:themeColor="text1"/>
                <w:sz w:val="20"/>
                <w:szCs w:val="20"/>
              </w:rPr>
              <w:t>HDV RNA Undetectability</w:t>
            </w:r>
          </w:p>
        </w:tc>
        <w:tc>
          <w:tcPr>
            <w:tcW w:w="7083" w:type="dxa"/>
            <w:tcBorders>
              <w:top w:val="single" w:sz="4" w:space="0" w:color="auto"/>
              <w:bottom w:val="single" w:sz="4" w:space="0" w:color="auto"/>
            </w:tcBorders>
            <w:vAlign w:val="center"/>
          </w:tcPr>
          <w:p w14:paraId="2E158B49" w14:textId="77777777" w:rsidR="009D1C03" w:rsidRPr="002E6FCA" w:rsidRDefault="009D1C03" w:rsidP="003F0EC8">
            <w:pPr>
              <w:spacing w:line="360" w:lineRule="auto"/>
              <w:rPr>
                <w:rFonts w:cs="Times New Roman"/>
                <w:i/>
                <w:iCs/>
                <w:color w:val="000000" w:themeColor="text1"/>
                <w:sz w:val="20"/>
                <w:szCs w:val="20"/>
              </w:rPr>
            </w:pPr>
            <w:r w:rsidRPr="002E6FCA">
              <w:rPr>
                <w:rFonts w:cs="Times New Roman"/>
                <w:i/>
                <w:iCs/>
                <w:color w:val="000000" w:themeColor="text1"/>
                <w:sz w:val="20"/>
                <w:szCs w:val="20"/>
              </w:rPr>
              <w:t>“Approach 1 is the most appealing as achieving both virologic HDV RNA and biochemical ALT normalization would achieve the slowing of disease progression even if they are RNA positive.”</w:t>
            </w:r>
          </w:p>
        </w:tc>
      </w:tr>
      <w:tr w:rsidR="009D1C03" w:rsidRPr="002E6FCA" w14:paraId="2680C23C" w14:textId="77777777" w:rsidTr="003F0EC8">
        <w:trPr>
          <w:trHeight w:val="995"/>
        </w:trPr>
        <w:tc>
          <w:tcPr>
            <w:tcW w:w="2157" w:type="dxa"/>
            <w:vMerge/>
            <w:vAlign w:val="center"/>
          </w:tcPr>
          <w:p w14:paraId="4327E3EB" w14:textId="77777777" w:rsidR="009D1C03" w:rsidRPr="002E6FCA" w:rsidRDefault="009D1C03" w:rsidP="003F0EC8">
            <w:pPr>
              <w:spacing w:line="360" w:lineRule="auto"/>
              <w:rPr>
                <w:rFonts w:cs="Times New Roman"/>
                <w:color w:val="000000" w:themeColor="text1"/>
                <w:sz w:val="20"/>
                <w:szCs w:val="20"/>
              </w:rPr>
            </w:pPr>
          </w:p>
        </w:tc>
        <w:tc>
          <w:tcPr>
            <w:tcW w:w="7083" w:type="dxa"/>
            <w:tcBorders>
              <w:top w:val="single" w:sz="4" w:space="0" w:color="auto"/>
              <w:bottom w:val="single" w:sz="4" w:space="0" w:color="auto"/>
            </w:tcBorders>
            <w:vAlign w:val="center"/>
          </w:tcPr>
          <w:p w14:paraId="6C5F7E64" w14:textId="77777777" w:rsidR="009D1C03" w:rsidRPr="002E6FCA" w:rsidRDefault="009D1C03" w:rsidP="003F0EC8">
            <w:pPr>
              <w:spacing w:line="360" w:lineRule="auto"/>
              <w:rPr>
                <w:rFonts w:cs="Times New Roman"/>
                <w:i/>
                <w:iCs/>
                <w:color w:val="000000" w:themeColor="text1"/>
                <w:sz w:val="20"/>
                <w:szCs w:val="20"/>
              </w:rPr>
            </w:pPr>
            <w:r w:rsidRPr="002E6FCA">
              <w:rPr>
                <w:rFonts w:cs="Times New Roman"/>
                <w:i/>
                <w:iCs/>
                <w:color w:val="000000" w:themeColor="text1"/>
                <w:sz w:val="20"/>
                <w:szCs w:val="20"/>
              </w:rPr>
              <w:t>“Best analogue of the 4 options because it is supported by the literature, although the key issue is that a 2log decline in HDV RNA does not yield the same outcomes as HDV RNA negative.”</w:t>
            </w:r>
          </w:p>
        </w:tc>
      </w:tr>
      <w:tr w:rsidR="009D1C03" w:rsidRPr="002E6FCA" w14:paraId="45D87156" w14:textId="77777777" w:rsidTr="003F0EC8">
        <w:trPr>
          <w:cnfStyle w:val="000000100000" w:firstRow="0" w:lastRow="0" w:firstColumn="0" w:lastColumn="0" w:oddVBand="0" w:evenVBand="0" w:oddHBand="1" w:evenHBand="0" w:firstRowFirstColumn="0" w:firstRowLastColumn="0" w:lastRowFirstColumn="0" w:lastRowLastColumn="0"/>
          <w:trHeight w:val="339"/>
        </w:trPr>
        <w:tc>
          <w:tcPr>
            <w:tcW w:w="2157" w:type="dxa"/>
            <w:vMerge/>
            <w:tcBorders>
              <w:top w:val="none" w:sz="0" w:space="0" w:color="auto"/>
              <w:bottom w:val="single" w:sz="4" w:space="0" w:color="auto"/>
            </w:tcBorders>
            <w:vAlign w:val="center"/>
          </w:tcPr>
          <w:p w14:paraId="34A82DAC" w14:textId="77777777" w:rsidR="009D1C03" w:rsidRPr="002E6FCA" w:rsidRDefault="009D1C03" w:rsidP="003F0EC8">
            <w:pPr>
              <w:spacing w:line="360" w:lineRule="auto"/>
              <w:rPr>
                <w:rFonts w:cs="Times New Roman"/>
                <w:color w:val="000000" w:themeColor="text1"/>
                <w:sz w:val="20"/>
                <w:szCs w:val="20"/>
              </w:rPr>
            </w:pPr>
          </w:p>
        </w:tc>
        <w:tc>
          <w:tcPr>
            <w:tcW w:w="7083" w:type="dxa"/>
            <w:tcBorders>
              <w:top w:val="single" w:sz="4" w:space="0" w:color="auto"/>
              <w:bottom w:val="single" w:sz="4" w:space="0" w:color="auto"/>
            </w:tcBorders>
            <w:vAlign w:val="center"/>
          </w:tcPr>
          <w:p w14:paraId="32ECE9F7" w14:textId="77777777" w:rsidR="009D1C03" w:rsidRPr="002E6FCA" w:rsidRDefault="009D1C03" w:rsidP="003F0EC8">
            <w:pPr>
              <w:spacing w:line="360" w:lineRule="auto"/>
              <w:rPr>
                <w:rFonts w:cs="Times New Roman"/>
                <w:i/>
                <w:iCs/>
                <w:color w:val="000000" w:themeColor="text1"/>
                <w:sz w:val="20"/>
                <w:szCs w:val="20"/>
              </w:rPr>
            </w:pPr>
            <w:r w:rsidRPr="002E6FCA">
              <w:rPr>
                <w:rFonts w:cs="Times New Roman"/>
                <w:i/>
                <w:iCs/>
                <w:color w:val="000000" w:themeColor="text1"/>
                <w:sz w:val="20"/>
                <w:szCs w:val="20"/>
              </w:rPr>
              <w:t>“This approach is best because we have data on this endpoint.”</w:t>
            </w:r>
          </w:p>
        </w:tc>
      </w:tr>
      <w:tr w:rsidR="009D1C03" w:rsidRPr="002E6FCA" w14:paraId="592FC9D0" w14:textId="77777777" w:rsidTr="003F0EC8">
        <w:trPr>
          <w:trHeight w:val="653"/>
        </w:trPr>
        <w:tc>
          <w:tcPr>
            <w:tcW w:w="2157" w:type="dxa"/>
            <w:tcBorders>
              <w:top w:val="single" w:sz="4" w:space="0" w:color="auto"/>
              <w:bottom w:val="single" w:sz="4" w:space="0" w:color="auto"/>
            </w:tcBorders>
            <w:vAlign w:val="center"/>
          </w:tcPr>
          <w:p w14:paraId="1B80CA75" w14:textId="77777777" w:rsidR="009D1C03" w:rsidRPr="002E6FCA" w:rsidRDefault="009D1C03" w:rsidP="003F0EC8">
            <w:pPr>
              <w:spacing w:line="360" w:lineRule="auto"/>
              <w:rPr>
                <w:rFonts w:cs="Times New Roman"/>
                <w:color w:val="000000" w:themeColor="text1"/>
                <w:sz w:val="20"/>
                <w:szCs w:val="20"/>
              </w:rPr>
            </w:pPr>
            <w:r w:rsidRPr="002E6FCA">
              <w:rPr>
                <w:rFonts w:cs="Times New Roman"/>
                <w:color w:val="000000" w:themeColor="text1"/>
                <w:sz w:val="20"/>
                <w:szCs w:val="20"/>
              </w:rPr>
              <w:t>HBV Mono-infection</w:t>
            </w:r>
          </w:p>
        </w:tc>
        <w:tc>
          <w:tcPr>
            <w:tcW w:w="7083" w:type="dxa"/>
            <w:tcBorders>
              <w:top w:val="single" w:sz="4" w:space="0" w:color="auto"/>
              <w:bottom w:val="single" w:sz="4" w:space="0" w:color="auto"/>
            </w:tcBorders>
            <w:vAlign w:val="center"/>
          </w:tcPr>
          <w:p w14:paraId="36E3B8A8" w14:textId="77777777" w:rsidR="009D1C03" w:rsidRPr="002E6FCA" w:rsidRDefault="009D1C03" w:rsidP="003F0EC8">
            <w:pPr>
              <w:spacing w:line="360" w:lineRule="auto"/>
              <w:rPr>
                <w:rFonts w:cs="Times New Roman"/>
                <w:i/>
                <w:iCs/>
                <w:color w:val="000000" w:themeColor="text1"/>
                <w:sz w:val="20"/>
                <w:szCs w:val="20"/>
              </w:rPr>
            </w:pPr>
            <w:r w:rsidRPr="002E6FCA">
              <w:rPr>
                <w:rFonts w:cs="Times New Roman"/>
                <w:i/>
                <w:iCs/>
                <w:color w:val="000000" w:themeColor="text1"/>
                <w:sz w:val="20"/>
                <w:szCs w:val="20"/>
              </w:rPr>
              <w:t>“If HDV RNA is cleared completely with ALT normalization, then HBV remains. But if HDV RNA is not cleared, progression will be faster than HBV.”</w:t>
            </w:r>
          </w:p>
        </w:tc>
      </w:tr>
      <w:tr w:rsidR="009D1C03" w:rsidRPr="002E6FCA" w14:paraId="0143C4FB" w14:textId="77777777" w:rsidTr="003F0EC8">
        <w:trPr>
          <w:cnfStyle w:val="000000100000" w:firstRow="0" w:lastRow="0" w:firstColumn="0" w:lastColumn="0" w:oddVBand="0" w:evenVBand="0" w:oddHBand="1" w:evenHBand="0" w:firstRowFirstColumn="0" w:firstRowLastColumn="0" w:lastRowFirstColumn="0" w:lastRowLastColumn="0"/>
          <w:trHeight w:val="1050"/>
        </w:trPr>
        <w:tc>
          <w:tcPr>
            <w:tcW w:w="2157" w:type="dxa"/>
            <w:tcBorders>
              <w:top w:val="single" w:sz="4" w:space="0" w:color="auto"/>
              <w:bottom w:val="single" w:sz="4" w:space="0" w:color="auto"/>
            </w:tcBorders>
            <w:vAlign w:val="center"/>
          </w:tcPr>
          <w:p w14:paraId="195E2707" w14:textId="77777777" w:rsidR="009D1C03" w:rsidRPr="002E6FCA" w:rsidRDefault="009D1C03" w:rsidP="003F0EC8">
            <w:pPr>
              <w:spacing w:line="360" w:lineRule="auto"/>
              <w:rPr>
                <w:rFonts w:cs="Times New Roman"/>
                <w:color w:val="000000" w:themeColor="text1"/>
                <w:sz w:val="20"/>
                <w:szCs w:val="20"/>
              </w:rPr>
            </w:pPr>
            <w:r w:rsidRPr="002E6FCA">
              <w:rPr>
                <w:rFonts w:cs="Times New Roman"/>
                <w:color w:val="000000" w:themeColor="text1"/>
                <w:sz w:val="20"/>
                <w:szCs w:val="20"/>
              </w:rPr>
              <w:t>ALT Normalization</w:t>
            </w:r>
          </w:p>
        </w:tc>
        <w:tc>
          <w:tcPr>
            <w:tcW w:w="7083" w:type="dxa"/>
            <w:tcBorders>
              <w:top w:val="single" w:sz="4" w:space="0" w:color="auto"/>
              <w:bottom w:val="single" w:sz="4" w:space="0" w:color="auto"/>
            </w:tcBorders>
            <w:vAlign w:val="center"/>
          </w:tcPr>
          <w:p w14:paraId="4C0BF1B0" w14:textId="77777777" w:rsidR="009D1C03" w:rsidRPr="002E6FCA" w:rsidRDefault="009D1C03" w:rsidP="003F0EC8">
            <w:pPr>
              <w:spacing w:line="360" w:lineRule="auto"/>
              <w:rPr>
                <w:rFonts w:cs="Times New Roman"/>
                <w:i/>
                <w:iCs/>
                <w:color w:val="000000" w:themeColor="text1"/>
                <w:sz w:val="20"/>
                <w:szCs w:val="20"/>
              </w:rPr>
            </w:pPr>
            <w:r w:rsidRPr="002E6FCA">
              <w:rPr>
                <w:rFonts w:cs="Times New Roman"/>
                <w:i/>
                <w:iCs/>
                <w:color w:val="000000" w:themeColor="text1"/>
                <w:sz w:val="20"/>
                <w:szCs w:val="20"/>
              </w:rPr>
              <w:t>“This is the most compelling approach. Most of the patients [achieving the composite endpoint] will be more than 2log decline [in HDV RNA] with normal ALT. This is similar to other disease where you achieve ALT normalization.”</w:t>
            </w:r>
          </w:p>
        </w:tc>
      </w:tr>
    </w:tbl>
    <w:p w14:paraId="1FE89512" w14:textId="77777777" w:rsidR="009D1C03" w:rsidRPr="002E6FCA" w:rsidRDefault="009D1C03" w:rsidP="009D1C03">
      <w:pPr>
        <w:spacing w:after="120" w:line="360" w:lineRule="auto"/>
        <w:rPr>
          <w:color w:val="000000" w:themeColor="text1"/>
          <w:sz w:val="18"/>
          <w:szCs w:val="16"/>
        </w:rPr>
      </w:pPr>
      <w:r w:rsidRPr="002E6FCA">
        <w:rPr>
          <w:color w:val="000000" w:themeColor="text1"/>
          <w:sz w:val="18"/>
          <w:szCs w:val="16"/>
        </w:rPr>
        <w:t>Abbreviations: ALT, alanine aminotransferase; HBV, hepatitis B virus; HDV, hepatitis delta virus.</w:t>
      </w:r>
    </w:p>
    <w:p w14:paraId="38AB9CBF" w14:textId="4BA6CD9B" w:rsidR="009D1C03" w:rsidRDefault="009D1C03" w:rsidP="009D1C03">
      <w:pPr>
        <w:spacing w:line="240" w:lineRule="auto"/>
        <w:rPr>
          <w:b/>
          <w:bCs/>
          <w:i/>
          <w:iCs/>
        </w:rPr>
      </w:pPr>
    </w:p>
    <w:p w14:paraId="16932C99" w14:textId="77777777" w:rsidR="006A7DF2" w:rsidRDefault="006A7DF2" w:rsidP="006A7DF2">
      <w:pPr>
        <w:spacing w:line="240" w:lineRule="auto"/>
        <w:rPr>
          <w:b/>
          <w:bCs/>
        </w:rPr>
      </w:pPr>
      <w:r>
        <w:rPr>
          <w:b/>
          <w:bCs/>
        </w:rPr>
        <w:t>S2 Appendix</w:t>
      </w:r>
    </w:p>
    <w:p w14:paraId="2722A66D" w14:textId="77777777" w:rsidR="006A7DF2" w:rsidRDefault="006A7DF2" w:rsidP="006A7DF2">
      <w:pPr>
        <w:spacing w:line="240" w:lineRule="auto"/>
        <w:rPr>
          <w:b/>
          <w:bCs/>
        </w:rPr>
      </w:pPr>
    </w:p>
    <w:p w14:paraId="775769F4" w14:textId="77777777" w:rsidR="006A7DF2" w:rsidRDefault="006A7DF2" w:rsidP="006A7DF2">
      <w:pPr>
        <w:spacing w:line="240" w:lineRule="auto"/>
        <w:rPr>
          <w:b/>
          <w:bCs/>
          <w:lang w:val="en-GB"/>
        </w:rPr>
      </w:pPr>
      <w:r w:rsidRPr="00642160">
        <w:rPr>
          <w:b/>
          <w:bCs/>
        </w:rPr>
        <w:t xml:space="preserve">Figure. </w:t>
      </w:r>
      <w:r w:rsidRPr="00642160">
        <w:rPr>
          <w:b/>
          <w:bCs/>
          <w:lang w:val="en-GB"/>
        </w:rPr>
        <w:t>Model structure overview for treatment responders and non-responders</w:t>
      </w:r>
    </w:p>
    <w:p w14:paraId="6F88A4FB" w14:textId="77777777" w:rsidR="006A7DF2" w:rsidRPr="00685C5E" w:rsidRDefault="006A7DF2" w:rsidP="006A7DF2">
      <w:pPr>
        <w:spacing w:line="240" w:lineRule="auto"/>
        <w:rPr>
          <w:b/>
          <w:bCs/>
        </w:rPr>
      </w:pPr>
      <w:r w:rsidRPr="00685C5E">
        <w:rPr>
          <w:b/>
          <w:bCs/>
          <w:noProof/>
        </w:rPr>
        <w:drawing>
          <wp:inline distT="0" distB="0" distL="0" distR="0" wp14:anchorId="389C6C51" wp14:editId="63F41EF7">
            <wp:extent cx="5255664" cy="2470611"/>
            <wp:effectExtent l="0" t="0" r="2540" b="0"/>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pic:cNvPicPr/>
                  </pic:nvPicPr>
                  <pic:blipFill>
                    <a:blip r:embed="rId12"/>
                    <a:stretch>
                      <a:fillRect/>
                    </a:stretch>
                  </pic:blipFill>
                  <pic:spPr>
                    <a:xfrm>
                      <a:off x="0" y="0"/>
                      <a:ext cx="5287151" cy="2485413"/>
                    </a:xfrm>
                    <a:prstGeom prst="rect">
                      <a:avLst/>
                    </a:prstGeom>
                  </pic:spPr>
                </pic:pic>
              </a:graphicData>
            </a:graphic>
          </wp:inline>
        </w:drawing>
      </w:r>
    </w:p>
    <w:p w14:paraId="682E2E63" w14:textId="53362FEC" w:rsidR="006A7DF2" w:rsidRDefault="006A7DF2" w:rsidP="006A7DF2">
      <w:pPr>
        <w:spacing w:line="276" w:lineRule="auto"/>
        <w:rPr>
          <w:b/>
          <w:bCs/>
          <w:sz w:val="20"/>
          <w:szCs w:val="20"/>
        </w:rPr>
      </w:pPr>
      <w:r w:rsidRPr="0074048F">
        <w:rPr>
          <w:sz w:val="20"/>
          <w:szCs w:val="20"/>
        </w:rPr>
        <w:t xml:space="preserve">F0, fibrosis stage 0; F1, fibrosis stage 1; F2, fibrosis stage 2; F3, fibrosis stage 3; </w:t>
      </w:r>
      <w:r w:rsidR="000327D6">
        <w:rPr>
          <w:sz w:val="20"/>
          <w:szCs w:val="20"/>
        </w:rPr>
        <w:t>F4, fibrosis stage 4 or</w:t>
      </w:r>
      <w:r w:rsidRPr="0074048F">
        <w:rPr>
          <w:sz w:val="20"/>
          <w:szCs w:val="20"/>
        </w:rPr>
        <w:t xml:space="preserve"> compensated cirrhosis; DCC, decompensated cirrhosis; HCC, hepatocellular carcinoma; LT, liver transplant; PLT, post-liver transplant</w:t>
      </w:r>
    </w:p>
    <w:p w14:paraId="4EB679E2" w14:textId="77777777" w:rsidR="006A7DF2" w:rsidRPr="00D60CBB" w:rsidRDefault="006A7DF2" w:rsidP="006A7DF2">
      <w:pPr>
        <w:spacing w:line="276" w:lineRule="auto"/>
        <w:rPr>
          <w:b/>
          <w:bCs/>
          <w:sz w:val="20"/>
          <w:szCs w:val="20"/>
        </w:rPr>
      </w:pPr>
    </w:p>
    <w:p w14:paraId="496EBED9" w14:textId="77777777" w:rsidR="006A7DF2" w:rsidRPr="00175030" w:rsidRDefault="006A7DF2" w:rsidP="006A7DF2">
      <w:pPr>
        <w:spacing w:after="120" w:line="360" w:lineRule="auto"/>
        <w:rPr>
          <w:color w:val="000000" w:themeColor="text1"/>
          <w:szCs w:val="22"/>
        </w:rPr>
      </w:pPr>
      <w:r w:rsidRPr="00A66A24">
        <w:rPr>
          <w:color w:val="000000" w:themeColor="text1"/>
          <w:szCs w:val="22"/>
        </w:rPr>
        <w:t xml:space="preserve">With consensus on the approach obtained, HDV RNA undetectability is the preferred clinical analog to underpin the transitions in the economic model. This approach assumes that if an HDV patient achieves the composite endpoint, their decreased rate of disease progression would be on par with the rate reduction of someone who achieves HDV RNA undetectability. To inform the specific values needed for the economic model, including the hazard ratios for </w:t>
      </w:r>
      <w:r w:rsidRPr="00A66A24">
        <w:rPr>
          <w:color w:val="000000" w:themeColor="text1"/>
          <w:szCs w:val="22"/>
        </w:rPr>
        <w:lastRenderedPageBreak/>
        <w:t>progression to compensated cirrhosis, decompensated cirrhosis, hepatocellular carcinoma, and death, a systematic literature review may be undertaken to identify the relevant published literature.</w:t>
      </w:r>
    </w:p>
    <w:p w14:paraId="0DF54F04" w14:textId="4EB9943D" w:rsidR="002117D3" w:rsidRDefault="002117D3">
      <w:pPr>
        <w:spacing w:after="160" w:line="259" w:lineRule="auto"/>
      </w:pPr>
      <w:r>
        <w:br w:type="page"/>
      </w:r>
    </w:p>
    <w:p w14:paraId="771884BE" w14:textId="231DF37A" w:rsidR="002117D3" w:rsidRPr="001861BA" w:rsidRDefault="002117D3" w:rsidP="002117D3">
      <w:pPr>
        <w:keepNext/>
        <w:spacing w:after="120" w:line="360" w:lineRule="auto"/>
        <w:rPr>
          <w:b/>
          <w:bCs/>
        </w:rPr>
      </w:pPr>
      <w:r w:rsidRPr="001861BA">
        <w:rPr>
          <w:b/>
          <w:bCs/>
        </w:rPr>
        <w:lastRenderedPageBreak/>
        <w:t>Tabl</w:t>
      </w:r>
      <w:r>
        <w:rPr>
          <w:b/>
          <w:bCs/>
        </w:rPr>
        <w:t>e S1</w:t>
      </w:r>
      <w:r w:rsidRPr="001861BA">
        <w:rPr>
          <w:b/>
          <w:bCs/>
        </w:rPr>
        <w:t xml:space="preserve">. </w:t>
      </w:r>
      <w:r>
        <w:rPr>
          <w:b/>
          <w:bCs/>
        </w:rPr>
        <w:t xml:space="preserve">Alternate treatment response scenario analysis </w:t>
      </w:r>
      <w:r w:rsidRPr="001861BA">
        <w:rPr>
          <w:b/>
          <w:bCs/>
        </w:rPr>
        <w:t>(per 10,000 patients)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1288"/>
        <w:gridCol w:w="141"/>
        <w:gridCol w:w="1453"/>
        <w:gridCol w:w="1595"/>
        <w:gridCol w:w="71"/>
        <w:gridCol w:w="1524"/>
        <w:gridCol w:w="1595"/>
      </w:tblGrid>
      <w:tr w:rsidR="002117D3" w:rsidRPr="0089438A" w14:paraId="20AF0171" w14:textId="77777777" w:rsidTr="005F2B71">
        <w:trPr>
          <w:trHeight w:val="432"/>
        </w:trPr>
        <w:tc>
          <w:tcPr>
            <w:tcW w:w="1689" w:type="dxa"/>
            <w:vMerge w:val="restart"/>
            <w:tcBorders>
              <w:top w:val="single" w:sz="4" w:space="0" w:color="auto"/>
              <w:bottom w:val="single" w:sz="4" w:space="0" w:color="auto"/>
            </w:tcBorders>
            <w:vAlign w:val="center"/>
          </w:tcPr>
          <w:p w14:paraId="02A95FF8" w14:textId="77777777" w:rsidR="002117D3" w:rsidRPr="0089438A" w:rsidRDefault="002117D3" w:rsidP="005F2B71">
            <w:pPr>
              <w:spacing w:line="276" w:lineRule="auto"/>
              <w:rPr>
                <w:rFonts w:cs="Times New Roman"/>
                <w:b/>
                <w:bCs/>
                <w:sz w:val="22"/>
                <w:szCs w:val="22"/>
              </w:rPr>
            </w:pPr>
          </w:p>
        </w:tc>
        <w:tc>
          <w:tcPr>
            <w:tcW w:w="1288" w:type="dxa"/>
            <w:vMerge w:val="restart"/>
            <w:tcBorders>
              <w:top w:val="single" w:sz="4" w:space="0" w:color="auto"/>
              <w:bottom w:val="single" w:sz="4" w:space="0" w:color="auto"/>
            </w:tcBorders>
            <w:vAlign w:val="center"/>
          </w:tcPr>
          <w:p w14:paraId="36D352C9" w14:textId="61875451" w:rsidR="002117D3" w:rsidRPr="0089438A" w:rsidRDefault="002117D3" w:rsidP="005F2B71">
            <w:pPr>
              <w:spacing w:line="276" w:lineRule="auto"/>
              <w:jc w:val="center"/>
              <w:rPr>
                <w:rFonts w:cs="Times New Roman"/>
                <w:b/>
                <w:bCs/>
                <w:sz w:val="22"/>
                <w:szCs w:val="22"/>
              </w:rPr>
            </w:pPr>
            <w:r w:rsidRPr="0089438A">
              <w:rPr>
                <w:rFonts w:cs="Times New Roman"/>
                <w:b/>
                <w:bCs/>
                <w:sz w:val="22"/>
                <w:szCs w:val="22"/>
              </w:rPr>
              <w:t>Base case</w:t>
            </w:r>
            <w:r w:rsidR="00896122">
              <w:rPr>
                <w:rFonts w:cs="Times New Roman"/>
                <w:b/>
                <w:bCs/>
                <w:sz w:val="22"/>
                <w:szCs w:val="22"/>
              </w:rPr>
              <w:t xml:space="preserve"> (75% responder rate)</w:t>
            </w:r>
          </w:p>
        </w:tc>
        <w:tc>
          <w:tcPr>
            <w:tcW w:w="3189" w:type="dxa"/>
            <w:gridSpan w:val="3"/>
            <w:tcBorders>
              <w:top w:val="single" w:sz="4" w:space="0" w:color="auto"/>
              <w:bottom w:val="single" w:sz="4" w:space="0" w:color="auto"/>
            </w:tcBorders>
            <w:vAlign w:val="center"/>
          </w:tcPr>
          <w:p w14:paraId="641BAA82" w14:textId="77777777" w:rsidR="002117D3" w:rsidRPr="0089438A" w:rsidRDefault="002117D3" w:rsidP="005F2B71">
            <w:pPr>
              <w:spacing w:line="276" w:lineRule="auto"/>
              <w:jc w:val="center"/>
              <w:rPr>
                <w:rFonts w:cs="Times New Roman"/>
                <w:b/>
                <w:bCs/>
                <w:sz w:val="22"/>
                <w:szCs w:val="22"/>
              </w:rPr>
            </w:pPr>
            <w:r w:rsidRPr="0089438A">
              <w:rPr>
                <w:rFonts w:cs="Times New Roman"/>
                <w:b/>
                <w:bCs/>
                <w:sz w:val="22"/>
                <w:szCs w:val="22"/>
              </w:rPr>
              <w:t>50% responder rate</w:t>
            </w:r>
          </w:p>
        </w:tc>
        <w:tc>
          <w:tcPr>
            <w:tcW w:w="3190" w:type="dxa"/>
            <w:gridSpan w:val="3"/>
            <w:tcBorders>
              <w:top w:val="single" w:sz="4" w:space="0" w:color="auto"/>
              <w:bottom w:val="single" w:sz="4" w:space="0" w:color="auto"/>
            </w:tcBorders>
            <w:vAlign w:val="center"/>
          </w:tcPr>
          <w:p w14:paraId="146924A1" w14:textId="77777777" w:rsidR="002117D3" w:rsidRPr="0089438A" w:rsidRDefault="002117D3" w:rsidP="005F2B71">
            <w:pPr>
              <w:spacing w:line="276" w:lineRule="auto"/>
              <w:jc w:val="center"/>
              <w:rPr>
                <w:rFonts w:cs="Times New Roman"/>
                <w:b/>
                <w:bCs/>
                <w:sz w:val="22"/>
                <w:szCs w:val="22"/>
              </w:rPr>
            </w:pPr>
            <w:r w:rsidRPr="0089438A">
              <w:rPr>
                <w:rFonts w:cs="Times New Roman"/>
                <w:b/>
                <w:bCs/>
                <w:sz w:val="22"/>
                <w:szCs w:val="22"/>
              </w:rPr>
              <w:t>75% responder rate</w:t>
            </w:r>
          </w:p>
        </w:tc>
      </w:tr>
      <w:tr w:rsidR="002117D3" w:rsidRPr="0089438A" w14:paraId="471D3F18" w14:textId="77777777" w:rsidTr="005F2B71">
        <w:trPr>
          <w:trHeight w:val="432"/>
        </w:trPr>
        <w:tc>
          <w:tcPr>
            <w:tcW w:w="1689" w:type="dxa"/>
            <w:vMerge/>
            <w:tcBorders>
              <w:top w:val="single" w:sz="4" w:space="0" w:color="auto"/>
              <w:bottom w:val="single" w:sz="4" w:space="0" w:color="auto"/>
            </w:tcBorders>
            <w:vAlign w:val="center"/>
          </w:tcPr>
          <w:p w14:paraId="74D7146E" w14:textId="77777777" w:rsidR="002117D3" w:rsidRPr="0089438A" w:rsidRDefault="002117D3" w:rsidP="005F2B71">
            <w:pPr>
              <w:spacing w:line="276" w:lineRule="auto"/>
              <w:rPr>
                <w:rFonts w:cs="Times New Roman"/>
                <w:b/>
                <w:bCs/>
                <w:sz w:val="22"/>
                <w:szCs w:val="22"/>
              </w:rPr>
            </w:pPr>
          </w:p>
        </w:tc>
        <w:tc>
          <w:tcPr>
            <w:tcW w:w="1288" w:type="dxa"/>
            <w:vMerge/>
            <w:tcBorders>
              <w:top w:val="single" w:sz="4" w:space="0" w:color="auto"/>
              <w:bottom w:val="single" w:sz="4" w:space="0" w:color="auto"/>
            </w:tcBorders>
            <w:vAlign w:val="center"/>
          </w:tcPr>
          <w:p w14:paraId="7A37ABA1" w14:textId="77777777" w:rsidR="002117D3" w:rsidRPr="0089438A" w:rsidRDefault="002117D3" w:rsidP="005F2B71">
            <w:pPr>
              <w:spacing w:line="276" w:lineRule="auto"/>
              <w:jc w:val="center"/>
              <w:rPr>
                <w:rFonts w:cs="Times New Roman"/>
                <w:b/>
                <w:bCs/>
                <w:sz w:val="22"/>
                <w:szCs w:val="22"/>
              </w:rPr>
            </w:pPr>
          </w:p>
        </w:tc>
        <w:tc>
          <w:tcPr>
            <w:tcW w:w="1594" w:type="dxa"/>
            <w:gridSpan w:val="2"/>
            <w:tcBorders>
              <w:top w:val="single" w:sz="4" w:space="0" w:color="auto"/>
              <w:bottom w:val="single" w:sz="4" w:space="0" w:color="auto"/>
            </w:tcBorders>
            <w:vAlign w:val="center"/>
          </w:tcPr>
          <w:p w14:paraId="44C04071" w14:textId="77777777" w:rsidR="002117D3" w:rsidRPr="0089438A" w:rsidRDefault="002117D3" w:rsidP="005F2B71">
            <w:pPr>
              <w:spacing w:line="276" w:lineRule="auto"/>
              <w:jc w:val="center"/>
              <w:rPr>
                <w:rFonts w:cs="Times New Roman"/>
                <w:b/>
                <w:bCs/>
                <w:sz w:val="22"/>
                <w:szCs w:val="22"/>
              </w:rPr>
            </w:pPr>
            <w:r w:rsidRPr="0089438A">
              <w:rPr>
                <w:rFonts w:cs="Times New Roman"/>
                <w:b/>
                <w:bCs/>
                <w:sz w:val="22"/>
                <w:szCs w:val="22"/>
              </w:rPr>
              <w:t>Treatment-HBV</w:t>
            </w:r>
          </w:p>
        </w:tc>
        <w:tc>
          <w:tcPr>
            <w:tcW w:w="1595" w:type="dxa"/>
            <w:tcBorders>
              <w:top w:val="single" w:sz="4" w:space="0" w:color="auto"/>
              <w:bottom w:val="single" w:sz="4" w:space="0" w:color="auto"/>
            </w:tcBorders>
            <w:vAlign w:val="center"/>
          </w:tcPr>
          <w:p w14:paraId="1E74F9C2" w14:textId="77777777" w:rsidR="002117D3" w:rsidRPr="0089438A" w:rsidRDefault="002117D3" w:rsidP="005F2B71">
            <w:pPr>
              <w:spacing w:line="276" w:lineRule="auto"/>
              <w:jc w:val="center"/>
              <w:rPr>
                <w:rFonts w:cs="Times New Roman"/>
                <w:b/>
                <w:bCs/>
                <w:sz w:val="22"/>
                <w:szCs w:val="22"/>
              </w:rPr>
            </w:pPr>
            <w:r w:rsidRPr="0089438A">
              <w:rPr>
                <w:rFonts w:cs="Times New Roman"/>
                <w:b/>
                <w:bCs/>
                <w:sz w:val="22"/>
                <w:szCs w:val="22"/>
              </w:rPr>
              <w:t>Treatment-ALT</w:t>
            </w:r>
          </w:p>
        </w:tc>
        <w:tc>
          <w:tcPr>
            <w:tcW w:w="1595" w:type="dxa"/>
            <w:gridSpan w:val="2"/>
            <w:tcBorders>
              <w:top w:val="single" w:sz="4" w:space="0" w:color="auto"/>
              <w:bottom w:val="single" w:sz="4" w:space="0" w:color="auto"/>
            </w:tcBorders>
            <w:vAlign w:val="center"/>
          </w:tcPr>
          <w:p w14:paraId="089E3EA1" w14:textId="77777777" w:rsidR="002117D3" w:rsidRPr="0089438A" w:rsidRDefault="002117D3" w:rsidP="005F2B71">
            <w:pPr>
              <w:spacing w:line="276" w:lineRule="auto"/>
              <w:jc w:val="center"/>
              <w:rPr>
                <w:rFonts w:cs="Times New Roman"/>
                <w:b/>
                <w:bCs/>
                <w:sz w:val="22"/>
                <w:szCs w:val="22"/>
              </w:rPr>
            </w:pPr>
            <w:r w:rsidRPr="0089438A">
              <w:rPr>
                <w:rFonts w:cs="Times New Roman"/>
                <w:b/>
                <w:bCs/>
                <w:sz w:val="22"/>
                <w:szCs w:val="22"/>
              </w:rPr>
              <w:t>Treatment-HBV</w:t>
            </w:r>
          </w:p>
        </w:tc>
        <w:tc>
          <w:tcPr>
            <w:tcW w:w="1595" w:type="dxa"/>
            <w:tcBorders>
              <w:top w:val="single" w:sz="4" w:space="0" w:color="auto"/>
              <w:bottom w:val="single" w:sz="4" w:space="0" w:color="auto"/>
            </w:tcBorders>
            <w:vAlign w:val="center"/>
          </w:tcPr>
          <w:p w14:paraId="39D54DFA" w14:textId="77777777" w:rsidR="002117D3" w:rsidRPr="0089438A" w:rsidRDefault="002117D3" w:rsidP="005F2B71">
            <w:pPr>
              <w:spacing w:line="276" w:lineRule="auto"/>
              <w:jc w:val="center"/>
              <w:rPr>
                <w:rFonts w:cs="Times New Roman"/>
                <w:b/>
                <w:bCs/>
                <w:sz w:val="22"/>
                <w:szCs w:val="22"/>
              </w:rPr>
            </w:pPr>
            <w:r w:rsidRPr="0089438A">
              <w:rPr>
                <w:rFonts w:cs="Times New Roman"/>
                <w:b/>
                <w:bCs/>
                <w:sz w:val="22"/>
                <w:szCs w:val="22"/>
              </w:rPr>
              <w:t>Treatment-ALT</w:t>
            </w:r>
          </w:p>
        </w:tc>
      </w:tr>
      <w:tr w:rsidR="002117D3" w:rsidRPr="0089438A" w14:paraId="32E9D1A5" w14:textId="77777777" w:rsidTr="005F2B71">
        <w:trPr>
          <w:trHeight w:val="193"/>
        </w:trPr>
        <w:tc>
          <w:tcPr>
            <w:tcW w:w="3118" w:type="dxa"/>
            <w:gridSpan w:val="3"/>
            <w:tcBorders>
              <w:top w:val="single" w:sz="4" w:space="0" w:color="auto"/>
              <w:bottom w:val="single" w:sz="4" w:space="0" w:color="auto"/>
            </w:tcBorders>
            <w:shd w:val="clear" w:color="auto" w:fill="F2F2F2" w:themeFill="background1" w:themeFillShade="F2"/>
            <w:vAlign w:val="center"/>
          </w:tcPr>
          <w:p w14:paraId="480A5C4D" w14:textId="77777777" w:rsidR="002117D3" w:rsidRPr="0089438A" w:rsidRDefault="002117D3" w:rsidP="005F2B71">
            <w:pPr>
              <w:spacing w:line="276" w:lineRule="auto"/>
              <w:rPr>
                <w:rFonts w:cs="Times New Roman"/>
                <w:b/>
                <w:bCs/>
                <w:sz w:val="22"/>
                <w:szCs w:val="22"/>
              </w:rPr>
            </w:pPr>
            <w:r w:rsidRPr="0089438A">
              <w:rPr>
                <w:rFonts w:cs="Times New Roman"/>
                <w:b/>
                <w:bCs/>
                <w:sz w:val="22"/>
                <w:szCs w:val="22"/>
              </w:rPr>
              <w:t>CC</w:t>
            </w:r>
          </w:p>
        </w:tc>
        <w:tc>
          <w:tcPr>
            <w:tcW w:w="3119" w:type="dxa"/>
            <w:gridSpan w:val="3"/>
            <w:tcBorders>
              <w:top w:val="single" w:sz="4" w:space="0" w:color="auto"/>
              <w:bottom w:val="single" w:sz="4" w:space="0" w:color="auto"/>
            </w:tcBorders>
            <w:shd w:val="clear" w:color="auto" w:fill="F2F2F2" w:themeFill="background1" w:themeFillShade="F2"/>
            <w:vAlign w:val="center"/>
          </w:tcPr>
          <w:p w14:paraId="5083D4FB" w14:textId="77777777" w:rsidR="002117D3" w:rsidRPr="0089438A" w:rsidRDefault="002117D3" w:rsidP="005F2B71">
            <w:pPr>
              <w:spacing w:line="276" w:lineRule="auto"/>
              <w:jc w:val="center"/>
              <w:rPr>
                <w:rFonts w:cs="Times New Roman"/>
                <w:b/>
                <w:bCs/>
                <w:sz w:val="22"/>
                <w:szCs w:val="22"/>
              </w:rPr>
            </w:pPr>
          </w:p>
        </w:tc>
        <w:tc>
          <w:tcPr>
            <w:tcW w:w="3119" w:type="dxa"/>
            <w:gridSpan w:val="2"/>
            <w:tcBorders>
              <w:top w:val="single" w:sz="4" w:space="0" w:color="auto"/>
              <w:bottom w:val="single" w:sz="4" w:space="0" w:color="auto"/>
            </w:tcBorders>
            <w:shd w:val="clear" w:color="auto" w:fill="F2F2F2" w:themeFill="background1" w:themeFillShade="F2"/>
          </w:tcPr>
          <w:p w14:paraId="6C8E874F" w14:textId="77777777" w:rsidR="002117D3" w:rsidRPr="0089438A" w:rsidRDefault="002117D3" w:rsidP="005F2B71">
            <w:pPr>
              <w:spacing w:line="276" w:lineRule="auto"/>
              <w:jc w:val="center"/>
              <w:rPr>
                <w:rFonts w:cs="Times New Roman"/>
                <w:b/>
                <w:bCs/>
                <w:sz w:val="22"/>
                <w:szCs w:val="22"/>
              </w:rPr>
            </w:pPr>
          </w:p>
        </w:tc>
      </w:tr>
      <w:tr w:rsidR="000E4F3A" w:rsidRPr="0089438A" w14:paraId="7C35EA59" w14:textId="77777777" w:rsidTr="005F2B71">
        <w:trPr>
          <w:trHeight w:val="432"/>
        </w:trPr>
        <w:tc>
          <w:tcPr>
            <w:tcW w:w="1689" w:type="dxa"/>
            <w:tcBorders>
              <w:top w:val="single" w:sz="4" w:space="0" w:color="auto"/>
            </w:tcBorders>
            <w:vAlign w:val="center"/>
          </w:tcPr>
          <w:p w14:paraId="4F1C68CE" w14:textId="77777777" w:rsidR="000E4F3A" w:rsidRPr="0089438A" w:rsidRDefault="000E4F3A" w:rsidP="000E4F3A">
            <w:pPr>
              <w:spacing w:line="276" w:lineRule="auto"/>
              <w:rPr>
                <w:rFonts w:cs="Times New Roman"/>
                <w:sz w:val="22"/>
                <w:szCs w:val="22"/>
              </w:rPr>
            </w:pPr>
            <w:r w:rsidRPr="0089438A">
              <w:rPr>
                <w:rFonts w:cs="Times New Roman"/>
                <w:sz w:val="22"/>
                <w:szCs w:val="22"/>
              </w:rPr>
              <w:t>HDV treatment</w:t>
            </w:r>
          </w:p>
        </w:tc>
        <w:tc>
          <w:tcPr>
            <w:tcW w:w="1288" w:type="dxa"/>
            <w:tcBorders>
              <w:top w:val="single" w:sz="4" w:space="0" w:color="auto"/>
            </w:tcBorders>
            <w:vAlign w:val="center"/>
          </w:tcPr>
          <w:p w14:paraId="0FED73B7" w14:textId="60D9446D" w:rsidR="000E4F3A" w:rsidRPr="0089438A" w:rsidRDefault="000E4F3A" w:rsidP="000E4F3A">
            <w:pPr>
              <w:spacing w:line="276" w:lineRule="auto"/>
              <w:jc w:val="center"/>
              <w:rPr>
                <w:rFonts w:cs="Times New Roman"/>
                <w:sz w:val="22"/>
                <w:szCs w:val="22"/>
              </w:rPr>
            </w:pPr>
            <w:r>
              <w:rPr>
                <w:rFonts w:cs="Times New Roman"/>
                <w:sz w:val="22"/>
                <w:szCs w:val="22"/>
              </w:rPr>
              <w:t>3,732</w:t>
            </w:r>
          </w:p>
        </w:tc>
        <w:tc>
          <w:tcPr>
            <w:tcW w:w="1594" w:type="dxa"/>
            <w:gridSpan w:val="2"/>
            <w:tcBorders>
              <w:top w:val="single" w:sz="4" w:space="0" w:color="auto"/>
            </w:tcBorders>
            <w:vAlign w:val="center"/>
          </w:tcPr>
          <w:p w14:paraId="237CF4E5"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3,410</w:t>
            </w:r>
          </w:p>
        </w:tc>
        <w:tc>
          <w:tcPr>
            <w:tcW w:w="1595" w:type="dxa"/>
            <w:tcBorders>
              <w:top w:val="single" w:sz="4" w:space="0" w:color="auto"/>
            </w:tcBorders>
            <w:vAlign w:val="center"/>
          </w:tcPr>
          <w:p w14:paraId="0BCBBEA0"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3,596</w:t>
            </w:r>
          </w:p>
        </w:tc>
        <w:tc>
          <w:tcPr>
            <w:tcW w:w="1595" w:type="dxa"/>
            <w:gridSpan w:val="2"/>
            <w:tcBorders>
              <w:top w:val="single" w:sz="4" w:space="0" w:color="auto"/>
            </w:tcBorders>
            <w:vAlign w:val="center"/>
          </w:tcPr>
          <w:p w14:paraId="225CB3E7"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3,451</w:t>
            </w:r>
          </w:p>
        </w:tc>
        <w:tc>
          <w:tcPr>
            <w:tcW w:w="1595" w:type="dxa"/>
            <w:tcBorders>
              <w:top w:val="single" w:sz="4" w:space="0" w:color="auto"/>
            </w:tcBorders>
            <w:vAlign w:val="center"/>
          </w:tcPr>
          <w:p w14:paraId="596E6C19"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3,730</w:t>
            </w:r>
          </w:p>
        </w:tc>
      </w:tr>
      <w:tr w:rsidR="000E4F3A" w:rsidRPr="0089438A" w14:paraId="4492A8C6" w14:textId="77777777" w:rsidTr="005F2B71">
        <w:trPr>
          <w:trHeight w:val="432"/>
        </w:trPr>
        <w:tc>
          <w:tcPr>
            <w:tcW w:w="1689" w:type="dxa"/>
            <w:vAlign w:val="center"/>
          </w:tcPr>
          <w:p w14:paraId="3B6C4E6B" w14:textId="77777777" w:rsidR="000E4F3A" w:rsidRPr="0089438A" w:rsidRDefault="000E4F3A" w:rsidP="000E4F3A">
            <w:pPr>
              <w:spacing w:line="276" w:lineRule="auto"/>
              <w:rPr>
                <w:rFonts w:cs="Times New Roman"/>
                <w:sz w:val="22"/>
                <w:szCs w:val="22"/>
              </w:rPr>
            </w:pPr>
            <w:r w:rsidRPr="0089438A">
              <w:rPr>
                <w:rFonts w:cs="Times New Roman"/>
                <w:sz w:val="22"/>
                <w:szCs w:val="22"/>
              </w:rPr>
              <w:t>BSC</w:t>
            </w:r>
          </w:p>
        </w:tc>
        <w:tc>
          <w:tcPr>
            <w:tcW w:w="1288" w:type="dxa"/>
            <w:vAlign w:val="center"/>
          </w:tcPr>
          <w:p w14:paraId="450942E6" w14:textId="0A2305AF" w:rsidR="000E4F3A" w:rsidRPr="0089438A" w:rsidRDefault="000E4F3A" w:rsidP="000E4F3A">
            <w:pPr>
              <w:spacing w:line="276" w:lineRule="auto"/>
              <w:jc w:val="center"/>
              <w:rPr>
                <w:rFonts w:cs="Times New Roman"/>
                <w:sz w:val="22"/>
                <w:szCs w:val="22"/>
              </w:rPr>
            </w:pPr>
            <w:r w:rsidRPr="005417DE">
              <w:rPr>
                <w:rFonts w:cs="Times New Roman"/>
                <w:sz w:val="22"/>
                <w:szCs w:val="22"/>
              </w:rPr>
              <w:t>3,</w:t>
            </w:r>
            <w:r>
              <w:rPr>
                <w:rFonts w:cs="Times New Roman"/>
                <w:sz w:val="22"/>
                <w:szCs w:val="22"/>
              </w:rPr>
              <w:t>327</w:t>
            </w:r>
          </w:p>
        </w:tc>
        <w:tc>
          <w:tcPr>
            <w:tcW w:w="1594" w:type="dxa"/>
            <w:gridSpan w:val="2"/>
            <w:vAlign w:val="center"/>
          </w:tcPr>
          <w:p w14:paraId="0F585E34"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3,326</w:t>
            </w:r>
          </w:p>
        </w:tc>
        <w:tc>
          <w:tcPr>
            <w:tcW w:w="1595" w:type="dxa"/>
            <w:vAlign w:val="center"/>
          </w:tcPr>
          <w:p w14:paraId="4C22B2E7"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3,327</w:t>
            </w:r>
          </w:p>
        </w:tc>
        <w:tc>
          <w:tcPr>
            <w:tcW w:w="1595" w:type="dxa"/>
            <w:gridSpan w:val="2"/>
            <w:vAlign w:val="center"/>
          </w:tcPr>
          <w:p w14:paraId="6A3622BB"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3,326</w:t>
            </w:r>
          </w:p>
        </w:tc>
        <w:tc>
          <w:tcPr>
            <w:tcW w:w="1595" w:type="dxa"/>
            <w:vAlign w:val="center"/>
          </w:tcPr>
          <w:p w14:paraId="39DF3F78"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3,327</w:t>
            </w:r>
          </w:p>
        </w:tc>
      </w:tr>
      <w:tr w:rsidR="000E4F3A" w:rsidRPr="003865FF" w14:paraId="77976294" w14:textId="77777777" w:rsidTr="005F2B71">
        <w:trPr>
          <w:trHeight w:val="432"/>
        </w:trPr>
        <w:tc>
          <w:tcPr>
            <w:tcW w:w="1689" w:type="dxa"/>
            <w:tcBorders>
              <w:bottom w:val="single" w:sz="4" w:space="0" w:color="auto"/>
            </w:tcBorders>
            <w:vAlign w:val="center"/>
          </w:tcPr>
          <w:p w14:paraId="49618706" w14:textId="77777777" w:rsidR="000E4F3A" w:rsidRPr="003865FF" w:rsidRDefault="000E4F3A" w:rsidP="000E4F3A">
            <w:pPr>
              <w:spacing w:line="276" w:lineRule="auto"/>
              <w:rPr>
                <w:rFonts w:cs="Times New Roman"/>
                <w:sz w:val="22"/>
                <w:szCs w:val="22"/>
              </w:rPr>
            </w:pPr>
            <w:r w:rsidRPr="003865FF">
              <w:rPr>
                <w:rFonts w:cs="Times New Roman"/>
                <w:sz w:val="22"/>
                <w:szCs w:val="22"/>
              </w:rPr>
              <w:t xml:space="preserve">   Difference</w:t>
            </w:r>
          </w:p>
        </w:tc>
        <w:tc>
          <w:tcPr>
            <w:tcW w:w="1288" w:type="dxa"/>
            <w:tcBorders>
              <w:bottom w:val="single" w:sz="4" w:space="0" w:color="auto"/>
            </w:tcBorders>
            <w:vAlign w:val="center"/>
          </w:tcPr>
          <w:p w14:paraId="3D85DBE1" w14:textId="7C9DB641" w:rsidR="000E4F3A" w:rsidRPr="003865FF" w:rsidRDefault="00580AA5" w:rsidP="000E4F3A">
            <w:pPr>
              <w:spacing w:line="276" w:lineRule="auto"/>
              <w:jc w:val="center"/>
              <w:rPr>
                <w:rFonts w:cs="Times New Roman"/>
                <w:sz w:val="22"/>
                <w:szCs w:val="22"/>
              </w:rPr>
            </w:pPr>
            <w:r w:rsidRPr="00B004B1">
              <w:rPr>
                <w:rFonts w:cs="Times New Roman"/>
                <w:sz w:val="22"/>
                <w:szCs w:val="22"/>
              </w:rPr>
              <w:t>-328</w:t>
            </w:r>
          </w:p>
        </w:tc>
        <w:tc>
          <w:tcPr>
            <w:tcW w:w="1594" w:type="dxa"/>
            <w:gridSpan w:val="2"/>
            <w:tcBorders>
              <w:bottom w:val="single" w:sz="4" w:space="0" w:color="auto"/>
            </w:tcBorders>
            <w:vAlign w:val="center"/>
          </w:tcPr>
          <w:p w14:paraId="53511364" w14:textId="4965D7D8" w:rsidR="000E4F3A" w:rsidRPr="003865FF" w:rsidRDefault="0053675B" w:rsidP="000E4F3A">
            <w:pPr>
              <w:spacing w:line="276" w:lineRule="auto"/>
              <w:jc w:val="center"/>
              <w:rPr>
                <w:rFonts w:cs="Times New Roman"/>
                <w:sz w:val="22"/>
                <w:szCs w:val="22"/>
              </w:rPr>
            </w:pPr>
            <w:r w:rsidRPr="00B004B1">
              <w:rPr>
                <w:rFonts w:cs="Times New Roman"/>
                <w:sz w:val="22"/>
                <w:szCs w:val="22"/>
              </w:rPr>
              <w:t>-27</w:t>
            </w:r>
            <w:r w:rsidR="00EB30BB" w:rsidRPr="00B004B1">
              <w:rPr>
                <w:rFonts w:cs="Times New Roman"/>
                <w:sz w:val="22"/>
                <w:szCs w:val="22"/>
              </w:rPr>
              <w:t>1</w:t>
            </w:r>
          </w:p>
        </w:tc>
        <w:tc>
          <w:tcPr>
            <w:tcW w:w="1595" w:type="dxa"/>
            <w:tcBorders>
              <w:bottom w:val="single" w:sz="4" w:space="0" w:color="auto"/>
            </w:tcBorders>
            <w:vAlign w:val="center"/>
          </w:tcPr>
          <w:p w14:paraId="6861B632" w14:textId="6316599A" w:rsidR="000E4F3A" w:rsidRPr="003865FF" w:rsidRDefault="0053675B" w:rsidP="000E4F3A">
            <w:pPr>
              <w:spacing w:line="276" w:lineRule="auto"/>
              <w:jc w:val="center"/>
              <w:rPr>
                <w:rFonts w:cs="Times New Roman"/>
                <w:sz w:val="22"/>
                <w:szCs w:val="22"/>
              </w:rPr>
            </w:pPr>
            <w:r w:rsidRPr="00B004B1">
              <w:rPr>
                <w:rFonts w:cs="Times New Roman"/>
                <w:sz w:val="22"/>
                <w:szCs w:val="22"/>
              </w:rPr>
              <w:t>-</w:t>
            </w:r>
            <w:r w:rsidR="00EB30BB" w:rsidRPr="00B004B1">
              <w:rPr>
                <w:rFonts w:cs="Times New Roman"/>
                <w:sz w:val="22"/>
                <w:szCs w:val="22"/>
              </w:rPr>
              <w:t>160</w:t>
            </w:r>
          </w:p>
        </w:tc>
        <w:tc>
          <w:tcPr>
            <w:tcW w:w="1595" w:type="dxa"/>
            <w:gridSpan w:val="2"/>
            <w:tcBorders>
              <w:bottom w:val="single" w:sz="4" w:space="0" w:color="auto"/>
            </w:tcBorders>
            <w:vAlign w:val="center"/>
          </w:tcPr>
          <w:p w14:paraId="07979853" w14:textId="6B784481" w:rsidR="000E4F3A" w:rsidRPr="003865FF" w:rsidRDefault="009E76E6" w:rsidP="000E4F3A">
            <w:pPr>
              <w:spacing w:line="276" w:lineRule="auto"/>
              <w:jc w:val="center"/>
              <w:rPr>
                <w:rFonts w:cs="Times New Roman"/>
                <w:sz w:val="22"/>
                <w:szCs w:val="22"/>
              </w:rPr>
            </w:pPr>
            <w:r w:rsidRPr="00B004B1">
              <w:rPr>
                <w:rFonts w:cs="Times New Roman"/>
                <w:sz w:val="22"/>
                <w:szCs w:val="22"/>
              </w:rPr>
              <w:t>-407</w:t>
            </w:r>
          </w:p>
        </w:tc>
        <w:tc>
          <w:tcPr>
            <w:tcW w:w="1595" w:type="dxa"/>
            <w:tcBorders>
              <w:bottom w:val="single" w:sz="4" w:space="0" w:color="auto"/>
            </w:tcBorders>
            <w:vAlign w:val="center"/>
          </w:tcPr>
          <w:p w14:paraId="5DBB5ACD" w14:textId="7FE907B7" w:rsidR="000E4F3A" w:rsidRPr="003865FF" w:rsidRDefault="00E834D6" w:rsidP="000E4F3A">
            <w:pPr>
              <w:spacing w:line="276" w:lineRule="auto"/>
              <w:jc w:val="center"/>
              <w:rPr>
                <w:rFonts w:cs="Times New Roman"/>
                <w:sz w:val="22"/>
                <w:szCs w:val="22"/>
              </w:rPr>
            </w:pPr>
            <w:r w:rsidRPr="00B004B1">
              <w:rPr>
                <w:rFonts w:cs="Times New Roman"/>
                <w:sz w:val="22"/>
                <w:szCs w:val="22"/>
              </w:rPr>
              <w:t>-240</w:t>
            </w:r>
          </w:p>
        </w:tc>
      </w:tr>
      <w:tr w:rsidR="002117D3" w:rsidRPr="0089438A" w14:paraId="23AFF905" w14:textId="77777777" w:rsidTr="005F2B71">
        <w:trPr>
          <w:trHeight w:val="432"/>
        </w:trPr>
        <w:tc>
          <w:tcPr>
            <w:tcW w:w="3118" w:type="dxa"/>
            <w:gridSpan w:val="3"/>
            <w:tcBorders>
              <w:top w:val="single" w:sz="4" w:space="0" w:color="auto"/>
              <w:bottom w:val="single" w:sz="4" w:space="0" w:color="auto"/>
            </w:tcBorders>
            <w:shd w:val="clear" w:color="auto" w:fill="F2F2F2" w:themeFill="background1" w:themeFillShade="F2"/>
            <w:vAlign w:val="center"/>
          </w:tcPr>
          <w:p w14:paraId="05ADCE7E" w14:textId="77777777" w:rsidR="002117D3" w:rsidRPr="0089438A" w:rsidRDefault="002117D3" w:rsidP="005F2B71">
            <w:pPr>
              <w:spacing w:line="276" w:lineRule="auto"/>
              <w:rPr>
                <w:rFonts w:cs="Times New Roman"/>
                <w:b/>
                <w:bCs/>
                <w:sz w:val="22"/>
                <w:szCs w:val="22"/>
              </w:rPr>
            </w:pPr>
            <w:r w:rsidRPr="0089438A">
              <w:rPr>
                <w:rFonts w:cs="Times New Roman"/>
                <w:b/>
                <w:bCs/>
                <w:sz w:val="22"/>
                <w:szCs w:val="22"/>
              </w:rPr>
              <w:t>DCC</w:t>
            </w:r>
          </w:p>
        </w:tc>
        <w:tc>
          <w:tcPr>
            <w:tcW w:w="3119" w:type="dxa"/>
            <w:gridSpan w:val="3"/>
            <w:tcBorders>
              <w:top w:val="single" w:sz="4" w:space="0" w:color="auto"/>
              <w:bottom w:val="single" w:sz="4" w:space="0" w:color="auto"/>
            </w:tcBorders>
            <w:shd w:val="clear" w:color="auto" w:fill="F2F2F2" w:themeFill="background1" w:themeFillShade="F2"/>
            <w:vAlign w:val="center"/>
          </w:tcPr>
          <w:p w14:paraId="77D75BA9" w14:textId="77777777" w:rsidR="002117D3" w:rsidRPr="0089438A" w:rsidRDefault="002117D3" w:rsidP="005F2B71">
            <w:pPr>
              <w:spacing w:line="276" w:lineRule="auto"/>
              <w:jc w:val="center"/>
              <w:rPr>
                <w:rFonts w:cs="Times New Roman"/>
                <w:b/>
                <w:bCs/>
                <w:sz w:val="22"/>
                <w:szCs w:val="22"/>
              </w:rPr>
            </w:pPr>
          </w:p>
        </w:tc>
        <w:tc>
          <w:tcPr>
            <w:tcW w:w="3119" w:type="dxa"/>
            <w:gridSpan w:val="2"/>
            <w:tcBorders>
              <w:top w:val="single" w:sz="4" w:space="0" w:color="auto"/>
              <w:bottom w:val="single" w:sz="4" w:space="0" w:color="auto"/>
            </w:tcBorders>
            <w:shd w:val="clear" w:color="auto" w:fill="F2F2F2" w:themeFill="background1" w:themeFillShade="F2"/>
          </w:tcPr>
          <w:p w14:paraId="1BE462D3" w14:textId="77777777" w:rsidR="002117D3" w:rsidRPr="0089438A" w:rsidRDefault="002117D3" w:rsidP="005F2B71">
            <w:pPr>
              <w:spacing w:line="276" w:lineRule="auto"/>
              <w:jc w:val="center"/>
              <w:rPr>
                <w:rFonts w:cs="Times New Roman"/>
                <w:b/>
                <w:bCs/>
                <w:sz w:val="22"/>
                <w:szCs w:val="22"/>
              </w:rPr>
            </w:pPr>
          </w:p>
        </w:tc>
      </w:tr>
      <w:tr w:rsidR="000E4F3A" w:rsidRPr="0089438A" w14:paraId="5944E9E3" w14:textId="77777777" w:rsidTr="005F2B71">
        <w:trPr>
          <w:trHeight w:val="432"/>
        </w:trPr>
        <w:tc>
          <w:tcPr>
            <w:tcW w:w="1689" w:type="dxa"/>
            <w:tcBorders>
              <w:top w:val="single" w:sz="4" w:space="0" w:color="auto"/>
            </w:tcBorders>
            <w:vAlign w:val="center"/>
          </w:tcPr>
          <w:p w14:paraId="30F0E96B" w14:textId="77777777" w:rsidR="000E4F3A" w:rsidRPr="0089438A" w:rsidRDefault="000E4F3A" w:rsidP="000E4F3A">
            <w:pPr>
              <w:spacing w:line="276" w:lineRule="auto"/>
              <w:rPr>
                <w:rFonts w:cs="Times New Roman"/>
                <w:sz w:val="22"/>
                <w:szCs w:val="22"/>
              </w:rPr>
            </w:pPr>
            <w:r w:rsidRPr="0089438A">
              <w:rPr>
                <w:rFonts w:cs="Times New Roman"/>
                <w:sz w:val="22"/>
                <w:szCs w:val="22"/>
              </w:rPr>
              <w:t>HDV treatment</w:t>
            </w:r>
          </w:p>
        </w:tc>
        <w:tc>
          <w:tcPr>
            <w:tcW w:w="1288" w:type="dxa"/>
            <w:tcBorders>
              <w:top w:val="single" w:sz="4" w:space="0" w:color="auto"/>
            </w:tcBorders>
            <w:vAlign w:val="center"/>
          </w:tcPr>
          <w:p w14:paraId="253774FB" w14:textId="29D9E541" w:rsidR="000E4F3A" w:rsidRPr="0089438A" w:rsidRDefault="000E4F3A" w:rsidP="000E4F3A">
            <w:pPr>
              <w:spacing w:line="276" w:lineRule="auto"/>
              <w:jc w:val="center"/>
              <w:rPr>
                <w:rFonts w:cs="Times New Roman"/>
                <w:sz w:val="22"/>
                <w:szCs w:val="22"/>
              </w:rPr>
            </w:pPr>
            <w:r>
              <w:rPr>
                <w:rFonts w:cs="Times New Roman"/>
                <w:sz w:val="22"/>
                <w:szCs w:val="22"/>
              </w:rPr>
              <w:t>2,659</w:t>
            </w:r>
          </w:p>
        </w:tc>
        <w:tc>
          <w:tcPr>
            <w:tcW w:w="1594" w:type="dxa"/>
            <w:gridSpan w:val="2"/>
            <w:tcBorders>
              <w:top w:val="single" w:sz="4" w:space="0" w:color="auto"/>
            </w:tcBorders>
            <w:vAlign w:val="center"/>
          </w:tcPr>
          <w:p w14:paraId="5B8F831E"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2,962</w:t>
            </w:r>
          </w:p>
        </w:tc>
        <w:tc>
          <w:tcPr>
            <w:tcW w:w="1595" w:type="dxa"/>
            <w:tcBorders>
              <w:top w:val="single" w:sz="4" w:space="0" w:color="auto"/>
            </w:tcBorders>
            <w:vAlign w:val="center"/>
          </w:tcPr>
          <w:p w14:paraId="2BA6101C"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3,022</w:t>
            </w:r>
          </w:p>
        </w:tc>
        <w:tc>
          <w:tcPr>
            <w:tcW w:w="1595" w:type="dxa"/>
            <w:gridSpan w:val="2"/>
            <w:tcBorders>
              <w:top w:val="single" w:sz="4" w:space="0" w:color="auto"/>
            </w:tcBorders>
            <w:vAlign w:val="center"/>
          </w:tcPr>
          <w:p w14:paraId="1CC4BF77"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2,768</w:t>
            </w:r>
          </w:p>
        </w:tc>
        <w:tc>
          <w:tcPr>
            <w:tcW w:w="1595" w:type="dxa"/>
            <w:tcBorders>
              <w:top w:val="single" w:sz="4" w:space="0" w:color="auto"/>
            </w:tcBorders>
            <w:vAlign w:val="center"/>
          </w:tcPr>
          <w:p w14:paraId="42F20209"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2,858</w:t>
            </w:r>
          </w:p>
        </w:tc>
      </w:tr>
      <w:tr w:rsidR="000E4F3A" w:rsidRPr="0089438A" w14:paraId="602418E1" w14:textId="77777777" w:rsidTr="005F2B71">
        <w:trPr>
          <w:trHeight w:val="432"/>
        </w:trPr>
        <w:tc>
          <w:tcPr>
            <w:tcW w:w="1689" w:type="dxa"/>
            <w:vAlign w:val="center"/>
          </w:tcPr>
          <w:p w14:paraId="43CD8268" w14:textId="77777777" w:rsidR="000E4F3A" w:rsidRPr="0089438A" w:rsidRDefault="000E4F3A" w:rsidP="000E4F3A">
            <w:pPr>
              <w:spacing w:line="276" w:lineRule="auto"/>
              <w:rPr>
                <w:rFonts w:cs="Times New Roman"/>
                <w:sz w:val="22"/>
                <w:szCs w:val="22"/>
              </w:rPr>
            </w:pPr>
            <w:r w:rsidRPr="0089438A">
              <w:rPr>
                <w:rFonts w:cs="Times New Roman"/>
                <w:sz w:val="22"/>
                <w:szCs w:val="22"/>
              </w:rPr>
              <w:t>BSC</w:t>
            </w:r>
          </w:p>
        </w:tc>
        <w:tc>
          <w:tcPr>
            <w:tcW w:w="1288" w:type="dxa"/>
            <w:vAlign w:val="center"/>
          </w:tcPr>
          <w:p w14:paraId="3E109A8F" w14:textId="5CBE570B" w:rsidR="000E4F3A" w:rsidRPr="0089438A" w:rsidRDefault="000E4F3A" w:rsidP="000E4F3A">
            <w:pPr>
              <w:spacing w:line="276" w:lineRule="auto"/>
              <w:jc w:val="center"/>
              <w:rPr>
                <w:rFonts w:cs="Times New Roman"/>
                <w:sz w:val="22"/>
                <w:szCs w:val="22"/>
              </w:rPr>
            </w:pPr>
            <w:r w:rsidRPr="005417DE">
              <w:rPr>
                <w:rFonts w:cs="Times New Roman"/>
                <w:sz w:val="22"/>
                <w:szCs w:val="22"/>
              </w:rPr>
              <w:t>3,346</w:t>
            </w:r>
          </w:p>
        </w:tc>
        <w:tc>
          <w:tcPr>
            <w:tcW w:w="1594" w:type="dxa"/>
            <w:gridSpan w:val="2"/>
            <w:vAlign w:val="center"/>
          </w:tcPr>
          <w:p w14:paraId="1E06446E"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3,347</w:t>
            </w:r>
          </w:p>
        </w:tc>
        <w:tc>
          <w:tcPr>
            <w:tcW w:w="1595" w:type="dxa"/>
            <w:vAlign w:val="center"/>
          </w:tcPr>
          <w:p w14:paraId="717BF9B0"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3,347</w:t>
            </w:r>
          </w:p>
        </w:tc>
        <w:tc>
          <w:tcPr>
            <w:tcW w:w="1595" w:type="dxa"/>
            <w:gridSpan w:val="2"/>
            <w:vAlign w:val="center"/>
          </w:tcPr>
          <w:p w14:paraId="3C26CAF3"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3,347</w:t>
            </w:r>
          </w:p>
        </w:tc>
        <w:tc>
          <w:tcPr>
            <w:tcW w:w="1595" w:type="dxa"/>
            <w:vAlign w:val="center"/>
          </w:tcPr>
          <w:p w14:paraId="3744A96A"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3,347</w:t>
            </w:r>
          </w:p>
        </w:tc>
      </w:tr>
      <w:tr w:rsidR="000E4F3A" w:rsidRPr="0089438A" w14:paraId="32125C9A" w14:textId="77777777" w:rsidTr="005F2B71">
        <w:trPr>
          <w:trHeight w:val="432"/>
        </w:trPr>
        <w:tc>
          <w:tcPr>
            <w:tcW w:w="1689" w:type="dxa"/>
            <w:tcBorders>
              <w:bottom w:val="single" w:sz="4" w:space="0" w:color="auto"/>
            </w:tcBorders>
            <w:vAlign w:val="center"/>
          </w:tcPr>
          <w:p w14:paraId="63DB539E" w14:textId="77777777" w:rsidR="000E4F3A" w:rsidRPr="0089438A" w:rsidRDefault="000E4F3A" w:rsidP="000E4F3A">
            <w:pPr>
              <w:spacing w:line="276" w:lineRule="auto"/>
              <w:rPr>
                <w:rFonts w:cs="Times New Roman"/>
                <w:sz w:val="22"/>
                <w:szCs w:val="22"/>
              </w:rPr>
            </w:pPr>
            <w:r w:rsidRPr="0089438A">
              <w:rPr>
                <w:rFonts w:cs="Times New Roman"/>
                <w:sz w:val="22"/>
                <w:szCs w:val="22"/>
              </w:rPr>
              <w:t xml:space="preserve">   Difference</w:t>
            </w:r>
          </w:p>
        </w:tc>
        <w:tc>
          <w:tcPr>
            <w:tcW w:w="1288" w:type="dxa"/>
            <w:tcBorders>
              <w:bottom w:val="single" w:sz="4" w:space="0" w:color="auto"/>
            </w:tcBorders>
            <w:vAlign w:val="center"/>
          </w:tcPr>
          <w:p w14:paraId="7023B31B" w14:textId="0D1E2208" w:rsidR="000E4F3A" w:rsidRPr="0089438A" w:rsidRDefault="000E4F3A" w:rsidP="000E4F3A">
            <w:pPr>
              <w:spacing w:line="276" w:lineRule="auto"/>
              <w:jc w:val="center"/>
              <w:rPr>
                <w:rFonts w:cs="Times New Roman"/>
                <w:sz w:val="22"/>
                <w:szCs w:val="22"/>
              </w:rPr>
            </w:pPr>
            <w:r w:rsidRPr="005417DE">
              <w:rPr>
                <w:rFonts w:cs="Times New Roman"/>
                <w:sz w:val="22"/>
                <w:szCs w:val="22"/>
              </w:rPr>
              <w:t>-6</w:t>
            </w:r>
            <w:r>
              <w:rPr>
                <w:rFonts w:cs="Times New Roman"/>
                <w:sz w:val="22"/>
                <w:szCs w:val="22"/>
              </w:rPr>
              <w:t>87</w:t>
            </w:r>
          </w:p>
        </w:tc>
        <w:tc>
          <w:tcPr>
            <w:tcW w:w="1594" w:type="dxa"/>
            <w:gridSpan w:val="2"/>
            <w:tcBorders>
              <w:bottom w:val="single" w:sz="4" w:space="0" w:color="auto"/>
            </w:tcBorders>
            <w:vAlign w:val="center"/>
          </w:tcPr>
          <w:p w14:paraId="249B036E"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-385</w:t>
            </w:r>
          </w:p>
        </w:tc>
        <w:tc>
          <w:tcPr>
            <w:tcW w:w="1595" w:type="dxa"/>
            <w:tcBorders>
              <w:bottom w:val="single" w:sz="4" w:space="0" w:color="auto"/>
            </w:tcBorders>
            <w:vAlign w:val="center"/>
          </w:tcPr>
          <w:p w14:paraId="69DF46BC"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-325</w:t>
            </w:r>
          </w:p>
        </w:tc>
        <w:tc>
          <w:tcPr>
            <w:tcW w:w="1595" w:type="dxa"/>
            <w:gridSpan w:val="2"/>
            <w:tcBorders>
              <w:bottom w:val="single" w:sz="4" w:space="0" w:color="auto"/>
            </w:tcBorders>
            <w:vAlign w:val="center"/>
          </w:tcPr>
          <w:p w14:paraId="35A987D8"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-579</w:t>
            </w:r>
          </w:p>
        </w:tc>
        <w:tc>
          <w:tcPr>
            <w:tcW w:w="1595" w:type="dxa"/>
            <w:tcBorders>
              <w:bottom w:val="single" w:sz="4" w:space="0" w:color="auto"/>
            </w:tcBorders>
            <w:vAlign w:val="center"/>
          </w:tcPr>
          <w:p w14:paraId="43CD3260"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-489</w:t>
            </w:r>
          </w:p>
        </w:tc>
      </w:tr>
      <w:tr w:rsidR="002117D3" w:rsidRPr="0089438A" w14:paraId="443C3849" w14:textId="77777777" w:rsidTr="005F2B71">
        <w:trPr>
          <w:trHeight w:val="432"/>
        </w:trPr>
        <w:tc>
          <w:tcPr>
            <w:tcW w:w="3118" w:type="dxa"/>
            <w:gridSpan w:val="3"/>
            <w:tcBorders>
              <w:top w:val="single" w:sz="4" w:space="0" w:color="auto"/>
              <w:bottom w:val="single" w:sz="4" w:space="0" w:color="auto"/>
            </w:tcBorders>
            <w:shd w:val="clear" w:color="auto" w:fill="F2F2F2" w:themeFill="background1" w:themeFillShade="F2"/>
            <w:vAlign w:val="center"/>
          </w:tcPr>
          <w:p w14:paraId="05773D9D" w14:textId="77777777" w:rsidR="002117D3" w:rsidRPr="0089438A" w:rsidRDefault="002117D3" w:rsidP="005F2B71">
            <w:pPr>
              <w:spacing w:line="276" w:lineRule="auto"/>
              <w:rPr>
                <w:rFonts w:cs="Times New Roman"/>
                <w:b/>
                <w:bCs/>
                <w:sz w:val="22"/>
                <w:szCs w:val="22"/>
              </w:rPr>
            </w:pPr>
            <w:r w:rsidRPr="0089438A">
              <w:rPr>
                <w:rFonts w:cs="Times New Roman"/>
                <w:b/>
                <w:bCs/>
                <w:sz w:val="22"/>
                <w:szCs w:val="22"/>
              </w:rPr>
              <w:t>HCC</w:t>
            </w:r>
          </w:p>
        </w:tc>
        <w:tc>
          <w:tcPr>
            <w:tcW w:w="3119" w:type="dxa"/>
            <w:gridSpan w:val="3"/>
            <w:tcBorders>
              <w:top w:val="single" w:sz="4" w:space="0" w:color="auto"/>
              <w:bottom w:val="single" w:sz="4" w:space="0" w:color="auto"/>
            </w:tcBorders>
            <w:shd w:val="clear" w:color="auto" w:fill="F2F2F2" w:themeFill="background1" w:themeFillShade="F2"/>
            <w:vAlign w:val="center"/>
          </w:tcPr>
          <w:p w14:paraId="4A837651" w14:textId="77777777" w:rsidR="002117D3" w:rsidRPr="0089438A" w:rsidRDefault="002117D3" w:rsidP="005F2B71">
            <w:pPr>
              <w:spacing w:line="276" w:lineRule="auto"/>
              <w:jc w:val="center"/>
              <w:rPr>
                <w:rFonts w:cs="Times New Roman"/>
                <w:b/>
                <w:bCs/>
                <w:sz w:val="22"/>
                <w:szCs w:val="22"/>
              </w:rPr>
            </w:pPr>
          </w:p>
        </w:tc>
        <w:tc>
          <w:tcPr>
            <w:tcW w:w="3119" w:type="dxa"/>
            <w:gridSpan w:val="2"/>
            <w:tcBorders>
              <w:top w:val="single" w:sz="4" w:space="0" w:color="auto"/>
              <w:bottom w:val="single" w:sz="4" w:space="0" w:color="auto"/>
            </w:tcBorders>
            <w:shd w:val="clear" w:color="auto" w:fill="F2F2F2" w:themeFill="background1" w:themeFillShade="F2"/>
          </w:tcPr>
          <w:p w14:paraId="305EE9CD" w14:textId="77777777" w:rsidR="002117D3" w:rsidRPr="0089438A" w:rsidRDefault="002117D3" w:rsidP="005F2B71">
            <w:pPr>
              <w:spacing w:line="276" w:lineRule="auto"/>
              <w:jc w:val="center"/>
              <w:rPr>
                <w:rFonts w:cs="Times New Roman"/>
                <w:b/>
                <w:bCs/>
                <w:sz w:val="22"/>
                <w:szCs w:val="22"/>
              </w:rPr>
            </w:pPr>
          </w:p>
        </w:tc>
      </w:tr>
      <w:tr w:rsidR="000E4F3A" w:rsidRPr="0089438A" w14:paraId="4FC10ED7" w14:textId="77777777" w:rsidTr="005F2B71">
        <w:trPr>
          <w:trHeight w:val="432"/>
        </w:trPr>
        <w:tc>
          <w:tcPr>
            <w:tcW w:w="1689" w:type="dxa"/>
            <w:tcBorders>
              <w:top w:val="single" w:sz="4" w:space="0" w:color="auto"/>
            </w:tcBorders>
            <w:vAlign w:val="center"/>
          </w:tcPr>
          <w:p w14:paraId="5548280D" w14:textId="77777777" w:rsidR="000E4F3A" w:rsidRPr="0089438A" w:rsidRDefault="000E4F3A" w:rsidP="000E4F3A">
            <w:pPr>
              <w:spacing w:line="276" w:lineRule="auto"/>
              <w:rPr>
                <w:rFonts w:cs="Times New Roman"/>
                <w:sz w:val="22"/>
                <w:szCs w:val="22"/>
              </w:rPr>
            </w:pPr>
            <w:r w:rsidRPr="0089438A">
              <w:rPr>
                <w:rFonts w:cs="Times New Roman"/>
                <w:sz w:val="22"/>
                <w:szCs w:val="22"/>
              </w:rPr>
              <w:t>HDV treatment</w:t>
            </w:r>
          </w:p>
        </w:tc>
        <w:tc>
          <w:tcPr>
            <w:tcW w:w="1288" w:type="dxa"/>
            <w:tcBorders>
              <w:top w:val="single" w:sz="4" w:space="0" w:color="auto"/>
            </w:tcBorders>
            <w:vAlign w:val="center"/>
          </w:tcPr>
          <w:p w14:paraId="4C356B44" w14:textId="580C48FF" w:rsidR="000E4F3A" w:rsidRPr="0089438A" w:rsidRDefault="000E4F3A" w:rsidP="000E4F3A">
            <w:pPr>
              <w:spacing w:line="276" w:lineRule="auto"/>
              <w:jc w:val="center"/>
              <w:rPr>
                <w:rFonts w:cs="Times New Roman"/>
                <w:sz w:val="22"/>
                <w:szCs w:val="22"/>
              </w:rPr>
            </w:pPr>
            <w:r w:rsidRPr="005417DE">
              <w:rPr>
                <w:rFonts w:cs="Times New Roman"/>
                <w:sz w:val="22"/>
                <w:szCs w:val="22"/>
              </w:rPr>
              <w:t>3,6</w:t>
            </w:r>
            <w:r>
              <w:rPr>
                <w:rFonts w:cs="Times New Roman"/>
                <w:sz w:val="22"/>
                <w:szCs w:val="22"/>
              </w:rPr>
              <w:t>14</w:t>
            </w:r>
          </w:p>
        </w:tc>
        <w:tc>
          <w:tcPr>
            <w:tcW w:w="1594" w:type="dxa"/>
            <w:gridSpan w:val="2"/>
            <w:tcBorders>
              <w:top w:val="single" w:sz="4" w:space="0" w:color="auto"/>
            </w:tcBorders>
            <w:vAlign w:val="center"/>
          </w:tcPr>
          <w:p w14:paraId="3860E2CD"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3,700</w:t>
            </w:r>
          </w:p>
        </w:tc>
        <w:tc>
          <w:tcPr>
            <w:tcW w:w="1595" w:type="dxa"/>
            <w:tcBorders>
              <w:top w:val="single" w:sz="4" w:space="0" w:color="auto"/>
            </w:tcBorders>
            <w:vAlign w:val="center"/>
          </w:tcPr>
          <w:p w14:paraId="77E996CE"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3,844</w:t>
            </w:r>
          </w:p>
        </w:tc>
        <w:tc>
          <w:tcPr>
            <w:tcW w:w="1595" w:type="dxa"/>
            <w:gridSpan w:val="2"/>
            <w:tcBorders>
              <w:top w:val="single" w:sz="4" w:space="0" w:color="auto"/>
            </w:tcBorders>
            <w:vAlign w:val="center"/>
          </w:tcPr>
          <w:p w14:paraId="574B4FDA"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3,539</w:t>
            </w:r>
          </w:p>
        </w:tc>
        <w:tc>
          <w:tcPr>
            <w:tcW w:w="1595" w:type="dxa"/>
            <w:tcBorders>
              <w:top w:val="single" w:sz="4" w:space="0" w:color="auto"/>
            </w:tcBorders>
            <w:vAlign w:val="center"/>
          </w:tcPr>
          <w:p w14:paraId="7F433123"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3,754</w:t>
            </w:r>
          </w:p>
        </w:tc>
      </w:tr>
      <w:tr w:rsidR="000E4F3A" w:rsidRPr="0089438A" w14:paraId="758364DC" w14:textId="77777777" w:rsidTr="005F2B71">
        <w:trPr>
          <w:trHeight w:val="432"/>
        </w:trPr>
        <w:tc>
          <w:tcPr>
            <w:tcW w:w="1689" w:type="dxa"/>
            <w:vAlign w:val="center"/>
          </w:tcPr>
          <w:p w14:paraId="3C632326" w14:textId="77777777" w:rsidR="000E4F3A" w:rsidRPr="0089438A" w:rsidRDefault="000E4F3A" w:rsidP="000E4F3A">
            <w:pPr>
              <w:spacing w:line="276" w:lineRule="auto"/>
              <w:rPr>
                <w:rFonts w:cs="Times New Roman"/>
                <w:sz w:val="22"/>
                <w:szCs w:val="22"/>
              </w:rPr>
            </w:pPr>
            <w:r w:rsidRPr="0089438A">
              <w:rPr>
                <w:rFonts w:cs="Times New Roman"/>
                <w:sz w:val="22"/>
                <w:szCs w:val="22"/>
              </w:rPr>
              <w:t>BSC</w:t>
            </w:r>
          </w:p>
        </w:tc>
        <w:tc>
          <w:tcPr>
            <w:tcW w:w="1288" w:type="dxa"/>
            <w:vAlign w:val="center"/>
          </w:tcPr>
          <w:p w14:paraId="424848DD" w14:textId="6A595266" w:rsidR="000E4F3A" w:rsidRPr="0089438A" w:rsidRDefault="000E4F3A" w:rsidP="000E4F3A">
            <w:pPr>
              <w:spacing w:line="276" w:lineRule="auto"/>
              <w:jc w:val="center"/>
              <w:rPr>
                <w:rFonts w:cs="Times New Roman"/>
                <w:sz w:val="22"/>
                <w:szCs w:val="22"/>
              </w:rPr>
            </w:pPr>
            <w:r w:rsidRPr="005417DE">
              <w:rPr>
                <w:rFonts w:cs="Times New Roman"/>
                <w:sz w:val="22"/>
                <w:szCs w:val="22"/>
              </w:rPr>
              <w:t>4,020</w:t>
            </w:r>
          </w:p>
        </w:tc>
        <w:tc>
          <w:tcPr>
            <w:tcW w:w="1594" w:type="dxa"/>
            <w:gridSpan w:val="2"/>
            <w:vAlign w:val="center"/>
          </w:tcPr>
          <w:p w14:paraId="6A201AE0"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4,020</w:t>
            </w:r>
          </w:p>
        </w:tc>
        <w:tc>
          <w:tcPr>
            <w:tcW w:w="1595" w:type="dxa"/>
            <w:vAlign w:val="center"/>
          </w:tcPr>
          <w:p w14:paraId="6CB40659"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4,021</w:t>
            </w:r>
          </w:p>
        </w:tc>
        <w:tc>
          <w:tcPr>
            <w:tcW w:w="1595" w:type="dxa"/>
            <w:gridSpan w:val="2"/>
            <w:vAlign w:val="center"/>
          </w:tcPr>
          <w:p w14:paraId="516471A7"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4,020</w:t>
            </w:r>
          </w:p>
        </w:tc>
        <w:tc>
          <w:tcPr>
            <w:tcW w:w="1595" w:type="dxa"/>
            <w:vAlign w:val="center"/>
          </w:tcPr>
          <w:p w14:paraId="1568EE1C"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4,021</w:t>
            </w:r>
          </w:p>
        </w:tc>
      </w:tr>
      <w:tr w:rsidR="000E4F3A" w:rsidRPr="0089438A" w14:paraId="48ED4479" w14:textId="77777777" w:rsidTr="005F2B71">
        <w:trPr>
          <w:trHeight w:val="432"/>
        </w:trPr>
        <w:tc>
          <w:tcPr>
            <w:tcW w:w="1689" w:type="dxa"/>
            <w:tcBorders>
              <w:bottom w:val="single" w:sz="4" w:space="0" w:color="auto"/>
            </w:tcBorders>
            <w:vAlign w:val="center"/>
          </w:tcPr>
          <w:p w14:paraId="4CC15112" w14:textId="77777777" w:rsidR="000E4F3A" w:rsidRPr="0089438A" w:rsidRDefault="000E4F3A" w:rsidP="000E4F3A">
            <w:pPr>
              <w:spacing w:line="276" w:lineRule="auto"/>
              <w:rPr>
                <w:rFonts w:cs="Times New Roman"/>
                <w:sz w:val="22"/>
                <w:szCs w:val="22"/>
              </w:rPr>
            </w:pPr>
            <w:r w:rsidRPr="0089438A">
              <w:rPr>
                <w:rFonts w:cs="Times New Roman"/>
                <w:sz w:val="22"/>
                <w:szCs w:val="22"/>
              </w:rPr>
              <w:t xml:space="preserve">   Difference</w:t>
            </w:r>
          </w:p>
        </w:tc>
        <w:tc>
          <w:tcPr>
            <w:tcW w:w="1288" w:type="dxa"/>
            <w:tcBorders>
              <w:bottom w:val="single" w:sz="4" w:space="0" w:color="auto"/>
            </w:tcBorders>
            <w:vAlign w:val="center"/>
          </w:tcPr>
          <w:p w14:paraId="2F4FF0D6" w14:textId="7FBB053E" w:rsidR="000E4F3A" w:rsidRPr="0089438A" w:rsidRDefault="000E4F3A" w:rsidP="000E4F3A">
            <w:pPr>
              <w:spacing w:line="276" w:lineRule="auto"/>
              <w:jc w:val="center"/>
              <w:rPr>
                <w:rFonts w:cs="Times New Roman"/>
                <w:sz w:val="22"/>
                <w:szCs w:val="22"/>
              </w:rPr>
            </w:pPr>
            <w:r w:rsidRPr="005417DE">
              <w:rPr>
                <w:rFonts w:cs="Times New Roman"/>
                <w:sz w:val="22"/>
                <w:szCs w:val="22"/>
              </w:rPr>
              <w:t>-367</w:t>
            </w:r>
          </w:p>
        </w:tc>
        <w:tc>
          <w:tcPr>
            <w:tcW w:w="1594" w:type="dxa"/>
            <w:gridSpan w:val="2"/>
            <w:tcBorders>
              <w:bottom w:val="single" w:sz="4" w:space="0" w:color="auto"/>
            </w:tcBorders>
            <w:vAlign w:val="center"/>
          </w:tcPr>
          <w:p w14:paraId="28D71EA8"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-320</w:t>
            </w:r>
          </w:p>
        </w:tc>
        <w:tc>
          <w:tcPr>
            <w:tcW w:w="1595" w:type="dxa"/>
            <w:tcBorders>
              <w:bottom w:val="single" w:sz="4" w:space="0" w:color="auto"/>
            </w:tcBorders>
            <w:vAlign w:val="center"/>
          </w:tcPr>
          <w:p w14:paraId="5FBFCF7F"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-177</w:t>
            </w:r>
          </w:p>
        </w:tc>
        <w:tc>
          <w:tcPr>
            <w:tcW w:w="1595" w:type="dxa"/>
            <w:gridSpan w:val="2"/>
            <w:tcBorders>
              <w:bottom w:val="single" w:sz="4" w:space="0" w:color="auto"/>
            </w:tcBorders>
            <w:vAlign w:val="center"/>
          </w:tcPr>
          <w:p w14:paraId="5C882B61"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-481</w:t>
            </w:r>
          </w:p>
        </w:tc>
        <w:tc>
          <w:tcPr>
            <w:tcW w:w="1595" w:type="dxa"/>
            <w:tcBorders>
              <w:bottom w:val="single" w:sz="4" w:space="0" w:color="auto"/>
            </w:tcBorders>
            <w:vAlign w:val="center"/>
          </w:tcPr>
          <w:p w14:paraId="6EF505D2"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-267</w:t>
            </w:r>
          </w:p>
        </w:tc>
      </w:tr>
      <w:tr w:rsidR="002117D3" w:rsidRPr="0089438A" w14:paraId="2546A2D8" w14:textId="77777777" w:rsidTr="005F2B71">
        <w:trPr>
          <w:trHeight w:val="432"/>
        </w:trPr>
        <w:tc>
          <w:tcPr>
            <w:tcW w:w="3118" w:type="dxa"/>
            <w:gridSpan w:val="3"/>
            <w:tcBorders>
              <w:top w:val="single" w:sz="4" w:space="0" w:color="auto"/>
              <w:bottom w:val="single" w:sz="4" w:space="0" w:color="auto"/>
            </w:tcBorders>
            <w:shd w:val="clear" w:color="auto" w:fill="F2F2F2" w:themeFill="background1" w:themeFillShade="F2"/>
            <w:vAlign w:val="center"/>
          </w:tcPr>
          <w:p w14:paraId="5168A11C" w14:textId="77777777" w:rsidR="002117D3" w:rsidRPr="0089438A" w:rsidRDefault="002117D3" w:rsidP="005F2B71">
            <w:pPr>
              <w:spacing w:line="276" w:lineRule="auto"/>
              <w:rPr>
                <w:rFonts w:cs="Times New Roman"/>
                <w:b/>
                <w:bCs/>
                <w:sz w:val="22"/>
                <w:szCs w:val="22"/>
              </w:rPr>
            </w:pPr>
            <w:r w:rsidRPr="0089438A">
              <w:rPr>
                <w:rFonts w:cs="Times New Roman"/>
                <w:b/>
                <w:bCs/>
                <w:sz w:val="22"/>
                <w:szCs w:val="22"/>
              </w:rPr>
              <w:t>LT</w:t>
            </w:r>
          </w:p>
        </w:tc>
        <w:tc>
          <w:tcPr>
            <w:tcW w:w="3119" w:type="dxa"/>
            <w:gridSpan w:val="3"/>
            <w:tcBorders>
              <w:top w:val="single" w:sz="4" w:space="0" w:color="auto"/>
              <w:bottom w:val="single" w:sz="4" w:space="0" w:color="auto"/>
            </w:tcBorders>
            <w:shd w:val="clear" w:color="auto" w:fill="F2F2F2" w:themeFill="background1" w:themeFillShade="F2"/>
            <w:vAlign w:val="center"/>
          </w:tcPr>
          <w:p w14:paraId="35F99021" w14:textId="77777777" w:rsidR="002117D3" w:rsidRPr="0089438A" w:rsidRDefault="002117D3" w:rsidP="005F2B71">
            <w:pPr>
              <w:spacing w:line="276" w:lineRule="auto"/>
              <w:jc w:val="center"/>
              <w:rPr>
                <w:rFonts w:cs="Times New Roman"/>
                <w:b/>
                <w:bCs/>
                <w:sz w:val="22"/>
                <w:szCs w:val="22"/>
              </w:rPr>
            </w:pPr>
          </w:p>
        </w:tc>
        <w:tc>
          <w:tcPr>
            <w:tcW w:w="3119" w:type="dxa"/>
            <w:gridSpan w:val="2"/>
            <w:tcBorders>
              <w:top w:val="single" w:sz="4" w:space="0" w:color="auto"/>
              <w:bottom w:val="single" w:sz="4" w:space="0" w:color="auto"/>
            </w:tcBorders>
            <w:shd w:val="clear" w:color="auto" w:fill="F2F2F2" w:themeFill="background1" w:themeFillShade="F2"/>
          </w:tcPr>
          <w:p w14:paraId="421B1D7A" w14:textId="77777777" w:rsidR="002117D3" w:rsidRPr="0089438A" w:rsidRDefault="002117D3" w:rsidP="005F2B71">
            <w:pPr>
              <w:spacing w:line="276" w:lineRule="auto"/>
              <w:jc w:val="center"/>
              <w:rPr>
                <w:rFonts w:cs="Times New Roman"/>
                <w:b/>
                <w:bCs/>
                <w:sz w:val="22"/>
                <w:szCs w:val="22"/>
              </w:rPr>
            </w:pPr>
          </w:p>
        </w:tc>
      </w:tr>
      <w:tr w:rsidR="000E4F3A" w:rsidRPr="0089438A" w14:paraId="548E3482" w14:textId="77777777" w:rsidTr="005F2B71">
        <w:trPr>
          <w:trHeight w:val="432"/>
        </w:trPr>
        <w:tc>
          <w:tcPr>
            <w:tcW w:w="1689" w:type="dxa"/>
            <w:tcBorders>
              <w:top w:val="single" w:sz="4" w:space="0" w:color="auto"/>
            </w:tcBorders>
            <w:vAlign w:val="center"/>
          </w:tcPr>
          <w:p w14:paraId="21E203EC" w14:textId="77777777" w:rsidR="000E4F3A" w:rsidRPr="0089438A" w:rsidRDefault="000E4F3A" w:rsidP="000E4F3A">
            <w:pPr>
              <w:spacing w:line="276" w:lineRule="auto"/>
              <w:rPr>
                <w:rFonts w:cs="Times New Roman"/>
                <w:sz w:val="22"/>
                <w:szCs w:val="22"/>
              </w:rPr>
            </w:pPr>
            <w:r w:rsidRPr="0089438A">
              <w:rPr>
                <w:rFonts w:cs="Times New Roman"/>
                <w:sz w:val="22"/>
                <w:szCs w:val="22"/>
              </w:rPr>
              <w:t>HDV treatment</w:t>
            </w:r>
          </w:p>
        </w:tc>
        <w:tc>
          <w:tcPr>
            <w:tcW w:w="1288" w:type="dxa"/>
            <w:tcBorders>
              <w:top w:val="single" w:sz="4" w:space="0" w:color="auto"/>
            </w:tcBorders>
            <w:vAlign w:val="center"/>
          </w:tcPr>
          <w:p w14:paraId="76BD4B33" w14:textId="44C514D5" w:rsidR="000E4F3A" w:rsidRPr="0089438A" w:rsidRDefault="000E4F3A" w:rsidP="000E4F3A">
            <w:pPr>
              <w:spacing w:line="276" w:lineRule="auto"/>
              <w:jc w:val="center"/>
              <w:rPr>
                <w:rFonts w:cs="Times New Roman"/>
                <w:sz w:val="22"/>
                <w:szCs w:val="22"/>
              </w:rPr>
            </w:pPr>
            <w:r w:rsidRPr="005417DE">
              <w:rPr>
                <w:rFonts w:cs="Times New Roman"/>
                <w:sz w:val="22"/>
                <w:szCs w:val="22"/>
              </w:rPr>
              <w:t>2</w:t>
            </w:r>
            <w:r>
              <w:rPr>
                <w:rFonts w:cs="Times New Roman"/>
                <w:sz w:val="22"/>
                <w:szCs w:val="22"/>
              </w:rPr>
              <w:t>33</w:t>
            </w:r>
          </w:p>
        </w:tc>
        <w:tc>
          <w:tcPr>
            <w:tcW w:w="1594" w:type="dxa"/>
            <w:gridSpan w:val="2"/>
            <w:tcBorders>
              <w:top w:val="single" w:sz="4" w:space="0" w:color="auto"/>
            </w:tcBorders>
            <w:vAlign w:val="center"/>
          </w:tcPr>
          <w:p w14:paraId="56FAD4E5"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254</w:t>
            </w:r>
          </w:p>
        </w:tc>
        <w:tc>
          <w:tcPr>
            <w:tcW w:w="1595" w:type="dxa"/>
            <w:tcBorders>
              <w:top w:val="single" w:sz="4" w:space="0" w:color="auto"/>
            </w:tcBorders>
            <w:vAlign w:val="center"/>
          </w:tcPr>
          <w:p w14:paraId="6FC62849"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261</w:t>
            </w:r>
          </w:p>
        </w:tc>
        <w:tc>
          <w:tcPr>
            <w:tcW w:w="1595" w:type="dxa"/>
            <w:gridSpan w:val="2"/>
            <w:tcBorders>
              <w:top w:val="single" w:sz="4" w:space="0" w:color="auto"/>
            </w:tcBorders>
            <w:vAlign w:val="center"/>
          </w:tcPr>
          <w:p w14:paraId="20046338"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238</w:t>
            </w:r>
          </w:p>
        </w:tc>
        <w:tc>
          <w:tcPr>
            <w:tcW w:w="1595" w:type="dxa"/>
            <w:tcBorders>
              <w:top w:val="single" w:sz="4" w:space="0" w:color="auto"/>
            </w:tcBorders>
            <w:vAlign w:val="center"/>
          </w:tcPr>
          <w:p w14:paraId="635F27FE"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248</w:t>
            </w:r>
          </w:p>
        </w:tc>
      </w:tr>
      <w:tr w:rsidR="000E4F3A" w:rsidRPr="0089438A" w14:paraId="339032C5" w14:textId="77777777" w:rsidTr="005F2B71">
        <w:trPr>
          <w:trHeight w:val="432"/>
        </w:trPr>
        <w:tc>
          <w:tcPr>
            <w:tcW w:w="1689" w:type="dxa"/>
            <w:vAlign w:val="center"/>
          </w:tcPr>
          <w:p w14:paraId="6E813504" w14:textId="77777777" w:rsidR="000E4F3A" w:rsidRPr="0089438A" w:rsidRDefault="000E4F3A" w:rsidP="000E4F3A">
            <w:pPr>
              <w:spacing w:line="276" w:lineRule="auto"/>
              <w:rPr>
                <w:rFonts w:cs="Times New Roman"/>
                <w:sz w:val="22"/>
                <w:szCs w:val="22"/>
              </w:rPr>
            </w:pPr>
            <w:r w:rsidRPr="0089438A">
              <w:rPr>
                <w:rFonts w:cs="Times New Roman"/>
                <w:sz w:val="22"/>
                <w:szCs w:val="22"/>
              </w:rPr>
              <w:t>BSC</w:t>
            </w:r>
          </w:p>
        </w:tc>
        <w:tc>
          <w:tcPr>
            <w:tcW w:w="1288" w:type="dxa"/>
            <w:vAlign w:val="center"/>
          </w:tcPr>
          <w:p w14:paraId="6DDBD9D4" w14:textId="57BD0C37" w:rsidR="000E4F3A" w:rsidRPr="0089438A" w:rsidRDefault="000E4F3A" w:rsidP="000E4F3A">
            <w:pPr>
              <w:spacing w:line="276" w:lineRule="auto"/>
              <w:jc w:val="center"/>
              <w:rPr>
                <w:rFonts w:cs="Times New Roman"/>
                <w:sz w:val="22"/>
                <w:szCs w:val="22"/>
              </w:rPr>
            </w:pPr>
            <w:r w:rsidRPr="005417DE">
              <w:rPr>
                <w:rFonts w:cs="Times New Roman"/>
                <w:sz w:val="22"/>
                <w:szCs w:val="22"/>
              </w:rPr>
              <w:t>285</w:t>
            </w:r>
          </w:p>
        </w:tc>
        <w:tc>
          <w:tcPr>
            <w:tcW w:w="1594" w:type="dxa"/>
            <w:gridSpan w:val="2"/>
            <w:vAlign w:val="center"/>
          </w:tcPr>
          <w:p w14:paraId="26409221"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285</w:t>
            </w:r>
          </w:p>
        </w:tc>
        <w:tc>
          <w:tcPr>
            <w:tcW w:w="1595" w:type="dxa"/>
            <w:vAlign w:val="center"/>
          </w:tcPr>
          <w:p w14:paraId="1632B610"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285</w:t>
            </w:r>
          </w:p>
        </w:tc>
        <w:tc>
          <w:tcPr>
            <w:tcW w:w="1595" w:type="dxa"/>
            <w:gridSpan w:val="2"/>
            <w:vAlign w:val="center"/>
          </w:tcPr>
          <w:p w14:paraId="327F2E86"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285</w:t>
            </w:r>
          </w:p>
        </w:tc>
        <w:tc>
          <w:tcPr>
            <w:tcW w:w="1595" w:type="dxa"/>
            <w:vAlign w:val="center"/>
          </w:tcPr>
          <w:p w14:paraId="542892AF"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285</w:t>
            </w:r>
          </w:p>
        </w:tc>
      </w:tr>
      <w:tr w:rsidR="000E4F3A" w:rsidRPr="0089438A" w14:paraId="02193B59" w14:textId="77777777" w:rsidTr="005F2B71">
        <w:trPr>
          <w:trHeight w:val="432"/>
        </w:trPr>
        <w:tc>
          <w:tcPr>
            <w:tcW w:w="1689" w:type="dxa"/>
            <w:tcBorders>
              <w:bottom w:val="single" w:sz="4" w:space="0" w:color="auto"/>
            </w:tcBorders>
            <w:vAlign w:val="center"/>
          </w:tcPr>
          <w:p w14:paraId="3DF87852" w14:textId="77777777" w:rsidR="000E4F3A" w:rsidRPr="0089438A" w:rsidRDefault="000E4F3A" w:rsidP="000E4F3A">
            <w:pPr>
              <w:spacing w:line="276" w:lineRule="auto"/>
              <w:rPr>
                <w:rFonts w:cs="Times New Roman"/>
                <w:sz w:val="22"/>
                <w:szCs w:val="22"/>
              </w:rPr>
            </w:pPr>
            <w:r w:rsidRPr="0089438A">
              <w:rPr>
                <w:rFonts w:cs="Times New Roman"/>
                <w:sz w:val="22"/>
                <w:szCs w:val="22"/>
              </w:rPr>
              <w:t xml:space="preserve">   Difference</w:t>
            </w:r>
          </w:p>
        </w:tc>
        <w:tc>
          <w:tcPr>
            <w:tcW w:w="1288" w:type="dxa"/>
            <w:tcBorders>
              <w:bottom w:val="single" w:sz="4" w:space="0" w:color="auto"/>
            </w:tcBorders>
            <w:vAlign w:val="center"/>
          </w:tcPr>
          <w:p w14:paraId="002CC9F2" w14:textId="0A8A75D9" w:rsidR="000E4F3A" w:rsidRPr="0089438A" w:rsidRDefault="000E4F3A" w:rsidP="000E4F3A">
            <w:pPr>
              <w:spacing w:line="276" w:lineRule="auto"/>
              <w:jc w:val="center"/>
              <w:rPr>
                <w:rFonts w:cs="Times New Roman"/>
                <w:sz w:val="22"/>
                <w:szCs w:val="22"/>
              </w:rPr>
            </w:pPr>
            <w:r w:rsidRPr="005417DE">
              <w:rPr>
                <w:rFonts w:cs="Times New Roman"/>
                <w:sz w:val="22"/>
                <w:szCs w:val="22"/>
              </w:rPr>
              <w:t>-</w:t>
            </w:r>
            <w:r>
              <w:rPr>
                <w:rFonts w:cs="Times New Roman"/>
                <w:sz w:val="22"/>
                <w:szCs w:val="22"/>
              </w:rPr>
              <w:t>52</w:t>
            </w:r>
          </w:p>
        </w:tc>
        <w:tc>
          <w:tcPr>
            <w:tcW w:w="1594" w:type="dxa"/>
            <w:gridSpan w:val="2"/>
            <w:tcBorders>
              <w:bottom w:val="single" w:sz="4" w:space="0" w:color="auto"/>
            </w:tcBorders>
            <w:vAlign w:val="center"/>
          </w:tcPr>
          <w:p w14:paraId="514BE875"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-31</w:t>
            </w:r>
          </w:p>
        </w:tc>
        <w:tc>
          <w:tcPr>
            <w:tcW w:w="1595" w:type="dxa"/>
            <w:tcBorders>
              <w:bottom w:val="single" w:sz="4" w:space="0" w:color="auto"/>
            </w:tcBorders>
            <w:vAlign w:val="center"/>
          </w:tcPr>
          <w:p w14:paraId="6821BC66"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-24</w:t>
            </w:r>
          </w:p>
        </w:tc>
        <w:tc>
          <w:tcPr>
            <w:tcW w:w="1595" w:type="dxa"/>
            <w:gridSpan w:val="2"/>
            <w:tcBorders>
              <w:bottom w:val="single" w:sz="4" w:space="0" w:color="auto"/>
            </w:tcBorders>
            <w:vAlign w:val="center"/>
          </w:tcPr>
          <w:p w14:paraId="714592DB"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-47</w:t>
            </w:r>
          </w:p>
        </w:tc>
        <w:tc>
          <w:tcPr>
            <w:tcW w:w="1595" w:type="dxa"/>
            <w:tcBorders>
              <w:bottom w:val="single" w:sz="4" w:space="0" w:color="auto"/>
            </w:tcBorders>
            <w:vAlign w:val="center"/>
          </w:tcPr>
          <w:p w14:paraId="151FDACA" w14:textId="77777777" w:rsidR="000E4F3A" w:rsidRPr="0089438A" w:rsidRDefault="000E4F3A" w:rsidP="000E4F3A">
            <w:pPr>
              <w:spacing w:line="276" w:lineRule="auto"/>
              <w:jc w:val="center"/>
              <w:rPr>
                <w:rFonts w:cs="Times New Roman"/>
                <w:sz w:val="22"/>
                <w:szCs w:val="22"/>
              </w:rPr>
            </w:pPr>
            <w:r w:rsidRPr="0089438A">
              <w:rPr>
                <w:rFonts w:cs="Times New Roman"/>
                <w:sz w:val="22"/>
                <w:szCs w:val="22"/>
              </w:rPr>
              <w:t>-37</w:t>
            </w:r>
          </w:p>
        </w:tc>
      </w:tr>
      <w:tr w:rsidR="002117D3" w:rsidRPr="0089438A" w14:paraId="164A5DC9" w14:textId="77777777" w:rsidTr="005F2B71">
        <w:trPr>
          <w:trHeight w:val="432"/>
        </w:trPr>
        <w:tc>
          <w:tcPr>
            <w:tcW w:w="3118" w:type="dxa"/>
            <w:gridSpan w:val="3"/>
            <w:tcBorders>
              <w:top w:val="single" w:sz="4" w:space="0" w:color="auto"/>
              <w:bottom w:val="single" w:sz="4" w:space="0" w:color="auto"/>
            </w:tcBorders>
            <w:shd w:val="clear" w:color="auto" w:fill="F2F2F2" w:themeFill="background1" w:themeFillShade="F2"/>
            <w:vAlign w:val="center"/>
          </w:tcPr>
          <w:p w14:paraId="1D066F25" w14:textId="77777777" w:rsidR="002117D3" w:rsidRPr="0089438A" w:rsidRDefault="002117D3" w:rsidP="005F2B71">
            <w:pPr>
              <w:spacing w:line="276" w:lineRule="auto"/>
              <w:rPr>
                <w:rFonts w:cs="Times New Roman"/>
                <w:b/>
                <w:bCs/>
                <w:sz w:val="22"/>
                <w:szCs w:val="22"/>
              </w:rPr>
            </w:pPr>
            <w:r w:rsidRPr="0089438A">
              <w:rPr>
                <w:rFonts w:cs="Times New Roman"/>
                <w:b/>
                <w:bCs/>
                <w:sz w:val="22"/>
                <w:szCs w:val="22"/>
              </w:rPr>
              <w:t>Liver-related mortality</w:t>
            </w:r>
          </w:p>
        </w:tc>
        <w:tc>
          <w:tcPr>
            <w:tcW w:w="3119" w:type="dxa"/>
            <w:gridSpan w:val="3"/>
            <w:tcBorders>
              <w:top w:val="single" w:sz="4" w:space="0" w:color="auto"/>
              <w:bottom w:val="single" w:sz="4" w:space="0" w:color="auto"/>
            </w:tcBorders>
            <w:shd w:val="clear" w:color="auto" w:fill="F2F2F2" w:themeFill="background1" w:themeFillShade="F2"/>
            <w:vAlign w:val="center"/>
          </w:tcPr>
          <w:p w14:paraId="1AE29F8F" w14:textId="77777777" w:rsidR="002117D3" w:rsidRPr="0089438A" w:rsidRDefault="002117D3" w:rsidP="005F2B71">
            <w:pPr>
              <w:spacing w:line="276" w:lineRule="auto"/>
              <w:jc w:val="center"/>
              <w:rPr>
                <w:rFonts w:cs="Times New Roman"/>
                <w:b/>
                <w:bCs/>
                <w:sz w:val="22"/>
                <w:szCs w:val="22"/>
              </w:rPr>
            </w:pPr>
          </w:p>
        </w:tc>
        <w:tc>
          <w:tcPr>
            <w:tcW w:w="3119" w:type="dxa"/>
            <w:gridSpan w:val="2"/>
            <w:tcBorders>
              <w:top w:val="single" w:sz="4" w:space="0" w:color="auto"/>
              <w:bottom w:val="single" w:sz="4" w:space="0" w:color="auto"/>
            </w:tcBorders>
            <w:shd w:val="clear" w:color="auto" w:fill="F2F2F2" w:themeFill="background1" w:themeFillShade="F2"/>
          </w:tcPr>
          <w:p w14:paraId="030FF583" w14:textId="77777777" w:rsidR="002117D3" w:rsidRPr="0089438A" w:rsidRDefault="002117D3" w:rsidP="005F2B71">
            <w:pPr>
              <w:spacing w:line="276" w:lineRule="auto"/>
              <w:jc w:val="center"/>
              <w:rPr>
                <w:rFonts w:cs="Times New Roman"/>
                <w:b/>
                <w:bCs/>
                <w:sz w:val="22"/>
                <w:szCs w:val="22"/>
              </w:rPr>
            </w:pPr>
          </w:p>
        </w:tc>
      </w:tr>
      <w:tr w:rsidR="00906C26" w:rsidRPr="0089438A" w14:paraId="544FB50C" w14:textId="77777777" w:rsidTr="005F2B71">
        <w:trPr>
          <w:trHeight w:val="432"/>
        </w:trPr>
        <w:tc>
          <w:tcPr>
            <w:tcW w:w="1689" w:type="dxa"/>
            <w:tcBorders>
              <w:top w:val="single" w:sz="4" w:space="0" w:color="auto"/>
            </w:tcBorders>
            <w:vAlign w:val="center"/>
          </w:tcPr>
          <w:p w14:paraId="3DFCAE88" w14:textId="77777777" w:rsidR="00906C26" w:rsidRPr="0089438A" w:rsidRDefault="00906C26" w:rsidP="00906C26">
            <w:pPr>
              <w:spacing w:line="276" w:lineRule="auto"/>
              <w:rPr>
                <w:rFonts w:cs="Times New Roman"/>
                <w:sz w:val="22"/>
                <w:szCs w:val="22"/>
              </w:rPr>
            </w:pPr>
            <w:r w:rsidRPr="0089438A">
              <w:rPr>
                <w:rFonts w:cs="Times New Roman"/>
                <w:sz w:val="22"/>
                <w:szCs w:val="22"/>
              </w:rPr>
              <w:t>HDV treatment</w:t>
            </w:r>
          </w:p>
        </w:tc>
        <w:tc>
          <w:tcPr>
            <w:tcW w:w="1288" w:type="dxa"/>
            <w:tcBorders>
              <w:top w:val="single" w:sz="4" w:space="0" w:color="auto"/>
            </w:tcBorders>
            <w:vAlign w:val="center"/>
          </w:tcPr>
          <w:p w14:paraId="21C05EF7" w14:textId="7CD7AD77" w:rsidR="00906C26" w:rsidRPr="0089438A" w:rsidRDefault="00906C26" w:rsidP="00906C26">
            <w:pPr>
              <w:spacing w:line="276" w:lineRule="auto"/>
              <w:jc w:val="center"/>
              <w:rPr>
                <w:rFonts w:cs="Times New Roman"/>
                <w:sz w:val="22"/>
                <w:szCs w:val="22"/>
              </w:rPr>
            </w:pPr>
            <w:r w:rsidRPr="006F4EA3">
              <w:rPr>
                <w:rFonts w:cs="Times New Roman"/>
                <w:sz w:val="22"/>
                <w:szCs w:val="22"/>
              </w:rPr>
              <w:t>7,0</w:t>
            </w:r>
            <w:r>
              <w:rPr>
                <w:rFonts w:cs="Times New Roman"/>
                <w:sz w:val="22"/>
                <w:szCs w:val="22"/>
              </w:rPr>
              <w:t>60</w:t>
            </w:r>
          </w:p>
        </w:tc>
        <w:tc>
          <w:tcPr>
            <w:tcW w:w="1594" w:type="dxa"/>
            <w:gridSpan w:val="2"/>
            <w:tcBorders>
              <w:top w:val="single" w:sz="4" w:space="0" w:color="auto"/>
            </w:tcBorders>
            <w:vAlign w:val="center"/>
          </w:tcPr>
          <w:p w14:paraId="6C07EF1D" w14:textId="77777777" w:rsidR="00906C26" w:rsidRPr="0089438A" w:rsidRDefault="00906C26" w:rsidP="00906C26">
            <w:pPr>
              <w:spacing w:line="276" w:lineRule="auto"/>
              <w:jc w:val="center"/>
              <w:rPr>
                <w:rFonts w:cs="Times New Roman"/>
                <w:sz w:val="22"/>
                <w:szCs w:val="22"/>
              </w:rPr>
            </w:pPr>
            <w:r w:rsidRPr="0089438A">
              <w:rPr>
                <w:rFonts w:cs="Times New Roman"/>
                <w:sz w:val="22"/>
                <w:szCs w:val="22"/>
              </w:rPr>
              <w:t>7,606</w:t>
            </w:r>
          </w:p>
        </w:tc>
        <w:tc>
          <w:tcPr>
            <w:tcW w:w="1595" w:type="dxa"/>
            <w:tcBorders>
              <w:top w:val="single" w:sz="4" w:space="0" w:color="auto"/>
            </w:tcBorders>
            <w:vAlign w:val="center"/>
          </w:tcPr>
          <w:p w14:paraId="076D0D05" w14:textId="77777777" w:rsidR="00906C26" w:rsidRPr="0089438A" w:rsidRDefault="00906C26" w:rsidP="00906C26">
            <w:pPr>
              <w:spacing w:line="276" w:lineRule="auto"/>
              <w:jc w:val="center"/>
              <w:rPr>
                <w:rFonts w:cs="Times New Roman"/>
                <w:sz w:val="22"/>
                <w:szCs w:val="22"/>
              </w:rPr>
            </w:pPr>
            <w:r w:rsidRPr="0089438A">
              <w:rPr>
                <w:rFonts w:cs="Times New Roman"/>
                <w:sz w:val="22"/>
                <w:szCs w:val="22"/>
              </w:rPr>
              <w:t>7,796</w:t>
            </w:r>
          </w:p>
        </w:tc>
        <w:tc>
          <w:tcPr>
            <w:tcW w:w="1595" w:type="dxa"/>
            <w:gridSpan w:val="2"/>
            <w:tcBorders>
              <w:top w:val="single" w:sz="4" w:space="0" w:color="auto"/>
            </w:tcBorders>
            <w:vAlign w:val="center"/>
          </w:tcPr>
          <w:p w14:paraId="7D99386D" w14:textId="77777777" w:rsidR="00906C26" w:rsidRPr="0089438A" w:rsidRDefault="00906C26" w:rsidP="00906C26">
            <w:pPr>
              <w:spacing w:line="276" w:lineRule="auto"/>
              <w:jc w:val="center"/>
              <w:rPr>
                <w:rFonts w:cs="Times New Roman"/>
                <w:sz w:val="22"/>
                <w:szCs w:val="22"/>
              </w:rPr>
            </w:pPr>
            <w:r w:rsidRPr="0089438A">
              <w:rPr>
                <w:rFonts w:cs="Times New Roman"/>
                <w:sz w:val="22"/>
                <w:szCs w:val="22"/>
              </w:rPr>
              <w:t>7,189</w:t>
            </w:r>
          </w:p>
        </w:tc>
        <w:tc>
          <w:tcPr>
            <w:tcW w:w="1595" w:type="dxa"/>
            <w:tcBorders>
              <w:top w:val="single" w:sz="4" w:space="0" w:color="auto"/>
            </w:tcBorders>
            <w:vAlign w:val="center"/>
          </w:tcPr>
          <w:p w14:paraId="7A16B5F7" w14:textId="77777777" w:rsidR="00906C26" w:rsidRPr="0089438A" w:rsidRDefault="00906C26" w:rsidP="00906C26">
            <w:pPr>
              <w:spacing w:line="276" w:lineRule="auto"/>
              <w:jc w:val="center"/>
              <w:rPr>
                <w:rFonts w:cs="Times New Roman"/>
                <w:sz w:val="22"/>
                <w:szCs w:val="22"/>
              </w:rPr>
            </w:pPr>
            <w:r w:rsidRPr="0089438A">
              <w:rPr>
                <w:rFonts w:cs="Times New Roman"/>
                <w:sz w:val="22"/>
                <w:szCs w:val="22"/>
              </w:rPr>
              <w:t>7,474</w:t>
            </w:r>
          </w:p>
        </w:tc>
      </w:tr>
      <w:tr w:rsidR="00906C26" w:rsidRPr="0089438A" w14:paraId="72DAA277" w14:textId="77777777" w:rsidTr="005F2B71">
        <w:trPr>
          <w:trHeight w:val="432"/>
        </w:trPr>
        <w:tc>
          <w:tcPr>
            <w:tcW w:w="1689" w:type="dxa"/>
            <w:vAlign w:val="center"/>
          </w:tcPr>
          <w:p w14:paraId="10E171FE" w14:textId="77777777" w:rsidR="00906C26" w:rsidRPr="0089438A" w:rsidRDefault="00906C26" w:rsidP="00906C26">
            <w:pPr>
              <w:spacing w:line="276" w:lineRule="auto"/>
              <w:rPr>
                <w:rFonts w:cs="Times New Roman"/>
                <w:sz w:val="22"/>
                <w:szCs w:val="22"/>
              </w:rPr>
            </w:pPr>
            <w:r w:rsidRPr="0089438A">
              <w:rPr>
                <w:rFonts w:cs="Times New Roman"/>
                <w:sz w:val="22"/>
                <w:szCs w:val="22"/>
              </w:rPr>
              <w:t>BSC</w:t>
            </w:r>
          </w:p>
        </w:tc>
        <w:tc>
          <w:tcPr>
            <w:tcW w:w="1288" w:type="dxa"/>
            <w:vAlign w:val="center"/>
          </w:tcPr>
          <w:p w14:paraId="33DECE94" w14:textId="7926B1CD" w:rsidR="00906C26" w:rsidRPr="0089438A" w:rsidRDefault="00906C26" w:rsidP="00906C26">
            <w:pPr>
              <w:spacing w:line="276" w:lineRule="auto"/>
              <w:jc w:val="center"/>
              <w:rPr>
                <w:rFonts w:cs="Times New Roman"/>
                <w:sz w:val="22"/>
                <w:szCs w:val="22"/>
              </w:rPr>
            </w:pPr>
            <w:r w:rsidRPr="006F4EA3">
              <w:rPr>
                <w:rFonts w:cs="Times New Roman"/>
                <w:sz w:val="22"/>
                <w:szCs w:val="22"/>
              </w:rPr>
              <w:t>8,435</w:t>
            </w:r>
          </w:p>
        </w:tc>
        <w:tc>
          <w:tcPr>
            <w:tcW w:w="1594" w:type="dxa"/>
            <w:gridSpan w:val="2"/>
            <w:vAlign w:val="center"/>
          </w:tcPr>
          <w:p w14:paraId="05A7CB2D" w14:textId="77777777" w:rsidR="00906C26" w:rsidRPr="0089438A" w:rsidRDefault="00906C26" w:rsidP="00906C26">
            <w:pPr>
              <w:spacing w:line="276" w:lineRule="auto"/>
              <w:jc w:val="center"/>
              <w:rPr>
                <w:rFonts w:cs="Times New Roman"/>
                <w:sz w:val="22"/>
                <w:szCs w:val="22"/>
              </w:rPr>
            </w:pPr>
            <w:r w:rsidRPr="0089438A">
              <w:rPr>
                <w:rFonts w:cs="Times New Roman"/>
                <w:sz w:val="22"/>
                <w:szCs w:val="22"/>
              </w:rPr>
              <w:t>8,435</w:t>
            </w:r>
          </w:p>
        </w:tc>
        <w:tc>
          <w:tcPr>
            <w:tcW w:w="1595" w:type="dxa"/>
            <w:vAlign w:val="center"/>
          </w:tcPr>
          <w:p w14:paraId="112A34CC" w14:textId="77777777" w:rsidR="00906C26" w:rsidRPr="0089438A" w:rsidRDefault="00906C26" w:rsidP="00906C26">
            <w:pPr>
              <w:spacing w:line="276" w:lineRule="auto"/>
              <w:jc w:val="center"/>
              <w:rPr>
                <w:rFonts w:cs="Times New Roman"/>
                <w:sz w:val="22"/>
                <w:szCs w:val="22"/>
              </w:rPr>
            </w:pPr>
            <w:r w:rsidRPr="0089438A">
              <w:rPr>
                <w:rFonts w:cs="Times New Roman"/>
                <w:sz w:val="22"/>
                <w:szCs w:val="22"/>
              </w:rPr>
              <w:t>8,437</w:t>
            </w:r>
          </w:p>
        </w:tc>
        <w:tc>
          <w:tcPr>
            <w:tcW w:w="1595" w:type="dxa"/>
            <w:gridSpan w:val="2"/>
            <w:vAlign w:val="center"/>
          </w:tcPr>
          <w:p w14:paraId="1B383979" w14:textId="77777777" w:rsidR="00906C26" w:rsidRPr="0089438A" w:rsidRDefault="00906C26" w:rsidP="00906C26">
            <w:pPr>
              <w:spacing w:line="276" w:lineRule="auto"/>
              <w:jc w:val="center"/>
              <w:rPr>
                <w:rFonts w:cs="Times New Roman"/>
                <w:sz w:val="22"/>
                <w:szCs w:val="22"/>
              </w:rPr>
            </w:pPr>
            <w:r w:rsidRPr="0089438A">
              <w:rPr>
                <w:rFonts w:cs="Times New Roman"/>
                <w:sz w:val="22"/>
                <w:szCs w:val="22"/>
              </w:rPr>
              <w:t>8,435</w:t>
            </w:r>
          </w:p>
        </w:tc>
        <w:tc>
          <w:tcPr>
            <w:tcW w:w="1595" w:type="dxa"/>
            <w:vAlign w:val="center"/>
          </w:tcPr>
          <w:p w14:paraId="570195BF" w14:textId="77777777" w:rsidR="00906C26" w:rsidRPr="0089438A" w:rsidRDefault="00906C26" w:rsidP="00906C26">
            <w:pPr>
              <w:spacing w:line="276" w:lineRule="auto"/>
              <w:jc w:val="center"/>
              <w:rPr>
                <w:rFonts w:cs="Times New Roman"/>
                <w:sz w:val="22"/>
                <w:szCs w:val="22"/>
              </w:rPr>
            </w:pPr>
            <w:r w:rsidRPr="0089438A">
              <w:rPr>
                <w:rFonts w:cs="Times New Roman"/>
                <w:sz w:val="22"/>
                <w:szCs w:val="22"/>
              </w:rPr>
              <w:t>8,437</w:t>
            </w:r>
          </w:p>
        </w:tc>
      </w:tr>
      <w:tr w:rsidR="00906C26" w:rsidRPr="0089438A" w14:paraId="69CBA81C" w14:textId="77777777" w:rsidTr="005F2B71">
        <w:trPr>
          <w:trHeight w:val="432"/>
        </w:trPr>
        <w:tc>
          <w:tcPr>
            <w:tcW w:w="1689" w:type="dxa"/>
            <w:tcBorders>
              <w:bottom w:val="single" w:sz="4" w:space="0" w:color="auto"/>
            </w:tcBorders>
            <w:vAlign w:val="center"/>
          </w:tcPr>
          <w:p w14:paraId="4897A684" w14:textId="77777777" w:rsidR="00906C26" w:rsidRPr="0089438A" w:rsidRDefault="00906C26" w:rsidP="00906C26">
            <w:pPr>
              <w:spacing w:line="276" w:lineRule="auto"/>
              <w:rPr>
                <w:rFonts w:cs="Times New Roman"/>
                <w:sz w:val="22"/>
                <w:szCs w:val="22"/>
              </w:rPr>
            </w:pPr>
            <w:r w:rsidRPr="0089438A">
              <w:rPr>
                <w:rFonts w:cs="Times New Roman"/>
                <w:sz w:val="22"/>
                <w:szCs w:val="22"/>
              </w:rPr>
              <w:t xml:space="preserve">   Difference</w:t>
            </w:r>
          </w:p>
        </w:tc>
        <w:tc>
          <w:tcPr>
            <w:tcW w:w="1288" w:type="dxa"/>
            <w:tcBorders>
              <w:bottom w:val="single" w:sz="4" w:space="0" w:color="auto"/>
            </w:tcBorders>
            <w:vAlign w:val="center"/>
          </w:tcPr>
          <w:p w14:paraId="7CDBF662" w14:textId="5C80042D" w:rsidR="00906C26" w:rsidRPr="0089438A" w:rsidRDefault="00906C26" w:rsidP="00906C26">
            <w:pPr>
              <w:spacing w:line="276" w:lineRule="auto"/>
              <w:jc w:val="center"/>
              <w:rPr>
                <w:rFonts w:cs="Times New Roman"/>
                <w:sz w:val="22"/>
                <w:szCs w:val="22"/>
              </w:rPr>
            </w:pPr>
            <w:r w:rsidRPr="006F4EA3">
              <w:rPr>
                <w:rFonts w:cs="Times New Roman"/>
                <w:sz w:val="22"/>
                <w:szCs w:val="22"/>
              </w:rPr>
              <w:t>-1,3</w:t>
            </w:r>
            <w:r>
              <w:rPr>
                <w:rFonts w:cs="Times New Roman"/>
                <w:sz w:val="22"/>
                <w:szCs w:val="22"/>
              </w:rPr>
              <w:t>75</w:t>
            </w:r>
          </w:p>
        </w:tc>
        <w:tc>
          <w:tcPr>
            <w:tcW w:w="1594" w:type="dxa"/>
            <w:gridSpan w:val="2"/>
            <w:tcBorders>
              <w:bottom w:val="single" w:sz="4" w:space="0" w:color="auto"/>
            </w:tcBorders>
            <w:vAlign w:val="center"/>
          </w:tcPr>
          <w:p w14:paraId="1D88050A" w14:textId="77777777" w:rsidR="00906C26" w:rsidRPr="0089438A" w:rsidRDefault="00906C26" w:rsidP="00906C26">
            <w:pPr>
              <w:spacing w:line="276" w:lineRule="auto"/>
              <w:jc w:val="center"/>
              <w:rPr>
                <w:rFonts w:cs="Times New Roman"/>
                <w:sz w:val="22"/>
                <w:szCs w:val="22"/>
              </w:rPr>
            </w:pPr>
            <w:r w:rsidRPr="0089438A">
              <w:rPr>
                <w:rFonts w:cs="Times New Roman"/>
                <w:sz w:val="22"/>
                <w:szCs w:val="22"/>
              </w:rPr>
              <w:t>-829</w:t>
            </w:r>
          </w:p>
        </w:tc>
        <w:tc>
          <w:tcPr>
            <w:tcW w:w="1595" w:type="dxa"/>
            <w:tcBorders>
              <w:bottom w:val="single" w:sz="4" w:space="0" w:color="auto"/>
            </w:tcBorders>
            <w:vAlign w:val="center"/>
          </w:tcPr>
          <w:p w14:paraId="063618CB" w14:textId="77777777" w:rsidR="00906C26" w:rsidRPr="0089438A" w:rsidRDefault="00906C26" w:rsidP="00906C26">
            <w:pPr>
              <w:spacing w:line="276" w:lineRule="auto"/>
              <w:jc w:val="center"/>
              <w:rPr>
                <w:rFonts w:cs="Times New Roman"/>
                <w:sz w:val="22"/>
                <w:szCs w:val="22"/>
              </w:rPr>
            </w:pPr>
            <w:r w:rsidRPr="0089438A">
              <w:rPr>
                <w:rFonts w:cs="Times New Roman"/>
                <w:sz w:val="22"/>
                <w:szCs w:val="22"/>
              </w:rPr>
              <w:t>-641</w:t>
            </w:r>
          </w:p>
        </w:tc>
        <w:tc>
          <w:tcPr>
            <w:tcW w:w="1595" w:type="dxa"/>
            <w:gridSpan w:val="2"/>
            <w:tcBorders>
              <w:bottom w:val="single" w:sz="4" w:space="0" w:color="auto"/>
            </w:tcBorders>
            <w:vAlign w:val="center"/>
          </w:tcPr>
          <w:p w14:paraId="6461D426" w14:textId="77777777" w:rsidR="00906C26" w:rsidRPr="0089438A" w:rsidRDefault="00906C26" w:rsidP="00906C26">
            <w:pPr>
              <w:spacing w:line="276" w:lineRule="auto"/>
              <w:jc w:val="center"/>
              <w:rPr>
                <w:rFonts w:cs="Times New Roman"/>
                <w:sz w:val="22"/>
                <w:szCs w:val="22"/>
              </w:rPr>
            </w:pPr>
            <w:r w:rsidRPr="0089438A">
              <w:rPr>
                <w:rFonts w:cs="Times New Roman"/>
                <w:sz w:val="22"/>
                <w:szCs w:val="22"/>
              </w:rPr>
              <w:t>-1,246</w:t>
            </w:r>
          </w:p>
        </w:tc>
        <w:tc>
          <w:tcPr>
            <w:tcW w:w="1595" w:type="dxa"/>
            <w:tcBorders>
              <w:bottom w:val="single" w:sz="4" w:space="0" w:color="auto"/>
            </w:tcBorders>
            <w:vAlign w:val="center"/>
          </w:tcPr>
          <w:p w14:paraId="18149CAF" w14:textId="77777777" w:rsidR="00906C26" w:rsidRPr="0089438A" w:rsidRDefault="00906C26" w:rsidP="00906C26">
            <w:pPr>
              <w:spacing w:line="276" w:lineRule="auto"/>
              <w:jc w:val="center"/>
              <w:rPr>
                <w:rFonts w:cs="Times New Roman"/>
                <w:sz w:val="22"/>
                <w:szCs w:val="22"/>
              </w:rPr>
            </w:pPr>
            <w:r w:rsidRPr="0089438A">
              <w:rPr>
                <w:rFonts w:cs="Times New Roman"/>
                <w:sz w:val="22"/>
                <w:szCs w:val="22"/>
              </w:rPr>
              <w:t>-962</w:t>
            </w:r>
          </w:p>
        </w:tc>
      </w:tr>
    </w:tbl>
    <w:p w14:paraId="44FD1F66" w14:textId="77777777" w:rsidR="002117D3" w:rsidRDefault="002117D3" w:rsidP="002117D3">
      <w:pPr>
        <w:keepLines/>
        <w:spacing w:before="60" w:after="60"/>
        <w:rPr>
          <w:sz w:val="18"/>
          <w:szCs w:val="18"/>
        </w:rPr>
      </w:pPr>
      <w:r>
        <w:rPr>
          <w:sz w:val="18"/>
          <w:szCs w:val="18"/>
        </w:rPr>
        <w:t>CC, compensated cirrhosis; DCC, decompensated cirrhosis; HCC, hepatocellular carcinoma; HDV, hepatitis D virus; LT, liver transplant.</w:t>
      </w:r>
    </w:p>
    <w:p w14:paraId="4078D88E" w14:textId="209304A5" w:rsidR="002117D3" w:rsidRDefault="002117D3">
      <w:pPr>
        <w:spacing w:after="160" w:line="259" w:lineRule="auto"/>
      </w:pPr>
      <w:r>
        <w:br w:type="page"/>
      </w:r>
    </w:p>
    <w:p w14:paraId="21ACBBDF" w14:textId="258098A9" w:rsidR="002117D3" w:rsidRPr="001861BA" w:rsidRDefault="002117D3" w:rsidP="002117D3">
      <w:pPr>
        <w:keepNext/>
        <w:spacing w:after="120" w:line="360" w:lineRule="auto"/>
        <w:rPr>
          <w:b/>
          <w:bCs/>
        </w:rPr>
      </w:pPr>
      <w:r>
        <w:rPr>
          <w:b/>
          <w:bCs/>
        </w:rPr>
        <w:lastRenderedPageBreak/>
        <w:t>Table S2. No regression</w:t>
      </w:r>
      <w:r w:rsidRPr="001861BA">
        <w:rPr>
          <w:b/>
          <w:bCs/>
        </w:rPr>
        <w:t xml:space="preserve"> </w:t>
      </w:r>
      <w:r>
        <w:rPr>
          <w:b/>
          <w:bCs/>
        </w:rPr>
        <w:t xml:space="preserve">scenario analyses </w:t>
      </w:r>
      <w:r w:rsidRPr="001861BA">
        <w:rPr>
          <w:b/>
          <w:bCs/>
        </w:rPr>
        <w:t>(per 10,000 patients)</w:t>
      </w:r>
    </w:p>
    <w:tbl>
      <w:tblPr>
        <w:tblStyle w:val="TableGrid"/>
        <w:tblW w:w="7933" w:type="dxa"/>
        <w:tblBorders>
          <w:left w:val="none" w:sz="0" w:space="0" w:color="auto"/>
          <w:right w:val="none" w:sz="0" w:space="0" w:color="auto"/>
          <w:insideV w:val="none" w:sz="0" w:space="0" w:color="auto"/>
        </w:tblBorders>
        <w:tblLook w:val="04A0" w:firstRow="1" w:lastRow="0" w:firstColumn="1" w:lastColumn="0" w:noHBand="0" w:noVBand="1"/>
      </w:tblPr>
      <w:tblGrid>
        <w:gridCol w:w="1980"/>
        <w:gridCol w:w="1843"/>
        <w:gridCol w:w="1842"/>
        <w:gridCol w:w="2268"/>
      </w:tblGrid>
      <w:tr w:rsidR="002117D3" w:rsidRPr="005417DE" w14:paraId="22297088" w14:textId="77777777" w:rsidTr="005F2B71">
        <w:trPr>
          <w:trHeight w:val="20"/>
        </w:trPr>
        <w:tc>
          <w:tcPr>
            <w:tcW w:w="1980" w:type="dxa"/>
            <w:vAlign w:val="center"/>
          </w:tcPr>
          <w:p w14:paraId="7AB00D7C" w14:textId="77777777" w:rsidR="002117D3" w:rsidRPr="005417DE" w:rsidRDefault="002117D3" w:rsidP="005F2B71">
            <w:pPr>
              <w:spacing w:line="276" w:lineRule="auto"/>
              <w:rPr>
                <w:b/>
                <w:bCs/>
                <w:sz w:val="22"/>
                <w:szCs w:val="22"/>
              </w:rPr>
            </w:pPr>
          </w:p>
        </w:tc>
        <w:tc>
          <w:tcPr>
            <w:tcW w:w="1843" w:type="dxa"/>
            <w:vAlign w:val="center"/>
          </w:tcPr>
          <w:p w14:paraId="1390E83E" w14:textId="77777777" w:rsidR="00D906FF" w:rsidRDefault="002117D3" w:rsidP="005F2B71">
            <w:pPr>
              <w:spacing w:line="276" w:lineRule="auto"/>
              <w:jc w:val="center"/>
              <w:rPr>
                <w:b/>
                <w:bCs/>
                <w:sz w:val="22"/>
                <w:szCs w:val="22"/>
              </w:rPr>
            </w:pPr>
            <w:r w:rsidRPr="005417DE">
              <w:rPr>
                <w:b/>
                <w:bCs/>
                <w:sz w:val="22"/>
                <w:szCs w:val="22"/>
              </w:rPr>
              <w:t>Base case</w:t>
            </w:r>
            <w:r w:rsidR="00D906FF">
              <w:rPr>
                <w:b/>
                <w:bCs/>
                <w:sz w:val="22"/>
                <w:szCs w:val="22"/>
              </w:rPr>
              <w:t xml:space="preserve"> </w:t>
            </w:r>
          </w:p>
          <w:p w14:paraId="4F024615" w14:textId="61AD7619" w:rsidR="002117D3" w:rsidRPr="005417DE" w:rsidRDefault="00D906FF" w:rsidP="005F2B71">
            <w:pPr>
              <w:spacing w:line="276" w:lineRule="auto"/>
              <w:jc w:val="center"/>
              <w:rPr>
                <w:b/>
                <w:bCs/>
                <w:sz w:val="22"/>
                <w:szCs w:val="22"/>
              </w:rPr>
            </w:pPr>
            <w:r>
              <w:rPr>
                <w:b/>
                <w:bCs/>
                <w:sz w:val="22"/>
                <w:szCs w:val="22"/>
              </w:rPr>
              <w:t>(</w:t>
            </w:r>
            <w:r w:rsidR="00AF13B1">
              <w:rPr>
                <w:b/>
                <w:bCs/>
                <w:sz w:val="22"/>
                <w:szCs w:val="22"/>
              </w:rPr>
              <w:t>75</w:t>
            </w:r>
            <w:r>
              <w:rPr>
                <w:b/>
                <w:bCs/>
                <w:sz w:val="22"/>
                <w:szCs w:val="22"/>
              </w:rPr>
              <w:t>% responder rate)</w:t>
            </w:r>
          </w:p>
        </w:tc>
        <w:tc>
          <w:tcPr>
            <w:tcW w:w="1842" w:type="dxa"/>
          </w:tcPr>
          <w:p w14:paraId="25476D2C" w14:textId="77777777" w:rsidR="002117D3" w:rsidRPr="005417DE" w:rsidRDefault="002117D3" w:rsidP="005F2B71">
            <w:pPr>
              <w:spacing w:line="276" w:lineRule="auto"/>
              <w:jc w:val="center"/>
              <w:rPr>
                <w:b/>
                <w:bCs/>
                <w:sz w:val="22"/>
                <w:szCs w:val="22"/>
              </w:rPr>
            </w:pPr>
            <w:r w:rsidRPr="005417DE">
              <w:rPr>
                <w:b/>
                <w:bCs/>
                <w:sz w:val="22"/>
                <w:szCs w:val="22"/>
              </w:rPr>
              <w:t>50% responder rate</w:t>
            </w:r>
          </w:p>
        </w:tc>
        <w:tc>
          <w:tcPr>
            <w:tcW w:w="2268" w:type="dxa"/>
            <w:vAlign w:val="center"/>
          </w:tcPr>
          <w:p w14:paraId="4033E6C9" w14:textId="77777777" w:rsidR="002117D3" w:rsidRPr="005417DE" w:rsidRDefault="002117D3" w:rsidP="005F2B71">
            <w:pPr>
              <w:spacing w:line="276" w:lineRule="auto"/>
              <w:jc w:val="center"/>
              <w:rPr>
                <w:b/>
                <w:bCs/>
                <w:sz w:val="22"/>
                <w:szCs w:val="22"/>
              </w:rPr>
            </w:pPr>
            <w:r w:rsidRPr="005417DE">
              <w:rPr>
                <w:b/>
                <w:bCs/>
                <w:sz w:val="22"/>
                <w:szCs w:val="22"/>
              </w:rPr>
              <w:t>75% responder rate</w:t>
            </w:r>
          </w:p>
        </w:tc>
      </w:tr>
      <w:tr w:rsidR="002117D3" w:rsidRPr="005417DE" w14:paraId="5D2C9830" w14:textId="77777777" w:rsidTr="005F2B71">
        <w:trPr>
          <w:trHeight w:val="20"/>
        </w:trPr>
        <w:tc>
          <w:tcPr>
            <w:tcW w:w="7933" w:type="dxa"/>
            <w:gridSpan w:val="4"/>
            <w:shd w:val="clear" w:color="auto" w:fill="F2F2F2" w:themeFill="background1" w:themeFillShade="F2"/>
            <w:vAlign w:val="center"/>
          </w:tcPr>
          <w:p w14:paraId="2ACEDE22" w14:textId="77777777" w:rsidR="002117D3" w:rsidRPr="005417DE" w:rsidRDefault="002117D3" w:rsidP="005F2B71">
            <w:pPr>
              <w:spacing w:line="276" w:lineRule="auto"/>
              <w:rPr>
                <w:sz w:val="22"/>
                <w:szCs w:val="22"/>
              </w:rPr>
            </w:pPr>
            <w:r w:rsidRPr="005417DE">
              <w:rPr>
                <w:b/>
                <w:bCs/>
                <w:sz w:val="22"/>
                <w:szCs w:val="22"/>
              </w:rPr>
              <w:t>CC</w:t>
            </w:r>
          </w:p>
        </w:tc>
      </w:tr>
      <w:tr w:rsidR="002117D3" w:rsidRPr="005417DE" w14:paraId="41B6D65E" w14:textId="77777777" w:rsidTr="005F2B71">
        <w:trPr>
          <w:trHeight w:val="20"/>
        </w:trPr>
        <w:tc>
          <w:tcPr>
            <w:tcW w:w="1980" w:type="dxa"/>
            <w:vAlign w:val="center"/>
          </w:tcPr>
          <w:p w14:paraId="12D7617A" w14:textId="77777777" w:rsidR="002117D3" w:rsidRPr="005417DE" w:rsidRDefault="002117D3" w:rsidP="005F2B71">
            <w:pPr>
              <w:spacing w:line="276" w:lineRule="auto"/>
              <w:rPr>
                <w:sz w:val="22"/>
                <w:szCs w:val="22"/>
              </w:rPr>
            </w:pPr>
            <w:r w:rsidRPr="005417DE">
              <w:rPr>
                <w:sz w:val="22"/>
                <w:szCs w:val="22"/>
              </w:rPr>
              <w:t>HDV treatment</w:t>
            </w:r>
          </w:p>
        </w:tc>
        <w:tc>
          <w:tcPr>
            <w:tcW w:w="1843" w:type="dxa"/>
            <w:vAlign w:val="center"/>
          </w:tcPr>
          <w:p w14:paraId="6BC33858" w14:textId="362D122F" w:rsidR="002117D3" w:rsidRPr="005417DE" w:rsidRDefault="00AF13B1" w:rsidP="005F2B71">
            <w:pPr>
              <w:spacing w:line="276" w:lineRule="auto"/>
              <w:jc w:val="center"/>
              <w:rPr>
                <w:sz w:val="22"/>
                <w:szCs w:val="22"/>
              </w:rPr>
            </w:pPr>
            <w:r>
              <w:rPr>
                <w:sz w:val="22"/>
                <w:szCs w:val="22"/>
              </w:rPr>
              <w:t>2,999</w:t>
            </w:r>
          </w:p>
        </w:tc>
        <w:tc>
          <w:tcPr>
            <w:tcW w:w="1842" w:type="dxa"/>
            <w:vAlign w:val="center"/>
          </w:tcPr>
          <w:p w14:paraId="3B557C8F" w14:textId="7A1F54C3" w:rsidR="002117D3" w:rsidRPr="005417DE" w:rsidRDefault="00014762" w:rsidP="005F2B71">
            <w:pPr>
              <w:spacing w:line="276" w:lineRule="auto"/>
              <w:jc w:val="center"/>
              <w:rPr>
                <w:sz w:val="22"/>
                <w:szCs w:val="22"/>
              </w:rPr>
            </w:pPr>
            <w:r>
              <w:rPr>
                <w:sz w:val="22"/>
                <w:szCs w:val="22"/>
              </w:rPr>
              <w:t>3,109</w:t>
            </w:r>
          </w:p>
        </w:tc>
        <w:tc>
          <w:tcPr>
            <w:tcW w:w="2268" w:type="dxa"/>
            <w:vAlign w:val="center"/>
          </w:tcPr>
          <w:p w14:paraId="599845B3" w14:textId="1F03A5D1" w:rsidR="002117D3" w:rsidRPr="005417DE" w:rsidRDefault="00170335" w:rsidP="005F2B71">
            <w:pPr>
              <w:spacing w:line="276" w:lineRule="auto"/>
              <w:jc w:val="center"/>
              <w:rPr>
                <w:sz w:val="22"/>
                <w:szCs w:val="22"/>
              </w:rPr>
            </w:pPr>
            <w:r>
              <w:rPr>
                <w:sz w:val="22"/>
                <w:szCs w:val="22"/>
              </w:rPr>
              <w:t>2,999</w:t>
            </w:r>
          </w:p>
        </w:tc>
      </w:tr>
      <w:tr w:rsidR="002117D3" w:rsidRPr="005417DE" w14:paraId="4C7C3A15" w14:textId="77777777" w:rsidTr="005F2B71">
        <w:trPr>
          <w:trHeight w:val="20"/>
        </w:trPr>
        <w:tc>
          <w:tcPr>
            <w:tcW w:w="1980" w:type="dxa"/>
            <w:vAlign w:val="center"/>
          </w:tcPr>
          <w:p w14:paraId="1E4AB508" w14:textId="77777777" w:rsidR="002117D3" w:rsidRPr="005417DE" w:rsidRDefault="002117D3" w:rsidP="005F2B71">
            <w:pPr>
              <w:spacing w:line="276" w:lineRule="auto"/>
              <w:rPr>
                <w:sz w:val="22"/>
                <w:szCs w:val="22"/>
              </w:rPr>
            </w:pPr>
            <w:r w:rsidRPr="005417DE">
              <w:rPr>
                <w:sz w:val="22"/>
                <w:szCs w:val="22"/>
              </w:rPr>
              <w:t>BSC</w:t>
            </w:r>
          </w:p>
        </w:tc>
        <w:tc>
          <w:tcPr>
            <w:tcW w:w="1843" w:type="dxa"/>
            <w:vAlign w:val="center"/>
          </w:tcPr>
          <w:p w14:paraId="330FC86D" w14:textId="69FD08D5" w:rsidR="002117D3" w:rsidRPr="005417DE" w:rsidRDefault="002117D3" w:rsidP="005F2B71">
            <w:pPr>
              <w:spacing w:line="276" w:lineRule="auto"/>
              <w:jc w:val="center"/>
              <w:rPr>
                <w:sz w:val="22"/>
                <w:szCs w:val="22"/>
              </w:rPr>
            </w:pPr>
            <w:r w:rsidRPr="005417DE">
              <w:rPr>
                <w:rFonts w:cs="Times New Roman"/>
                <w:sz w:val="22"/>
                <w:szCs w:val="22"/>
              </w:rPr>
              <w:t>3,</w:t>
            </w:r>
            <w:r w:rsidR="006270C8">
              <w:rPr>
                <w:rFonts w:cs="Times New Roman"/>
                <w:sz w:val="22"/>
                <w:szCs w:val="22"/>
              </w:rPr>
              <w:t>327</w:t>
            </w:r>
          </w:p>
        </w:tc>
        <w:tc>
          <w:tcPr>
            <w:tcW w:w="1842" w:type="dxa"/>
            <w:vAlign w:val="center"/>
          </w:tcPr>
          <w:p w14:paraId="7F88D33D" w14:textId="2B48BF47" w:rsidR="002117D3" w:rsidRPr="005417DE" w:rsidRDefault="002117D3" w:rsidP="005F2B71">
            <w:pPr>
              <w:spacing w:line="276" w:lineRule="auto"/>
              <w:jc w:val="center"/>
              <w:rPr>
                <w:sz w:val="22"/>
                <w:szCs w:val="22"/>
              </w:rPr>
            </w:pPr>
            <w:r w:rsidRPr="005417DE">
              <w:rPr>
                <w:sz w:val="22"/>
                <w:szCs w:val="22"/>
              </w:rPr>
              <w:t>3,32</w:t>
            </w:r>
            <w:r w:rsidR="00D92E5D">
              <w:rPr>
                <w:sz w:val="22"/>
                <w:szCs w:val="22"/>
              </w:rPr>
              <w:t>7</w:t>
            </w:r>
          </w:p>
        </w:tc>
        <w:tc>
          <w:tcPr>
            <w:tcW w:w="2268" w:type="dxa"/>
            <w:vAlign w:val="center"/>
          </w:tcPr>
          <w:p w14:paraId="3F1CBC9A" w14:textId="20DECFDA" w:rsidR="002117D3" w:rsidRPr="005417DE" w:rsidRDefault="002117D3" w:rsidP="005F2B71">
            <w:pPr>
              <w:spacing w:line="276" w:lineRule="auto"/>
              <w:jc w:val="center"/>
              <w:rPr>
                <w:sz w:val="22"/>
                <w:szCs w:val="22"/>
              </w:rPr>
            </w:pPr>
            <w:r w:rsidRPr="005417DE">
              <w:rPr>
                <w:sz w:val="22"/>
                <w:szCs w:val="22"/>
              </w:rPr>
              <w:t>3,32</w:t>
            </w:r>
            <w:r w:rsidR="00D92E5D">
              <w:rPr>
                <w:sz w:val="22"/>
                <w:szCs w:val="22"/>
              </w:rPr>
              <w:t>7</w:t>
            </w:r>
          </w:p>
        </w:tc>
      </w:tr>
      <w:tr w:rsidR="002117D3" w:rsidRPr="005417DE" w14:paraId="58041BC9" w14:textId="77777777" w:rsidTr="005F2B71">
        <w:trPr>
          <w:trHeight w:val="20"/>
        </w:trPr>
        <w:tc>
          <w:tcPr>
            <w:tcW w:w="1980" w:type="dxa"/>
            <w:vAlign w:val="center"/>
          </w:tcPr>
          <w:p w14:paraId="54CD252C" w14:textId="77777777" w:rsidR="002117D3" w:rsidRPr="005417DE" w:rsidRDefault="002117D3" w:rsidP="005F2B71">
            <w:pPr>
              <w:spacing w:line="276" w:lineRule="auto"/>
              <w:rPr>
                <w:sz w:val="22"/>
                <w:szCs w:val="22"/>
              </w:rPr>
            </w:pPr>
            <w:r w:rsidRPr="005417DE">
              <w:rPr>
                <w:sz w:val="22"/>
                <w:szCs w:val="22"/>
              </w:rPr>
              <w:t xml:space="preserve">   Difference</w:t>
            </w:r>
          </w:p>
        </w:tc>
        <w:tc>
          <w:tcPr>
            <w:tcW w:w="1843" w:type="dxa"/>
            <w:vAlign w:val="center"/>
          </w:tcPr>
          <w:p w14:paraId="5D17F840" w14:textId="1ED8957F" w:rsidR="002117D3" w:rsidRPr="005417DE" w:rsidRDefault="00D92E5D" w:rsidP="005F2B71">
            <w:pPr>
              <w:spacing w:line="276" w:lineRule="auto"/>
              <w:jc w:val="center"/>
              <w:rPr>
                <w:sz w:val="22"/>
                <w:szCs w:val="22"/>
              </w:rPr>
            </w:pPr>
            <w:r>
              <w:rPr>
                <w:rFonts w:cs="Times New Roman"/>
                <w:sz w:val="22"/>
                <w:szCs w:val="22"/>
              </w:rPr>
              <w:t>-</w:t>
            </w:r>
            <w:r w:rsidR="00AF13B1">
              <w:rPr>
                <w:rFonts w:cs="Times New Roman"/>
                <w:sz w:val="22"/>
                <w:szCs w:val="22"/>
              </w:rPr>
              <w:t>328</w:t>
            </w:r>
          </w:p>
        </w:tc>
        <w:tc>
          <w:tcPr>
            <w:tcW w:w="1842" w:type="dxa"/>
            <w:vAlign w:val="center"/>
          </w:tcPr>
          <w:p w14:paraId="7B9BA555" w14:textId="75EBDE8F" w:rsidR="002117D3" w:rsidRPr="005417DE" w:rsidRDefault="002117D3" w:rsidP="005F2B71">
            <w:pPr>
              <w:spacing w:line="276" w:lineRule="auto"/>
              <w:jc w:val="center"/>
              <w:rPr>
                <w:sz w:val="22"/>
                <w:szCs w:val="22"/>
              </w:rPr>
            </w:pPr>
            <w:r w:rsidRPr="005417DE">
              <w:rPr>
                <w:sz w:val="22"/>
                <w:szCs w:val="22"/>
              </w:rPr>
              <w:t>-</w:t>
            </w:r>
            <w:r w:rsidR="00C859ED">
              <w:rPr>
                <w:sz w:val="22"/>
                <w:szCs w:val="22"/>
              </w:rPr>
              <w:t>217</w:t>
            </w:r>
          </w:p>
        </w:tc>
        <w:tc>
          <w:tcPr>
            <w:tcW w:w="2268" w:type="dxa"/>
            <w:vAlign w:val="center"/>
          </w:tcPr>
          <w:p w14:paraId="1D22B846" w14:textId="74C60157" w:rsidR="002117D3" w:rsidRPr="005417DE" w:rsidRDefault="002117D3" w:rsidP="005F2B71">
            <w:pPr>
              <w:spacing w:line="276" w:lineRule="auto"/>
              <w:jc w:val="center"/>
              <w:rPr>
                <w:sz w:val="22"/>
                <w:szCs w:val="22"/>
              </w:rPr>
            </w:pPr>
            <w:r w:rsidRPr="005417DE">
              <w:rPr>
                <w:sz w:val="22"/>
                <w:szCs w:val="22"/>
              </w:rPr>
              <w:t>-</w:t>
            </w:r>
            <w:r w:rsidR="00170335">
              <w:rPr>
                <w:sz w:val="22"/>
                <w:szCs w:val="22"/>
              </w:rPr>
              <w:t>32</w:t>
            </w:r>
            <w:r w:rsidR="00D92E5D">
              <w:rPr>
                <w:sz w:val="22"/>
                <w:szCs w:val="22"/>
              </w:rPr>
              <w:t>8</w:t>
            </w:r>
          </w:p>
        </w:tc>
      </w:tr>
      <w:tr w:rsidR="002117D3" w:rsidRPr="005417DE" w14:paraId="25FB0F7B" w14:textId="77777777" w:rsidTr="005F2B71">
        <w:trPr>
          <w:trHeight w:val="20"/>
        </w:trPr>
        <w:tc>
          <w:tcPr>
            <w:tcW w:w="7933" w:type="dxa"/>
            <w:gridSpan w:val="4"/>
            <w:shd w:val="clear" w:color="auto" w:fill="F2F2F2" w:themeFill="background1" w:themeFillShade="F2"/>
            <w:vAlign w:val="center"/>
          </w:tcPr>
          <w:p w14:paraId="30AADD5D" w14:textId="77777777" w:rsidR="002117D3" w:rsidRPr="005417DE" w:rsidRDefault="002117D3" w:rsidP="005F2B71">
            <w:pPr>
              <w:spacing w:line="276" w:lineRule="auto"/>
              <w:rPr>
                <w:sz w:val="22"/>
                <w:szCs w:val="22"/>
              </w:rPr>
            </w:pPr>
            <w:r w:rsidRPr="005417DE">
              <w:rPr>
                <w:b/>
                <w:bCs/>
                <w:sz w:val="22"/>
                <w:szCs w:val="22"/>
              </w:rPr>
              <w:t>DCC</w:t>
            </w:r>
          </w:p>
        </w:tc>
      </w:tr>
      <w:tr w:rsidR="002117D3" w:rsidRPr="005417DE" w14:paraId="507878CD" w14:textId="77777777" w:rsidTr="005F2B71">
        <w:trPr>
          <w:trHeight w:val="20"/>
        </w:trPr>
        <w:tc>
          <w:tcPr>
            <w:tcW w:w="1980" w:type="dxa"/>
            <w:vAlign w:val="center"/>
          </w:tcPr>
          <w:p w14:paraId="2B8D9B3B" w14:textId="77777777" w:rsidR="002117D3" w:rsidRPr="005417DE" w:rsidRDefault="002117D3" w:rsidP="005F2B71">
            <w:pPr>
              <w:spacing w:line="276" w:lineRule="auto"/>
              <w:rPr>
                <w:sz w:val="22"/>
                <w:szCs w:val="22"/>
              </w:rPr>
            </w:pPr>
            <w:r w:rsidRPr="005417DE">
              <w:rPr>
                <w:sz w:val="22"/>
                <w:szCs w:val="22"/>
              </w:rPr>
              <w:t>HDV treatment</w:t>
            </w:r>
          </w:p>
        </w:tc>
        <w:tc>
          <w:tcPr>
            <w:tcW w:w="1843" w:type="dxa"/>
            <w:vAlign w:val="center"/>
          </w:tcPr>
          <w:p w14:paraId="7288ED17" w14:textId="6B2E6E4C" w:rsidR="002117D3" w:rsidRPr="005417DE" w:rsidRDefault="006270C8" w:rsidP="005F2B71">
            <w:pPr>
              <w:spacing w:line="276" w:lineRule="auto"/>
              <w:jc w:val="center"/>
              <w:rPr>
                <w:sz w:val="22"/>
                <w:szCs w:val="22"/>
              </w:rPr>
            </w:pPr>
            <w:r>
              <w:rPr>
                <w:rFonts w:cs="Times New Roman"/>
                <w:sz w:val="22"/>
                <w:szCs w:val="22"/>
              </w:rPr>
              <w:t>2,659</w:t>
            </w:r>
          </w:p>
        </w:tc>
        <w:tc>
          <w:tcPr>
            <w:tcW w:w="1842" w:type="dxa"/>
            <w:vAlign w:val="center"/>
          </w:tcPr>
          <w:p w14:paraId="09FC7036" w14:textId="6F4A5803" w:rsidR="002117D3" w:rsidRPr="005417DE" w:rsidRDefault="002117D3" w:rsidP="005F2B71">
            <w:pPr>
              <w:spacing w:line="276" w:lineRule="auto"/>
              <w:jc w:val="center"/>
              <w:rPr>
                <w:sz w:val="22"/>
                <w:szCs w:val="22"/>
              </w:rPr>
            </w:pPr>
            <w:r w:rsidRPr="005417DE">
              <w:rPr>
                <w:sz w:val="22"/>
                <w:szCs w:val="22"/>
              </w:rPr>
              <w:t>3,</w:t>
            </w:r>
            <w:r w:rsidR="00014762">
              <w:rPr>
                <w:sz w:val="22"/>
                <w:szCs w:val="22"/>
              </w:rPr>
              <w:t>100</w:t>
            </w:r>
          </w:p>
        </w:tc>
        <w:tc>
          <w:tcPr>
            <w:tcW w:w="2268" w:type="dxa"/>
            <w:vAlign w:val="center"/>
          </w:tcPr>
          <w:p w14:paraId="34698DFA" w14:textId="121F556B" w:rsidR="002117D3" w:rsidRPr="005417DE" w:rsidRDefault="00170335" w:rsidP="005F2B71">
            <w:pPr>
              <w:spacing w:line="276" w:lineRule="auto"/>
              <w:jc w:val="center"/>
              <w:rPr>
                <w:sz w:val="22"/>
                <w:szCs w:val="22"/>
              </w:rPr>
            </w:pPr>
            <w:r>
              <w:rPr>
                <w:sz w:val="22"/>
                <w:szCs w:val="22"/>
              </w:rPr>
              <w:t>2,976</w:t>
            </w:r>
          </w:p>
        </w:tc>
      </w:tr>
      <w:tr w:rsidR="002117D3" w:rsidRPr="005417DE" w14:paraId="3A08B483" w14:textId="77777777" w:rsidTr="005F2B71">
        <w:trPr>
          <w:trHeight w:val="20"/>
        </w:trPr>
        <w:tc>
          <w:tcPr>
            <w:tcW w:w="1980" w:type="dxa"/>
            <w:vAlign w:val="center"/>
          </w:tcPr>
          <w:p w14:paraId="38BF272A" w14:textId="77777777" w:rsidR="002117D3" w:rsidRPr="005417DE" w:rsidRDefault="002117D3" w:rsidP="005F2B71">
            <w:pPr>
              <w:spacing w:line="276" w:lineRule="auto"/>
              <w:rPr>
                <w:sz w:val="22"/>
                <w:szCs w:val="22"/>
              </w:rPr>
            </w:pPr>
            <w:r w:rsidRPr="005417DE">
              <w:rPr>
                <w:sz w:val="22"/>
                <w:szCs w:val="22"/>
              </w:rPr>
              <w:t>BSC</w:t>
            </w:r>
          </w:p>
        </w:tc>
        <w:tc>
          <w:tcPr>
            <w:tcW w:w="1843" w:type="dxa"/>
            <w:vAlign w:val="center"/>
          </w:tcPr>
          <w:p w14:paraId="184E562B" w14:textId="77777777" w:rsidR="002117D3" w:rsidRPr="005417DE" w:rsidRDefault="002117D3" w:rsidP="005F2B71">
            <w:pPr>
              <w:spacing w:line="276" w:lineRule="auto"/>
              <w:jc w:val="center"/>
              <w:rPr>
                <w:sz w:val="22"/>
                <w:szCs w:val="22"/>
              </w:rPr>
            </w:pPr>
            <w:r w:rsidRPr="005417DE">
              <w:rPr>
                <w:rFonts w:cs="Times New Roman"/>
                <w:sz w:val="22"/>
                <w:szCs w:val="22"/>
              </w:rPr>
              <w:t>3,346</w:t>
            </w:r>
          </w:p>
        </w:tc>
        <w:tc>
          <w:tcPr>
            <w:tcW w:w="1842" w:type="dxa"/>
            <w:vAlign w:val="center"/>
          </w:tcPr>
          <w:p w14:paraId="104C7648" w14:textId="571C93C1" w:rsidR="002117D3" w:rsidRPr="005417DE" w:rsidRDefault="002117D3" w:rsidP="005F2B71">
            <w:pPr>
              <w:spacing w:line="276" w:lineRule="auto"/>
              <w:jc w:val="center"/>
              <w:rPr>
                <w:sz w:val="22"/>
                <w:szCs w:val="22"/>
              </w:rPr>
            </w:pPr>
            <w:r w:rsidRPr="005417DE">
              <w:rPr>
                <w:sz w:val="22"/>
                <w:szCs w:val="22"/>
              </w:rPr>
              <w:t>3,34</w:t>
            </w:r>
            <w:r w:rsidR="00014762">
              <w:rPr>
                <w:sz w:val="22"/>
                <w:szCs w:val="22"/>
              </w:rPr>
              <w:t>7</w:t>
            </w:r>
          </w:p>
        </w:tc>
        <w:tc>
          <w:tcPr>
            <w:tcW w:w="2268" w:type="dxa"/>
            <w:vAlign w:val="center"/>
          </w:tcPr>
          <w:p w14:paraId="606266A5" w14:textId="7E5D418E" w:rsidR="002117D3" w:rsidRPr="005417DE" w:rsidRDefault="002117D3" w:rsidP="005F2B71">
            <w:pPr>
              <w:spacing w:line="276" w:lineRule="auto"/>
              <w:jc w:val="center"/>
              <w:rPr>
                <w:sz w:val="22"/>
                <w:szCs w:val="22"/>
              </w:rPr>
            </w:pPr>
            <w:r w:rsidRPr="005417DE">
              <w:rPr>
                <w:sz w:val="22"/>
                <w:szCs w:val="22"/>
              </w:rPr>
              <w:t>3,34</w:t>
            </w:r>
            <w:r w:rsidR="00170335">
              <w:rPr>
                <w:sz w:val="22"/>
                <w:szCs w:val="22"/>
              </w:rPr>
              <w:t>7</w:t>
            </w:r>
          </w:p>
        </w:tc>
      </w:tr>
      <w:tr w:rsidR="002117D3" w:rsidRPr="005417DE" w14:paraId="4E3C5BA9" w14:textId="77777777" w:rsidTr="005F2B71">
        <w:trPr>
          <w:trHeight w:val="20"/>
        </w:trPr>
        <w:tc>
          <w:tcPr>
            <w:tcW w:w="1980" w:type="dxa"/>
            <w:vAlign w:val="center"/>
          </w:tcPr>
          <w:p w14:paraId="7B01E6FE" w14:textId="77777777" w:rsidR="002117D3" w:rsidRPr="005417DE" w:rsidRDefault="002117D3" w:rsidP="005F2B71">
            <w:pPr>
              <w:spacing w:line="276" w:lineRule="auto"/>
              <w:rPr>
                <w:sz w:val="22"/>
                <w:szCs w:val="22"/>
              </w:rPr>
            </w:pPr>
            <w:r w:rsidRPr="005417DE">
              <w:rPr>
                <w:sz w:val="22"/>
                <w:szCs w:val="22"/>
              </w:rPr>
              <w:t xml:space="preserve">   Difference</w:t>
            </w:r>
          </w:p>
        </w:tc>
        <w:tc>
          <w:tcPr>
            <w:tcW w:w="1843" w:type="dxa"/>
            <w:vAlign w:val="center"/>
          </w:tcPr>
          <w:p w14:paraId="1307A393" w14:textId="5AA8DABF" w:rsidR="002117D3" w:rsidRPr="005417DE" w:rsidRDefault="002117D3" w:rsidP="005F2B71">
            <w:pPr>
              <w:spacing w:line="276" w:lineRule="auto"/>
              <w:jc w:val="center"/>
              <w:rPr>
                <w:sz w:val="22"/>
                <w:szCs w:val="22"/>
              </w:rPr>
            </w:pPr>
            <w:r w:rsidRPr="005417DE">
              <w:rPr>
                <w:rFonts w:cs="Times New Roman"/>
                <w:sz w:val="22"/>
                <w:szCs w:val="22"/>
              </w:rPr>
              <w:t>-6</w:t>
            </w:r>
            <w:r w:rsidR="006270C8">
              <w:rPr>
                <w:rFonts w:cs="Times New Roman"/>
                <w:sz w:val="22"/>
                <w:szCs w:val="22"/>
              </w:rPr>
              <w:t>87</w:t>
            </w:r>
          </w:p>
        </w:tc>
        <w:tc>
          <w:tcPr>
            <w:tcW w:w="1842" w:type="dxa"/>
            <w:vAlign w:val="center"/>
          </w:tcPr>
          <w:p w14:paraId="271AF746" w14:textId="1ADCBC76" w:rsidR="002117D3" w:rsidRPr="005417DE" w:rsidRDefault="002117D3" w:rsidP="005F2B71">
            <w:pPr>
              <w:spacing w:line="276" w:lineRule="auto"/>
              <w:jc w:val="center"/>
              <w:rPr>
                <w:sz w:val="22"/>
                <w:szCs w:val="22"/>
              </w:rPr>
            </w:pPr>
            <w:r w:rsidRPr="005417DE">
              <w:rPr>
                <w:sz w:val="22"/>
                <w:szCs w:val="22"/>
              </w:rPr>
              <w:t>-2</w:t>
            </w:r>
            <w:r w:rsidR="00C859ED">
              <w:rPr>
                <w:sz w:val="22"/>
                <w:szCs w:val="22"/>
              </w:rPr>
              <w:t>47</w:t>
            </w:r>
          </w:p>
        </w:tc>
        <w:tc>
          <w:tcPr>
            <w:tcW w:w="2268" w:type="dxa"/>
            <w:vAlign w:val="center"/>
          </w:tcPr>
          <w:p w14:paraId="508D0D19" w14:textId="2136C400" w:rsidR="002117D3" w:rsidRPr="005417DE" w:rsidRDefault="002117D3" w:rsidP="005F2B71">
            <w:pPr>
              <w:spacing w:line="276" w:lineRule="auto"/>
              <w:jc w:val="center"/>
              <w:rPr>
                <w:sz w:val="22"/>
                <w:szCs w:val="22"/>
              </w:rPr>
            </w:pPr>
            <w:r w:rsidRPr="005417DE">
              <w:rPr>
                <w:sz w:val="22"/>
                <w:szCs w:val="22"/>
              </w:rPr>
              <w:t>-3</w:t>
            </w:r>
            <w:r w:rsidR="00170335">
              <w:rPr>
                <w:sz w:val="22"/>
                <w:szCs w:val="22"/>
              </w:rPr>
              <w:t>71</w:t>
            </w:r>
          </w:p>
        </w:tc>
      </w:tr>
      <w:tr w:rsidR="002117D3" w:rsidRPr="005417DE" w14:paraId="0681E0F6" w14:textId="77777777" w:rsidTr="005F2B71">
        <w:trPr>
          <w:trHeight w:val="20"/>
        </w:trPr>
        <w:tc>
          <w:tcPr>
            <w:tcW w:w="7933" w:type="dxa"/>
            <w:gridSpan w:val="4"/>
            <w:shd w:val="clear" w:color="auto" w:fill="F2F2F2" w:themeFill="background1" w:themeFillShade="F2"/>
            <w:vAlign w:val="center"/>
          </w:tcPr>
          <w:p w14:paraId="7C954B97" w14:textId="77777777" w:rsidR="002117D3" w:rsidRPr="005417DE" w:rsidRDefault="002117D3" w:rsidP="005F2B71">
            <w:pPr>
              <w:spacing w:line="276" w:lineRule="auto"/>
              <w:rPr>
                <w:sz w:val="22"/>
                <w:szCs w:val="22"/>
              </w:rPr>
            </w:pPr>
            <w:r w:rsidRPr="005417DE">
              <w:rPr>
                <w:b/>
                <w:bCs/>
                <w:sz w:val="22"/>
                <w:szCs w:val="22"/>
              </w:rPr>
              <w:t>HCC</w:t>
            </w:r>
          </w:p>
        </w:tc>
      </w:tr>
      <w:tr w:rsidR="002117D3" w:rsidRPr="005417DE" w14:paraId="48C44102" w14:textId="77777777" w:rsidTr="005F2B71">
        <w:trPr>
          <w:trHeight w:val="20"/>
        </w:trPr>
        <w:tc>
          <w:tcPr>
            <w:tcW w:w="1980" w:type="dxa"/>
            <w:vAlign w:val="center"/>
          </w:tcPr>
          <w:p w14:paraId="3F9FEFA5" w14:textId="77777777" w:rsidR="002117D3" w:rsidRPr="005417DE" w:rsidRDefault="002117D3" w:rsidP="005F2B71">
            <w:pPr>
              <w:spacing w:line="276" w:lineRule="auto"/>
              <w:rPr>
                <w:sz w:val="22"/>
                <w:szCs w:val="22"/>
              </w:rPr>
            </w:pPr>
            <w:r w:rsidRPr="005417DE">
              <w:rPr>
                <w:sz w:val="22"/>
                <w:szCs w:val="22"/>
              </w:rPr>
              <w:t>HDV treatment</w:t>
            </w:r>
          </w:p>
        </w:tc>
        <w:tc>
          <w:tcPr>
            <w:tcW w:w="1843" w:type="dxa"/>
            <w:vAlign w:val="center"/>
          </w:tcPr>
          <w:p w14:paraId="75B96235" w14:textId="4D09F244" w:rsidR="002117D3" w:rsidRPr="005417DE" w:rsidRDefault="002117D3" w:rsidP="005F2B71">
            <w:pPr>
              <w:spacing w:line="276" w:lineRule="auto"/>
              <w:jc w:val="center"/>
              <w:rPr>
                <w:sz w:val="22"/>
                <w:szCs w:val="22"/>
              </w:rPr>
            </w:pPr>
            <w:r w:rsidRPr="005417DE">
              <w:rPr>
                <w:rFonts w:cs="Times New Roman"/>
                <w:sz w:val="22"/>
                <w:szCs w:val="22"/>
              </w:rPr>
              <w:t>3,6</w:t>
            </w:r>
            <w:r w:rsidR="006270C8">
              <w:rPr>
                <w:rFonts w:cs="Times New Roman"/>
                <w:sz w:val="22"/>
                <w:szCs w:val="22"/>
              </w:rPr>
              <w:t>14</w:t>
            </w:r>
          </w:p>
        </w:tc>
        <w:tc>
          <w:tcPr>
            <w:tcW w:w="1842" w:type="dxa"/>
            <w:vAlign w:val="center"/>
          </w:tcPr>
          <w:p w14:paraId="63F98037" w14:textId="119FF25F" w:rsidR="002117D3" w:rsidRPr="005417DE" w:rsidRDefault="002117D3" w:rsidP="005F2B71">
            <w:pPr>
              <w:spacing w:line="276" w:lineRule="auto"/>
              <w:jc w:val="center"/>
              <w:rPr>
                <w:sz w:val="22"/>
                <w:szCs w:val="22"/>
              </w:rPr>
            </w:pPr>
            <w:r w:rsidRPr="005417DE">
              <w:rPr>
                <w:sz w:val="22"/>
                <w:szCs w:val="22"/>
              </w:rPr>
              <w:t>3,</w:t>
            </w:r>
            <w:r w:rsidR="00014762">
              <w:rPr>
                <w:sz w:val="22"/>
                <w:szCs w:val="22"/>
              </w:rPr>
              <w:t>795</w:t>
            </w:r>
          </w:p>
        </w:tc>
        <w:tc>
          <w:tcPr>
            <w:tcW w:w="2268" w:type="dxa"/>
            <w:vAlign w:val="center"/>
          </w:tcPr>
          <w:p w14:paraId="75B8ACA6" w14:textId="4021EDEB" w:rsidR="002117D3" w:rsidRPr="005417DE" w:rsidRDefault="002117D3" w:rsidP="005F2B71">
            <w:pPr>
              <w:spacing w:line="276" w:lineRule="auto"/>
              <w:jc w:val="center"/>
              <w:rPr>
                <w:sz w:val="22"/>
                <w:szCs w:val="22"/>
              </w:rPr>
            </w:pPr>
            <w:r w:rsidRPr="005417DE">
              <w:rPr>
                <w:sz w:val="22"/>
                <w:szCs w:val="22"/>
              </w:rPr>
              <w:t>3,</w:t>
            </w:r>
            <w:r w:rsidR="00170335">
              <w:rPr>
                <w:sz w:val="22"/>
                <w:szCs w:val="22"/>
              </w:rPr>
              <w:t>682</w:t>
            </w:r>
          </w:p>
        </w:tc>
      </w:tr>
      <w:tr w:rsidR="002117D3" w:rsidRPr="005417DE" w14:paraId="06D726B2" w14:textId="77777777" w:rsidTr="005F2B71">
        <w:trPr>
          <w:trHeight w:val="20"/>
        </w:trPr>
        <w:tc>
          <w:tcPr>
            <w:tcW w:w="1980" w:type="dxa"/>
            <w:vAlign w:val="center"/>
          </w:tcPr>
          <w:p w14:paraId="2BFEC85D" w14:textId="77777777" w:rsidR="002117D3" w:rsidRPr="005417DE" w:rsidRDefault="002117D3" w:rsidP="005F2B71">
            <w:pPr>
              <w:spacing w:line="276" w:lineRule="auto"/>
              <w:rPr>
                <w:sz w:val="22"/>
                <w:szCs w:val="22"/>
              </w:rPr>
            </w:pPr>
            <w:r w:rsidRPr="005417DE">
              <w:rPr>
                <w:sz w:val="22"/>
                <w:szCs w:val="22"/>
              </w:rPr>
              <w:t>BSC</w:t>
            </w:r>
          </w:p>
        </w:tc>
        <w:tc>
          <w:tcPr>
            <w:tcW w:w="1843" w:type="dxa"/>
            <w:vAlign w:val="center"/>
          </w:tcPr>
          <w:p w14:paraId="68595B12" w14:textId="77777777" w:rsidR="002117D3" w:rsidRPr="005417DE" w:rsidRDefault="002117D3" w:rsidP="005F2B71">
            <w:pPr>
              <w:spacing w:line="276" w:lineRule="auto"/>
              <w:jc w:val="center"/>
              <w:rPr>
                <w:sz w:val="22"/>
                <w:szCs w:val="22"/>
              </w:rPr>
            </w:pPr>
            <w:r w:rsidRPr="005417DE">
              <w:rPr>
                <w:rFonts w:cs="Times New Roman"/>
                <w:sz w:val="22"/>
                <w:szCs w:val="22"/>
              </w:rPr>
              <w:t>4,020</w:t>
            </w:r>
          </w:p>
        </w:tc>
        <w:tc>
          <w:tcPr>
            <w:tcW w:w="1842" w:type="dxa"/>
            <w:vAlign w:val="center"/>
          </w:tcPr>
          <w:p w14:paraId="47079FB9" w14:textId="77777777" w:rsidR="002117D3" w:rsidRPr="005417DE" w:rsidRDefault="002117D3" w:rsidP="005F2B71">
            <w:pPr>
              <w:spacing w:line="276" w:lineRule="auto"/>
              <w:jc w:val="center"/>
              <w:rPr>
                <w:sz w:val="22"/>
                <w:szCs w:val="22"/>
              </w:rPr>
            </w:pPr>
            <w:r w:rsidRPr="005417DE">
              <w:rPr>
                <w:sz w:val="22"/>
                <w:szCs w:val="22"/>
              </w:rPr>
              <w:t>4,021</w:t>
            </w:r>
          </w:p>
        </w:tc>
        <w:tc>
          <w:tcPr>
            <w:tcW w:w="2268" w:type="dxa"/>
            <w:vAlign w:val="center"/>
          </w:tcPr>
          <w:p w14:paraId="0A87626A" w14:textId="77777777" w:rsidR="002117D3" w:rsidRPr="005417DE" w:rsidRDefault="002117D3" w:rsidP="005F2B71">
            <w:pPr>
              <w:spacing w:line="276" w:lineRule="auto"/>
              <w:jc w:val="center"/>
              <w:rPr>
                <w:sz w:val="22"/>
                <w:szCs w:val="22"/>
              </w:rPr>
            </w:pPr>
            <w:r w:rsidRPr="005417DE">
              <w:rPr>
                <w:sz w:val="22"/>
                <w:szCs w:val="22"/>
              </w:rPr>
              <w:t>4,021</w:t>
            </w:r>
          </w:p>
        </w:tc>
      </w:tr>
      <w:tr w:rsidR="002117D3" w:rsidRPr="005417DE" w14:paraId="419008E7" w14:textId="77777777" w:rsidTr="005F2B71">
        <w:trPr>
          <w:trHeight w:val="20"/>
        </w:trPr>
        <w:tc>
          <w:tcPr>
            <w:tcW w:w="1980" w:type="dxa"/>
            <w:vAlign w:val="center"/>
          </w:tcPr>
          <w:p w14:paraId="06F43842" w14:textId="77777777" w:rsidR="002117D3" w:rsidRPr="005417DE" w:rsidRDefault="002117D3" w:rsidP="005F2B71">
            <w:pPr>
              <w:spacing w:line="276" w:lineRule="auto"/>
              <w:rPr>
                <w:sz w:val="22"/>
                <w:szCs w:val="22"/>
              </w:rPr>
            </w:pPr>
            <w:r w:rsidRPr="005417DE">
              <w:rPr>
                <w:sz w:val="22"/>
                <w:szCs w:val="22"/>
              </w:rPr>
              <w:t xml:space="preserve">   Difference</w:t>
            </w:r>
          </w:p>
        </w:tc>
        <w:tc>
          <w:tcPr>
            <w:tcW w:w="1843" w:type="dxa"/>
            <w:vAlign w:val="center"/>
          </w:tcPr>
          <w:p w14:paraId="621EFB4A" w14:textId="70B12E2E" w:rsidR="002117D3" w:rsidRPr="005417DE" w:rsidRDefault="002117D3" w:rsidP="005F2B71">
            <w:pPr>
              <w:spacing w:line="276" w:lineRule="auto"/>
              <w:jc w:val="center"/>
              <w:rPr>
                <w:sz w:val="22"/>
                <w:szCs w:val="22"/>
              </w:rPr>
            </w:pPr>
            <w:r w:rsidRPr="005417DE">
              <w:rPr>
                <w:rFonts w:cs="Times New Roman"/>
                <w:sz w:val="22"/>
                <w:szCs w:val="22"/>
              </w:rPr>
              <w:t>-</w:t>
            </w:r>
            <w:r w:rsidR="00AE0602">
              <w:rPr>
                <w:rFonts w:cs="Times New Roman"/>
                <w:sz w:val="22"/>
                <w:szCs w:val="22"/>
              </w:rPr>
              <w:t>406</w:t>
            </w:r>
          </w:p>
        </w:tc>
        <w:tc>
          <w:tcPr>
            <w:tcW w:w="1842" w:type="dxa"/>
            <w:vAlign w:val="center"/>
          </w:tcPr>
          <w:p w14:paraId="599B3261" w14:textId="5845846F" w:rsidR="002117D3" w:rsidRPr="005417DE" w:rsidRDefault="002117D3" w:rsidP="005F2B71">
            <w:pPr>
              <w:spacing w:line="276" w:lineRule="auto"/>
              <w:jc w:val="center"/>
              <w:rPr>
                <w:sz w:val="22"/>
                <w:szCs w:val="22"/>
              </w:rPr>
            </w:pPr>
            <w:r w:rsidRPr="005417DE">
              <w:rPr>
                <w:sz w:val="22"/>
                <w:szCs w:val="22"/>
              </w:rPr>
              <w:t>-</w:t>
            </w:r>
            <w:r w:rsidR="00C859ED">
              <w:rPr>
                <w:sz w:val="22"/>
                <w:szCs w:val="22"/>
              </w:rPr>
              <w:t>226</w:t>
            </w:r>
          </w:p>
        </w:tc>
        <w:tc>
          <w:tcPr>
            <w:tcW w:w="2268" w:type="dxa"/>
            <w:vAlign w:val="center"/>
          </w:tcPr>
          <w:p w14:paraId="31E88DAE" w14:textId="7DF67B8D" w:rsidR="002117D3" w:rsidRPr="005417DE" w:rsidRDefault="002117D3" w:rsidP="005F2B71">
            <w:pPr>
              <w:spacing w:line="276" w:lineRule="auto"/>
              <w:jc w:val="center"/>
              <w:rPr>
                <w:sz w:val="22"/>
                <w:szCs w:val="22"/>
              </w:rPr>
            </w:pPr>
            <w:r w:rsidRPr="005417DE">
              <w:rPr>
                <w:sz w:val="22"/>
                <w:szCs w:val="22"/>
              </w:rPr>
              <w:t>-</w:t>
            </w:r>
            <w:r w:rsidR="00170335">
              <w:rPr>
                <w:sz w:val="22"/>
                <w:szCs w:val="22"/>
              </w:rPr>
              <w:t>339</w:t>
            </w:r>
          </w:p>
        </w:tc>
      </w:tr>
      <w:tr w:rsidR="002117D3" w:rsidRPr="005417DE" w14:paraId="4FCE1E9D" w14:textId="77777777" w:rsidTr="005F2B71">
        <w:trPr>
          <w:trHeight w:val="20"/>
        </w:trPr>
        <w:tc>
          <w:tcPr>
            <w:tcW w:w="7933" w:type="dxa"/>
            <w:gridSpan w:val="4"/>
            <w:shd w:val="clear" w:color="auto" w:fill="F2F2F2" w:themeFill="background1" w:themeFillShade="F2"/>
            <w:vAlign w:val="center"/>
          </w:tcPr>
          <w:p w14:paraId="4DB264B4" w14:textId="77777777" w:rsidR="002117D3" w:rsidRPr="005417DE" w:rsidRDefault="002117D3" w:rsidP="005F2B71">
            <w:pPr>
              <w:spacing w:line="276" w:lineRule="auto"/>
              <w:rPr>
                <w:sz w:val="22"/>
                <w:szCs w:val="22"/>
              </w:rPr>
            </w:pPr>
            <w:r w:rsidRPr="005417DE">
              <w:rPr>
                <w:b/>
                <w:bCs/>
                <w:sz w:val="22"/>
                <w:szCs w:val="22"/>
              </w:rPr>
              <w:t>LT</w:t>
            </w:r>
          </w:p>
        </w:tc>
      </w:tr>
      <w:tr w:rsidR="002117D3" w:rsidRPr="005417DE" w14:paraId="432F8C63" w14:textId="77777777" w:rsidTr="005F2B71">
        <w:trPr>
          <w:trHeight w:val="20"/>
        </w:trPr>
        <w:tc>
          <w:tcPr>
            <w:tcW w:w="1980" w:type="dxa"/>
            <w:vAlign w:val="center"/>
          </w:tcPr>
          <w:p w14:paraId="317942FB" w14:textId="77777777" w:rsidR="002117D3" w:rsidRPr="005417DE" w:rsidRDefault="002117D3" w:rsidP="005F2B71">
            <w:pPr>
              <w:spacing w:line="276" w:lineRule="auto"/>
              <w:rPr>
                <w:sz w:val="22"/>
                <w:szCs w:val="22"/>
              </w:rPr>
            </w:pPr>
            <w:r w:rsidRPr="005417DE">
              <w:rPr>
                <w:sz w:val="22"/>
                <w:szCs w:val="22"/>
              </w:rPr>
              <w:t>HDV treatment</w:t>
            </w:r>
          </w:p>
        </w:tc>
        <w:tc>
          <w:tcPr>
            <w:tcW w:w="1843" w:type="dxa"/>
            <w:vAlign w:val="center"/>
          </w:tcPr>
          <w:p w14:paraId="140B57C6" w14:textId="73EEB945" w:rsidR="002117D3" w:rsidRPr="005417DE" w:rsidRDefault="002117D3" w:rsidP="005F2B71">
            <w:pPr>
              <w:spacing w:line="276" w:lineRule="auto"/>
              <w:jc w:val="center"/>
              <w:rPr>
                <w:sz w:val="22"/>
                <w:szCs w:val="22"/>
              </w:rPr>
            </w:pPr>
            <w:r w:rsidRPr="005417DE">
              <w:rPr>
                <w:rFonts w:cs="Times New Roman"/>
                <w:sz w:val="22"/>
                <w:szCs w:val="22"/>
              </w:rPr>
              <w:t>2</w:t>
            </w:r>
            <w:r w:rsidR="006270C8">
              <w:rPr>
                <w:rFonts w:cs="Times New Roman"/>
                <w:sz w:val="22"/>
                <w:szCs w:val="22"/>
              </w:rPr>
              <w:t>33</w:t>
            </w:r>
          </w:p>
        </w:tc>
        <w:tc>
          <w:tcPr>
            <w:tcW w:w="1842" w:type="dxa"/>
            <w:vAlign w:val="center"/>
          </w:tcPr>
          <w:p w14:paraId="12331070" w14:textId="28467F62" w:rsidR="002117D3" w:rsidRPr="005417DE" w:rsidRDefault="002117D3" w:rsidP="005F2B71">
            <w:pPr>
              <w:spacing w:line="276" w:lineRule="auto"/>
              <w:jc w:val="center"/>
              <w:rPr>
                <w:sz w:val="22"/>
                <w:szCs w:val="22"/>
              </w:rPr>
            </w:pPr>
            <w:r w:rsidRPr="005417DE">
              <w:rPr>
                <w:sz w:val="22"/>
                <w:szCs w:val="22"/>
              </w:rPr>
              <w:t>26</w:t>
            </w:r>
            <w:r w:rsidR="00014762">
              <w:rPr>
                <w:sz w:val="22"/>
                <w:szCs w:val="22"/>
              </w:rPr>
              <w:t>4</w:t>
            </w:r>
          </w:p>
        </w:tc>
        <w:tc>
          <w:tcPr>
            <w:tcW w:w="2268" w:type="dxa"/>
            <w:vAlign w:val="center"/>
          </w:tcPr>
          <w:p w14:paraId="4C0A536E" w14:textId="33919B0F" w:rsidR="002117D3" w:rsidRPr="005417DE" w:rsidRDefault="002117D3" w:rsidP="005F2B71">
            <w:pPr>
              <w:spacing w:line="276" w:lineRule="auto"/>
              <w:jc w:val="center"/>
              <w:rPr>
                <w:sz w:val="22"/>
                <w:szCs w:val="22"/>
              </w:rPr>
            </w:pPr>
            <w:r w:rsidRPr="005417DE">
              <w:rPr>
                <w:sz w:val="22"/>
                <w:szCs w:val="22"/>
              </w:rPr>
              <w:t>2</w:t>
            </w:r>
            <w:r w:rsidR="00170335">
              <w:rPr>
                <w:sz w:val="22"/>
                <w:szCs w:val="22"/>
              </w:rPr>
              <w:t>54</w:t>
            </w:r>
          </w:p>
        </w:tc>
      </w:tr>
      <w:tr w:rsidR="002117D3" w:rsidRPr="005417DE" w14:paraId="23656755" w14:textId="77777777" w:rsidTr="005F2B71">
        <w:trPr>
          <w:trHeight w:val="20"/>
        </w:trPr>
        <w:tc>
          <w:tcPr>
            <w:tcW w:w="1980" w:type="dxa"/>
            <w:vAlign w:val="center"/>
          </w:tcPr>
          <w:p w14:paraId="12297B3F" w14:textId="77777777" w:rsidR="002117D3" w:rsidRPr="005417DE" w:rsidRDefault="002117D3" w:rsidP="005F2B71">
            <w:pPr>
              <w:spacing w:line="276" w:lineRule="auto"/>
              <w:rPr>
                <w:sz w:val="22"/>
                <w:szCs w:val="22"/>
              </w:rPr>
            </w:pPr>
            <w:r w:rsidRPr="005417DE">
              <w:rPr>
                <w:sz w:val="22"/>
                <w:szCs w:val="22"/>
              </w:rPr>
              <w:t>BSC</w:t>
            </w:r>
          </w:p>
        </w:tc>
        <w:tc>
          <w:tcPr>
            <w:tcW w:w="1843" w:type="dxa"/>
            <w:vAlign w:val="center"/>
          </w:tcPr>
          <w:p w14:paraId="5C69EC16" w14:textId="77777777" w:rsidR="002117D3" w:rsidRPr="005417DE" w:rsidRDefault="002117D3" w:rsidP="005F2B71">
            <w:pPr>
              <w:spacing w:line="276" w:lineRule="auto"/>
              <w:jc w:val="center"/>
              <w:rPr>
                <w:sz w:val="22"/>
                <w:szCs w:val="22"/>
              </w:rPr>
            </w:pPr>
            <w:r w:rsidRPr="005417DE">
              <w:rPr>
                <w:rFonts w:cs="Times New Roman"/>
                <w:sz w:val="22"/>
                <w:szCs w:val="22"/>
              </w:rPr>
              <w:t>285</w:t>
            </w:r>
          </w:p>
        </w:tc>
        <w:tc>
          <w:tcPr>
            <w:tcW w:w="1842" w:type="dxa"/>
            <w:vAlign w:val="center"/>
          </w:tcPr>
          <w:p w14:paraId="6692FDC7" w14:textId="77777777" w:rsidR="002117D3" w:rsidRPr="005417DE" w:rsidRDefault="002117D3" w:rsidP="005F2B71">
            <w:pPr>
              <w:spacing w:line="276" w:lineRule="auto"/>
              <w:jc w:val="center"/>
              <w:rPr>
                <w:sz w:val="22"/>
                <w:szCs w:val="22"/>
              </w:rPr>
            </w:pPr>
            <w:r w:rsidRPr="005417DE">
              <w:rPr>
                <w:sz w:val="22"/>
                <w:szCs w:val="22"/>
              </w:rPr>
              <w:t>285</w:t>
            </w:r>
          </w:p>
        </w:tc>
        <w:tc>
          <w:tcPr>
            <w:tcW w:w="2268" w:type="dxa"/>
            <w:vAlign w:val="center"/>
          </w:tcPr>
          <w:p w14:paraId="301EA9D0" w14:textId="77777777" w:rsidR="002117D3" w:rsidRPr="005417DE" w:rsidRDefault="002117D3" w:rsidP="005F2B71">
            <w:pPr>
              <w:spacing w:line="276" w:lineRule="auto"/>
              <w:jc w:val="center"/>
              <w:rPr>
                <w:sz w:val="22"/>
                <w:szCs w:val="22"/>
              </w:rPr>
            </w:pPr>
            <w:r w:rsidRPr="005417DE">
              <w:rPr>
                <w:sz w:val="22"/>
                <w:szCs w:val="22"/>
              </w:rPr>
              <w:t>285</w:t>
            </w:r>
          </w:p>
        </w:tc>
      </w:tr>
      <w:tr w:rsidR="002117D3" w:rsidRPr="005417DE" w14:paraId="7D046331" w14:textId="77777777" w:rsidTr="005F2B71">
        <w:trPr>
          <w:trHeight w:val="20"/>
        </w:trPr>
        <w:tc>
          <w:tcPr>
            <w:tcW w:w="1980" w:type="dxa"/>
            <w:vAlign w:val="center"/>
          </w:tcPr>
          <w:p w14:paraId="0439E865" w14:textId="77777777" w:rsidR="002117D3" w:rsidRPr="005417DE" w:rsidRDefault="002117D3" w:rsidP="005F2B71">
            <w:pPr>
              <w:spacing w:line="276" w:lineRule="auto"/>
              <w:rPr>
                <w:sz w:val="22"/>
                <w:szCs w:val="22"/>
              </w:rPr>
            </w:pPr>
            <w:r w:rsidRPr="005417DE">
              <w:rPr>
                <w:sz w:val="22"/>
                <w:szCs w:val="22"/>
              </w:rPr>
              <w:t xml:space="preserve">   Difference</w:t>
            </w:r>
          </w:p>
        </w:tc>
        <w:tc>
          <w:tcPr>
            <w:tcW w:w="1843" w:type="dxa"/>
            <w:vAlign w:val="center"/>
          </w:tcPr>
          <w:p w14:paraId="3C952D3A" w14:textId="73F65AB9" w:rsidR="002117D3" w:rsidRPr="005417DE" w:rsidRDefault="002117D3" w:rsidP="005F2B71">
            <w:pPr>
              <w:spacing w:line="276" w:lineRule="auto"/>
              <w:jc w:val="center"/>
              <w:rPr>
                <w:sz w:val="22"/>
                <w:szCs w:val="22"/>
              </w:rPr>
            </w:pPr>
            <w:r w:rsidRPr="005417DE">
              <w:rPr>
                <w:rFonts w:cs="Times New Roman"/>
                <w:sz w:val="22"/>
                <w:szCs w:val="22"/>
              </w:rPr>
              <w:t>-</w:t>
            </w:r>
            <w:r w:rsidR="006270C8">
              <w:rPr>
                <w:rFonts w:cs="Times New Roman"/>
                <w:sz w:val="22"/>
                <w:szCs w:val="22"/>
              </w:rPr>
              <w:t>52</w:t>
            </w:r>
          </w:p>
        </w:tc>
        <w:tc>
          <w:tcPr>
            <w:tcW w:w="1842" w:type="dxa"/>
            <w:vAlign w:val="center"/>
          </w:tcPr>
          <w:p w14:paraId="41F4EF4C" w14:textId="4D0367F6" w:rsidR="002117D3" w:rsidRPr="005417DE" w:rsidRDefault="002117D3" w:rsidP="005F2B71">
            <w:pPr>
              <w:spacing w:line="276" w:lineRule="auto"/>
              <w:jc w:val="center"/>
              <w:rPr>
                <w:sz w:val="22"/>
                <w:szCs w:val="22"/>
              </w:rPr>
            </w:pPr>
            <w:r w:rsidRPr="005417DE">
              <w:rPr>
                <w:sz w:val="22"/>
                <w:szCs w:val="22"/>
              </w:rPr>
              <w:t>-</w:t>
            </w:r>
            <w:r w:rsidR="00C859ED">
              <w:rPr>
                <w:sz w:val="22"/>
                <w:szCs w:val="22"/>
              </w:rPr>
              <w:t>21</w:t>
            </w:r>
          </w:p>
        </w:tc>
        <w:tc>
          <w:tcPr>
            <w:tcW w:w="2268" w:type="dxa"/>
            <w:vAlign w:val="center"/>
          </w:tcPr>
          <w:p w14:paraId="6C8D1FA8" w14:textId="16B832D8" w:rsidR="002117D3" w:rsidRPr="005417DE" w:rsidRDefault="002117D3" w:rsidP="005F2B71">
            <w:pPr>
              <w:spacing w:line="276" w:lineRule="auto"/>
              <w:jc w:val="center"/>
              <w:rPr>
                <w:sz w:val="22"/>
                <w:szCs w:val="22"/>
              </w:rPr>
            </w:pPr>
            <w:r w:rsidRPr="005417DE">
              <w:rPr>
                <w:sz w:val="22"/>
                <w:szCs w:val="22"/>
              </w:rPr>
              <w:t>-</w:t>
            </w:r>
            <w:r w:rsidR="00170335">
              <w:rPr>
                <w:sz w:val="22"/>
                <w:szCs w:val="22"/>
              </w:rPr>
              <w:t>31</w:t>
            </w:r>
          </w:p>
        </w:tc>
      </w:tr>
      <w:tr w:rsidR="002117D3" w:rsidRPr="006F4EA3" w14:paraId="3A17DEF4" w14:textId="77777777" w:rsidTr="005F2B71">
        <w:trPr>
          <w:trHeight w:val="20"/>
        </w:trPr>
        <w:tc>
          <w:tcPr>
            <w:tcW w:w="7933" w:type="dxa"/>
            <w:gridSpan w:val="4"/>
            <w:shd w:val="clear" w:color="auto" w:fill="F2F2F2" w:themeFill="background1" w:themeFillShade="F2"/>
            <w:vAlign w:val="center"/>
          </w:tcPr>
          <w:p w14:paraId="2C5E560C" w14:textId="77777777" w:rsidR="002117D3" w:rsidRPr="006F4EA3" w:rsidRDefault="002117D3" w:rsidP="005F2B71">
            <w:pPr>
              <w:spacing w:line="276" w:lineRule="auto"/>
              <w:rPr>
                <w:sz w:val="22"/>
                <w:szCs w:val="22"/>
              </w:rPr>
            </w:pPr>
            <w:r w:rsidRPr="006F4EA3">
              <w:rPr>
                <w:b/>
                <w:bCs/>
                <w:sz w:val="22"/>
                <w:szCs w:val="22"/>
              </w:rPr>
              <w:t>Liver-related mortality</w:t>
            </w:r>
          </w:p>
        </w:tc>
      </w:tr>
      <w:tr w:rsidR="002117D3" w:rsidRPr="006F4EA3" w14:paraId="72C360C4" w14:textId="77777777" w:rsidTr="005F2B71">
        <w:trPr>
          <w:trHeight w:val="20"/>
        </w:trPr>
        <w:tc>
          <w:tcPr>
            <w:tcW w:w="1980" w:type="dxa"/>
            <w:vAlign w:val="center"/>
          </w:tcPr>
          <w:p w14:paraId="40D11341" w14:textId="77777777" w:rsidR="002117D3" w:rsidRPr="006F4EA3" w:rsidRDefault="002117D3" w:rsidP="005F2B71">
            <w:pPr>
              <w:spacing w:line="276" w:lineRule="auto"/>
              <w:rPr>
                <w:sz w:val="22"/>
                <w:szCs w:val="22"/>
              </w:rPr>
            </w:pPr>
            <w:r w:rsidRPr="006F4EA3">
              <w:rPr>
                <w:sz w:val="22"/>
                <w:szCs w:val="22"/>
              </w:rPr>
              <w:t>HDV treatment</w:t>
            </w:r>
          </w:p>
        </w:tc>
        <w:tc>
          <w:tcPr>
            <w:tcW w:w="1843" w:type="dxa"/>
            <w:vAlign w:val="center"/>
          </w:tcPr>
          <w:p w14:paraId="2FDC6B92" w14:textId="33834037" w:rsidR="002117D3" w:rsidRPr="006F4EA3" w:rsidRDefault="002117D3" w:rsidP="005F2B71">
            <w:pPr>
              <w:spacing w:line="276" w:lineRule="auto"/>
              <w:jc w:val="center"/>
              <w:rPr>
                <w:sz w:val="22"/>
                <w:szCs w:val="22"/>
              </w:rPr>
            </w:pPr>
            <w:r w:rsidRPr="006F4EA3">
              <w:rPr>
                <w:rFonts w:cs="Times New Roman"/>
                <w:sz w:val="22"/>
                <w:szCs w:val="22"/>
              </w:rPr>
              <w:t>7,0</w:t>
            </w:r>
            <w:r w:rsidR="006270C8">
              <w:rPr>
                <w:rFonts w:cs="Times New Roman"/>
                <w:sz w:val="22"/>
                <w:szCs w:val="22"/>
              </w:rPr>
              <w:t>60</w:t>
            </w:r>
          </w:p>
        </w:tc>
        <w:tc>
          <w:tcPr>
            <w:tcW w:w="1842" w:type="dxa"/>
            <w:vAlign w:val="center"/>
          </w:tcPr>
          <w:p w14:paraId="36179A67" w14:textId="4D435D37" w:rsidR="002117D3" w:rsidRPr="006F4EA3" w:rsidRDefault="002117D3" w:rsidP="005F2B71">
            <w:pPr>
              <w:spacing w:line="276" w:lineRule="auto"/>
              <w:jc w:val="center"/>
              <w:rPr>
                <w:sz w:val="22"/>
                <w:szCs w:val="22"/>
              </w:rPr>
            </w:pPr>
            <w:r w:rsidRPr="006F4EA3">
              <w:rPr>
                <w:sz w:val="22"/>
                <w:szCs w:val="22"/>
              </w:rPr>
              <w:t>7,8</w:t>
            </w:r>
            <w:r w:rsidR="00014762">
              <w:rPr>
                <w:sz w:val="22"/>
                <w:szCs w:val="22"/>
              </w:rPr>
              <w:t>57</w:t>
            </w:r>
          </w:p>
        </w:tc>
        <w:tc>
          <w:tcPr>
            <w:tcW w:w="2268" w:type="dxa"/>
            <w:vAlign w:val="center"/>
          </w:tcPr>
          <w:p w14:paraId="428B3D81" w14:textId="2C5BDBA7" w:rsidR="002117D3" w:rsidRPr="006F4EA3" w:rsidRDefault="002117D3" w:rsidP="005F2B71">
            <w:pPr>
              <w:spacing w:line="276" w:lineRule="auto"/>
              <w:jc w:val="center"/>
              <w:rPr>
                <w:sz w:val="22"/>
                <w:szCs w:val="22"/>
              </w:rPr>
            </w:pPr>
            <w:r w:rsidRPr="006F4EA3">
              <w:rPr>
                <w:sz w:val="22"/>
                <w:szCs w:val="22"/>
              </w:rPr>
              <w:t>7,5</w:t>
            </w:r>
            <w:r w:rsidR="00170335">
              <w:rPr>
                <w:sz w:val="22"/>
                <w:szCs w:val="22"/>
              </w:rPr>
              <w:t>65</w:t>
            </w:r>
          </w:p>
        </w:tc>
      </w:tr>
      <w:tr w:rsidR="002117D3" w:rsidRPr="006F4EA3" w14:paraId="1C96469B" w14:textId="77777777" w:rsidTr="005F2B71">
        <w:trPr>
          <w:trHeight w:val="20"/>
        </w:trPr>
        <w:tc>
          <w:tcPr>
            <w:tcW w:w="1980" w:type="dxa"/>
            <w:vAlign w:val="center"/>
          </w:tcPr>
          <w:p w14:paraId="4C64366A" w14:textId="77777777" w:rsidR="002117D3" w:rsidRPr="006F4EA3" w:rsidRDefault="002117D3" w:rsidP="005F2B71">
            <w:pPr>
              <w:spacing w:line="276" w:lineRule="auto"/>
              <w:rPr>
                <w:sz w:val="22"/>
                <w:szCs w:val="22"/>
              </w:rPr>
            </w:pPr>
            <w:r w:rsidRPr="006F4EA3">
              <w:rPr>
                <w:sz w:val="22"/>
                <w:szCs w:val="22"/>
              </w:rPr>
              <w:t>BSC</w:t>
            </w:r>
          </w:p>
        </w:tc>
        <w:tc>
          <w:tcPr>
            <w:tcW w:w="1843" w:type="dxa"/>
            <w:vAlign w:val="center"/>
          </w:tcPr>
          <w:p w14:paraId="3B885A0C" w14:textId="77777777" w:rsidR="002117D3" w:rsidRPr="006F4EA3" w:rsidRDefault="002117D3" w:rsidP="005F2B71">
            <w:pPr>
              <w:spacing w:line="276" w:lineRule="auto"/>
              <w:jc w:val="center"/>
              <w:rPr>
                <w:sz w:val="22"/>
                <w:szCs w:val="22"/>
              </w:rPr>
            </w:pPr>
            <w:r w:rsidRPr="006F4EA3">
              <w:rPr>
                <w:rFonts w:cs="Times New Roman"/>
                <w:sz w:val="22"/>
                <w:szCs w:val="22"/>
              </w:rPr>
              <w:t>8,435</w:t>
            </w:r>
          </w:p>
        </w:tc>
        <w:tc>
          <w:tcPr>
            <w:tcW w:w="1842" w:type="dxa"/>
            <w:vAlign w:val="center"/>
          </w:tcPr>
          <w:p w14:paraId="78F35A85" w14:textId="77777777" w:rsidR="002117D3" w:rsidRPr="006F4EA3" w:rsidRDefault="002117D3" w:rsidP="005F2B71">
            <w:pPr>
              <w:spacing w:line="276" w:lineRule="auto"/>
              <w:jc w:val="center"/>
              <w:rPr>
                <w:sz w:val="22"/>
                <w:szCs w:val="22"/>
              </w:rPr>
            </w:pPr>
            <w:r w:rsidRPr="006F4EA3">
              <w:rPr>
                <w:sz w:val="22"/>
                <w:szCs w:val="22"/>
              </w:rPr>
              <w:t>8,437</w:t>
            </w:r>
          </w:p>
        </w:tc>
        <w:tc>
          <w:tcPr>
            <w:tcW w:w="2268" w:type="dxa"/>
            <w:vAlign w:val="center"/>
          </w:tcPr>
          <w:p w14:paraId="2AE48A31" w14:textId="77777777" w:rsidR="002117D3" w:rsidRPr="006F4EA3" w:rsidRDefault="002117D3" w:rsidP="005F2B71">
            <w:pPr>
              <w:spacing w:line="276" w:lineRule="auto"/>
              <w:jc w:val="center"/>
              <w:rPr>
                <w:sz w:val="22"/>
                <w:szCs w:val="22"/>
              </w:rPr>
            </w:pPr>
            <w:r w:rsidRPr="006F4EA3">
              <w:rPr>
                <w:sz w:val="22"/>
                <w:szCs w:val="22"/>
              </w:rPr>
              <w:t>8,437</w:t>
            </w:r>
          </w:p>
        </w:tc>
      </w:tr>
      <w:tr w:rsidR="002117D3" w:rsidRPr="006F4EA3" w14:paraId="01F019DC" w14:textId="77777777" w:rsidTr="005F2B71">
        <w:trPr>
          <w:trHeight w:val="20"/>
        </w:trPr>
        <w:tc>
          <w:tcPr>
            <w:tcW w:w="1980" w:type="dxa"/>
            <w:vAlign w:val="center"/>
          </w:tcPr>
          <w:p w14:paraId="4C1F62C1" w14:textId="77777777" w:rsidR="002117D3" w:rsidRPr="006F4EA3" w:rsidRDefault="002117D3" w:rsidP="005F2B71">
            <w:pPr>
              <w:spacing w:line="276" w:lineRule="auto"/>
              <w:rPr>
                <w:sz w:val="22"/>
                <w:szCs w:val="22"/>
              </w:rPr>
            </w:pPr>
            <w:r w:rsidRPr="006F4EA3">
              <w:rPr>
                <w:sz w:val="22"/>
                <w:szCs w:val="22"/>
              </w:rPr>
              <w:t xml:space="preserve">   Difference</w:t>
            </w:r>
          </w:p>
        </w:tc>
        <w:tc>
          <w:tcPr>
            <w:tcW w:w="1843" w:type="dxa"/>
            <w:vAlign w:val="center"/>
          </w:tcPr>
          <w:p w14:paraId="6B1C53A9" w14:textId="5B0652E2" w:rsidR="002117D3" w:rsidRPr="006F4EA3" w:rsidRDefault="002117D3" w:rsidP="005F2B71">
            <w:pPr>
              <w:spacing w:line="276" w:lineRule="auto"/>
              <w:jc w:val="center"/>
              <w:rPr>
                <w:sz w:val="22"/>
                <w:szCs w:val="22"/>
              </w:rPr>
            </w:pPr>
            <w:r w:rsidRPr="006F4EA3">
              <w:rPr>
                <w:rFonts w:cs="Times New Roman"/>
                <w:sz w:val="22"/>
                <w:szCs w:val="22"/>
              </w:rPr>
              <w:t>-1,3</w:t>
            </w:r>
            <w:r w:rsidR="006270C8">
              <w:rPr>
                <w:rFonts w:cs="Times New Roman"/>
                <w:sz w:val="22"/>
                <w:szCs w:val="22"/>
              </w:rPr>
              <w:t>75</w:t>
            </w:r>
          </w:p>
        </w:tc>
        <w:tc>
          <w:tcPr>
            <w:tcW w:w="1842" w:type="dxa"/>
            <w:vAlign w:val="center"/>
          </w:tcPr>
          <w:p w14:paraId="38C27A86" w14:textId="1CA6914E" w:rsidR="002117D3" w:rsidRPr="006F4EA3" w:rsidRDefault="002117D3" w:rsidP="005F2B71">
            <w:pPr>
              <w:spacing w:line="276" w:lineRule="auto"/>
              <w:jc w:val="center"/>
              <w:rPr>
                <w:sz w:val="22"/>
                <w:szCs w:val="22"/>
              </w:rPr>
            </w:pPr>
            <w:r w:rsidRPr="006F4EA3">
              <w:rPr>
                <w:sz w:val="22"/>
                <w:szCs w:val="22"/>
              </w:rPr>
              <w:t>-5</w:t>
            </w:r>
            <w:r w:rsidR="00C859ED">
              <w:rPr>
                <w:sz w:val="22"/>
                <w:szCs w:val="22"/>
              </w:rPr>
              <w:t>80</w:t>
            </w:r>
          </w:p>
        </w:tc>
        <w:tc>
          <w:tcPr>
            <w:tcW w:w="2268" w:type="dxa"/>
            <w:vAlign w:val="center"/>
          </w:tcPr>
          <w:p w14:paraId="17E33189" w14:textId="3D2111B6" w:rsidR="002117D3" w:rsidRPr="006F4EA3" w:rsidRDefault="002117D3" w:rsidP="005F2B71">
            <w:pPr>
              <w:spacing w:line="276" w:lineRule="auto"/>
              <w:jc w:val="center"/>
              <w:rPr>
                <w:sz w:val="22"/>
                <w:szCs w:val="22"/>
              </w:rPr>
            </w:pPr>
            <w:r w:rsidRPr="006F4EA3">
              <w:rPr>
                <w:sz w:val="22"/>
                <w:szCs w:val="22"/>
              </w:rPr>
              <w:t>-</w:t>
            </w:r>
            <w:r w:rsidR="00170335">
              <w:rPr>
                <w:sz w:val="22"/>
                <w:szCs w:val="22"/>
              </w:rPr>
              <w:t>872</w:t>
            </w:r>
          </w:p>
        </w:tc>
      </w:tr>
    </w:tbl>
    <w:p w14:paraId="731CAC2A" w14:textId="77777777" w:rsidR="002117D3" w:rsidRPr="007C5EE8" w:rsidRDefault="002117D3" w:rsidP="002117D3">
      <w:pPr>
        <w:keepLines/>
        <w:spacing w:before="60" w:after="60" w:line="276" w:lineRule="auto"/>
        <w:rPr>
          <w:sz w:val="28"/>
          <w:szCs w:val="28"/>
        </w:rPr>
      </w:pPr>
      <w:r w:rsidRPr="007C5EE8">
        <w:rPr>
          <w:sz w:val="20"/>
          <w:szCs w:val="20"/>
        </w:rPr>
        <w:t>CC, compensated cirrhosis; DCC, decompensated cirrhosis; HCC, hepatocellular carcinoma; HDV, hepatitis D virus; LT, liver transplant.</w:t>
      </w:r>
    </w:p>
    <w:p w14:paraId="2E05BDA6" w14:textId="77777777" w:rsidR="002117D3" w:rsidRDefault="002117D3" w:rsidP="002117D3"/>
    <w:p w14:paraId="4325F174" w14:textId="77777777" w:rsidR="00FB2696" w:rsidRDefault="00FB2696"/>
    <w:sectPr w:rsidR="00FB269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Nate Smith" w:date="2023-12-05T03:05:00Z" w:initials="NS">
    <w:p w14:paraId="289CB65F" w14:textId="77777777" w:rsidR="00CF6D08" w:rsidRDefault="00CF6D08" w:rsidP="00CF6D08">
      <w:pPr>
        <w:pStyle w:val="CommentText"/>
      </w:pPr>
      <w:r>
        <w:rPr>
          <w:rStyle w:val="CommentReference"/>
        </w:rPr>
        <w:annotationRef/>
      </w:r>
      <w:r>
        <w:t xml:space="preserve">Author: Please specify the conflicts of interest (or lack thereof) of the other author. </w:t>
      </w:r>
    </w:p>
  </w:comment>
  <w:comment w:id="1" w:author="Nate Smith" w:date="2023-12-05T03:22:00Z" w:initials="NS">
    <w:p w14:paraId="1F0D304F" w14:textId="77777777" w:rsidR="00CF6D08" w:rsidRDefault="00CF6D08" w:rsidP="00CF6D08">
      <w:pPr>
        <w:pStyle w:val="CommentText"/>
      </w:pPr>
      <w:r>
        <w:rPr>
          <w:rStyle w:val="CommentReference"/>
        </w:rPr>
        <w:annotationRef/>
      </w:r>
      <w:r>
        <w:t>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89CB65F" w15:done="1"/>
  <w15:commentEx w15:paraId="1F0D304F" w15:paraIdParent="289CB65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A34D5CC" w16cex:dateUtc="2023-12-05T08:05:00Z"/>
  <w16cex:commentExtensible w16cex:durableId="51B2A427" w16cex:dateUtc="2023-12-05T0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89CB65F" w16cid:durableId="1A34D5CC"/>
  <w16cid:commentId w16cid:paraId="1F0D304F" w16cid:durableId="51B2A42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146422"/>
    <w:multiLevelType w:val="hybridMultilevel"/>
    <w:tmpl w:val="5A5C1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649071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ate Smith">
    <w15:presenceInfo w15:providerId="AD" w15:userId="S::nate.smith@maplehealthgroup.com::7fb85bc2-c2a1-4ace-bad9-324d9d8884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C03"/>
    <w:rsid w:val="00014762"/>
    <w:rsid w:val="000327D6"/>
    <w:rsid w:val="000E4F3A"/>
    <w:rsid w:val="00170335"/>
    <w:rsid w:val="002117D3"/>
    <w:rsid w:val="003865FF"/>
    <w:rsid w:val="0053675B"/>
    <w:rsid w:val="00580AA5"/>
    <w:rsid w:val="006213A2"/>
    <w:rsid w:val="006270C8"/>
    <w:rsid w:val="006A7DF2"/>
    <w:rsid w:val="00714926"/>
    <w:rsid w:val="00896122"/>
    <w:rsid w:val="00906C26"/>
    <w:rsid w:val="009D1C03"/>
    <w:rsid w:val="009E76E6"/>
    <w:rsid w:val="00A85C3F"/>
    <w:rsid w:val="00AE0602"/>
    <w:rsid w:val="00AF13B1"/>
    <w:rsid w:val="00B004B1"/>
    <w:rsid w:val="00B57826"/>
    <w:rsid w:val="00C859ED"/>
    <w:rsid w:val="00CA0146"/>
    <w:rsid w:val="00CF6D08"/>
    <w:rsid w:val="00D82995"/>
    <w:rsid w:val="00D906FF"/>
    <w:rsid w:val="00D92E5D"/>
    <w:rsid w:val="00E834D6"/>
    <w:rsid w:val="00EB30BB"/>
    <w:rsid w:val="00FB26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2AB07"/>
  <w15:chartTrackingRefBased/>
  <w15:docId w15:val="{FC338B1D-93AE-41FA-9527-9910ACB3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C03"/>
    <w:pPr>
      <w:spacing w:after="0" w:line="480" w:lineRule="auto"/>
    </w:pPr>
    <w:rPr>
      <w:rFonts w:ascii="Times New Roman" w:hAnsi="Times New Roman" w:cs="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D1C03"/>
    <w:pPr>
      <w:ind w:left="720"/>
      <w:contextualSpacing/>
    </w:pPr>
  </w:style>
  <w:style w:type="character" w:customStyle="1" w:styleId="ListParagraphChar">
    <w:name w:val="List Paragraph Char"/>
    <w:basedOn w:val="DefaultParagraphFont"/>
    <w:link w:val="ListParagraph"/>
    <w:uiPriority w:val="34"/>
    <w:rsid w:val="009D1C03"/>
    <w:rPr>
      <w:rFonts w:ascii="Times New Roman" w:hAnsi="Times New Roman" w:cs="Arial"/>
      <w:sz w:val="24"/>
      <w:szCs w:val="24"/>
      <w:lang w:val="en-US"/>
    </w:rPr>
  </w:style>
  <w:style w:type="table" w:styleId="ListTable3-Accent2">
    <w:name w:val="List Table 3 Accent 2"/>
    <w:basedOn w:val="TableNormal"/>
    <w:uiPriority w:val="48"/>
    <w:rsid w:val="009D1C03"/>
    <w:pPr>
      <w:spacing w:after="0" w:line="240" w:lineRule="auto"/>
    </w:pPr>
    <w:rPr>
      <w:rFonts w:eastAsiaTheme="minorEastAsia"/>
      <w:lang w:val="en-U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Grid">
    <w:name w:val="Table Grid"/>
    <w:basedOn w:val="TableNormal"/>
    <w:uiPriority w:val="39"/>
    <w:rsid w:val="002117D3"/>
    <w:pPr>
      <w:spacing w:after="0" w:line="240" w:lineRule="auto"/>
    </w:pPr>
    <w:rPr>
      <w:rFonts w:ascii="Arial" w:hAnsi="Arial" w:cs="Arial"/>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327D6"/>
    <w:pPr>
      <w:spacing w:after="0" w:line="240" w:lineRule="auto"/>
    </w:pPr>
    <w:rPr>
      <w:rFonts w:ascii="Times New Roman" w:hAnsi="Times New Roman" w:cs="Arial"/>
      <w:sz w:val="24"/>
      <w:szCs w:val="24"/>
      <w:lang w:val="en-US"/>
    </w:rPr>
  </w:style>
  <w:style w:type="paragraph" w:customStyle="1" w:styleId="pf0">
    <w:name w:val="pf0"/>
    <w:basedOn w:val="Normal"/>
    <w:rsid w:val="00CF6D08"/>
    <w:pPr>
      <w:spacing w:before="100" w:beforeAutospacing="1" w:after="100" w:afterAutospacing="1" w:line="240" w:lineRule="auto"/>
    </w:pPr>
    <w:rPr>
      <w:rFonts w:eastAsia="Times New Roman" w:cs="Times New Roman"/>
    </w:rPr>
  </w:style>
  <w:style w:type="character" w:customStyle="1" w:styleId="cf01">
    <w:name w:val="cf01"/>
    <w:basedOn w:val="DefaultParagraphFont"/>
    <w:rsid w:val="00CF6D08"/>
    <w:rPr>
      <w:rFonts w:ascii="Segoe UI" w:hAnsi="Segoe UI" w:cs="Segoe UI" w:hint="default"/>
      <w:sz w:val="18"/>
      <w:szCs w:val="18"/>
    </w:rPr>
  </w:style>
  <w:style w:type="character" w:styleId="Hyperlink">
    <w:name w:val="Hyperlink"/>
    <w:basedOn w:val="DefaultParagraphFont"/>
    <w:uiPriority w:val="99"/>
    <w:unhideWhenUsed/>
    <w:rsid w:val="00CF6D08"/>
    <w:rPr>
      <w:color w:val="0563C1" w:themeColor="hyperlink"/>
      <w:u w:val="single"/>
    </w:rPr>
  </w:style>
  <w:style w:type="character" w:styleId="UnresolvedMention">
    <w:name w:val="Unresolved Mention"/>
    <w:basedOn w:val="DefaultParagraphFont"/>
    <w:uiPriority w:val="99"/>
    <w:semiHidden/>
    <w:unhideWhenUsed/>
    <w:rsid w:val="00CF6D08"/>
    <w:rPr>
      <w:color w:val="605E5C"/>
      <w:shd w:val="clear" w:color="auto" w:fill="E1DFDD"/>
    </w:rPr>
  </w:style>
  <w:style w:type="character" w:styleId="CommentReference">
    <w:name w:val="annotation reference"/>
    <w:basedOn w:val="DefaultParagraphFont"/>
    <w:uiPriority w:val="99"/>
    <w:semiHidden/>
    <w:unhideWhenUsed/>
    <w:rsid w:val="00CF6D08"/>
    <w:rPr>
      <w:sz w:val="16"/>
      <w:szCs w:val="16"/>
    </w:rPr>
  </w:style>
  <w:style w:type="paragraph" w:styleId="CommentText">
    <w:name w:val="annotation text"/>
    <w:basedOn w:val="Normal"/>
    <w:link w:val="CommentTextChar"/>
    <w:uiPriority w:val="99"/>
    <w:unhideWhenUsed/>
    <w:rsid w:val="00CF6D08"/>
    <w:rPr>
      <w:sz w:val="20"/>
      <w:szCs w:val="20"/>
    </w:rPr>
  </w:style>
  <w:style w:type="character" w:customStyle="1" w:styleId="CommentTextChar">
    <w:name w:val="Comment Text Char"/>
    <w:basedOn w:val="DefaultParagraphFont"/>
    <w:link w:val="CommentText"/>
    <w:uiPriority w:val="99"/>
    <w:rsid w:val="00CF6D08"/>
    <w:rPr>
      <w:rFonts w:ascii="Times New Roman" w:hAnsi="Times New Roman"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7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chart" Target="charts/chart1.xml"/><Relationship Id="rId5" Type="http://schemas.openxmlformats.org/officeDocument/2006/relationships/hyperlink" Target="mailto:chong.kim9@gilead.com" TargetMode="Externa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webSettings" Target="webSettings.xml"/><Relationship Id="rId9" Type="http://schemas.microsoft.com/office/2018/08/relationships/commentsExtensible" Target="commentsExtensible.xml"/><Relationship Id="rId14" Type="http://schemas.microsoft.com/office/2011/relationships/people" Target="people.xml"/></Relationships>
</file>

<file path=word/charts/_rels/chart1.xml.rels><?xml version="1.0" encoding="UTF-8" standalone="yes"?>
<Relationships xmlns="http://schemas.openxmlformats.org/package/2006/relationships"><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793981481481483"/>
          <c:y val="0.16567460317460317"/>
          <c:w val="0.45949074074074076"/>
          <c:h val="0.78769841269841268"/>
        </c:manualLayout>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C3C-41CD-BE88-A8799AF56035}"/>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0C3C-41CD-BE88-A8799AF56035}"/>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0C3C-41CD-BE88-A8799AF56035}"/>
              </c:ext>
            </c:extLst>
          </c:dPt>
          <c:dLbls>
            <c:dLbl>
              <c:idx val="0"/>
              <c:layout>
                <c:manualLayout>
                  <c:x val="9.6489820794872463E-2"/>
                  <c:y val="-0.1637664070767739"/>
                </c:manualLayout>
              </c:layout>
              <c:tx>
                <c:rich>
                  <a:bodyPr/>
                  <a:lstStyle/>
                  <a:p>
                    <a:fld id="{B158A129-82C9-4927-AC86-371887A4DD9B}" type="CATEGORYNAME">
                      <a:rPr lang="en-US"/>
                      <a:pPr/>
                      <a:t>[CATEGORY NAME]</a:t>
                    </a:fld>
                    <a:endParaRPr lang="en-US" baseline="0"/>
                  </a:p>
                  <a:p>
                    <a:r>
                      <a:rPr lang="en-US"/>
                      <a:t>n=</a:t>
                    </a:r>
                    <a:fld id="{A07E6CCD-66F8-4C67-B497-B81327A7A414}" type="VALUE">
                      <a:rPr lang="en-US"/>
                      <a:pPr/>
                      <a:t>[VALUE]</a:t>
                    </a:fld>
                    <a:r>
                      <a:rPr lang="en-US"/>
                      <a:t> (</a:t>
                    </a:r>
                    <a:fld id="{AEFDA56C-46BF-456E-9705-00300282040B}" type="PERCENTAGE">
                      <a:rPr lang="en-US"/>
                      <a:pPr/>
                      <a:t>[PERCENTAGE]</a:t>
                    </a:fld>
                    <a:r>
                      <a:rPr lang="en-US"/>
                      <a:t>)</a:t>
                    </a:r>
                  </a:p>
                </c:rich>
              </c:tx>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1-0C3C-41CD-BE88-A8799AF56035}"/>
                </c:ext>
              </c:extLst>
            </c:dLbl>
            <c:dLbl>
              <c:idx val="1"/>
              <c:layout>
                <c:manualLayout>
                  <c:x val="6.3212814690298533E-2"/>
                  <c:y val="7.2047330413450544E-2"/>
                </c:manualLayout>
              </c:layout>
              <c:tx>
                <c:rich>
                  <a:bodyPr/>
                  <a:lstStyle/>
                  <a:p>
                    <a:fld id="{C039D446-2441-4501-89D5-D039A4D244FD}" type="CATEGORYNAME">
                      <a:rPr lang="en-US"/>
                      <a:pPr/>
                      <a:t>[CATEGORY NAME]</a:t>
                    </a:fld>
                    <a:endParaRPr lang="en-US" baseline="0"/>
                  </a:p>
                  <a:p>
                    <a:r>
                      <a:rPr lang="en-US"/>
                      <a:t>n=</a:t>
                    </a:r>
                    <a:fld id="{CE79E5C9-5F28-4AAC-AA5B-467A4976374B}" type="VALUE">
                      <a:rPr lang="en-US"/>
                      <a:pPr/>
                      <a:t>[VALUE]</a:t>
                    </a:fld>
                    <a:r>
                      <a:rPr lang="en-US"/>
                      <a:t> (</a:t>
                    </a:r>
                    <a:fld id="{3144F127-38F2-45A8-AC38-67C555A3CF39}" type="PERCENTAGE">
                      <a:rPr lang="en-US"/>
                      <a:pPr/>
                      <a:t>[PERCENTAGE]</a:t>
                    </a:fld>
                    <a:r>
                      <a:rPr lang="en-US"/>
                      <a:t>)</a:t>
                    </a:r>
                  </a:p>
                </c:rich>
              </c:tx>
              <c:showLegendKey val="0"/>
              <c:showVal val="1"/>
              <c:showCatName val="1"/>
              <c:showSerName val="0"/>
              <c:showPercent val="1"/>
              <c:showBubbleSize val="0"/>
              <c:separator>
</c:separator>
              <c:extLst>
                <c:ext xmlns:c15="http://schemas.microsoft.com/office/drawing/2012/chart" uri="{CE6537A1-D6FC-4f65-9D91-7224C49458BB}">
                  <c15:layout>
                    <c:manualLayout>
                      <c:w val="0.3089474605148041"/>
                      <c:h val="0.19281314168377819"/>
                    </c:manualLayout>
                  </c15:layout>
                  <c15:dlblFieldTable/>
                  <c15:showDataLabelsRange val="0"/>
                </c:ext>
                <c:ext xmlns:c16="http://schemas.microsoft.com/office/drawing/2014/chart" uri="{C3380CC4-5D6E-409C-BE32-E72D297353CC}">
                  <c16:uniqueId val="{00000003-0C3C-41CD-BE88-A8799AF56035}"/>
                </c:ext>
              </c:extLst>
            </c:dLbl>
            <c:dLbl>
              <c:idx val="2"/>
              <c:layout>
                <c:manualLayout>
                  <c:x val="8.1168853893263337E-2"/>
                  <c:y val="1.0265323610729358E-3"/>
                </c:manualLayout>
              </c:layout>
              <c:tx>
                <c:rich>
                  <a:bodyPr/>
                  <a:lstStyle/>
                  <a:p>
                    <a:fld id="{71F7C78D-C02C-45E4-B2AF-86E61B725977}" type="CATEGORYNAME">
                      <a:rPr lang="en-US"/>
                      <a:pPr/>
                      <a:t>[CATEGORY NAME]</a:t>
                    </a:fld>
                    <a:endParaRPr lang="en-US" baseline="0"/>
                  </a:p>
                  <a:p>
                    <a:r>
                      <a:rPr lang="en-US"/>
                      <a:t>n=</a:t>
                    </a:r>
                    <a:fld id="{491BEA1D-1B2D-4A20-9051-137B1506854D}" type="VALUE">
                      <a:rPr lang="en-US"/>
                      <a:pPr/>
                      <a:t>[VALUE]</a:t>
                    </a:fld>
                    <a:r>
                      <a:rPr lang="en-US"/>
                      <a:t> (</a:t>
                    </a:r>
                    <a:fld id="{F433F272-5126-4365-8B45-EC4C9FB32612}" type="PERCENTAGE">
                      <a:rPr lang="en-US"/>
                      <a:pPr/>
                      <a:t>[PERCENTAGE]</a:t>
                    </a:fld>
                    <a:r>
                      <a:rPr lang="en-US"/>
                      <a:t>)</a:t>
                    </a:r>
                  </a:p>
                </c:rich>
              </c:tx>
              <c:showLegendKey val="0"/>
              <c:showVal val="1"/>
              <c:showCatName val="1"/>
              <c:showSerName val="0"/>
              <c:showPercent val="1"/>
              <c:showBubbleSize val="0"/>
              <c:separator>
</c:separator>
              <c:extLst>
                <c:ext xmlns:c15="http://schemas.microsoft.com/office/drawing/2012/chart" uri="{CE6537A1-D6FC-4f65-9D91-7224C49458BB}">
                  <c15:layout>
                    <c:manualLayout>
                      <c:w val="0.26107602339181285"/>
                      <c:h val="0.19281314168377819"/>
                    </c:manualLayout>
                  </c15:layout>
                  <c15:dlblFieldTable/>
                  <c15:showDataLabelsRange val="0"/>
                </c:ext>
                <c:ext xmlns:c16="http://schemas.microsoft.com/office/drawing/2014/chart" uri="{C3380CC4-5D6E-409C-BE32-E72D297353CC}">
                  <c16:uniqueId val="{00000005-0C3C-41CD-BE88-A8799AF56035}"/>
                </c:ext>
              </c:extLst>
            </c:dLbl>
            <c:numFmt formatCode="0.0%" sourceLinked="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1"/>
            <c:showBubbleSize val="0"/>
            <c:showLeaderLines val="0"/>
            <c:extLst>
              <c:ext xmlns:c15="http://schemas.microsoft.com/office/drawing/2012/chart" uri="{CE6537A1-D6FC-4f65-9D91-7224C49458BB}"/>
            </c:extLst>
          </c:dLbls>
          <c:cat>
            <c:strRef>
              <c:f>Sheet1!$A$2:$A$4</c:f>
              <c:strCache>
                <c:ptCount val="3"/>
                <c:pt idx="0">
                  <c:v>Undetectability</c:v>
                </c:pt>
                <c:pt idx="1">
                  <c:v>HBV Monoinfection</c:v>
                </c:pt>
                <c:pt idx="2">
                  <c:v>ALT Normalization</c:v>
                </c:pt>
              </c:strCache>
            </c:strRef>
          </c:cat>
          <c:val>
            <c:numRef>
              <c:f>Sheet1!$B$2:$B$4</c:f>
              <c:numCache>
                <c:formatCode>General</c:formatCode>
                <c:ptCount val="3"/>
                <c:pt idx="0">
                  <c:v>10</c:v>
                </c:pt>
                <c:pt idx="1">
                  <c:v>1</c:v>
                </c:pt>
                <c:pt idx="2">
                  <c:v>1</c:v>
                </c:pt>
              </c:numCache>
            </c:numRef>
          </c:val>
          <c:extLst>
            <c:ext xmlns:c16="http://schemas.microsoft.com/office/drawing/2014/chart" uri="{C3380CC4-5D6E-409C-BE32-E72D297353CC}">
              <c16:uniqueId val="{00000006-0C3C-41CD-BE88-A8799AF56035}"/>
            </c:ext>
          </c:extLst>
        </c:ser>
        <c:dLbls>
          <c:showLegendKey val="0"/>
          <c:showVal val="1"/>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chemeClr val="tx1"/>
          </a:solidFill>
          <a:latin typeface="Arial" panose="020B0604020202020204" pitchFamily="34" charset="0"/>
          <a:cs typeface="Arial" panose="020B0604020202020204" pitchFamily="34" charset="0"/>
        </a:defRPr>
      </a:pPr>
      <a:endParaRPr lang="en-US"/>
    </a:p>
  </c:txPr>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1747</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Maple Health Group</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Lianne Barnieh</dc:creator>
  <cp:keywords/>
  <dc:description/>
  <cp:lastModifiedBy>Nate Smith</cp:lastModifiedBy>
  <cp:revision>4</cp:revision>
  <dcterms:created xsi:type="dcterms:W3CDTF">2023-09-21T21:40:00Z</dcterms:created>
  <dcterms:modified xsi:type="dcterms:W3CDTF">2023-12-05T08:58:00Z</dcterms:modified>
</cp:coreProperties>
</file>