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63854" w14:textId="5A38CA83" w:rsidR="00AF1671" w:rsidRPr="00AF1671" w:rsidRDefault="00AF1671" w:rsidP="00AF1671">
      <w:pPr>
        <w:spacing w:before="120" w:after="120" w:line="360" w:lineRule="auto"/>
        <w:rPr>
          <w:rFonts w:ascii="Times New Roman" w:eastAsia="Calibri" w:hAnsi="Times New Roman" w:cs="Times New Roman"/>
          <w:b/>
          <w:bCs/>
          <w:sz w:val="32"/>
          <w:szCs w:val="32"/>
          <w:lang w:eastAsia="en-US"/>
        </w:rPr>
      </w:pPr>
      <w:bookmarkStart w:id="0" w:name="_Hlk114969128"/>
      <w:bookmarkStart w:id="1" w:name="_GoBack"/>
      <w:bookmarkEnd w:id="1"/>
      <w:r w:rsidRPr="00AF1671">
        <w:rPr>
          <w:rFonts w:ascii="Times New Roman" w:eastAsia="Calibri" w:hAnsi="Times New Roman" w:cs="Times New Roman"/>
          <w:b/>
          <w:bCs/>
          <w:i/>
          <w:iCs/>
          <w:sz w:val="32"/>
          <w:szCs w:val="32"/>
          <w:lang w:eastAsia="en-US"/>
        </w:rPr>
        <w:t>PharmacoEconomics - Open</w:t>
      </w:r>
    </w:p>
    <w:p w14:paraId="7D919F90" w14:textId="77777777" w:rsidR="00AF1671" w:rsidRDefault="00AF1671" w:rsidP="00521862">
      <w:pPr>
        <w:spacing w:before="120" w:after="120" w:line="360" w:lineRule="auto"/>
        <w:jc w:val="center"/>
        <w:rPr>
          <w:rFonts w:ascii="Times New Roman" w:eastAsia="Calibri" w:hAnsi="Times New Roman" w:cs="Times New Roman"/>
          <w:b/>
          <w:bCs/>
          <w:sz w:val="32"/>
          <w:szCs w:val="32"/>
          <w:lang w:eastAsia="en-US"/>
        </w:rPr>
      </w:pPr>
    </w:p>
    <w:p w14:paraId="4B356725" w14:textId="2C84CBF7" w:rsidR="00521862" w:rsidRPr="004D5D6C" w:rsidRDefault="00521862" w:rsidP="00521862">
      <w:pPr>
        <w:spacing w:before="120" w:after="120" w:line="360" w:lineRule="auto"/>
        <w:jc w:val="center"/>
        <w:rPr>
          <w:rFonts w:ascii="Times New Roman" w:eastAsia="Calibri" w:hAnsi="Times New Roman" w:cs="Times New Roman"/>
          <w:b/>
          <w:bCs/>
          <w:sz w:val="32"/>
          <w:szCs w:val="32"/>
          <w:lang w:eastAsia="en-US"/>
        </w:rPr>
      </w:pPr>
      <w:r w:rsidRPr="004D5D6C">
        <w:rPr>
          <w:rFonts w:ascii="Times New Roman" w:eastAsia="Calibri" w:hAnsi="Times New Roman" w:cs="Times New Roman"/>
          <w:b/>
          <w:bCs/>
          <w:sz w:val="32"/>
          <w:szCs w:val="32"/>
          <w:lang w:eastAsia="en-US"/>
        </w:rPr>
        <w:t xml:space="preserve">Economic Burden of Haemophilia from a Societal Perspective: </w:t>
      </w:r>
      <w:r w:rsidRPr="004D5D6C">
        <w:rPr>
          <w:rFonts w:ascii="Times New Roman" w:eastAsia="Calibri" w:hAnsi="Times New Roman" w:cs="Times New Roman"/>
          <w:b/>
          <w:bCs/>
          <w:sz w:val="32"/>
          <w:szCs w:val="32"/>
          <w:lang w:eastAsia="en-US"/>
        </w:rPr>
        <w:br/>
        <w:t>A Scoping Review</w:t>
      </w:r>
    </w:p>
    <w:p w14:paraId="6B4E96BE" w14:textId="77777777" w:rsidR="00275D89" w:rsidRPr="00275D89" w:rsidRDefault="00275D89" w:rsidP="00275D89">
      <w:pPr>
        <w:spacing w:after="200" w:line="360" w:lineRule="auto"/>
        <w:rPr>
          <w:rFonts w:ascii="Times New Roman" w:eastAsia="Arial" w:hAnsi="Times New Roman" w:cs="Times New Roman"/>
          <w:sz w:val="24"/>
          <w:szCs w:val="24"/>
          <w:lang w:eastAsia="en-US"/>
        </w:rPr>
      </w:pPr>
      <w:r w:rsidRPr="00275D89">
        <w:rPr>
          <w:rFonts w:ascii="Times New Roman" w:eastAsia="Arial" w:hAnsi="Times New Roman" w:cs="Times New Roman"/>
          <w:sz w:val="24"/>
          <w:szCs w:val="24"/>
          <w:lang w:eastAsia="en-US"/>
        </w:rPr>
        <w:t>Amr A. El-Sayed</w:t>
      </w:r>
      <w:r w:rsidRPr="00275D89">
        <w:rPr>
          <w:rFonts w:ascii="Times New Roman" w:eastAsia="Arial" w:hAnsi="Times New Roman" w:cs="Times New Roman"/>
          <w:sz w:val="24"/>
          <w:szCs w:val="24"/>
          <w:vertAlign w:val="superscript"/>
          <w:lang w:eastAsia="en-US"/>
        </w:rPr>
        <w:t>1,2</w:t>
      </w:r>
      <w:r w:rsidRPr="00275D89">
        <w:rPr>
          <w:rFonts w:ascii="Times New Roman" w:eastAsia="Arial" w:hAnsi="Times New Roman" w:cs="Times New Roman"/>
          <w:sz w:val="24"/>
          <w:szCs w:val="24"/>
          <w:lang w:eastAsia="en-US"/>
        </w:rPr>
        <w:t>, Nancy S. Bolous</w:t>
      </w:r>
      <w:r w:rsidRPr="00275D89">
        <w:rPr>
          <w:rFonts w:ascii="Times New Roman" w:eastAsia="Arial" w:hAnsi="Times New Roman" w:cs="Times New Roman"/>
          <w:sz w:val="24"/>
          <w:szCs w:val="24"/>
          <w:vertAlign w:val="superscript"/>
          <w:lang w:eastAsia="en-US"/>
        </w:rPr>
        <w:t>3</w:t>
      </w:r>
    </w:p>
    <w:p w14:paraId="40F9E0BF" w14:textId="77777777" w:rsidR="00275D89" w:rsidRPr="00275D89" w:rsidRDefault="00275D89" w:rsidP="00275D89">
      <w:pPr>
        <w:spacing w:after="200" w:line="360" w:lineRule="auto"/>
        <w:rPr>
          <w:rFonts w:ascii="Times New Roman" w:eastAsia="Arial" w:hAnsi="Times New Roman" w:cs="Times New Roman"/>
          <w:i/>
          <w:iCs/>
          <w:sz w:val="24"/>
          <w:szCs w:val="24"/>
          <w:lang w:eastAsia="en-US"/>
        </w:rPr>
      </w:pPr>
      <w:r w:rsidRPr="00275D89">
        <w:rPr>
          <w:rFonts w:ascii="Times New Roman" w:eastAsia="Arial" w:hAnsi="Times New Roman" w:cs="Times New Roman"/>
          <w:i/>
          <w:iCs/>
          <w:sz w:val="24"/>
          <w:szCs w:val="24"/>
          <w:vertAlign w:val="superscript"/>
          <w:lang w:eastAsia="en-US"/>
        </w:rPr>
        <w:t>1</w:t>
      </w:r>
      <w:r w:rsidRPr="00275D89">
        <w:rPr>
          <w:rFonts w:ascii="Times New Roman" w:eastAsia="Arial" w:hAnsi="Times New Roman" w:cs="Times New Roman"/>
          <w:i/>
          <w:iCs/>
          <w:sz w:val="24"/>
          <w:szCs w:val="24"/>
          <w:lang w:eastAsia="en-US"/>
        </w:rPr>
        <w:t>Master of Science in International Public Health, Public Health Institute, Faculty of Health, Liverpool John Moores University, Liverpool, UK</w:t>
      </w:r>
    </w:p>
    <w:p w14:paraId="4D2FE49D" w14:textId="77777777" w:rsidR="00275D89" w:rsidRPr="00275D89" w:rsidRDefault="00275D89" w:rsidP="00275D89">
      <w:pPr>
        <w:spacing w:after="200" w:line="360" w:lineRule="auto"/>
        <w:rPr>
          <w:rFonts w:ascii="Times New Roman" w:eastAsia="Arial" w:hAnsi="Times New Roman" w:cs="Times New Roman"/>
          <w:i/>
          <w:iCs/>
          <w:sz w:val="24"/>
          <w:szCs w:val="24"/>
          <w:lang w:eastAsia="en-US"/>
        </w:rPr>
      </w:pPr>
      <w:r w:rsidRPr="00275D89">
        <w:rPr>
          <w:rFonts w:ascii="Times New Roman" w:eastAsia="Arial" w:hAnsi="Times New Roman" w:cs="Times New Roman"/>
          <w:i/>
          <w:iCs/>
          <w:sz w:val="24"/>
          <w:szCs w:val="24"/>
          <w:vertAlign w:val="superscript"/>
          <w:lang w:eastAsia="en-US"/>
        </w:rPr>
        <w:t>2</w:t>
      </w:r>
      <w:r w:rsidRPr="00275D89">
        <w:rPr>
          <w:rFonts w:ascii="Times New Roman" w:eastAsia="Arial" w:hAnsi="Times New Roman" w:cs="Times New Roman"/>
          <w:i/>
          <w:iCs/>
          <w:sz w:val="24"/>
          <w:szCs w:val="24"/>
          <w:lang w:eastAsia="en-US"/>
        </w:rPr>
        <w:t>Medical Affairs Department, Novo Nordisk Egypt, Cairo, Egypt</w:t>
      </w:r>
    </w:p>
    <w:p w14:paraId="41624416" w14:textId="77777777" w:rsidR="00275D89" w:rsidRPr="00275D89" w:rsidRDefault="00275D89" w:rsidP="00275D89">
      <w:pPr>
        <w:spacing w:after="200" w:line="360" w:lineRule="auto"/>
        <w:rPr>
          <w:rFonts w:ascii="Times New Roman" w:eastAsia="Arial" w:hAnsi="Times New Roman" w:cs="Times New Roman"/>
          <w:i/>
          <w:iCs/>
          <w:sz w:val="24"/>
          <w:szCs w:val="24"/>
          <w:lang w:eastAsia="en-US"/>
        </w:rPr>
      </w:pPr>
      <w:r w:rsidRPr="00275D89">
        <w:rPr>
          <w:rFonts w:ascii="Times New Roman" w:eastAsia="Arial" w:hAnsi="Times New Roman" w:cs="Times New Roman"/>
          <w:i/>
          <w:iCs/>
          <w:sz w:val="24"/>
          <w:szCs w:val="24"/>
          <w:vertAlign w:val="superscript"/>
          <w:lang w:eastAsia="en-US"/>
        </w:rPr>
        <w:t>3</w:t>
      </w:r>
      <w:r w:rsidRPr="00275D89">
        <w:rPr>
          <w:rFonts w:ascii="Times New Roman" w:eastAsia="Arial" w:hAnsi="Times New Roman" w:cs="Times New Roman"/>
          <w:i/>
          <w:iCs/>
          <w:sz w:val="24"/>
          <w:szCs w:val="24"/>
          <w:lang w:eastAsia="en-US"/>
        </w:rPr>
        <w:t>Department of Global Pediatric Medicine, St. Jude Children’s Research Hospital, Memphis, Tennessee, USA</w:t>
      </w:r>
    </w:p>
    <w:p w14:paraId="71EF688D" w14:textId="77777777" w:rsidR="00275D89" w:rsidRPr="00275D89" w:rsidRDefault="00275D89" w:rsidP="00275D89">
      <w:pPr>
        <w:spacing w:after="200" w:line="360" w:lineRule="auto"/>
        <w:rPr>
          <w:rFonts w:ascii="Times New Roman" w:eastAsia="Arial" w:hAnsi="Times New Roman" w:cs="Times New Roman"/>
          <w:sz w:val="24"/>
          <w:szCs w:val="24"/>
          <w:lang w:eastAsia="en-US"/>
        </w:rPr>
      </w:pPr>
      <w:r w:rsidRPr="00275D89">
        <w:rPr>
          <w:rFonts w:ascii="Times New Roman" w:eastAsia="Arial" w:hAnsi="Times New Roman" w:cs="Times New Roman"/>
          <w:b/>
          <w:bCs/>
          <w:sz w:val="24"/>
          <w:szCs w:val="24"/>
          <w:lang w:eastAsia="en-US"/>
        </w:rPr>
        <w:t xml:space="preserve">Correspondence: </w:t>
      </w:r>
      <w:r w:rsidRPr="00275D89">
        <w:rPr>
          <w:rFonts w:ascii="Times New Roman" w:eastAsia="Arial" w:hAnsi="Times New Roman" w:cs="Times New Roman"/>
          <w:sz w:val="24"/>
          <w:szCs w:val="24"/>
          <w:lang w:eastAsia="en-US"/>
        </w:rPr>
        <w:t>Amr Abdallah El-Sayed</w:t>
      </w:r>
    </w:p>
    <w:p w14:paraId="5252618E" w14:textId="77777777" w:rsidR="00275D89" w:rsidRPr="00275D89" w:rsidRDefault="00275D89" w:rsidP="00275D89">
      <w:pPr>
        <w:spacing w:after="200" w:line="360" w:lineRule="auto"/>
        <w:rPr>
          <w:rFonts w:ascii="Times New Roman" w:eastAsia="Arial" w:hAnsi="Times New Roman" w:cs="Times New Roman"/>
          <w:sz w:val="24"/>
          <w:szCs w:val="24"/>
          <w:lang w:val="en-US" w:eastAsia="en-US"/>
        </w:rPr>
      </w:pPr>
      <w:r w:rsidRPr="00275D89">
        <w:rPr>
          <w:rFonts w:ascii="Times New Roman" w:eastAsia="Arial" w:hAnsi="Times New Roman" w:cs="Times New Roman"/>
          <w:sz w:val="24"/>
          <w:szCs w:val="24"/>
          <w:lang w:val="en-US" w:eastAsia="en-US"/>
        </w:rPr>
        <w:t xml:space="preserve">Email: </w:t>
      </w:r>
      <w:hyperlink r:id="rId8" w:history="1">
        <w:r w:rsidRPr="00275D89">
          <w:rPr>
            <w:rFonts w:ascii="Times New Roman" w:eastAsia="Calibri" w:hAnsi="Times New Roman" w:cs="Times New Roman"/>
            <w:color w:val="0000FF"/>
            <w:sz w:val="24"/>
            <w:szCs w:val="24"/>
            <w:u w:val="single"/>
            <w:lang w:val="en-US" w:eastAsia="en-US"/>
          </w:rPr>
          <w:t>dr.amr.elsayed.1983@gmail.com</w:t>
        </w:r>
      </w:hyperlink>
      <w:r w:rsidRPr="00275D89">
        <w:rPr>
          <w:rFonts w:ascii="Times New Roman" w:eastAsia="Arial" w:hAnsi="Times New Roman" w:cs="Times New Roman"/>
          <w:sz w:val="24"/>
          <w:szCs w:val="24"/>
          <w:lang w:eastAsia="en-US"/>
        </w:rPr>
        <w:t xml:space="preserve"> and </w:t>
      </w:r>
      <w:hyperlink r:id="rId9" w:history="1">
        <w:r w:rsidRPr="00275D89">
          <w:rPr>
            <w:rFonts w:ascii="Times New Roman" w:eastAsia="Arial" w:hAnsi="Times New Roman" w:cs="Times New Roman"/>
            <w:color w:val="0000FF"/>
            <w:sz w:val="24"/>
            <w:szCs w:val="24"/>
            <w:u w:val="single"/>
            <w:lang w:val="en-US" w:eastAsia="en-US"/>
          </w:rPr>
          <w:t>aasy@novonordisk.com</w:t>
        </w:r>
      </w:hyperlink>
    </w:p>
    <w:p w14:paraId="3511DC8F" w14:textId="77777777" w:rsidR="00F327CF" w:rsidRDefault="00F327CF" w:rsidP="008746E7">
      <w:pPr>
        <w:spacing w:line="360" w:lineRule="auto"/>
        <w:jc w:val="both"/>
        <w:rPr>
          <w:rFonts w:ascii="Times New Roman" w:eastAsia="Arial" w:hAnsi="Times New Roman" w:cs="Times New Roman"/>
          <w:b/>
          <w:bCs/>
          <w:sz w:val="24"/>
          <w:szCs w:val="24"/>
          <w:lang w:eastAsia="en-US"/>
        </w:rPr>
      </w:pPr>
    </w:p>
    <w:p w14:paraId="10C66EA3" w14:textId="61F953D4" w:rsidR="003E674F" w:rsidRPr="00A4453B" w:rsidRDefault="003E674F" w:rsidP="008746E7">
      <w:pPr>
        <w:spacing w:line="360" w:lineRule="auto"/>
        <w:jc w:val="both"/>
        <w:rPr>
          <w:rFonts w:ascii="Times New Roman" w:eastAsia="Arial" w:hAnsi="Times New Roman" w:cs="Times New Roman"/>
          <w:b/>
          <w:bCs/>
          <w:sz w:val="24"/>
          <w:szCs w:val="24"/>
          <w:lang w:eastAsia="en-US"/>
        </w:rPr>
      </w:pPr>
      <w:r w:rsidRPr="00A4453B">
        <w:rPr>
          <w:rFonts w:ascii="Times New Roman" w:eastAsia="Arial" w:hAnsi="Times New Roman" w:cs="Times New Roman"/>
          <w:b/>
          <w:bCs/>
          <w:sz w:val="24"/>
          <w:szCs w:val="24"/>
          <w:lang w:eastAsia="en-US"/>
        </w:rPr>
        <w:t>Funding</w:t>
      </w:r>
    </w:p>
    <w:p w14:paraId="278F266D" w14:textId="77777777" w:rsidR="003E674F" w:rsidRDefault="003E674F" w:rsidP="003E674F">
      <w:pPr>
        <w:spacing w:line="360" w:lineRule="auto"/>
        <w:jc w:val="both"/>
        <w:rPr>
          <w:rFonts w:ascii="Times New Roman" w:eastAsia="Calibri" w:hAnsi="Times New Roman" w:cs="Times New Roman"/>
          <w:sz w:val="24"/>
          <w:szCs w:val="24"/>
          <w:lang w:val="en-US" w:eastAsia="en-US"/>
        </w:rPr>
      </w:pPr>
      <w:r w:rsidRPr="003E674F">
        <w:rPr>
          <w:rFonts w:ascii="Times New Roman" w:eastAsia="Arial" w:hAnsi="Times New Roman" w:cs="Times New Roman"/>
          <w:sz w:val="24"/>
          <w:szCs w:val="24"/>
          <w:lang w:val="en-US" w:eastAsia="zh-TW"/>
        </w:rPr>
        <w:t xml:space="preserve">NSB is </w:t>
      </w:r>
      <w:r w:rsidRPr="003E674F">
        <w:rPr>
          <w:rFonts w:ascii="Times New Roman" w:eastAsia="Calibri" w:hAnsi="Times New Roman" w:cs="Times New Roman"/>
          <w:sz w:val="24"/>
          <w:szCs w:val="24"/>
          <w:lang w:val="en-US" w:eastAsia="en-US"/>
        </w:rPr>
        <w:t>partly funded by ALSAC. The funding source had no role in the design and conduct of the study; management, analysis, and interpretation of the data; preparation, review, or approval of the manuscript; or the decision to submit the manuscript for publication.</w:t>
      </w:r>
    </w:p>
    <w:p w14:paraId="7BA98EEA" w14:textId="77777777" w:rsidR="008746E7" w:rsidRPr="00A4453B" w:rsidRDefault="008746E7" w:rsidP="008746E7">
      <w:pPr>
        <w:spacing w:line="360" w:lineRule="auto"/>
        <w:jc w:val="both"/>
        <w:rPr>
          <w:rFonts w:ascii="Times New Roman" w:eastAsia="Arial" w:hAnsi="Times New Roman" w:cs="Times New Roman"/>
          <w:b/>
          <w:bCs/>
          <w:sz w:val="24"/>
          <w:szCs w:val="24"/>
          <w:lang w:eastAsia="en-US"/>
        </w:rPr>
      </w:pPr>
      <w:r w:rsidRPr="00A4453B">
        <w:rPr>
          <w:rFonts w:ascii="Times New Roman" w:eastAsia="Arial" w:hAnsi="Times New Roman" w:cs="Times New Roman"/>
          <w:b/>
          <w:bCs/>
          <w:sz w:val="24"/>
          <w:szCs w:val="24"/>
          <w:lang w:eastAsia="en-US"/>
        </w:rPr>
        <w:t>Competing interests</w:t>
      </w:r>
    </w:p>
    <w:p w14:paraId="32DC90CF" w14:textId="77777777" w:rsidR="008746E7" w:rsidRPr="008746E7" w:rsidRDefault="008746E7" w:rsidP="008746E7">
      <w:pPr>
        <w:spacing w:line="360" w:lineRule="auto"/>
        <w:jc w:val="both"/>
        <w:rPr>
          <w:rFonts w:ascii="Times New Roman" w:eastAsia="Calibri" w:hAnsi="Times New Roman" w:cs="Times New Roman"/>
          <w:sz w:val="24"/>
          <w:szCs w:val="24"/>
          <w:lang w:val="en-US" w:eastAsia="en-US"/>
        </w:rPr>
      </w:pPr>
      <w:r w:rsidRPr="008746E7">
        <w:rPr>
          <w:rFonts w:ascii="Times New Roman" w:eastAsia="Calibri" w:hAnsi="Times New Roman" w:cs="Times New Roman"/>
          <w:sz w:val="24"/>
          <w:szCs w:val="24"/>
          <w:lang w:val="en-US" w:eastAsia="en-US"/>
        </w:rPr>
        <w:t>AAE is an employee of Novo Nordisk Egypt. NSB does not have conflicts of interest for conducting this research project.</w:t>
      </w:r>
    </w:p>
    <w:p w14:paraId="5C34FE68" w14:textId="77777777" w:rsidR="008746E7" w:rsidRDefault="008746E7" w:rsidP="003E674F">
      <w:pPr>
        <w:spacing w:line="360" w:lineRule="auto"/>
        <w:jc w:val="both"/>
        <w:rPr>
          <w:rFonts w:ascii="Times New Roman" w:eastAsia="Calibri" w:hAnsi="Times New Roman" w:cs="Times New Roman"/>
          <w:b/>
          <w:bCs/>
          <w:color w:val="1F497D"/>
          <w:sz w:val="24"/>
          <w:szCs w:val="24"/>
          <w:lang w:val="en-US" w:eastAsia="en-US"/>
        </w:rPr>
      </w:pPr>
    </w:p>
    <w:p w14:paraId="3D9C1CDC" w14:textId="77777777" w:rsidR="00364EBB" w:rsidRDefault="00364EBB" w:rsidP="003E674F">
      <w:pPr>
        <w:spacing w:line="360" w:lineRule="auto"/>
        <w:jc w:val="both"/>
        <w:rPr>
          <w:rFonts w:ascii="Times New Roman" w:eastAsia="Calibri" w:hAnsi="Times New Roman" w:cs="Times New Roman"/>
          <w:b/>
          <w:bCs/>
          <w:color w:val="1F497D"/>
          <w:sz w:val="24"/>
          <w:szCs w:val="24"/>
          <w:lang w:val="en-US" w:eastAsia="en-US"/>
        </w:rPr>
      </w:pPr>
    </w:p>
    <w:p w14:paraId="5108A747" w14:textId="77777777" w:rsidR="00364EBB" w:rsidRDefault="00364EBB" w:rsidP="003E674F">
      <w:pPr>
        <w:spacing w:line="360" w:lineRule="auto"/>
        <w:jc w:val="both"/>
        <w:rPr>
          <w:rFonts w:ascii="Times New Roman" w:eastAsia="Calibri" w:hAnsi="Times New Roman" w:cs="Times New Roman"/>
          <w:b/>
          <w:bCs/>
          <w:color w:val="1F497D"/>
          <w:sz w:val="24"/>
          <w:szCs w:val="24"/>
          <w:lang w:val="en-US" w:eastAsia="en-US"/>
        </w:rPr>
      </w:pPr>
    </w:p>
    <w:p w14:paraId="2E39DDDB" w14:textId="77777777" w:rsidR="00364EBB" w:rsidRDefault="00364EBB" w:rsidP="003E674F">
      <w:pPr>
        <w:spacing w:line="360" w:lineRule="auto"/>
        <w:jc w:val="both"/>
        <w:rPr>
          <w:rFonts w:ascii="Times New Roman" w:eastAsia="Calibri" w:hAnsi="Times New Roman" w:cs="Times New Roman"/>
          <w:b/>
          <w:bCs/>
          <w:color w:val="1F497D"/>
          <w:sz w:val="24"/>
          <w:szCs w:val="24"/>
          <w:lang w:val="en-US" w:eastAsia="en-US"/>
        </w:rPr>
      </w:pPr>
    </w:p>
    <w:p w14:paraId="766CE90C" w14:textId="77777777" w:rsidR="00521862" w:rsidRPr="00594FA9" w:rsidRDefault="00521862" w:rsidP="00A4453B">
      <w:pPr>
        <w:tabs>
          <w:tab w:val="left" w:pos="1066"/>
        </w:tabs>
        <w:spacing w:before="120" w:after="120"/>
        <w:rPr>
          <w:rFonts w:ascii="Times New Roman" w:eastAsia="Calibri" w:hAnsi="Times New Roman" w:cs="Times New Roman"/>
          <w:sz w:val="28"/>
          <w:szCs w:val="28"/>
          <w:lang w:val="en-US" w:eastAsia="en-US"/>
        </w:rPr>
      </w:pPr>
    </w:p>
    <w:p w14:paraId="325539B7" w14:textId="74E84118" w:rsidR="00C6264A" w:rsidRPr="004D5D6C" w:rsidRDefault="00C6264A" w:rsidP="00617D5E">
      <w:pPr>
        <w:tabs>
          <w:tab w:val="left" w:pos="1066"/>
        </w:tabs>
        <w:spacing w:before="120" w:after="120"/>
        <w:jc w:val="center"/>
        <w:rPr>
          <w:rFonts w:ascii="Times New Roman" w:eastAsia="Calibri" w:hAnsi="Times New Roman" w:cs="Times New Roman"/>
          <w:b/>
          <w:bCs/>
          <w:sz w:val="28"/>
          <w:szCs w:val="28"/>
          <w:lang w:eastAsia="en-US"/>
        </w:rPr>
      </w:pPr>
      <w:r w:rsidRPr="004D5D6C">
        <w:rPr>
          <w:rFonts w:ascii="Times New Roman" w:eastAsia="Calibri" w:hAnsi="Times New Roman" w:cs="Times New Roman"/>
          <w:b/>
          <w:bCs/>
          <w:sz w:val="28"/>
          <w:szCs w:val="28"/>
          <w:lang w:eastAsia="en-US"/>
        </w:rPr>
        <w:lastRenderedPageBreak/>
        <w:t xml:space="preserve">Supplementary </w:t>
      </w:r>
      <w:r w:rsidR="00594FA9" w:rsidRPr="00594FA9">
        <w:rPr>
          <w:rFonts w:ascii="Times New Roman" w:eastAsia="Calibri" w:hAnsi="Times New Roman" w:cs="Times New Roman"/>
          <w:b/>
          <w:bCs/>
          <w:sz w:val="28"/>
          <w:szCs w:val="28"/>
          <w:lang w:eastAsia="en-US"/>
        </w:rPr>
        <w:t>material</w:t>
      </w:r>
    </w:p>
    <w:p w14:paraId="2C143E81" w14:textId="77777777" w:rsidR="00251EDF" w:rsidRPr="004D5D6C" w:rsidRDefault="00251EDF" w:rsidP="00617D5E">
      <w:pPr>
        <w:spacing w:before="120" w:after="120" w:line="360" w:lineRule="auto"/>
        <w:rPr>
          <w:rFonts w:ascii="Times New Roman" w:eastAsia="Calibri" w:hAnsi="Times New Roman" w:cs="Times New Roman"/>
          <w:sz w:val="28"/>
          <w:szCs w:val="28"/>
          <w:lang w:eastAsia="en-US"/>
        </w:rPr>
      </w:pPr>
    </w:p>
    <w:p w14:paraId="7726441D" w14:textId="1F26FD19" w:rsidR="00E00875" w:rsidRPr="004D5D6C" w:rsidRDefault="00E00875" w:rsidP="00617D5E">
      <w:pPr>
        <w:spacing w:before="120" w:after="120" w:line="360" w:lineRule="auto"/>
        <w:rPr>
          <w:rFonts w:ascii="Times New Roman" w:eastAsia="Calibri" w:hAnsi="Times New Roman" w:cs="Times New Roman"/>
          <w:b/>
          <w:bCs/>
          <w:sz w:val="24"/>
          <w:szCs w:val="24"/>
          <w:lang w:eastAsia="en-US"/>
        </w:rPr>
      </w:pPr>
      <w:r w:rsidRPr="004D5D6C">
        <w:rPr>
          <w:rFonts w:ascii="Times New Roman" w:eastAsia="Calibri" w:hAnsi="Times New Roman" w:cs="Times New Roman"/>
          <w:b/>
          <w:bCs/>
          <w:sz w:val="24"/>
          <w:szCs w:val="24"/>
          <w:lang w:eastAsia="en-US"/>
        </w:rPr>
        <w:t>Table of content</w:t>
      </w:r>
    </w:p>
    <w:p w14:paraId="12100B2B" w14:textId="0D16237E" w:rsidR="00E00875" w:rsidRPr="004D5D6C" w:rsidRDefault="008E04BF" w:rsidP="00617D5E">
      <w:pPr>
        <w:spacing w:before="120" w:after="120" w:line="360" w:lineRule="auto"/>
        <w:rPr>
          <w:rFonts w:ascii="Times New Roman" w:eastAsia="Calibri" w:hAnsi="Times New Roman" w:cs="Times New Roman"/>
          <w:sz w:val="24"/>
          <w:szCs w:val="24"/>
          <w:lang w:eastAsia="en-US"/>
        </w:rPr>
      </w:pPr>
      <w:r w:rsidRPr="004D5D6C">
        <w:rPr>
          <w:rFonts w:ascii="Times New Roman" w:eastAsia="Calibri" w:hAnsi="Times New Roman" w:cs="Times New Roman"/>
          <w:sz w:val="24"/>
          <w:szCs w:val="24"/>
          <w:lang w:eastAsia="en-US"/>
        </w:rPr>
        <w:t xml:space="preserve">Supplementary </w:t>
      </w:r>
      <w:r w:rsidR="0035639B" w:rsidRPr="004D5D6C">
        <w:rPr>
          <w:rFonts w:ascii="Times New Roman" w:eastAsia="Calibri" w:hAnsi="Times New Roman" w:cs="Times New Roman"/>
          <w:sz w:val="24"/>
          <w:szCs w:val="24"/>
          <w:lang w:eastAsia="en-US"/>
        </w:rPr>
        <w:t xml:space="preserve">Methods </w:t>
      </w:r>
      <w:r w:rsidR="00BB5578" w:rsidRPr="004D5D6C">
        <w:rPr>
          <w:rFonts w:ascii="Times New Roman" w:eastAsia="Calibri" w:hAnsi="Times New Roman" w:cs="Times New Roman"/>
          <w:sz w:val="24"/>
          <w:szCs w:val="24"/>
          <w:lang w:eastAsia="en-US"/>
        </w:rPr>
        <w:t xml:space="preserve">1 </w:t>
      </w:r>
      <w:r w:rsidR="00E00875" w:rsidRPr="004D5D6C">
        <w:rPr>
          <w:rFonts w:ascii="Times New Roman" w:eastAsia="Calibri" w:hAnsi="Times New Roman" w:cs="Times New Roman"/>
          <w:sz w:val="24"/>
          <w:szCs w:val="24"/>
          <w:lang w:eastAsia="en-US"/>
        </w:rPr>
        <w:t>-------------------------------------------------</w:t>
      </w:r>
      <w:bookmarkStart w:id="2" w:name="_Hlk151661064"/>
      <w:r w:rsidR="00E00875" w:rsidRPr="004D5D6C">
        <w:rPr>
          <w:rFonts w:ascii="Times New Roman" w:eastAsia="Calibri" w:hAnsi="Times New Roman" w:cs="Times New Roman"/>
          <w:sz w:val="24"/>
          <w:szCs w:val="24"/>
          <w:lang w:eastAsia="en-US"/>
        </w:rPr>
        <w:t>-------</w:t>
      </w:r>
      <w:bookmarkEnd w:id="2"/>
      <w:r w:rsidR="00E00875" w:rsidRPr="004D5D6C">
        <w:rPr>
          <w:rFonts w:ascii="Times New Roman" w:eastAsia="Calibri" w:hAnsi="Times New Roman" w:cs="Times New Roman"/>
          <w:sz w:val="24"/>
          <w:szCs w:val="24"/>
          <w:lang w:eastAsia="en-US"/>
        </w:rPr>
        <w:t>-----------</w:t>
      </w:r>
      <w:r w:rsidR="003A1A36" w:rsidRPr="004D5D6C">
        <w:rPr>
          <w:rFonts w:ascii="Times New Roman" w:eastAsia="Calibri" w:hAnsi="Times New Roman" w:cs="Times New Roman"/>
          <w:sz w:val="24"/>
          <w:szCs w:val="24"/>
          <w:lang w:eastAsia="en-US"/>
        </w:rPr>
        <w:t>---------</w:t>
      </w:r>
      <w:r w:rsidR="00E00875" w:rsidRPr="004D5D6C">
        <w:rPr>
          <w:rFonts w:ascii="Times New Roman" w:eastAsia="Calibri" w:hAnsi="Times New Roman" w:cs="Times New Roman"/>
          <w:sz w:val="24"/>
          <w:szCs w:val="24"/>
          <w:lang w:eastAsia="en-US"/>
        </w:rPr>
        <w:t xml:space="preserve"> </w:t>
      </w:r>
      <w:r w:rsidR="00364EBB">
        <w:rPr>
          <w:rFonts w:ascii="Times New Roman" w:eastAsia="Calibri" w:hAnsi="Times New Roman" w:cs="Times New Roman"/>
          <w:sz w:val="24"/>
          <w:szCs w:val="24"/>
          <w:lang w:eastAsia="en-US"/>
        </w:rPr>
        <w:t>3</w:t>
      </w:r>
    </w:p>
    <w:p w14:paraId="0C892333" w14:textId="255C504C" w:rsidR="00E00875" w:rsidRPr="004D5D6C" w:rsidRDefault="00D847DA"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Supplementary Methods 2 ----------------------------------------------------------------------------</w:t>
      </w:r>
      <w:r w:rsidR="00D74A38" w:rsidRPr="004D5D6C">
        <w:rPr>
          <w:rFonts w:ascii="Times New Roman" w:eastAsia="Calibri" w:hAnsi="Times New Roman" w:cs="Times New Roman"/>
          <w:sz w:val="24"/>
          <w:szCs w:val="24"/>
          <w:lang w:val="en-US" w:eastAsia="en-US"/>
        </w:rPr>
        <w:t xml:space="preserve"> </w:t>
      </w:r>
      <w:r w:rsidR="00364EBB">
        <w:rPr>
          <w:rFonts w:ascii="Times New Roman" w:eastAsia="Calibri" w:hAnsi="Times New Roman" w:cs="Times New Roman"/>
          <w:sz w:val="24"/>
          <w:szCs w:val="24"/>
          <w:lang w:val="en-US" w:eastAsia="en-US"/>
        </w:rPr>
        <w:t>5</w:t>
      </w:r>
    </w:p>
    <w:p w14:paraId="0418264F" w14:textId="61813DF0" w:rsidR="00E00875" w:rsidRPr="004D5D6C" w:rsidRDefault="00D847DA"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Supplementary Methods 3 ----------------------------------------------------------------------------</w:t>
      </w:r>
      <w:r w:rsidR="004568B6" w:rsidRPr="004D5D6C">
        <w:rPr>
          <w:rFonts w:ascii="Times New Roman" w:eastAsia="Calibri" w:hAnsi="Times New Roman" w:cs="Times New Roman"/>
          <w:sz w:val="24"/>
          <w:szCs w:val="24"/>
          <w:lang w:val="en-US" w:eastAsia="en-US"/>
        </w:rPr>
        <w:t xml:space="preserve"> </w:t>
      </w:r>
      <w:r w:rsidR="00364EBB">
        <w:rPr>
          <w:rFonts w:ascii="Times New Roman" w:eastAsia="Calibri" w:hAnsi="Times New Roman" w:cs="Times New Roman"/>
          <w:sz w:val="24"/>
          <w:szCs w:val="24"/>
          <w:lang w:val="en-US" w:eastAsia="en-US"/>
        </w:rPr>
        <w:t>6</w:t>
      </w:r>
    </w:p>
    <w:p w14:paraId="0B014B0F" w14:textId="36320138" w:rsidR="00596072" w:rsidRPr="004D5D6C" w:rsidRDefault="00596072" w:rsidP="00596072">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 xml:space="preserve">Supplementary Methods </w:t>
      </w:r>
      <w:r w:rsidR="00174A00" w:rsidRPr="004D5D6C">
        <w:rPr>
          <w:rFonts w:ascii="Times New Roman" w:eastAsia="Calibri" w:hAnsi="Times New Roman" w:cs="Times New Roman"/>
          <w:sz w:val="24"/>
          <w:szCs w:val="24"/>
          <w:lang w:val="en-US" w:eastAsia="en-US"/>
        </w:rPr>
        <w:t>4</w:t>
      </w:r>
      <w:r w:rsidRPr="004D5D6C">
        <w:rPr>
          <w:rFonts w:ascii="Times New Roman" w:eastAsia="Calibri" w:hAnsi="Times New Roman" w:cs="Times New Roman"/>
          <w:sz w:val="24"/>
          <w:szCs w:val="24"/>
          <w:lang w:val="en-US" w:eastAsia="en-US"/>
        </w:rPr>
        <w:t xml:space="preserve"> ---------------------------------------------------------------------------- </w:t>
      </w:r>
      <w:r w:rsidR="00967548">
        <w:rPr>
          <w:rFonts w:ascii="Times New Roman" w:eastAsia="Calibri" w:hAnsi="Times New Roman" w:cs="Times New Roman"/>
          <w:sz w:val="24"/>
          <w:szCs w:val="24"/>
          <w:lang w:val="en-US" w:eastAsia="en-US"/>
        </w:rPr>
        <w:t>8</w:t>
      </w:r>
    </w:p>
    <w:p w14:paraId="2D8262D1" w14:textId="543482DC" w:rsidR="00E00875" w:rsidRPr="004D5D6C" w:rsidRDefault="00D847DA"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Supplementary Table 1</w:t>
      </w:r>
      <w:r w:rsidR="00E00875" w:rsidRPr="004D5D6C">
        <w:rPr>
          <w:rFonts w:ascii="Times New Roman" w:eastAsia="Calibri" w:hAnsi="Times New Roman" w:cs="Times New Roman"/>
          <w:sz w:val="24"/>
          <w:szCs w:val="24"/>
          <w:lang w:val="en-US" w:eastAsia="en-US"/>
        </w:rPr>
        <w:t xml:space="preserve"> </w:t>
      </w:r>
      <w:r w:rsidR="00E110C0" w:rsidRPr="004D5D6C">
        <w:rPr>
          <w:rFonts w:ascii="Times New Roman" w:eastAsia="Calibri" w:hAnsi="Times New Roman" w:cs="Times New Roman"/>
          <w:sz w:val="24"/>
          <w:szCs w:val="24"/>
          <w:lang w:val="en-US" w:eastAsia="en-US"/>
        </w:rPr>
        <w:t>------------------------------------------------------------------------------</w:t>
      </w:r>
      <w:r w:rsidR="00C828A8">
        <w:rPr>
          <w:rFonts w:ascii="Times New Roman" w:eastAsia="Calibri" w:hAnsi="Times New Roman" w:cs="Times New Roman"/>
          <w:sz w:val="24"/>
          <w:szCs w:val="24"/>
          <w:lang w:val="en-US" w:eastAsia="en-US"/>
        </w:rPr>
        <w:t>-</w:t>
      </w:r>
      <w:r w:rsidR="00E110C0" w:rsidRPr="004D5D6C">
        <w:rPr>
          <w:rFonts w:ascii="Times New Roman" w:eastAsia="Calibri" w:hAnsi="Times New Roman" w:cs="Times New Roman"/>
          <w:sz w:val="24"/>
          <w:szCs w:val="24"/>
          <w:lang w:val="en-US" w:eastAsia="en-US"/>
        </w:rPr>
        <w:t xml:space="preserve"> </w:t>
      </w:r>
      <w:r w:rsidR="003D2E31">
        <w:rPr>
          <w:rFonts w:ascii="Times New Roman" w:eastAsia="Calibri" w:hAnsi="Times New Roman" w:cs="Times New Roman"/>
          <w:sz w:val="24"/>
          <w:szCs w:val="24"/>
          <w:lang w:val="en-US" w:eastAsia="en-US"/>
        </w:rPr>
        <w:t>10</w:t>
      </w:r>
    </w:p>
    <w:p w14:paraId="7E15B5A7" w14:textId="3441139C" w:rsidR="00E00875" w:rsidRPr="004D5D6C" w:rsidRDefault="00E110C0"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Supplementary Table 2</w:t>
      </w:r>
      <w:r w:rsidR="00E00875" w:rsidRPr="004D5D6C">
        <w:rPr>
          <w:rFonts w:ascii="Times New Roman" w:eastAsia="Calibri" w:hAnsi="Times New Roman" w:cs="Times New Roman"/>
          <w:sz w:val="24"/>
          <w:szCs w:val="24"/>
          <w:lang w:val="en-US" w:eastAsia="en-US"/>
        </w:rPr>
        <w:t xml:space="preserve"> ------------------------------------------------------------------------------</w:t>
      </w:r>
      <w:r w:rsidR="00C828A8">
        <w:rPr>
          <w:rFonts w:ascii="Times New Roman" w:eastAsia="Calibri" w:hAnsi="Times New Roman" w:cs="Times New Roman"/>
          <w:sz w:val="24"/>
          <w:szCs w:val="24"/>
          <w:lang w:val="en-US" w:eastAsia="en-US"/>
        </w:rPr>
        <w:t>-</w:t>
      </w:r>
      <w:r w:rsidR="00E00875" w:rsidRPr="004D5D6C">
        <w:rPr>
          <w:rFonts w:ascii="Times New Roman" w:eastAsia="Calibri" w:hAnsi="Times New Roman" w:cs="Times New Roman"/>
          <w:sz w:val="24"/>
          <w:szCs w:val="24"/>
          <w:lang w:val="en-US" w:eastAsia="en-US"/>
        </w:rPr>
        <w:t xml:space="preserve"> </w:t>
      </w:r>
      <w:r w:rsidR="00337E19" w:rsidRPr="004D5D6C">
        <w:rPr>
          <w:rFonts w:ascii="Times New Roman" w:eastAsia="Calibri" w:hAnsi="Times New Roman" w:cs="Times New Roman"/>
          <w:sz w:val="24"/>
          <w:szCs w:val="24"/>
          <w:lang w:val="en-US" w:eastAsia="en-US"/>
        </w:rPr>
        <w:t>1</w:t>
      </w:r>
      <w:r w:rsidR="003D2E31">
        <w:rPr>
          <w:rFonts w:ascii="Times New Roman" w:eastAsia="Calibri" w:hAnsi="Times New Roman" w:cs="Times New Roman"/>
          <w:sz w:val="24"/>
          <w:szCs w:val="24"/>
          <w:lang w:val="en-US" w:eastAsia="en-US"/>
        </w:rPr>
        <w:t>1</w:t>
      </w:r>
    </w:p>
    <w:p w14:paraId="21E6BDAF" w14:textId="3F9A09D5" w:rsidR="00E00875" w:rsidRPr="004D5D6C" w:rsidRDefault="00E110C0"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Supplementary Table 3</w:t>
      </w:r>
      <w:r w:rsidR="00E00875" w:rsidRPr="004D5D6C">
        <w:rPr>
          <w:rFonts w:ascii="Times New Roman" w:eastAsia="Calibri" w:hAnsi="Times New Roman" w:cs="Times New Roman"/>
          <w:sz w:val="24"/>
          <w:szCs w:val="24"/>
          <w:lang w:val="en-US" w:eastAsia="en-US"/>
        </w:rPr>
        <w:t xml:space="preserve"> ------------------------------------------------------------------------------</w:t>
      </w:r>
      <w:r w:rsidR="00C828A8">
        <w:rPr>
          <w:rFonts w:ascii="Times New Roman" w:eastAsia="Calibri" w:hAnsi="Times New Roman" w:cs="Times New Roman"/>
          <w:sz w:val="24"/>
          <w:szCs w:val="24"/>
          <w:lang w:val="en-US" w:eastAsia="en-US"/>
        </w:rPr>
        <w:t>-</w:t>
      </w:r>
      <w:r w:rsidR="00E00875" w:rsidRPr="004D5D6C">
        <w:rPr>
          <w:rFonts w:ascii="Times New Roman" w:eastAsia="Calibri" w:hAnsi="Times New Roman" w:cs="Times New Roman"/>
          <w:sz w:val="24"/>
          <w:szCs w:val="24"/>
          <w:lang w:val="en-US" w:eastAsia="en-US"/>
        </w:rPr>
        <w:t xml:space="preserve"> </w:t>
      </w:r>
      <w:r w:rsidR="00942C3E" w:rsidRPr="004D5D6C">
        <w:rPr>
          <w:rFonts w:ascii="Times New Roman" w:eastAsia="Calibri" w:hAnsi="Times New Roman" w:cs="Times New Roman"/>
          <w:sz w:val="24"/>
          <w:szCs w:val="24"/>
          <w:lang w:val="en-US" w:eastAsia="en-US"/>
        </w:rPr>
        <w:t>1</w:t>
      </w:r>
      <w:r w:rsidR="005454FB">
        <w:rPr>
          <w:rFonts w:ascii="Times New Roman" w:eastAsia="Calibri" w:hAnsi="Times New Roman" w:cs="Times New Roman"/>
          <w:sz w:val="24"/>
          <w:szCs w:val="24"/>
          <w:lang w:val="en-US" w:eastAsia="en-US"/>
        </w:rPr>
        <w:t>4</w:t>
      </w:r>
    </w:p>
    <w:p w14:paraId="3A92BCB4" w14:textId="5ED44298" w:rsidR="00E00875" w:rsidRPr="004D5D6C" w:rsidRDefault="000C021E" w:rsidP="00C828A8">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Supplementary Table 4</w:t>
      </w:r>
      <w:r w:rsidR="00E00875" w:rsidRPr="004D5D6C">
        <w:rPr>
          <w:rFonts w:ascii="Times New Roman" w:eastAsia="Calibri" w:hAnsi="Times New Roman" w:cs="Times New Roman"/>
          <w:sz w:val="24"/>
          <w:szCs w:val="24"/>
          <w:lang w:val="en-US" w:eastAsia="en-US"/>
        </w:rPr>
        <w:t xml:space="preserve"> ------------------------------------------------------------------------------</w:t>
      </w:r>
      <w:r w:rsidR="00C828A8">
        <w:rPr>
          <w:rFonts w:ascii="Times New Roman" w:eastAsia="Calibri" w:hAnsi="Times New Roman" w:cs="Times New Roman"/>
          <w:sz w:val="24"/>
          <w:szCs w:val="24"/>
          <w:lang w:val="en-US" w:eastAsia="en-US"/>
        </w:rPr>
        <w:t>-</w:t>
      </w:r>
      <w:r w:rsidR="00E36ACB">
        <w:rPr>
          <w:rFonts w:ascii="Times New Roman" w:eastAsia="Calibri" w:hAnsi="Times New Roman" w:cs="Times New Roman"/>
          <w:sz w:val="24"/>
          <w:szCs w:val="24"/>
          <w:lang w:val="en-US" w:eastAsia="en-US"/>
        </w:rPr>
        <w:t>-</w:t>
      </w:r>
      <w:r w:rsidR="00E00875" w:rsidRPr="004D5D6C">
        <w:rPr>
          <w:rFonts w:ascii="Times New Roman" w:eastAsia="Calibri" w:hAnsi="Times New Roman" w:cs="Times New Roman"/>
          <w:sz w:val="24"/>
          <w:szCs w:val="24"/>
          <w:lang w:val="en-US" w:eastAsia="en-US"/>
        </w:rPr>
        <w:t xml:space="preserve"> 1</w:t>
      </w:r>
      <w:r w:rsidR="005454FB">
        <w:rPr>
          <w:rFonts w:ascii="Times New Roman" w:eastAsia="Calibri" w:hAnsi="Times New Roman" w:cs="Times New Roman"/>
          <w:sz w:val="24"/>
          <w:szCs w:val="24"/>
          <w:lang w:val="en-US" w:eastAsia="en-US"/>
        </w:rPr>
        <w:t>7</w:t>
      </w:r>
    </w:p>
    <w:p w14:paraId="2A5E2946" w14:textId="4F3B20EC" w:rsidR="00E00875" w:rsidRPr="004D5D6C" w:rsidRDefault="009E2C73"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 xml:space="preserve">Supplementary Figure </w:t>
      </w:r>
      <w:r w:rsidR="002B33CD">
        <w:rPr>
          <w:rFonts w:ascii="Times New Roman" w:eastAsia="Calibri" w:hAnsi="Times New Roman" w:cs="Times New Roman"/>
          <w:sz w:val="24"/>
          <w:szCs w:val="24"/>
          <w:lang w:val="en-US" w:eastAsia="en-US"/>
        </w:rPr>
        <w:t>1</w:t>
      </w:r>
      <w:r w:rsidR="00E00875" w:rsidRPr="004D5D6C">
        <w:rPr>
          <w:rFonts w:ascii="Times New Roman" w:eastAsia="Calibri" w:hAnsi="Times New Roman" w:cs="Times New Roman"/>
          <w:sz w:val="24"/>
          <w:szCs w:val="24"/>
          <w:lang w:val="en-US" w:eastAsia="en-US"/>
        </w:rPr>
        <w:t xml:space="preserve"> --------------------------------------------------------------------------</w:t>
      </w:r>
      <w:r w:rsidR="002A6BCB">
        <w:rPr>
          <w:rFonts w:ascii="Times New Roman" w:eastAsia="Calibri" w:hAnsi="Times New Roman" w:cs="Times New Roman"/>
          <w:sz w:val="24"/>
          <w:szCs w:val="24"/>
          <w:lang w:val="en-US" w:eastAsia="en-US"/>
        </w:rPr>
        <w:t>---</w:t>
      </w:r>
      <w:r w:rsidR="00E00875" w:rsidRPr="004D5D6C">
        <w:rPr>
          <w:rFonts w:ascii="Times New Roman" w:eastAsia="Calibri" w:hAnsi="Times New Roman" w:cs="Times New Roman"/>
          <w:sz w:val="24"/>
          <w:szCs w:val="24"/>
          <w:lang w:val="en-US" w:eastAsia="en-US"/>
        </w:rPr>
        <w:t xml:space="preserve">-- </w:t>
      </w:r>
      <w:r w:rsidR="00AB2570" w:rsidRPr="004D5D6C">
        <w:rPr>
          <w:rFonts w:ascii="Times New Roman" w:eastAsia="Calibri" w:hAnsi="Times New Roman" w:cs="Times New Roman"/>
          <w:sz w:val="24"/>
          <w:szCs w:val="24"/>
          <w:lang w:val="en-US" w:eastAsia="en-US"/>
        </w:rPr>
        <w:t>19</w:t>
      </w:r>
    </w:p>
    <w:p w14:paraId="79621AC6" w14:textId="7FD883E1" w:rsidR="00E00875" w:rsidRPr="004D5D6C" w:rsidRDefault="009E2C73"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 xml:space="preserve">Supplementary Figure </w:t>
      </w:r>
      <w:r w:rsidR="0020241E" w:rsidRPr="004D5D6C">
        <w:rPr>
          <w:rFonts w:ascii="Times New Roman" w:eastAsia="Calibri" w:hAnsi="Times New Roman" w:cs="Times New Roman"/>
          <w:sz w:val="24"/>
          <w:szCs w:val="24"/>
          <w:lang w:val="en-US" w:eastAsia="en-US"/>
        </w:rPr>
        <w:t>3</w:t>
      </w:r>
      <w:r w:rsidR="00E00875" w:rsidRPr="004D5D6C">
        <w:rPr>
          <w:rFonts w:ascii="Times New Roman" w:eastAsia="Calibri" w:hAnsi="Times New Roman" w:cs="Times New Roman"/>
          <w:sz w:val="24"/>
          <w:szCs w:val="24"/>
          <w:lang w:val="en-US" w:eastAsia="en-US"/>
        </w:rPr>
        <w:t xml:space="preserve"> ------------------------------------------------------------------------------- </w:t>
      </w:r>
      <w:r w:rsidR="00084018" w:rsidRPr="004D5D6C">
        <w:rPr>
          <w:rFonts w:ascii="Times New Roman" w:eastAsia="Calibri" w:hAnsi="Times New Roman" w:cs="Times New Roman"/>
          <w:sz w:val="24"/>
          <w:szCs w:val="24"/>
          <w:lang w:val="en-US" w:eastAsia="en-US"/>
        </w:rPr>
        <w:t>2</w:t>
      </w:r>
      <w:r w:rsidR="00A060C8" w:rsidRPr="004D5D6C">
        <w:rPr>
          <w:rFonts w:ascii="Times New Roman" w:eastAsia="Calibri" w:hAnsi="Times New Roman" w:cs="Times New Roman"/>
          <w:sz w:val="24"/>
          <w:szCs w:val="24"/>
          <w:lang w:val="en-US" w:eastAsia="en-US"/>
        </w:rPr>
        <w:t>0</w:t>
      </w:r>
    </w:p>
    <w:p w14:paraId="43AA0E8C" w14:textId="6253D680" w:rsidR="00E00875" w:rsidRDefault="0020241E" w:rsidP="00617D5E">
      <w:pPr>
        <w:spacing w:before="120" w:after="120" w:line="360" w:lineRule="auto"/>
        <w:rPr>
          <w:rFonts w:ascii="Times New Roman" w:eastAsia="Calibri" w:hAnsi="Times New Roman" w:cs="Times New Roman"/>
          <w:sz w:val="24"/>
          <w:szCs w:val="24"/>
          <w:lang w:val="en-US" w:eastAsia="en-US"/>
        </w:rPr>
      </w:pPr>
      <w:r w:rsidRPr="004D5D6C">
        <w:rPr>
          <w:rFonts w:ascii="Times New Roman" w:eastAsia="Calibri" w:hAnsi="Times New Roman" w:cs="Times New Roman"/>
          <w:sz w:val="24"/>
          <w:szCs w:val="24"/>
          <w:lang w:val="en-US" w:eastAsia="en-US"/>
        </w:rPr>
        <w:t xml:space="preserve">Supplementary Figure 4 </w:t>
      </w:r>
      <w:bookmarkStart w:id="3" w:name="_Hlk179045711"/>
      <w:r w:rsidR="00E00875" w:rsidRPr="004D5D6C">
        <w:rPr>
          <w:rFonts w:ascii="Times New Roman" w:eastAsia="Calibri" w:hAnsi="Times New Roman" w:cs="Times New Roman"/>
          <w:sz w:val="24"/>
          <w:szCs w:val="24"/>
          <w:lang w:val="en-US" w:eastAsia="en-US"/>
        </w:rPr>
        <w:t xml:space="preserve">------------------------------------------------------------------------------- </w:t>
      </w:r>
      <w:r w:rsidR="00084018" w:rsidRPr="004D5D6C">
        <w:rPr>
          <w:rFonts w:ascii="Times New Roman" w:eastAsia="Calibri" w:hAnsi="Times New Roman" w:cs="Times New Roman"/>
          <w:sz w:val="24"/>
          <w:szCs w:val="24"/>
          <w:lang w:val="en-US" w:eastAsia="en-US"/>
        </w:rPr>
        <w:t>2</w:t>
      </w:r>
      <w:r w:rsidR="00A060C8" w:rsidRPr="004D5D6C">
        <w:rPr>
          <w:rFonts w:ascii="Times New Roman" w:eastAsia="Calibri" w:hAnsi="Times New Roman" w:cs="Times New Roman"/>
          <w:sz w:val="24"/>
          <w:szCs w:val="24"/>
          <w:lang w:val="en-US" w:eastAsia="en-US"/>
        </w:rPr>
        <w:t>1</w:t>
      </w:r>
      <w:bookmarkEnd w:id="3"/>
    </w:p>
    <w:p w14:paraId="4CDE2265" w14:textId="64448F2A" w:rsidR="00455C5E" w:rsidRPr="004D5D6C" w:rsidRDefault="00455C5E" w:rsidP="00617D5E">
      <w:pPr>
        <w:spacing w:before="120" w:after="120" w:line="360" w:lineRule="auto"/>
        <w:rPr>
          <w:rFonts w:ascii="Times New Roman" w:eastAsia="Calibri" w:hAnsi="Times New Roman" w:cs="Times New Roman"/>
          <w:sz w:val="24"/>
          <w:szCs w:val="24"/>
          <w:lang w:val="en-US" w:eastAsia="en-US"/>
        </w:rPr>
      </w:pPr>
      <w:r w:rsidRPr="00455C5E">
        <w:rPr>
          <w:rFonts w:ascii="Times New Roman" w:eastAsia="Calibri" w:hAnsi="Times New Roman" w:cs="Times New Roman"/>
          <w:sz w:val="24"/>
          <w:szCs w:val="24"/>
          <w:lang w:val="en-US" w:eastAsia="en-US"/>
        </w:rPr>
        <w:t>References</w:t>
      </w:r>
      <w:r>
        <w:rPr>
          <w:rFonts w:ascii="Times New Roman" w:eastAsia="Calibri" w:hAnsi="Times New Roman" w:cs="Times New Roman"/>
          <w:sz w:val="24"/>
          <w:szCs w:val="24"/>
          <w:lang w:val="en-US" w:eastAsia="en-US"/>
        </w:rPr>
        <w:t xml:space="preserve"> ---------------</w:t>
      </w:r>
      <w:r w:rsidRPr="00455C5E">
        <w:rPr>
          <w:rFonts w:ascii="Times New Roman" w:eastAsia="Calibri" w:hAnsi="Times New Roman" w:cs="Times New Roman"/>
          <w:sz w:val="24"/>
          <w:szCs w:val="24"/>
          <w:lang w:val="en-US" w:eastAsia="en-US"/>
        </w:rPr>
        <w:t>----------------------------------------------------------------------------</w:t>
      </w:r>
      <w:r w:rsidR="00C828A8">
        <w:rPr>
          <w:rFonts w:ascii="Times New Roman" w:eastAsia="Calibri" w:hAnsi="Times New Roman" w:cs="Times New Roman"/>
          <w:sz w:val="24"/>
          <w:szCs w:val="24"/>
          <w:lang w:val="en-US" w:eastAsia="en-US"/>
        </w:rPr>
        <w:t>-</w:t>
      </w:r>
      <w:r w:rsidRPr="00455C5E">
        <w:rPr>
          <w:rFonts w:ascii="Times New Roman" w:eastAsia="Calibri" w:hAnsi="Times New Roman" w:cs="Times New Roman"/>
          <w:sz w:val="24"/>
          <w:szCs w:val="24"/>
          <w:lang w:val="en-US" w:eastAsia="en-US"/>
        </w:rPr>
        <w:t>--- 2</w:t>
      </w:r>
      <w:r>
        <w:rPr>
          <w:rFonts w:ascii="Times New Roman" w:eastAsia="Calibri" w:hAnsi="Times New Roman" w:cs="Times New Roman"/>
          <w:sz w:val="24"/>
          <w:szCs w:val="24"/>
          <w:lang w:val="en-US" w:eastAsia="en-US"/>
        </w:rPr>
        <w:t>2</w:t>
      </w:r>
    </w:p>
    <w:p w14:paraId="1DAD141C" w14:textId="77777777" w:rsidR="00251EDF" w:rsidRPr="004D5D6C" w:rsidRDefault="00251EDF" w:rsidP="00617D5E">
      <w:pPr>
        <w:spacing w:before="120" w:after="120" w:line="360" w:lineRule="auto"/>
        <w:rPr>
          <w:rFonts w:ascii="Times New Roman" w:eastAsia="Calibri" w:hAnsi="Times New Roman" w:cs="Times New Roman"/>
          <w:sz w:val="28"/>
          <w:szCs w:val="28"/>
          <w:lang w:eastAsia="en-US"/>
        </w:rPr>
      </w:pPr>
    </w:p>
    <w:p w14:paraId="60E9B0DE" w14:textId="77777777" w:rsidR="00D05701" w:rsidRPr="004D5D6C" w:rsidRDefault="00D05701" w:rsidP="00617D5E">
      <w:pPr>
        <w:spacing w:before="120" w:after="120" w:line="360" w:lineRule="auto"/>
        <w:rPr>
          <w:rFonts w:ascii="Times New Roman" w:eastAsia="Calibri" w:hAnsi="Times New Roman" w:cs="Times New Roman"/>
          <w:sz w:val="28"/>
          <w:szCs w:val="28"/>
          <w:lang w:eastAsia="en-US"/>
        </w:rPr>
      </w:pPr>
    </w:p>
    <w:p w14:paraId="45C1D4EA" w14:textId="77777777" w:rsidR="00D05701" w:rsidRPr="004D5D6C" w:rsidRDefault="00D05701" w:rsidP="00C93E1C">
      <w:pPr>
        <w:spacing w:after="0" w:line="360" w:lineRule="auto"/>
        <w:rPr>
          <w:rFonts w:ascii="Times New Roman" w:eastAsia="Calibri" w:hAnsi="Times New Roman" w:cs="Times New Roman"/>
          <w:sz w:val="28"/>
          <w:szCs w:val="28"/>
          <w:lang w:eastAsia="en-US"/>
        </w:rPr>
      </w:pPr>
    </w:p>
    <w:p w14:paraId="4CA4E355" w14:textId="77777777" w:rsidR="00D05701" w:rsidRPr="004D5D6C" w:rsidRDefault="00D05701" w:rsidP="00C93E1C">
      <w:pPr>
        <w:spacing w:after="0" w:line="360" w:lineRule="auto"/>
        <w:rPr>
          <w:rFonts w:ascii="Times New Roman" w:eastAsia="Calibri" w:hAnsi="Times New Roman" w:cs="Times New Roman"/>
          <w:sz w:val="28"/>
          <w:szCs w:val="28"/>
          <w:lang w:eastAsia="en-US"/>
        </w:rPr>
      </w:pPr>
    </w:p>
    <w:p w14:paraId="33FFBF0B" w14:textId="77777777" w:rsidR="006240DD" w:rsidRPr="004D5D6C" w:rsidRDefault="006240DD" w:rsidP="00C93E1C">
      <w:pPr>
        <w:spacing w:after="0" w:line="360" w:lineRule="auto"/>
        <w:rPr>
          <w:rFonts w:ascii="Times New Roman" w:eastAsia="Calibri" w:hAnsi="Times New Roman" w:cs="Times New Roman"/>
          <w:sz w:val="28"/>
          <w:szCs w:val="28"/>
          <w:lang w:eastAsia="en-US"/>
        </w:rPr>
      </w:pPr>
    </w:p>
    <w:p w14:paraId="3ADCC2F6" w14:textId="7A136784" w:rsidR="00D05701" w:rsidRDefault="00D05701" w:rsidP="00C93E1C">
      <w:pPr>
        <w:spacing w:after="0" w:line="360" w:lineRule="auto"/>
        <w:rPr>
          <w:rFonts w:ascii="Times New Roman" w:eastAsia="Calibri" w:hAnsi="Times New Roman" w:cs="Times New Roman"/>
          <w:sz w:val="28"/>
          <w:szCs w:val="28"/>
          <w:lang w:eastAsia="en-US"/>
        </w:rPr>
      </w:pPr>
    </w:p>
    <w:p w14:paraId="5A11CA58" w14:textId="77777777" w:rsidR="00364EBB" w:rsidRDefault="00364EBB" w:rsidP="00C93E1C">
      <w:pPr>
        <w:spacing w:after="0" w:line="360" w:lineRule="auto"/>
        <w:rPr>
          <w:rFonts w:ascii="Times New Roman" w:eastAsia="Calibri" w:hAnsi="Times New Roman" w:cs="Times New Roman"/>
          <w:sz w:val="28"/>
          <w:szCs w:val="28"/>
          <w:lang w:eastAsia="en-US"/>
        </w:rPr>
      </w:pPr>
    </w:p>
    <w:p w14:paraId="380DF8A8" w14:textId="77777777" w:rsidR="00364EBB" w:rsidRDefault="00364EBB" w:rsidP="00C93E1C">
      <w:pPr>
        <w:spacing w:after="0" w:line="360" w:lineRule="auto"/>
        <w:rPr>
          <w:rFonts w:ascii="Times New Roman" w:eastAsia="Calibri" w:hAnsi="Times New Roman" w:cs="Times New Roman"/>
          <w:sz w:val="28"/>
          <w:szCs w:val="28"/>
          <w:lang w:eastAsia="en-US"/>
        </w:rPr>
      </w:pPr>
    </w:p>
    <w:p w14:paraId="035A0B7A" w14:textId="77777777" w:rsidR="00364EBB" w:rsidRPr="004D5D6C" w:rsidRDefault="00364EBB" w:rsidP="00C93E1C">
      <w:pPr>
        <w:spacing w:after="0" w:line="360" w:lineRule="auto"/>
        <w:rPr>
          <w:rFonts w:ascii="Times New Roman" w:eastAsia="Calibri" w:hAnsi="Times New Roman" w:cs="Times New Roman"/>
          <w:sz w:val="28"/>
          <w:szCs w:val="28"/>
          <w:lang w:eastAsia="en-US"/>
        </w:rPr>
      </w:pPr>
    </w:p>
    <w:p w14:paraId="584C0657" w14:textId="77777777" w:rsidR="00521862" w:rsidRPr="004D5D6C" w:rsidRDefault="00521862" w:rsidP="00C93E1C">
      <w:pPr>
        <w:spacing w:after="0" w:line="360" w:lineRule="auto"/>
        <w:rPr>
          <w:rFonts w:ascii="Times New Roman" w:eastAsia="Calibri" w:hAnsi="Times New Roman" w:cs="Times New Roman"/>
          <w:sz w:val="28"/>
          <w:szCs w:val="28"/>
          <w:lang w:eastAsia="en-US"/>
        </w:rPr>
      </w:pPr>
    </w:p>
    <w:p w14:paraId="0D71159B" w14:textId="77777777" w:rsidR="006A477A" w:rsidRDefault="006A477A" w:rsidP="00971E9C">
      <w:pPr>
        <w:spacing w:before="120" w:after="120" w:line="300" w:lineRule="auto"/>
        <w:rPr>
          <w:rFonts w:asciiTheme="majorBidi" w:eastAsia="Arial" w:hAnsiTheme="majorBidi" w:cstheme="majorBidi"/>
          <w:b/>
          <w:bCs/>
          <w:sz w:val="28"/>
          <w:szCs w:val="28"/>
          <w:lang w:eastAsia="en-US"/>
        </w:rPr>
      </w:pPr>
    </w:p>
    <w:p w14:paraId="0D37627B" w14:textId="16566BDA" w:rsidR="00D05701" w:rsidRPr="004D5D6C" w:rsidRDefault="00D05701" w:rsidP="00971E9C">
      <w:pPr>
        <w:spacing w:before="120" w:after="120" w:line="300" w:lineRule="auto"/>
        <w:rPr>
          <w:rFonts w:asciiTheme="majorBidi" w:eastAsia="Arial" w:hAnsiTheme="majorBidi" w:cstheme="majorBidi"/>
          <w:sz w:val="28"/>
          <w:szCs w:val="28"/>
          <w:lang w:eastAsia="en-US"/>
        </w:rPr>
      </w:pPr>
      <w:r w:rsidRPr="004D5D6C">
        <w:rPr>
          <w:rFonts w:asciiTheme="majorBidi" w:eastAsia="Arial" w:hAnsiTheme="majorBidi" w:cstheme="majorBidi"/>
          <w:b/>
          <w:bCs/>
          <w:sz w:val="28"/>
          <w:szCs w:val="28"/>
          <w:lang w:eastAsia="en-US"/>
        </w:rPr>
        <w:lastRenderedPageBreak/>
        <w:t xml:space="preserve">Supplementary </w:t>
      </w:r>
      <w:r w:rsidR="00302080" w:rsidRPr="004D5D6C">
        <w:rPr>
          <w:rFonts w:asciiTheme="majorBidi" w:eastAsia="Arial" w:hAnsiTheme="majorBidi" w:cstheme="majorBidi"/>
          <w:b/>
          <w:bCs/>
          <w:sz w:val="28"/>
          <w:szCs w:val="28"/>
          <w:lang w:eastAsia="en-US"/>
        </w:rPr>
        <w:t xml:space="preserve">Methods </w:t>
      </w:r>
      <w:r w:rsidRPr="004D5D6C">
        <w:rPr>
          <w:rFonts w:asciiTheme="majorBidi" w:eastAsia="Arial" w:hAnsiTheme="majorBidi" w:cstheme="majorBidi"/>
          <w:b/>
          <w:bCs/>
          <w:sz w:val="28"/>
          <w:szCs w:val="28"/>
          <w:lang w:eastAsia="en-US"/>
        </w:rPr>
        <w:t xml:space="preserve">1: </w:t>
      </w:r>
      <w:r w:rsidRPr="004D5D6C">
        <w:rPr>
          <w:rFonts w:asciiTheme="majorBidi" w:eastAsia="Arial" w:hAnsiTheme="majorBidi" w:cstheme="majorBidi"/>
          <w:sz w:val="28"/>
          <w:szCs w:val="28"/>
          <w:lang w:eastAsia="en-US"/>
        </w:rPr>
        <w:t>Search strategy</w:t>
      </w:r>
      <w:bookmarkStart w:id="4" w:name="_Hlk110281709"/>
    </w:p>
    <w:p w14:paraId="20C9B7AA" w14:textId="77777777" w:rsidR="00D05701" w:rsidRPr="004D5D6C" w:rsidRDefault="00D05701" w:rsidP="00D05701">
      <w:pPr>
        <w:spacing w:before="120" w:after="120" w:line="300" w:lineRule="auto"/>
        <w:rPr>
          <w:rFonts w:asciiTheme="majorBidi" w:hAnsiTheme="majorBidi" w:cstheme="majorBidi"/>
          <w:b/>
          <w:bCs/>
          <w:sz w:val="24"/>
          <w:szCs w:val="24"/>
        </w:rPr>
      </w:pPr>
    </w:p>
    <w:p w14:paraId="7597CA53" w14:textId="77777777" w:rsidR="00D05701" w:rsidRPr="004D5D6C" w:rsidRDefault="00D05701" w:rsidP="00D05701">
      <w:pPr>
        <w:spacing w:before="120" w:after="120" w:line="300" w:lineRule="auto"/>
        <w:rPr>
          <w:rFonts w:asciiTheme="majorBidi" w:hAnsiTheme="majorBidi" w:cstheme="majorBidi"/>
        </w:rPr>
      </w:pPr>
      <w:r w:rsidRPr="004D5D6C">
        <w:rPr>
          <w:rFonts w:asciiTheme="majorBidi" w:hAnsiTheme="majorBidi" w:cstheme="majorBidi"/>
          <w:b/>
          <w:bCs/>
        </w:rPr>
        <w:t>Medline through PubMed</w:t>
      </w:r>
    </w:p>
    <w:bookmarkEnd w:id="4"/>
    <w:p w14:paraId="5B39BCA0" w14:textId="77777777" w:rsidR="00D05701" w:rsidRPr="004D5D6C" w:rsidRDefault="00D05701" w:rsidP="00D05701">
      <w:pPr>
        <w:spacing w:before="120" w:after="120" w:line="300" w:lineRule="auto"/>
        <w:rPr>
          <w:rFonts w:asciiTheme="majorBidi" w:hAnsiTheme="majorBidi" w:cstheme="majorBidi"/>
        </w:rPr>
      </w:pPr>
      <w:r w:rsidRPr="004D5D6C">
        <w:rPr>
          <w:rFonts w:asciiTheme="majorBidi" w:hAnsiTheme="majorBidi" w:cstheme="majorBidi"/>
        </w:rPr>
        <w:t>("hemophilia a"[MeSH Terms] OR "haemophilia"[Title/Abstract] OR "hemophilia"[Title/Abstract]) AND ("economic evaluation"[Title/Abstract] OR "economic analysis"[Title/Abstract] OR "cost*"[Title/Abstract] OR "cost of illness"[MeSH Terms] OR "cost of illness"[Title/Abstract] OR "costs and cost analysis"[MeSH Terms] OR "cost analysis"[Title/Abstract] OR "cost benefit analysis"[MeSH Terms] OR "cost benefit"[Title/Abstract] OR "cost effectiveness"[Title/Abstract] OR "cost utility"[Title/Abstract] OR "cost minimi*ation"[Title/Abstract] OR "cost saving"[Title/Abstract] OR "direct medical cost*"[Title/Abstract] OR "direct healthcare cost*"[Title/Abstract] OR "direct non medical cost*"[Title/Abstract] OR "direct non healthcare cost*"[Title/Abstract] OR "indirect cost*"[Title/Abstract] OR "productivity loss"[Title/Abstract] OR "total cost*"[Title/Abstract])</w:t>
      </w:r>
    </w:p>
    <w:p w14:paraId="5106244F" w14:textId="77777777" w:rsidR="00D05701" w:rsidRPr="004D5D6C" w:rsidRDefault="00D05701" w:rsidP="00D05701">
      <w:pPr>
        <w:spacing w:after="0" w:line="240" w:lineRule="auto"/>
        <w:rPr>
          <w:rFonts w:ascii="Times New Roman" w:eastAsia="DengXian" w:hAnsi="Times New Roman" w:cs="Times New Roman"/>
          <w:sz w:val="20"/>
          <w:szCs w:val="20"/>
        </w:rPr>
      </w:pPr>
    </w:p>
    <w:p w14:paraId="73ABD0E6" w14:textId="77777777" w:rsidR="00D05701" w:rsidRPr="004D5D6C" w:rsidRDefault="00D05701" w:rsidP="00D05701">
      <w:pPr>
        <w:spacing w:before="120" w:after="120" w:line="300" w:lineRule="auto"/>
        <w:rPr>
          <w:rFonts w:asciiTheme="majorBidi" w:hAnsiTheme="majorBidi" w:cstheme="majorBidi"/>
        </w:rPr>
      </w:pPr>
      <w:r w:rsidRPr="004D5D6C">
        <w:rPr>
          <w:rFonts w:asciiTheme="majorBidi" w:hAnsiTheme="majorBidi" w:cstheme="majorBidi"/>
          <w:b/>
          <w:bCs/>
        </w:rPr>
        <w:t>Medline, EMBASE, Current Contents</w:t>
      </w:r>
      <w:r w:rsidRPr="004D5D6C">
        <w:rPr>
          <w:rFonts w:asciiTheme="majorBidi" w:hAnsiTheme="majorBidi" w:cstheme="majorBidi"/>
          <w:b/>
          <w:bCs/>
          <w:vertAlign w:val="superscript"/>
        </w:rPr>
        <w:t>®</w:t>
      </w:r>
      <w:r w:rsidRPr="004D5D6C">
        <w:rPr>
          <w:rFonts w:asciiTheme="majorBidi" w:hAnsiTheme="majorBidi" w:cstheme="majorBidi"/>
          <w:b/>
          <w:bCs/>
          <w:cs/>
        </w:rPr>
        <w:t>‎</w:t>
      </w:r>
      <w:r w:rsidRPr="004D5D6C">
        <w:rPr>
          <w:rFonts w:asciiTheme="majorBidi" w:hAnsiTheme="majorBidi" w:cstheme="majorBidi" w:hint="cs"/>
          <w:b/>
          <w:bCs/>
          <w:cs/>
        </w:rPr>
        <w:t>,</w:t>
      </w:r>
      <w:r w:rsidRPr="004D5D6C">
        <w:rPr>
          <w:rFonts w:asciiTheme="majorBidi" w:hAnsiTheme="majorBidi" w:cstheme="majorBidi"/>
          <w:b/>
          <w:bCs/>
          <w:cs/>
        </w:rPr>
        <w:t xml:space="preserve"> </w:t>
      </w:r>
      <w:r w:rsidRPr="004D5D6C">
        <w:rPr>
          <w:rFonts w:asciiTheme="majorBidi" w:hAnsiTheme="majorBidi" w:cstheme="majorBidi"/>
          <w:b/>
          <w:bCs/>
        </w:rPr>
        <w:t>BIOSIS Previews</w:t>
      </w:r>
      <w:r w:rsidRPr="004D5D6C">
        <w:rPr>
          <w:rFonts w:asciiTheme="majorBidi" w:hAnsiTheme="majorBidi" w:cstheme="majorBidi"/>
          <w:b/>
          <w:bCs/>
          <w:vertAlign w:val="superscript"/>
        </w:rPr>
        <w:t>®</w:t>
      </w:r>
      <w:r w:rsidRPr="004D5D6C">
        <w:rPr>
          <w:rFonts w:asciiTheme="majorBidi" w:hAnsiTheme="majorBidi" w:cstheme="majorBidi"/>
          <w:b/>
          <w:bCs/>
        </w:rPr>
        <w:t>,</w:t>
      </w:r>
      <w:r w:rsidRPr="004D5D6C">
        <w:rPr>
          <w:rFonts w:asciiTheme="majorBidi" w:hAnsiTheme="majorBidi" w:cstheme="majorBidi"/>
          <w:b/>
          <w:bCs/>
          <w:cs/>
        </w:rPr>
        <w:t>‎</w:t>
      </w:r>
      <w:r w:rsidRPr="004D5D6C">
        <w:rPr>
          <w:rFonts w:asciiTheme="majorBidi" w:hAnsiTheme="majorBidi" w:cstheme="majorBidi" w:hint="cs"/>
          <w:b/>
          <w:bCs/>
          <w:cs/>
        </w:rPr>
        <w:t xml:space="preserve"> and</w:t>
      </w:r>
      <w:r w:rsidRPr="004D5D6C">
        <w:rPr>
          <w:rFonts w:asciiTheme="majorBidi" w:hAnsiTheme="majorBidi" w:cstheme="majorBidi"/>
          <w:b/>
          <w:bCs/>
        </w:rPr>
        <w:t xml:space="preserve"> Publicly Available Content through ProQuest </w:t>
      </w:r>
    </w:p>
    <w:p w14:paraId="2179FE78" w14:textId="1B14053A" w:rsidR="00D05701" w:rsidRPr="004D5D6C" w:rsidRDefault="00D05701" w:rsidP="00D05701">
      <w:pPr>
        <w:spacing w:before="120" w:after="120" w:line="300" w:lineRule="auto"/>
        <w:rPr>
          <w:rFonts w:asciiTheme="majorBidi" w:hAnsiTheme="majorBidi" w:cstheme="majorBidi"/>
        </w:rPr>
      </w:pPr>
      <w:r w:rsidRPr="004D5D6C">
        <w:rPr>
          <w:rFonts w:asciiTheme="majorBidi" w:hAnsiTheme="majorBidi" w:cstheme="majorBidi"/>
        </w:rPr>
        <w:t xml:space="preserve">su.exact("haemophilia" OR "haemophilia a" OR "haemophilia a disease" OR "haemophilia b" OR "haemophilia therapy" OR "haemophilias" OR "haemophiliacs" OR "haemophilia-b") OR su.exact("hemophilia" OR "hemophilia a" OR "hemophilia a ( viii )" OR "hemophilia a gene therapy" OR "hemophilia a inhibitor" OR "hemophilia a treatment" OR "hemophilia a type 1" OR "hemophilia a type 2" OR "hemophilia a with inhibitor" OR "hemophilia a with inhibitors" OR "hemophilia b" OR "hemophilia b inhibitor" OR "hemophilia b gene therapy" OR "hemophilia b treatment" OR "hemophilia b with inhibitor" OR "hemophilia care" OR "hemophilia disorders" OR "hemophilia gene therapy" OR "hemophilia gene-therapy" OR "hemophilia home therapy" OR "hemophilia inhibitor" OR "hemophilia inhibitor patient" OR "hemophilia patients" OR "hemophilia patients with inhibitor") OR ("economic evaluation") OR ("economic analysis") OR (cost) OR ("cost of illness") </w:t>
      </w:r>
      <w:r w:rsidR="001F7BC0" w:rsidRPr="004D5D6C">
        <w:rPr>
          <w:rFonts w:asciiTheme="majorBidi" w:hAnsiTheme="majorBidi" w:cstheme="majorBidi"/>
        </w:rPr>
        <w:t xml:space="preserve">OR "(burden of disease)" OR </w:t>
      </w:r>
      <w:r w:rsidR="00CC07A6" w:rsidRPr="004D5D6C">
        <w:rPr>
          <w:rFonts w:asciiTheme="majorBidi" w:hAnsiTheme="majorBidi" w:cstheme="majorBidi"/>
        </w:rPr>
        <w:t>"(economic burden)"</w:t>
      </w:r>
      <w:r w:rsidR="00B80B73" w:rsidRPr="004D5D6C">
        <w:rPr>
          <w:rFonts w:asciiTheme="majorBidi" w:hAnsiTheme="majorBidi" w:cstheme="majorBidi"/>
        </w:rPr>
        <w:t xml:space="preserve"> </w:t>
      </w:r>
      <w:r w:rsidRPr="004D5D6C">
        <w:rPr>
          <w:rFonts w:asciiTheme="majorBidi" w:hAnsiTheme="majorBidi" w:cstheme="majorBidi"/>
        </w:rPr>
        <w:t>OR ("cost analysis") OR ("cost benefit") OR ("cost effectiveness") OR ("cost utility") OR ("cost minimisation") OR ("cost saving") OR ("direct medical cost*") OR ("direct healthcare cost*") OR ("direct non-medical cost*") OR ("direct non-healthcare cost*") OR ("indirect cost*") OR ("productivity loss") OR ("total cost*")</w:t>
      </w:r>
    </w:p>
    <w:p w14:paraId="6023FF42" w14:textId="77777777" w:rsidR="00D05701" w:rsidRPr="004D5D6C" w:rsidRDefault="00D05701" w:rsidP="00D05701">
      <w:pPr>
        <w:spacing w:before="120" w:after="120" w:line="300" w:lineRule="auto"/>
        <w:rPr>
          <w:rFonts w:asciiTheme="majorBidi" w:hAnsiTheme="majorBidi" w:cstheme="majorBidi"/>
        </w:rPr>
      </w:pPr>
    </w:p>
    <w:p w14:paraId="6004739F" w14:textId="77777777" w:rsidR="00D05701" w:rsidRPr="004D5D6C" w:rsidRDefault="00D05701" w:rsidP="00D05701">
      <w:pPr>
        <w:spacing w:before="120" w:after="120" w:line="300" w:lineRule="auto"/>
        <w:rPr>
          <w:rFonts w:asciiTheme="majorBidi" w:hAnsiTheme="majorBidi" w:cstheme="majorBidi"/>
          <w:b/>
          <w:bCs/>
        </w:rPr>
      </w:pPr>
      <w:r w:rsidRPr="004D5D6C">
        <w:rPr>
          <w:rFonts w:asciiTheme="majorBidi" w:hAnsiTheme="majorBidi" w:cstheme="majorBidi"/>
          <w:b/>
          <w:bCs/>
        </w:rPr>
        <w:t>Web of Science Core Collection search results through Web of Science</w:t>
      </w:r>
    </w:p>
    <w:p w14:paraId="64B7B087" w14:textId="40A5DA05" w:rsidR="00D05701" w:rsidRPr="004D5D6C" w:rsidRDefault="00D05701" w:rsidP="006240DD">
      <w:pPr>
        <w:spacing w:before="120" w:after="120" w:line="300" w:lineRule="auto"/>
        <w:rPr>
          <w:rFonts w:asciiTheme="majorBidi" w:hAnsiTheme="majorBidi" w:cstheme="majorBidi"/>
        </w:rPr>
      </w:pPr>
      <w:r w:rsidRPr="004D5D6C">
        <w:rPr>
          <w:rFonts w:asciiTheme="majorBidi" w:hAnsiTheme="majorBidi" w:cstheme="majorBidi"/>
        </w:rPr>
        <w:t xml:space="preserve">(TS=(H$emophilia)) AND TS=(("economic evaluation" OR "economic analysis" OR "cost*" OR "cost of illness" OR "cost analysis" OR "cost benefit" OR "cost effectiveness" OR "cost utility" OR "cost minimisation" OR "cost saving" OR "direct medical cost*" OR "direct healthcare cost*" OR "direct non-medical cost*" OR "direct non-healthcare cost*" OR "indirect cost*" OR "productivity loss" OR "total cost*")) </w:t>
      </w:r>
    </w:p>
    <w:p w14:paraId="50104585" w14:textId="77777777" w:rsidR="006240DD" w:rsidRPr="004D5D6C" w:rsidRDefault="006240DD" w:rsidP="006240DD">
      <w:pPr>
        <w:spacing w:before="120" w:after="120" w:line="300" w:lineRule="auto"/>
        <w:rPr>
          <w:rFonts w:asciiTheme="majorBidi" w:hAnsiTheme="majorBidi" w:cstheme="majorBidi"/>
        </w:rPr>
      </w:pPr>
    </w:p>
    <w:p w14:paraId="612E99F1" w14:textId="77777777" w:rsidR="00D05701" w:rsidRPr="004D5D6C" w:rsidRDefault="00D05701" w:rsidP="00D05701">
      <w:pPr>
        <w:spacing w:before="120" w:after="120" w:line="300" w:lineRule="auto"/>
        <w:rPr>
          <w:rFonts w:asciiTheme="majorBidi" w:hAnsiTheme="majorBidi" w:cstheme="majorBidi"/>
          <w:b/>
          <w:bCs/>
        </w:rPr>
      </w:pPr>
    </w:p>
    <w:p w14:paraId="7ED071AB" w14:textId="77777777" w:rsidR="00B24B43" w:rsidRPr="004D5D6C" w:rsidRDefault="00B24B43" w:rsidP="00D05701">
      <w:pPr>
        <w:spacing w:before="120" w:after="120" w:line="300" w:lineRule="auto"/>
        <w:rPr>
          <w:rFonts w:asciiTheme="majorBidi" w:hAnsiTheme="majorBidi" w:cstheme="majorBidi"/>
          <w:b/>
          <w:bCs/>
        </w:rPr>
      </w:pPr>
    </w:p>
    <w:p w14:paraId="53D4AC29" w14:textId="77777777" w:rsidR="00D05701" w:rsidRPr="004D5D6C" w:rsidRDefault="00D05701" w:rsidP="00D05701">
      <w:pPr>
        <w:spacing w:before="120" w:after="120" w:line="300" w:lineRule="auto"/>
        <w:rPr>
          <w:rFonts w:asciiTheme="majorBidi" w:hAnsiTheme="majorBidi" w:cstheme="majorBidi"/>
          <w:b/>
          <w:bCs/>
        </w:rPr>
      </w:pPr>
      <w:r w:rsidRPr="004D5D6C">
        <w:rPr>
          <w:rFonts w:asciiTheme="majorBidi" w:hAnsiTheme="majorBidi" w:cstheme="majorBidi"/>
          <w:b/>
          <w:bCs/>
        </w:rPr>
        <w:lastRenderedPageBreak/>
        <w:t>Google Scholar</w:t>
      </w:r>
    </w:p>
    <w:p w14:paraId="20DD732B" w14:textId="77777777" w:rsidR="00D05701" w:rsidRPr="004D5D6C" w:rsidRDefault="00D05701" w:rsidP="00D05701">
      <w:pPr>
        <w:spacing w:before="120" w:after="120" w:line="300" w:lineRule="auto"/>
        <w:rPr>
          <w:rFonts w:asciiTheme="majorBidi" w:hAnsiTheme="majorBidi" w:cstheme="majorBidi"/>
        </w:rPr>
      </w:pPr>
      <w:r w:rsidRPr="004D5D6C">
        <w:rPr>
          <w:rFonts w:asciiTheme="majorBidi" w:hAnsiTheme="majorBidi" w:cstheme="majorBidi"/>
        </w:rPr>
        <w:t>haemophilia AND ("economic evaluation" OR "economic analysis" OR "cost" OR "cost of illness" OR "cost analysis" OR "cost benefit" OR "cost effectiveness" OR "cost utility" OR "cost minimisation" OR "cost saving" OR "direct medical cost" OR "direct healthcare cost" OR "direct non-medical cost" OR "direct non-healthcare cost" OR "indirect cost" OR "productivity loss" OR "total cost")</w:t>
      </w:r>
    </w:p>
    <w:p w14:paraId="6A97FD07" w14:textId="77777777" w:rsidR="00D05701" w:rsidRPr="004D5D6C" w:rsidRDefault="00D05701" w:rsidP="00D05701">
      <w:pPr>
        <w:spacing w:after="0" w:line="240" w:lineRule="auto"/>
        <w:rPr>
          <w:rFonts w:asciiTheme="majorBidi" w:hAnsiTheme="majorBidi" w:cstheme="majorBidi"/>
        </w:rPr>
      </w:pPr>
    </w:p>
    <w:p w14:paraId="63D2EF86" w14:textId="77777777" w:rsidR="00D05701" w:rsidRPr="004D5D6C" w:rsidRDefault="00D05701" w:rsidP="00D05701">
      <w:pPr>
        <w:spacing w:before="120" w:after="120" w:line="300" w:lineRule="auto"/>
        <w:rPr>
          <w:rFonts w:asciiTheme="majorBidi" w:hAnsiTheme="majorBidi" w:cstheme="majorBidi"/>
          <w:b/>
          <w:bCs/>
          <w:sz w:val="24"/>
          <w:szCs w:val="24"/>
        </w:rPr>
      </w:pPr>
      <w:r w:rsidRPr="004D5D6C">
        <w:rPr>
          <w:rFonts w:asciiTheme="majorBidi" w:hAnsiTheme="majorBidi" w:cstheme="majorBidi"/>
          <w:b/>
          <w:bCs/>
          <w:sz w:val="24"/>
          <w:szCs w:val="24"/>
        </w:rPr>
        <w:t>Grey literature</w:t>
      </w:r>
    </w:p>
    <w:p w14:paraId="2E3BDCCB" w14:textId="77777777" w:rsidR="00D05701" w:rsidRPr="004D5D6C" w:rsidRDefault="00D05701" w:rsidP="00D05701">
      <w:pPr>
        <w:pStyle w:val="ListParagraph"/>
        <w:numPr>
          <w:ilvl w:val="0"/>
          <w:numId w:val="40"/>
        </w:numPr>
        <w:spacing w:before="120" w:after="120" w:line="300" w:lineRule="auto"/>
        <w:rPr>
          <w:rFonts w:asciiTheme="majorBidi" w:hAnsiTheme="majorBidi" w:cstheme="majorBidi"/>
        </w:rPr>
      </w:pPr>
      <w:r w:rsidRPr="004D5D6C">
        <w:rPr>
          <w:rFonts w:asciiTheme="majorBidi" w:hAnsiTheme="majorBidi" w:cstheme="majorBidi"/>
        </w:rPr>
        <w:t>Canada’s Drug and Health Technology Agency (CADTH)</w:t>
      </w:r>
    </w:p>
    <w:p w14:paraId="49922DEA" w14:textId="77777777" w:rsidR="00D05701" w:rsidRPr="004D5D6C" w:rsidRDefault="00D05701" w:rsidP="00D05701">
      <w:pPr>
        <w:pStyle w:val="ListParagraph"/>
        <w:numPr>
          <w:ilvl w:val="0"/>
          <w:numId w:val="40"/>
        </w:numPr>
        <w:spacing w:before="120" w:after="120" w:line="300" w:lineRule="auto"/>
        <w:rPr>
          <w:rFonts w:asciiTheme="majorBidi" w:hAnsiTheme="majorBidi" w:cstheme="majorBidi"/>
        </w:rPr>
      </w:pPr>
      <w:bookmarkStart w:id="5" w:name="_Hlk114672405"/>
      <w:r w:rsidRPr="004D5D6C">
        <w:rPr>
          <w:rFonts w:asciiTheme="majorBidi" w:hAnsiTheme="majorBidi" w:cstheme="majorBidi"/>
        </w:rPr>
        <w:t>International HTA Database</w:t>
      </w:r>
      <w:bookmarkStart w:id="6" w:name="_Hlk114672607"/>
      <w:bookmarkEnd w:id="5"/>
    </w:p>
    <w:bookmarkEnd w:id="6"/>
    <w:p w14:paraId="07F83F81" w14:textId="77777777" w:rsidR="00D05701" w:rsidRPr="004D5D6C" w:rsidRDefault="00D05701" w:rsidP="00D05701">
      <w:pPr>
        <w:pStyle w:val="ListParagraph"/>
        <w:numPr>
          <w:ilvl w:val="0"/>
          <w:numId w:val="40"/>
        </w:numPr>
        <w:spacing w:before="120" w:after="120" w:line="300" w:lineRule="auto"/>
        <w:rPr>
          <w:rFonts w:asciiTheme="majorBidi" w:hAnsiTheme="majorBidi" w:cstheme="majorBidi"/>
        </w:rPr>
      </w:pPr>
      <w:r w:rsidRPr="004D5D6C">
        <w:rPr>
          <w:rFonts w:asciiTheme="majorBidi" w:hAnsiTheme="majorBidi" w:cstheme="majorBidi"/>
        </w:rPr>
        <w:t>Australasian open access research repositories: a list of repositories from the Council of Australian University Librarians (CAUL)</w:t>
      </w:r>
    </w:p>
    <w:p w14:paraId="59A8F501" w14:textId="77777777" w:rsidR="00D05701" w:rsidRPr="004D5D6C" w:rsidRDefault="00D05701" w:rsidP="00D05701">
      <w:pPr>
        <w:spacing w:before="120" w:after="120" w:line="300" w:lineRule="auto"/>
        <w:rPr>
          <w:rFonts w:asciiTheme="majorBidi" w:hAnsiTheme="majorBidi" w:cstheme="majorBidi"/>
        </w:rPr>
      </w:pPr>
    </w:p>
    <w:p w14:paraId="6BBFC472"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53CE7715"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527A0DE1"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75BBB907"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140DADD3"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78F880B8"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6CA86E3B"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679BA430"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0D81DC55"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58907E46"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21A7153B"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1B4B407A"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4BA7AB69"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76D0A224"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57BDE67A"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41A44E50" w14:textId="77777777" w:rsidR="00610F22" w:rsidRPr="004D5D6C" w:rsidRDefault="00610F22" w:rsidP="00971E9C">
      <w:pPr>
        <w:spacing w:before="120" w:after="120" w:line="300" w:lineRule="auto"/>
        <w:rPr>
          <w:rFonts w:asciiTheme="majorBidi" w:eastAsia="Arial" w:hAnsiTheme="majorBidi" w:cstheme="majorBidi"/>
          <w:b/>
          <w:bCs/>
          <w:sz w:val="28"/>
          <w:szCs w:val="28"/>
          <w:lang w:eastAsia="en-US"/>
        </w:rPr>
      </w:pPr>
    </w:p>
    <w:p w14:paraId="531948A8" w14:textId="77777777" w:rsidR="00596072" w:rsidRPr="004D5D6C" w:rsidRDefault="00596072" w:rsidP="00971E9C">
      <w:pPr>
        <w:spacing w:before="120" w:after="120" w:line="300" w:lineRule="auto"/>
        <w:rPr>
          <w:rFonts w:asciiTheme="majorBidi" w:eastAsia="Arial" w:hAnsiTheme="majorBidi" w:cstheme="majorBidi"/>
          <w:b/>
          <w:bCs/>
          <w:sz w:val="28"/>
          <w:szCs w:val="28"/>
          <w:lang w:eastAsia="en-US"/>
        </w:rPr>
      </w:pPr>
    </w:p>
    <w:p w14:paraId="41CC0998" w14:textId="193C5892" w:rsidR="00D05701" w:rsidRPr="004D5D6C" w:rsidRDefault="00D05701" w:rsidP="00971E9C">
      <w:pPr>
        <w:spacing w:before="120" w:after="120" w:line="300" w:lineRule="auto"/>
        <w:rPr>
          <w:rFonts w:asciiTheme="majorBidi" w:eastAsia="Arial" w:hAnsiTheme="majorBidi" w:cstheme="majorBidi"/>
          <w:sz w:val="28"/>
          <w:szCs w:val="28"/>
          <w:lang w:eastAsia="en-US"/>
        </w:rPr>
      </w:pPr>
      <w:r w:rsidRPr="004D5D6C">
        <w:rPr>
          <w:rFonts w:asciiTheme="majorBidi" w:eastAsia="Arial" w:hAnsiTheme="majorBidi" w:cstheme="majorBidi"/>
          <w:b/>
          <w:bCs/>
          <w:sz w:val="28"/>
          <w:szCs w:val="28"/>
          <w:lang w:eastAsia="en-US"/>
        </w:rPr>
        <w:lastRenderedPageBreak/>
        <w:t xml:space="preserve">Supplementary </w:t>
      </w:r>
      <w:r w:rsidR="00302080">
        <w:rPr>
          <w:rFonts w:asciiTheme="majorBidi" w:eastAsia="Arial" w:hAnsiTheme="majorBidi" w:cstheme="majorBidi"/>
          <w:b/>
          <w:bCs/>
          <w:sz w:val="28"/>
          <w:szCs w:val="28"/>
          <w:lang w:eastAsia="en-US"/>
        </w:rPr>
        <w:t>Methods</w:t>
      </w:r>
      <w:r w:rsidRPr="004D5D6C">
        <w:rPr>
          <w:rFonts w:asciiTheme="majorBidi" w:eastAsia="Arial" w:hAnsiTheme="majorBidi" w:cstheme="majorBidi"/>
          <w:b/>
          <w:bCs/>
          <w:sz w:val="28"/>
          <w:szCs w:val="28"/>
          <w:lang w:eastAsia="en-US"/>
        </w:rPr>
        <w:t xml:space="preserve"> 2: </w:t>
      </w:r>
      <w:r w:rsidRPr="004D5D6C">
        <w:rPr>
          <w:rFonts w:asciiTheme="majorBidi" w:eastAsia="Arial" w:hAnsiTheme="majorBidi" w:cstheme="majorBidi"/>
          <w:sz w:val="28"/>
          <w:szCs w:val="28"/>
          <w:lang w:eastAsia="en-US"/>
        </w:rPr>
        <w:t>Manually identified sources of evidence</w:t>
      </w:r>
    </w:p>
    <w:p w14:paraId="6DE9B046" w14:textId="77777777" w:rsidR="00505612" w:rsidRPr="004D5D6C" w:rsidRDefault="00505612" w:rsidP="00505612">
      <w:pPr>
        <w:rPr>
          <w:rFonts w:asciiTheme="majorBidi" w:eastAsia="Arial" w:hAnsiTheme="majorBidi" w:cstheme="majorBidi"/>
          <w:sz w:val="24"/>
          <w:szCs w:val="24"/>
          <w:lang w:eastAsia="en-US"/>
        </w:rPr>
      </w:pPr>
    </w:p>
    <w:p w14:paraId="3533E64A" w14:textId="5D95912F" w:rsidR="004F5992" w:rsidRPr="004D5D6C" w:rsidRDefault="004F5992" w:rsidP="004F5992">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 Doti C. Prophylactic versus On-Demand Treatment with rFVIIa in Hemophilia Patients with Inhibitors: An Incremental Cost Analysis. In: HAEMOPHILIA. WILEY-BLACKWELL 111 RIVER ST, HOBOKEN 07030-5774, NJ USA; 2012. p. 68. </w:t>
      </w:r>
    </w:p>
    <w:p w14:paraId="23167429" w14:textId="4DEF9FB3" w:rsidR="004F5992" w:rsidRPr="004D5D6C" w:rsidRDefault="004F5992" w:rsidP="004F5992">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2. Eldar-Lissai A, Hou Q, Krishnan S. The changing costs of caring for hemophilia patients in the US: insurers’ and patients’ perspectives. Blood. 2014;124(21):199. </w:t>
      </w:r>
    </w:p>
    <w:p w14:paraId="2F73031D" w14:textId="7CCE77E1" w:rsidR="004F5992" w:rsidRPr="004D5D6C" w:rsidRDefault="004F5992" w:rsidP="004F5992">
      <w:pPr>
        <w:rPr>
          <w:rFonts w:asciiTheme="majorBidi" w:eastAsia="Arial" w:hAnsiTheme="majorBidi" w:cstheme="majorBidi"/>
          <w:sz w:val="24"/>
          <w:szCs w:val="24"/>
          <w:lang w:eastAsia="en-US"/>
        </w:rPr>
      </w:pPr>
      <w:r w:rsidRPr="004D5D6C">
        <w:rPr>
          <w:rFonts w:asciiTheme="majorBidi" w:eastAsia="Arial" w:hAnsiTheme="majorBidi" w:cstheme="majorBidi" w:hint="eastAsia"/>
          <w:sz w:val="24"/>
          <w:szCs w:val="24"/>
          <w:lang w:eastAsia="en-US"/>
        </w:rPr>
        <w:t>3. Chuansumrit A, Sirachainan N, Natesirinilkul R, Srikala K, Masaya</w:t>
      </w:r>
      <w:r w:rsidRPr="004D5D6C">
        <w:rPr>
          <w:rFonts w:ascii="Cambria Math" w:eastAsia="Arial" w:hAnsi="Cambria Math" w:cs="Cambria Math"/>
          <w:sz w:val="24"/>
          <w:szCs w:val="24"/>
          <w:lang w:eastAsia="en-US"/>
        </w:rPr>
        <w:t>‐</w:t>
      </w:r>
      <w:r w:rsidRPr="004D5D6C">
        <w:rPr>
          <w:rFonts w:asciiTheme="majorBidi" w:eastAsia="Arial" w:hAnsiTheme="majorBidi" w:cstheme="majorBidi" w:hint="eastAsia"/>
          <w:sz w:val="24"/>
          <w:szCs w:val="24"/>
          <w:lang w:eastAsia="en-US"/>
        </w:rPr>
        <w:t>anon N, Group HIS, et al. Real</w:t>
      </w:r>
      <w:r w:rsidRPr="004D5D6C">
        <w:rPr>
          <w:rFonts w:ascii="Cambria Math" w:eastAsia="Arial" w:hAnsi="Cambria Math" w:cs="Cambria Math"/>
          <w:sz w:val="24"/>
          <w:szCs w:val="24"/>
          <w:lang w:eastAsia="en-US"/>
        </w:rPr>
        <w:t>‐</w:t>
      </w:r>
      <w:r w:rsidRPr="004D5D6C">
        <w:rPr>
          <w:rFonts w:asciiTheme="majorBidi" w:eastAsia="Arial" w:hAnsiTheme="majorBidi" w:cstheme="majorBidi" w:hint="eastAsia"/>
          <w:sz w:val="24"/>
          <w:szCs w:val="24"/>
          <w:lang w:eastAsia="en-US"/>
        </w:rPr>
        <w:t>world evidence on health resource use among patients with haemophilia and inhibitor exhibiting severe bleeding episodes. Haemophilia. 2021;27(1):69</w:t>
      </w:r>
      <w:r w:rsidRPr="004D5D6C">
        <w:rPr>
          <w:rFonts w:asciiTheme="majorBidi" w:eastAsia="Arial" w:hAnsiTheme="majorBidi" w:cstheme="majorBidi" w:hint="eastAsia"/>
          <w:sz w:val="24"/>
          <w:szCs w:val="24"/>
          <w:lang w:eastAsia="en-US"/>
        </w:rPr>
        <w:t>–</w:t>
      </w:r>
      <w:r w:rsidRPr="004D5D6C">
        <w:rPr>
          <w:rFonts w:asciiTheme="majorBidi" w:eastAsia="Arial" w:hAnsiTheme="majorBidi" w:cstheme="majorBidi" w:hint="eastAsia"/>
          <w:sz w:val="24"/>
          <w:szCs w:val="24"/>
          <w:lang w:eastAsia="en-US"/>
        </w:rPr>
        <w:t xml:space="preserve">80. </w:t>
      </w:r>
    </w:p>
    <w:p w14:paraId="6A4B4E8B" w14:textId="17D9FB7C" w:rsidR="004F5992" w:rsidRPr="004D5D6C" w:rsidRDefault="004F5992" w:rsidP="004F5992">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4. Bronks IG, Blackburn EK. A socio-medical study of haemophilia and related states. Br J Prev Soc Med. 1968;22(2):68. </w:t>
      </w:r>
    </w:p>
    <w:p w14:paraId="6611109F" w14:textId="20918A8F" w:rsidR="004F5992" w:rsidRPr="004D5D6C" w:rsidRDefault="004F5992" w:rsidP="004F5992">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5. Chung K, Berger A, Edelsberg J, Neufeld E, Oster G. Cost-effectiveness of FEIBA for the treatment of mildto-moderate bleeds in hemophilia patients with inhibitors. Haemophilia. 2004;10:29–33. </w:t>
      </w:r>
    </w:p>
    <w:p w14:paraId="37B793B5" w14:textId="0A7D4082" w:rsidR="004F5992" w:rsidRPr="004D5D6C" w:rsidRDefault="004F5992" w:rsidP="004F5992">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6. Kiadaliri AA. The Impact of Factor VIII Inhibitors on Factor Consumption in Haemophilia A: A Case-Control Study in South of Iran** Aliasghar Ahmad Kiadaliri,“Kimia Pourmohammadi," Peivand Bastani and" Mehran Karimi" Department of Clinical Sciences-Malmö. Middle-East J Sci Res. 2011;8(3):694–8. </w:t>
      </w:r>
    </w:p>
    <w:p w14:paraId="549AD8C8" w14:textId="02206351" w:rsidR="00505612" w:rsidRPr="004D5D6C" w:rsidRDefault="004F5992" w:rsidP="004F5992">
      <w:pPr>
        <w:rPr>
          <w:rFonts w:asciiTheme="majorBidi" w:eastAsia="Arial" w:hAnsiTheme="majorBidi" w:cstheme="majorBidi"/>
          <w:sz w:val="24"/>
          <w:szCs w:val="24"/>
          <w:lang w:eastAsia="en-US"/>
        </w:rPr>
        <w:sectPr w:rsidR="00505612" w:rsidRPr="004D5D6C" w:rsidSect="00376CE5">
          <w:footerReference w:type="default" r:id="rId10"/>
          <w:pgSz w:w="11906" w:h="16838"/>
          <w:pgMar w:top="1440" w:right="1440" w:bottom="1440" w:left="1440" w:header="720" w:footer="720" w:gutter="0"/>
          <w:cols w:space="720"/>
          <w:docGrid w:linePitch="360"/>
        </w:sectPr>
      </w:pPr>
      <w:r w:rsidRPr="004D5D6C">
        <w:rPr>
          <w:rFonts w:asciiTheme="majorBidi" w:eastAsia="Arial" w:hAnsiTheme="majorBidi" w:cstheme="majorBidi"/>
          <w:sz w:val="24"/>
          <w:szCs w:val="24"/>
          <w:lang w:eastAsia="en-US"/>
        </w:rPr>
        <w:t>7. Mihailov D, Serban M, Badeti R, Tepeneu P, Schramm W, Lighezan D. Economic Evaluation of Orthopedic and Surgical Interventions in Hemophiliacs-Not Only Direct Medical Costs Matter. In: 36th Hemophilia Symposium Hamburg 2005. Springer; 2007. p. 161–7.</w:t>
      </w:r>
    </w:p>
    <w:p w14:paraId="1E623017" w14:textId="1D86A589" w:rsidR="00327ECD" w:rsidRPr="004D5D6C" w:rsidRDefault="00327ECD" w:rsidP="008B1C18">
      <w:pPr>
        <w:spacing w:before="120" w:after="120" w:line="300" w:lineRule="auto"/>
        <w:jc w:val="center"/>
        <w:rPr>
          <w:rFonts w:asciiTheme="majorBidi" w:eastAsia="Arial" w:hAnsiTheme="majorBidi" w:cstheme="majorBidi"/>
          <w:sz w:val="28"/>
          <w:szCs w:val="28"/>
          <w:lang w:eastAsia="en-US"/>
        </w:rPr>
      </w:pPr>
      <w:bookmarkStart w:id="7" w:name="_Hlk115019053"/>
      <w:r w:rsidRPr="004D5D6C">
        <w:rPr>
          <w:rFonts w:asciiTheme="majorBidi" w:eastAsia="Arial" w:hAnsiTheme="majorBidi" w:cstheme="majorBidi"/>
          <w:b/>
          <w:bCs/>
          <w:sz w:val="28"/>
          <w:szCs w:val="28"/>
          <w:lang w:eastAsia="en-US"/>
        </w:rPr>
        <w:lastRenderedPageBreak/>
        <w:t xml:space="preserve">Supplementary </w:t>
      </w:r>
      <w:r w:rsidR="00302080">
        <w:rPr>
          <w:rFonts w:asciiTheme="majorBidi" w:eastAsia="Arial" w:hAnsiTheme="majorBidi" w:cstheme="majorBidi"/>
          <w:b/>
          <w:bCs/>
          <w:sz w:val="28"/>
          <w:szCs w:val="28"/>
          <w:lang w:eastAsia="en-US"/>
        </w:rPr>
        <w:t>Methods</w:t>
      </w:r>
      <w:r w:rsidRPr="004D5D6C">
        <w:rPr>
          <w:rFonts w:asciiTheme="majorBidi" w:eastAsia="Arial" w:hAnsiTheme="majorBidi" w:cstheme="majorBidi"/>
          <w:b/>
          <w:bCs/>
          <w:sz w:val="28"/>
          <w:szCs w:val="28"/>
          <w:lang w:eastAsia="en-US"/>
        </w:rPr>
        <w:t xml:space="preserve"> 3: </w:t>
      </w:r>
      <w:bookmarkEnd w:id="7"/>
      <w:r w:rsidRPr="004D5D6C">
        <w:rPr>
          <w:rFonts w:asciiTheme="majorBidi" w:eastAsia="Arial" w:hAnsiTheme="majorBidi" w:cstheme="majorBidi"/>
          <w:sz w:val="28"/>
          <w:szCs w:val="28"/>
          <w:lang w:eastAsia="en-US"/>
        </w:rPr>
        <w:t>Flow chart of sources of evidence selection</w:t>
      </w:r>
    </w:p>
    <w:tbl>
      <w:tblPr>
        <w:tblW w:w="13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7426"/>
        <w:gridCol w:w="2802"/>
        <w:gridCol w:w="3042"/>
      </w:tblGrid>
      <w:tr w:rsidR="00327ECD" w:rsidRPr="004D5D6C" w14:paraId="2728CBCB" w14:textId="77777777" w:rsidTr="00795EAE">
        <w:trPr>
          <w:trHeight w:val="587"/>
        </w:trPr>
        <w:tc>
          <w:tcPr>
            <w:tcW w:w="669" w:type="dxa"/>
            <w:shd w:val="clear" w:color="auto" w:fill="002060"/>
            <w:noWrap/>
            <w:vAlign w:val="center"/>
            <w:hideMark/>
          </w:tcPr>
          <w:p w14:paraId="37DBA14C" w14:textId="77777777" w:rsidR="00327ECD" w:rsidRPr="004D5D6C" w:rsidRDefault="00327ECD" w:rsidP="00881726">
            <w:pPr>
              <w:spacing w:before="80" w:after="80" w:line="240" w:lineRule="auto"/>
              <w:jc w:val="center"/>
              <w:rPr>
                <w:rFonts w:asciiTheme="majorBidi" w:eastAsia="Times New Roman" w:hAnsiTheme="majorBidi" w:cstheme="majorBidi"/>
                <w:b/>
                <w:bCs/>
                <w:color w:val="FFFFFF" w:themeColor="background1"/>
                <w:sz w:val="24"/>
                <w:szCs w:val="24"/>
                <w:lang w:val="en-US"/>
              </w:rPr>
            </w:pPr>
            <w:r w:rsidRPr="004D5D6C">
              <w:rPr>
                <w:rFonts w:asciiTheme="majorBidi" w:eastAsia="Times New Roman" w:hAnsiTheme="majorBidi" w:cstheme="majorBidi"/>
                <w:b/>
                <w:bCs/>
                <w:color w:val="FFFFFF" w:themeColor="background1"/>
                <w:sz w:val="24"/>
                <w:szCs w:val="24"/>
                <w:lang w:val="en-US"/>
              </w:rPr>
              <w:t>Ser.</w:t>
            </w:r>
          </w:p>
        </w:tc>
        <w:tc>
          <w:tcPr>
            <w:tcW w:w="7426" w:type="dxa"/>
            <w:shd w:val="clear" w:color="auto" w:fill="002060"/>
            <w:noWrap/>
            <w:vAlign w:val="center"/>
            <w:hideMark/>
          </w:tcPr>
          <w:p w14:paraId="7FC7AA43" w14:textId="77777777" w:rsidR="00327ECD" w:rsidRPr="004D5D6C" w:rsidRDefault="00327ECD" w:rsidP="00881726">
            <w:pPr>
              <w:spacing w:before="80" w:after="80" w:line="240" w:lineRule="auto"/>
              <w:rPr>
                <w:rFonts w:asciiTheme="majorBidi" w:eastAsia="Times New Roman" w:hAnsiTheme="majorBidi" w:cstheme="majorBidi"/>
                <w:b/>
                <w:bCs/>
                <w:color w:val="FFFFFF" w:themeColor="background1"/>
                <w:sz w:val="24"/>
                <w:szCs w:val="24"/>
                <w:lang w:val="en-US"/>
              </w:rPr>
            </w:pPr>
            <w:r w:rsidRPr="004D5D6C">
              <w:rPr>
                <w:rFonts w:asciiTheme="majorBidi" w:eastAsia="Times New Roman" w:hAnsiTheme="majorBidi" w:cstheme="majorBidi"/>
                <w:b/>
                <w:bCs/>
                <w:color w:val="FFFFFF" w:themeColor="background1"/>
                <w:sz w:val="24"/>
                <w:szCs w:val="24"/>
                <w:lang w:val="en-US"/>
              </w:rPr>
              <w:t>Sources of evidence</w:t>
            </w:r>
          </w:p>
        </w:tc>
        <w:tc>
          <w:tcPr>
            <w:tcW w:w="2802" w:type="dxa"/>
            <w:shd w:val="clear" w:color="auto" w:fill="002060"/>
            <w:noWrap/>
            <w:vAlign w:val="center"/>
            <w:hideMark/>
          </w:tcPr>
          <w:p w14:paraId="29DBBB63" w14:textId="77777777" w:rsidR="00327ECD" w:rsidRPr="004D5D6C" w:rsidRDefault="00327ECD" w:rsidP="00881726">
            <w:pPr>
              <w:spacing w:before="80" w:after="80" w:line="240" w:lineRule="auto"/>
              <w:jc w:val="center"/>
              <w:rPr>
                <w:rFonts w:asciiTheme="majorBidi" w:eastAsia="Times New Roman" w:hAnsiTheme="majorBidi" w:cstheme="majorBidi"/>
                <w:b/>
                <w:bCs/>
                <w:color w:val="FFFFFF" w:themeColor="background1"/>
                <w:sz w:val="24"/>
                <w:szCs w:val="24"/>
                <w:lang w:val="en-US"/>
              </w:rPr>
            </w:pPr>
            <w:r w:rsidRPr="004D5D6C">
              <w:rPr>
                <w:rFonts w:asciiTheme="majorBidi" w:eastAsia="Times New Roman" w:hAnsiTheme="majorBidi" w:cstheme="majorBidi"/>
                <w:b/>
                <w:bCs/>
                <w:color w:val="FFFFFF" w:themeColor="background1"/>
                <w:sz w:val="24"/>
                <w:szCs w:val="24"/>
                <w:lang w:val="en-US"/>
              </w:rPr>
              <w:t>No. of retrieved sources</w:t>
            </w:r>
          </w:p>
        </w:tc>
        <w:tc>
          <w:tcPr>
            <w:tcW w:w="3042" w:type="dxa"/>
            <w:shd w:val="clear" w:color="auto" w:fill="002060"/>
            <w:noWrap/>
            <w:vAlign w:val="center"/>
            <w:hideMark/>
          </w:tcPr>
          <w:p w14:paraId="6DB07FEE" w14:textId="77777777" w:rsidR="00327ECD" w:rsidRPr="004D5D6C" w:rsidRDefault="00327ECD" w:rsidP="00881726">
            <w:pPr>
              <w:spacing w:before="80" w:after="80" w:line="240" w:lineRule="auto"/>
              <w:jc w:val="center"/>
              <w:rPr>
                <w:rFonts w:asciiTheme="majorBidi" w:eastAsia="Times New Roman" w:hAnsiTheme="majorBidi" w:cstheme="majorBidi"/>
                <w:b/>
                <w:bCs/>
                <w:color w:val="FFFFFF" w:themeColor="background1"/>
                <w:sz w:val="24"/>
                <w:szCs w:val="24"/>
                <w:lang w:val="en-US"/>
              </w:rPr>
            </w:pPr>
            <w:r w:rsidRPr="004D5D6C">
              <w:rPr>
                <w:rFonts w:asciiTheme="majorBidi" w:eastAsia="Times New Roman" w:hAnsiTheme="majorBidi" w:cstheme="majorBidi"/>
                <w:b/>
                <w:bCs/>
                <w:color w:val="FFFFFF" w:themeColor="background1"/>
                <w:sz w:val="24"/>
                <w:szCs w:val="24"/>
                <w:lang w:val="en-US"/>
              </w:rPr>
              <w:t>Comments</w:t>
            </w:r>
          </w:p>
        </w:tc>
      </w:tr>
      <w:tr w:rsidR="00327ECD" w:rsidRPr="004D5D6C" w14:paraId="03FC5978" w14:textId="77777777" w:rsidTr="00795EAE">
        <w:trPr>
          <w:trHeight w:val="181"/>
        </w:trPr>
        <w:tc>
          <w:tcPr>
            <w:tcW w:w="669" w:type="dxa"/>
            <w:shd w:val="clear" w:color="auto" w:fill="auto"/>
            <w:noWrap/>
            <w:vAlign w:val="center"/>
            <w:hideMark/>
          </w:tcPr>
          <w:p w14:paraId="631EE7D0"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w:t>
            </w:r>
          </w:p>
        </w:tc>
        <w:tc>
          <w:tcPr>
            <w:tcW w:w="7426" w:type="dxa"/>
            <w:shd w:val="clear" w:color="auto" w:fill="auto"/>
            <w:noWrap/>
            <w:vAlign w:val="center"/>
            <w:hideMark/>
          </w:tcPr>
          <w:p w14:paraId="33AFF1D4"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Medline through Pubmed </w:t>
            </w:r>
          </w:p>
        </w:tc>
        <w:tc>
          <w:tcPr>
            <w:tcW w:w="2802" w:type="dxa"/>
            <w:shd w:val="clear" w:color="auto" w:fill="auto"/>
            <w:noWrap/>
            <w:vAlign w:val="center"/>
            <w:hideMark/>
          </w:tcPr>
          <w:p w14:paraId="7FDD0EA1"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1,459</w:t>
            </w:r>
          </w:p>
        </w:tc>
        <w:tc>
          <w:tcPr>
            <w:tcW w:w="3042" w:type="dxa"/>
            <w:shd w:val="clear" w:color="auto" w:fill="auto"/>
            <w:noWrap/>
            <w:vAlign w:val="center"/>
            <w:hideMark/>
          </w:tcPr>
          <w:p w14:paraId="5E8734AA"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41AE63A8" w14:textId="77777777" w:rsidTr="00795EAE">
        <w:trPr>
          <w:trHeight w:val="181"/>
        </w:trPr>
        <w:tc>
          <w:tcPr>
            <w:tcW w:w="669" w:type="dxa"/>
            <w:shd w:val="clear" w:color="auto" w:fill="auto"/>
            <w:noWrap/>
            <w:vAlign w:val="center"/>
            <w:hideMark/>
          </w:tcPr>
          <w:p w14:paraId="0300FFCD"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w:t>
            </w:r>
          </w:p>
        </w:tc>
        <w:tc>
          <w:tcPr>
            <w:tcW w:w="7426" w:type="dxa"/>
            <w:shd w:val="clear" w:color="auto" w:fill="auto"/>
            <w:noWrap/>
            <w:vAlign w:val="center"/>
            <w:hideMark/>
          </w:tcPr>
          <w:p w14:paraId="58621F95"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Medline through ProQuest</w:t>
            </w:r>
          </w:p>
        </w:tc>
        <w:tc>
          <w:tcPr>
            <w:tcW w:w="2802" w:type="dxa"/>
            <w:shd w:val="clear" w:color="auto" w:fill="auto"/>
            <w:noWrap/>
            <w:vAlign w:val="center"/>
            <w:hideMark/>
          </w:tcPr>
          <w:p w14:paraId="4762753E"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1,133</w:t>
            </w:r>
          </w:p>
        </w:tc>
        <w:tc>
          <w:tcPr>
            <w:tcW w:w="3042" w:type="dxa"/>
            <w:shd w:val="clear" w:color="auto" w:fill="auto"/>
            <w:noWrap/>
            <w:vAlign w:val="center"/>
            <w:hideMark/>
          </w:tcPr>
          <w:p w14:paraId="27389B66"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1A3FE9CA" w14:textId="77777777" w:rsidTr="00795EAE">
        <w:trPr>
          <w:trHeight w:val="181"/>
        </w:trPr>
        <w:tc>
          <w:tcPr>
            <w:tcW w:w="669" w:type="dxa"/>
            <w:shd w:val="clear" w:color="auto" w:fill="auto"/>
            <w:noWrap/>
            <w:vAlign w:val="center"/>
            <w:hideMark/>
          </w:tcPr>
          <w:p w14:paraId="5A32086F"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3</w:t>
            </w:r>
          </w:p>
        </w:tc>
        <w:tc>
          <w:tcPr>
            <w:tcW w:w="7426" w:type="dxa"/>
            <w:shd w:val="clear" w:color="auto" w:fill="auto"/>
            <w:noWrap/>
            <w:vAlign w:val="center"/>
            <w:hideMark/>
          </w:tcPr>
          <w:p w14:paraId="4C7A7373"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Web of Science Core Collection through Web of Science </w:t>
            </w:r>
          </w:p>
        </w:tc>
        <w:tc>
          <w:tcPr>
            <w:tcW w:w="2802" w:type="dxa"/>
            <w:shd w:val="clear" w:color="auto" w:fill="auto"/>
            <w:noWrap/>
            <w:vAlign w:val="center"/>
            <w:hideMark/>
          </w:tcPr>
          <w:p w14:paraId="10ABD68D"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1,598</w:t>
            </w:r>
          </w:p>
        </w:tc>
        <w:tc>
          <w:tcPr>
            <w:tcW w:w="3042" w:type="dxa"/>
            <w:shd w:val="clear" w:color="auto" w:fill="auto"/>
            <w:noWrap/>
            <w:vAlign w:val="center"/>
            <w:hideMark/>
          </w:tcPr>
          <w:p w14:paraId="2B52958C"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1E2B3178" w14:textId="77777777" w:rsidTr="00795EAE">
        <w:trPr>
          <w:trHeight w:val="181"/>
        </w:trPr>
        <w:tc>
          <w:tcPr>
            <w:tcW w:w="669" w:type="dxa"/>
            <w:shd w:val="clear" w:color="auto" w:fill="auto"/>
            <w:noWrap/>
            <w:vAlign w:val="center"/>
            <w:hideMark/>
          </w:tcPr>
          <w:p w14:paraId="20F89A44"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4</w:t>
            </w:r>
          </w:p>
        </w:tc>
        <w:tc>
          <w:tcPr>
            <w:tcW w:w="7426" w:type="dxa"/>
            <w:shd w:val="clear" w:color="auto" w:fill="auto"/>
            <w:noWrap/>
            <w:vAlign w:val="center"/>
            <w:hideMark/>
          </w:tcPr>
          <w:p w14:paraId="7C42D8CC"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EMBASE through ProQuest </w:t>
            </w:r>
          </w:p>
        </w:tc>
        <w:tc>
          <w:tcPr>
            <w:tcW w:w="2802" w:type="dxa"/>
            <w:shd w:val="clear" w:color="auto" w:fill="auto"/>
            <w:noWrap/>
            <w:vAlign w:val="center"/>
            <w:hideMark/>
          </w:tcPr>
          <w:p w14:paraId="2B840FDC"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1,446</w:t>
            </w:r>
          </w:p>
        </w:tc>
        <w:tc>
          <w:tcPr>
            <w:tcW w:w="3042" w:type="dxa"/>
            <w:shd w:val="clear" w:color="auto" w:fill="auto"/>
            <w:noWrap/>
            <w:vAlign w:val="center"/>
            <w:hideMark/>
          </w:tcPr>
          <w:p w14:paraId="0461273E"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2D1D4637" w14:textId="77777777" w:rsidTr="00795EAE">
        <w:trPr>
          <w:trHeight w:val="181"/>
        </w:trPr>
        <w:tc>
          <w:tcPr>
            <w:tcW w:w="669" w:type="dxa"/>
            <w:shd w:val="clear" w:color="auto" w:fill="auto"/>
            <w:noWrap/>
            <w:vAlign w:val="center"/>
            <w:hideMark/>
          </w:tcPr>
          <w:p w14:paraId="7A15880E"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5</w:t>
            </w:r>
          </w:p>
        </w:tc>
        <w:tc>
          <w:tcPr>
            <w:tcW w:w="7426" w:type="dxa"/>
            <w:shd w:val="clear" w:color="auto" w:fill="auto"/>
            <w:noWrap/>
            <w:vAlign w:val="center"/>
            <w:hideMark/>
          </w:tcPr>
          <w:p w14:paraId="27117B85"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Scopus</w:t>
            </w:r>
          </w:p>
        </w:tc>
        <w:tc>
          <w:tcPr>
            <w:tcW w:w="2802" w:type="dxa"/>
            <w:shd w:val="clear" w:color="auto" w:fill="auto"/>
            <w:noWrap/>
            <w:vAlign w:val="center"/>
            <w:hideMark/>
          </w:tcPr>
          <w:p w14:paraId="64BC6FA9"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1,261</w:t>
            </w:r>
          </w:p>
        </w:tc>
        <w:tc>
          <w:tcPr>
            <w:tcW w:w="3042" w:type="dxa"/>
            <w:shd w:val="clear" w:color="auto" w:fill="auto"/>
            <w:noWrap/>
            <w:vAlign w:val="center"/>
            <w:hideMark/>
          </w:tcPr>
          <w:p w14:paraId="2C149823"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700BBF60" w14:textId="77777777" w:rsidTr="00795EAE">
        <w:trPr>
          <w:trHeight w:val="181"/>
        </w:trPr>
        <w:tc>
          <w:tcPr>
            <w:tcW w:w="669" w:type="dxa"/>
            <w:shd w:val="clear" w:color="auto" w:fill="auto"/>
            <w:noWrap/>
            <w:vAlign w:val="center"/>
            <w:hideMark/>
          </w:tcPr>
          <w:p w14:paraId="571B7B1B"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6</w:t>
            </w:r>
          </w:p>
        </w:tc>
        <w:tc>
          <w:tcPr>
            <w:tcW w:w="7426" w:type="dxa"/>
            <w:shd w:val="clear" w:color="auto" w:fill="auto"/>
            <w:noWrap/>
            <w:vAlign w:val="center"/>
            <w:hideMark/>
          </w:tcPr>
          <w:p w14:paraId="544E8D74"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Google Scholar </w:t>
            </w:r>
          </w:p>
        </w:tc>
        <w:tc>
          <w:tcPr>
            <w:tcW w:w="2802" w:type="dxa"/>
            <w:shd w:val="clear" w:color="auto" w:fill="auto"/>
            <w:noWrap/>
            <w:vAlign w:val="center"/>
            <w:hideMark/>
          </w:tcPr>
          <w:p w14:paraId="64958264"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518</w:t>
            </w:r>
          </w:p>
        </w:tc>
        <w:tc>
          <w:tcPr>
            <w:tcW w:w="3042" w:type="dxa"/>
            <w:shd w:val="clear" w:color="auto" w:fill="auto"/>
            <w:noWrap/>
            <w:vAlign w:val="center"/>
            <w:hideMark/>
          </w:tcPr>
          <w:p w14:paraId="56B81BB4"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690E746F" w14:textId="77777777" w:rsidTr="00795EAE">
        <w:trPr>
          <w:trHeight w:val="181"/>
        </w:trPr>
        <w:tc>
          <w:tcPr>
            <w:tcW w:w="669" w:type="dxa"/>
            <w:shd w:val="clear" w:color="auto" w:fill="auto"/>
            <w:noWrap/>
            <w:vAlign w:val="center"/>
            <w:hideMark/>
          </w:tcPr>
          <w:p w14:paraId="0DB9B0CD"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6</w:t>
            </w:r>
          </w:p>
        </w:tc>
        <w:tc>
          <w:tcPr>
            <w:tcW w:w="7426" w:type="dxa"/>
            <w:shd w:val="clear" w:color="auto" w:fill="auto"/>
            <w:noWrap/>
            <w:vAlign w:val="center"/>
            <w:hideMark/>
          </w:tcPr>
          <w:p w14:paraId="27C063BE"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Current Contents through ProQuest </w:t>
            </w:r>
          </w:p>
        </w:tc>
        <w:tc>
          <w:tcPr>
            <w:tcW w:w="2802" w:type="dxa"/>
            <w:shd w:val="clear" w:color="auto" w:fill="auto"/>
            <w:noWrap/>
            <w:vAlign w:val="center"/>
            <w:hideMark/>
          </w:tcPr>
          <w:p w14:paraId="1ABF3D80"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515</w:t>
            </w:r>
          </w:p>
        </w:tc>
        <w:tc>
          <w:tcPr>
            <w:tcW w:w="3042" w:type="dxa"/>
            <w:shd w:val="clear" w:color="auto" w:fill="auto"/>
            <w:noWrap/>
            <w:vAlign w:val="center"/>
            <w:hideMark/>
          </w:tcPr>
          <w:p w14:paraId="35A72A4C"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05D1FB3A" w14:textId="77777777" w:rsidTr="00795EAE">
        <w:trPr>
          <w:trHeight w:val="181"/>
        </w:trPr>
        <w:tc>
          <w:tcPr>
            <w:tcW w:w="669" w:type="dxa"/>
            <w:shd w:val="clear" w:color="auto" w:fill="auto"/>
            <w:noWrap/>
            <w:vAlign w:val="center"/>
            <w:hideMark/>
          </w:tcPr>
          <w:p w14:paraId="6A95A375"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8</w:t>
            </w:r>
          </w:p>
        </w:tc>
        <w:tc>
          <w:tcPr>
            <w:tcW w:w="7426" w:type="dxa"/>
            <w:shd w:val="clear" w:color="auto" w:fill="auto"/>
            <w:noWrap/>
            <w:vAlign w:val="center"/>
            <w:hideMark/>
          </w:tcPr>
          <w:p w14:paraId="09ACB73E"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BIOSIS Previews through ProQuest </w:t>
            </w:r>
          </w:p>
        </w:tc>
        <w:tc>
          <w:tcPr>
            <w:tcW w:w="2802" w:type="dxa"/>
            <w:shd w:val="clear" w:color="auto" w:fill="auto"/>
            <w:noWrap/>
            <w:vAlign w:val="center"/>
            <w:hideMark/>
          </w:tcPr>
          <w:p w14:paraId="41FE830A"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308</w:t>
            </w:r>
          </w:p>
        </w:tc>
        <w:tc>
          <w:tcPr>
            <w:tcW w:w="3042" w:type="dxa"/>
            <w:shd w:val="clear" w:color="auto" w:fill="auto"/>
            <w:noWrap/>
            <w:vAlign w:val="center"/>
            <w:hideMark/>
          </w:tcPr>
          <w:p w14:paraId="5BF5F557"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155B9E2E" w14:textId="77777777" w:rsidTr="00795EAE">
        <w:trPr>
          <w:trHeight w:val="181"/>
        </w:trPr>
        <w:tc>
          <w:tcPr>
            <w:tcW w:w="669" w:type="dxa"/>
            <w:shd w:val="clear" w:color="auto" w:fill="auto"/>
            <w:noWrap/>
            <w:vAlign w:val="center"/>
            <w:hideMark/>
          </w:tcPr>
          <w:p w14:paraId="639F93C5"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9</w:t>
            </w:r>
          </w:p>
        </w:tc>
        <w:tc>
          <w:tcPr>
            <w:tcW w:w="7426" w:type="dxa"/>
            <w:shd w:val="clear" w:color="auto" w:fill="auto"/>
            <w:noWrap/>
            <w:vAlign w:val="center"/>
            <w:hideMark/>
          </w:tcPr>
          <w:p w14:paraId="7BF4D324"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fr-FR"/>
              </w:rPr>
            </w:pPr>
            <w:r w:rsidRPr="004D5D6C">
              <w:rPr>
                <w:rFonts w:asciiTheme="majorBidi" w:eastAsia="Times New Roman" w:hAnsiTheme="majorBidi" w:cstheme="majorBidi"/>
                <w:color w:val="000000"/>
                <w:sz w:val="24"/>
                <w:szCs w:val="24"/>
                <w:lang w:val="fr-FR"/>
              </w:rPr>
              <w:t>Publicly Available Content</w:t>
            </w:r>
            <w:r w:rsidRPr="004D5D6C">
              <w:rPr>
                <w:rFonts w:asciiTheme="majorBidi" w:eastAsia="Times New Roman" w:hAnsiTheme="majorBidi" w:cstheme="majorBidi"/>
                <w:color w:val="000000"/>
                <w:sz w:val="24"/>
                <w:szCs w:val="24"/>
                <w:cs/>
                <w:lang w:val="en-US"/>
              </w:rPr>
              <w:t>‎</w:t>
            </w:r>
            <w:r w:rsidRPr="004D5D6C">
              <w:rPr>
                <w:rFonts w:asciiTheme="majorBidi" w:eastAsia="Times New Roman" w:hAnsiTheme="majorBidi" w:cstheme="majorBidi"/>
                <w:color w:val="000000"/>
                <w:sz w:val="24"/>
                <w:szCs w:val="24"/>
                <w:lang w:val="fr-FR"/>
              </w:rPr>
              <w:t xml:space="preserve"> on ProQuest</w:t>
            </w:r>
          </w:p>
        </w:tc>
        <w:tc>
          <w:tcPr>
            <w:tcW w:w="2802" w:type="dxa"/>
            <w:shd w:val="clear" w:color="auto" w:fill="auto"/>
            <w:noWrap/>
            <w:vAlign w:val="center"/>
            <w:hideMark/>
          </w:tcPr>
          <w:p w14:paraId="7A54FF77"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68</w:t>
            </w:r>
          </w:p>
        </w:tc>
        <w:tc>
          <w:tcPr>
            <w:tcW w:w="3042" w:type="dxa"/>
            <w:shd w:val="clear" w:color="auto" w:fill="auto"/>
            <w:noWrap/>
            <w:vAlign w:val="center"/>
            <w:hideMark/>
          </w:tcPr>
          <w:p w14:paraId="29D96DF2"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60E89242" w14:textId="77777777" w:rsidTr="00795EAE">
        <w:trPr>
          <w:trHeight w:val="181"/>
        </w:trPr>
        <w:tc>
          <w:tcPr>
            <w:tcW w:w="669" w:type="dxa"/>
            <w:shd w:val="clear" w:color="auto" w:fill="auto"/>
            <w:noWrap/>
            <w:vAlign w:val="center"/>
            <w:hideMark/>
          </w:tcPr>
          <w:p w14:paraId="76D00633"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10</w:t>
            </w:r>
          </w:p>
        </w:tc>
        <w:tc>
          <w:tcPr>
            <w:tcW w:w="7426" w:type="dxa"/>
            <w:shd w:val="clear" w:color="auto" w:fill="auto"/>
            <w:noWrap/>
            <w:vAlign w:val="center"/>
            <w:hideMark/>
          </w:tcPr>
          <w:p w14:paraId="258ADB46"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Additional sources identified via manual searches</w:t>
            </w:r>
          </w:p>
        </w:tc>
        <w:tc>
          <w:tcPr>
            <w:tcW w:w="2802" w:type="dxa"/>
            <w:shd w:val="clear" w:color="auto" w:fill="auto"/>
            <w:noWrap/>
            <w:vAlign w:val="center"/>
            <w:hideMark/>
          </w:tcPr>
          <w:p w14:paraId="5B0AD2F0"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7</w:t>
            </w:r>
          </w:p>
        </w:tc>
        <w:tc>
          <w:tcPr>
            <w:tcW w:w="3042" w:type="dxa"/>
            <w:shd w:val="clear" w:color="auto" w:fill="auto"/>
            <w:noWrap/>
            <w:vAlign w:val="center"/>
            <w:hideMark/>
          </w:tcPr>
          <w:p w14:paraId="494B181B"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389815E8" w14:textId="77777777" w:rsidTr="00795EAE">
        <w:trPr>
          <w:trHeight w:val="181"/>
        </w:trPr>
        <w:tc>
          <w:tcPr>
            <w:tcW w:w="669" w:type="dxa"/>
            <w:shd w:val="clear" w:color="auto" w:fill="auto"/>
            <w:noWrap/>
            <w:vAlign w:val="center"/>
            <w:hideMark/>
          </w:tcPr>
          <w:p w14:paraId="553FCEA2"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11</w:t>
            </w:r>
          </w:p>
        </w:tc>
        <w:tc>
          <w:tcPr>
            <w:tcW w:w="7426" w:type="dxa"/>
            <w:shd w:val="clear" w:color="auto" w:fill="auto"/>
            <w:noWrap/>
            <w:vAlign w:val="center"/>
            <w:hideMark/>
          </w:tcPr>
          <w:p w14:paraId="0BE702D5"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Grey literature</w:t>
            </w:r>
          </w:p>
        </w:tc>
        <w:tc>
          <w:tcPr>
            <w:tcW w:w="2802" w:type="dxa"/>
            <w:shd w:val="clear" w:color="auto" w:fill="auto"/>
            <w:noWrap/>
            <w:vAlign w:val="center"/>
            <w:hideMark/>
          </w:tcPr>
          <w:p w14:paraId="38646106"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29</w:t>
            </w:r>
          </w:p>
        </w:tc>
        <w:tc>
          <w:tcPr>
            <w:tcW w:w="3042" w:type="dxa"/>
            <w:shd w:val="clear" w:color="auto" w:fill="auto"/>
            <w:noWrap/>
            <w:vAlign w:val="center"/>
            <w:hideMark/>
          </w:tcPr>
          <w:p w14:paraId="7DEAED21"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75083BAB" w14:textId="77777777" w:rsidTr="00795EAE">
        <w:trPr>
          <w:trHeight w:val="181"/>
        </w:trPr>
        <w:tc>
          <w:tcPr>
            <w:tcW w:w="669" w:type="dxa"/>
            <w:shd w:val="clear" w:color="auto" w:fill="D9E2F3" w:themeFill="accent1" w:themeFillTint="33"/>
            <w:noWrap/>
            <w:vAlign w:val="center"/>
            <w:hideMark/>
          </w:tcPr>
          <w:p w14:paraId="3D8D3621"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12</w:t>
            </w:r>
          </w:p>
        </w:tc>
        <w:tc>
          <w:tcPr>
            <w:tcW w:w="7426" w:type="dxa"/>
            <w:shd w:val="clear" w:color="auto" w:fill="D9E2F3" w:themeFill="accent1" w:themeFillTint="33"/>
            <w:noWrap/>
            <w:vAlign w:val="center"/>
            <w:hideMark/>
          </w:tcPr>
          <w:p w14:paraId="6D626973" w14:textId="77777777" w:rsidR="00327ECD" w:rsidRPr="004D5D6C" w:rsidRDefault="00327ECD" w:rsidP="00881726">
            <w:pPr>
              <w:spacing w:before="80" w:after="80" w:line="240" w:lineRule="auto"/>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Total sources identified before de-duplication</w:t>
            </w:r>
          </w:p>
        </w:tc>
        <w:tc>
          <w:tcPr>
            <w:tcW w:w="2802" w:type="dxa"/>
            <w:shd w:val="clear" w:color="auto" w:fill="D9E2F3" w:themeFill="accent1" w:themeFillTint="33"/>
            <w:noWrap/>
            <w:vAlign w:val="center"/>
            <w:hideMark/>
          </w:tcPr>
          <w:p w14:paraId="73745C55"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8,342</w:t>
            </w:r>
          </w:p>
        </w:tc>
        <w:tc>
          <w:tcPr>
            <w:tcW w:w="3042" w:type="dxa"/>
            <w:shd w:val="clear" w:color="auto" w:fill="D9E2F3" w:themeFill="accent1" w:themeFillTint="33"/>
            <w:noWrap/>
            <w:vAlign w:val="center"/>
            <w:hideMark/>
          </w:tcPr>
          <w:p w14:paraId="520716F3"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0298B8D4" w14:textId="77777777" w:rsidTr="00795EAE">
        <w:trPr>
          <w:trHeight w:val="181"/>
        </w:trPr>
        <w:tc>
          <w:tcPr>
            <w:tcW w:w="669" w:type="dxa"/>
            <w:shd w:val="clear" w:color="auto" w:fill="auto"/>
            <w:noWrap/>
            <w:vAlign w:val="center"/>
            <w:hideMark/>
          </w:tcPr>
          <w:p w14:paraId="57E615B1"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13</w:t>
            </w:r>
          </w:p>
        </w:tc>
        <w:tc>
          <w:tcPr>
            <w:tcW w:w="7426" w:type="dxa"/>
            <w:shd w:val="clear" w:color="auto" w:fill="auto"/>
            <w:noWrap/>
            <w:vAlign w:val="center"/>
            <w:hideMark/>
          </w:tcPr>
          <w:p w14:paraId="30DB09D5"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Duplicates removed by EndNote during importing</w:t>
            </w:r>
          </w:p>
        </w:tc>
        <w:tc>
          <w:tcPr>
            <w:tcW w:w="2802" w:type="dxa"/>
            <w:shd w:val="clear" w:color="auto" w:fill="auto"/>
            <w:noWrap/>
            <w:vAlign w:val="center"/>
            <w:hideMark/>
          </w:tcPr>
          <w:p w14:paraId="5E1504BF"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4,929</w:t>
            </w:r>
          </w:p>
        </w:tc>
        <w:tc>
          <w:tcPr>
            <w:tcW w:w="3042" w:type="dxa"/>
            <w:shd w:val="clear" w:color="auto" w:fill="auto"/>
            <w:noWrap/>
            <w:vAlign w:val="center"/>
            <w:hideMark/>
          </w:tcPr>
          <w:p w14:paraId="67640174"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7AC9F91E" w14:textId="77777777" w:rsidTr="00795EAE">
        <w:trPr>
          <w:trHeight w:val="181"/>
        </w:trPr>
        <w:tc>
          <w:tcPr>
            <w:tcW w:w="669" w:type="dxa"/>
            <w:shd w:val="clear" w:color="auto" w:fill="auto"/>
            <w:noWrap/>
            <w:vAlign w:val="center"/>
            <w:hideMark/>
          </w:tcPr>
          <w:p w14:paraId="37F74FE5"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14</w:t>
            </w:r>
          </w:p>
        </w:tc>
        <w:tc>
          <w:tcPr>
            <w:tcW w:w="7426" w:type="dxa"/>
            <w:shd w:val="clear" w:color="auto" w:fill="auto"/>
            <w:noWrap/>
            <w:vAlign w:val="center"/>
            <w:hideMark/>
          </w:tcPr>
          <w:p w14:paraId="25C0C47C"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Additional duplicates</w:t>
            </w:r>
          </w:p>
        </w:tc>
        <w:tc>
          <w:tcPr>
            <w:tcW w:w="2802" w:type="dxa"/>
            <w:shd w:val="clear" w:color="auto" w:fill="auto"/>
            <w:noWrap/>
            <w:vAlign w:val="center"/>
            <w:hideMark/>
          </w:tcPr>
          <w:p w14:paraId="6F3E8DAE"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420</w:t>
            </w:r>
          </w:p>
        </w:tc>
        <w:tc>
          <w:tcPr>
            <w:tcW w:w="3042" w:type="dxa"/>
            <w:shd w:val="clear" w:color="auto" w:fill="auto"/>
            <w:noWrap/>
            <w:vAlign w:val="center"/>
            <w:hideMark/>
          </w:tcPr>
          <w:p w14:paraId="4DCE34BC"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Many of them were abstracts of full-text publications</w:t>
            </w:r>
          </w:p>
        </w:tc>
      </w:tr>
      <w:tr w:rsidR="00327ECD" w:rsidRPr="004D5D6C" w14:paraId="6F825119" w14:textId="77777777" w:rsidTr="00795EAE">
        <w:trPr>
          <w:trHeight w:val="181"/>
        </w:trPr>
        <w:tc>
          <w:tcPr>
            <w:tcW w:w="669" w:type="dxa"/>
            <w:shd w:val="clear" w:color="auto" w:fill="auto"/>
            <w:noWrap/>
            <w:vAlign w:val="center"/>
            <w:hideMark/>
          </w:tcPr>
          <w:p w14:paraId="3166F886"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15</w:t>
            </w:r>
          </w:p>
        </w:tc>
        <w:tc>
          <w:tcPr>
            <w:tcW w:w="7426" w:type="dxa"/>
            <w:shd w:val="clear" w:color="auto" w:fill="auto"/>
            <w:noWrap/>
            <w:vAlign w:val="center"/>
            <w:hideMark/>
          </w:tcPr>
          <w:p w14:paraId="5658F3A3"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Total duplicates</w:t>
            </w:r>
          </w:p>
        </w:tc>
        <w:tc>
          <w:tcPr>
            <w:tcW w:w="2802" w:type="dxa"/>
            <w:shd w:val="clear" w:color="auto" w:fill="auto"/>
            <w:noWrap/>
            <w:vAlign w:val="center"/>
            <w:hideMark/>
          </w:tcPr>
          <w:p w14:paraId="2D878E94"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5,349</w:t>
            </w:r>
          </w:p>
        </w:tc>
        <w:tc>
          <w:tcPr>
            <w:tcW w:w="3042" w:type="dxa"/>
            <w:shd w:val="clear" w:color="auto" w:fill="auto"/>
            <w:noWrap/>
            <w:vAlign w:val="center"/>
            <w:hideMark/>
          </w:tcPr>
          <w:p w14:paraId="44759FDA"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2EE59B1C" w14:textId="77777777" w:rsidTr="00795EAE">
        <w:trPr>
          <w:trHeight w:val="181"/>
        </w:trPr>
        <w:tc>
          <w:tcPr>
            <w:tcW w:w="669" w:type="dxa"/>
            <w:shd w:val="clear" w:color="auto" w:fill="D9E2F3" w:themeFill="accent1" w:themeFillTint="33"/>
            <w:noWrap/>
            <w:vAlign w:val="center"/>
            <w:hideMark/>
          </w:tcPr>
          <w:p w14:paraId="756E234A"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16</w:t>
            </w:r>
          </w:p>
        </w:tc>
        <w:tc>
          <w:tcPr>
            <w:tcW w:w="7426" w:type="dxa"/>
            <w:shd w:val="clear" w:color="auto" w:fill="D9E2F3" w:themeFill="accent1" w:themeFillTint="33"/>
            <w:noWrap/>
            <w:vAlign w:val="center"/>
            <w:hideMark/>
          </w:tcPr>
          <w:p w14:paraId="1D4CCDCA" w14:textId="77777777" w:rsidR="00327ECD" w:rsidRPr="004D5D6C" w:rsidRDefault="00327ECD" w:rsidP="00881726">
            <w:pPr>
              <w:spacing w:before="80" w:after="80" w:line="240" w:lineRule="auto"/>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Sources screened by title</w:t>
            </w:r>
          </w:p>
        </w:tc>
        <w:tc>
          <w:tcPr>
            <w:tcW w:w="2802" w:type="dxa"/>
            <w:shd w:val="clear" w:color="auto" w:fill="D9E2F3" w:themeFill="accent1" w:themeFillTint="33"/>
            <w:noWrap/>
            <w:vAlign w:val="center"/>
            <w:hideMark/>
          </w:tcPr>
          <w:p w14:paraId="267F7442"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2,993</w:t>
            </w:r>
          </w:p>
        </w:tc>
        <w:tc>
          <w:tcPr>
            <w:tcW w:w="3042" w:type="dxa"/>
            <w:shd w:val="clear" w:color="auto" w:fill="D9E2F3" w:themeFill="accent1" w:themeFillTint="33"/>
            <w:noWrap/>
            <w:vAlign w:val="center"/>
            <w:hideMark/>
          </w:tcPr>
          <w:p w14:paraId="029BD276"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5704141C" w14:textId="77777777" w:rsidTr="00795EAE">
        <w:trPr>
          <w:trHeight w:val="181"/>
        </w:trPr>
        <w:tc>
          <w:tcPr>
            <w:tcW w:w="669" w:type="dxa"/>
            <w:shd w:val="clear" w:color="auto" w:fill="auto"/>
            <w:noWrap/>
            <w:vAlign w:val="center"/>
            <w:hideMark/>
          </w:tcPr>
          <w:p w14:paraId="397C5B63"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17</w:t>
            </w:r>
          </w:p>
        </w:tc>
        <w:tc>
          <w:tcPr>
            <w:tcW w:w="7426" w:type="dxa"/>
            <w:shd w:val="clear" w:color="auto" w:fill="auto"/>
            <w:noWrap/>
            <w:vAlign w:val="center"/>
            <w:hideMark/>
          </w:tcPr>
          <w:p w14:paraId="72CACA1E"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Sources excluded by title</w:t>
            </w:r>
          </w:p>
        </w:tc>
        <w:tc>
          <w:tcPr>
            <w:tcW w:w="2802" w:type="dxa"/>
            <w:shd w:val="clear" w:color="auto" w:fill="auto"/>
            <w:noWrap/>
            <w:vAlign w:val="center"/>
            <w:hideMark/>
          </w:tcPr>
          <w:p w14:paraId="68B8C2FA"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2,092</w:t>
            </w:r>
          </w:p>
        </w:tc>
        <w:tc>
          <w:tcPr>
            <w:tcW w:w="3042" w:type="dxa"/>
            <w:shd w:val="clear" w:color="auto" w:fill="auto"/>
            <w:noWrap/>
            <w:vAlign w:val="center"/>
            <w:hideMark/>
          </w:tcPr>
          <w:p w14:paraId="131CE82F"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5208DF9B" w14:textId="77777777" w:rsidTr="00795EAE">
        <w:trPr>
          <w:trHeight w:val="181"/>
        </w:trPr>
        <w:tc>
          <w:tcPr>
            <w:tcW w:w="669" w:type="dxa"/>
            <w:shd w:val="clear" w:color="auto" w:fill="D9E2F3" w:themeFill="accent1" w:themeFillTint="33"/>
            <w:noWrap/>
            <w:vAlign w:val="center"/>
            <w:hideMark/>
          </w:tcPr>
          <w:p w14:paraId="5284697C"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lastRenderedPageBreak/>
              <w:t>18</w:t>
            </w:r>
          </w:p>
        </w:tc>
        <w:tc>
          <w:tcPr>
            <w:tcW w:w="7426" w:type="dxa"/>
            <w:shd w:val="clear" w:color="auto" w:fill="D9E2F3" w:themeFill="accent1" w:themeFillTint="33"/>
            <w:noWrap/>
            <w:vAlign w:val="center"/>
            <w:hideMark/>
          </w:tcPr>
          <w:p w14:paraId="3CCFA8CB" w14:textId="77777777" w:rsidR="00327ECD" w:rsidRPr="004D5D6C" w:rsidRDefault="00327ECD" w:rsidP="00881726">
            <w:pPr>
              <w:spacing w:before="80" w:after="80" w:line="240" w:lineRule="auto"/>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Abstracts examined for eligibility</w:t>
            </w:r>
          </w:p>
        </w:tc>
        <w:tc>
          <w:tcPr>
            <w:tcW w:w="2802" w:type="dxa"/>
            <w:shd w:val="clear" w:color="auto" w:fill="D9E2F3" w:themeFill="accent1" w:themeFillTint="33"/>
            <w:noWrap/>
            <w:vAlign w:val="center"/>
            <w:hideMark/>
          </w:tcPr>
          <w:p w14:paraId="058B390F"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901</w:t>
            </w:r>
          </w:p>
        </w:tc>
        <w:tc>
          <w:tcPr>
            <w:tcW w:w="3042" w:type="dxa"/>
            <w:shd w:val="clear" w:color="auto" w:fill="D9E2F3" w:themeFill="accent1" w:themeFillTint="33"/>
            <w:noWrap/>
            <w:vAlign w:val="center"/>
            <w:hideMark/>
          </w:tcPr>
          <w:p w14:paraId="4918A899"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4587BFC8" w14:textId="77777777" w:rsidTr="00795EAE">
        <w:trPr>
          <w:trHeight w:val="181"/>
        </w:trPr>
        <w:tc>
          <w:tcPr>
            <w:tcW w:w="669" w:type="dxa"/>
            <w:shd w:val="clear" w:color="auto" w:fill="auto"/>
            <w:noWrap/>
            <w:vAlign w:val="center"/>
            <w:hideMark/>
          </w:tcPr>
          <w:p w14:paraId="397717F9"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20</w:t>
            </w:r>
          </w:p>
        </w:tc>
        <w:tc>
          <w:tcPr>
            <w:tcW w:w="7426" w:type="dxa"/>
            <w:shd w:val="clear" w:color="auto" w:fill="auto"/>
            <w:noWrap/>
            <w:vAlign w:val="center"/>
            <w:hideMark/>
          </w:tcPr>
          <w:p w14:paraId="28DF7D0E"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Sources excluded by abstract</w:t>
            </w:r>
          </w:p>
        </w:tc>
        <w:tc>
          <w:tcPr>
            <w:tcW w:w="2802" w:type="dxa"/>
            <w:shd w:val="clear" w:color="auto" w:fill="auto"/>
            <w:noWrap/>
            <w:vAlign w:val="center"/>
            <w:hideMark/>
          </w:tcPr>
          <w:p w14:paraId="20CD5482"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211</w:t>
            </w:r>
          </w:p>
        </w:tc>
        <w:tc>
          <w:tcPr>
            <w:tcW w:w="3042" w:type="dxa"/>
            <w:shd w:val="clear" w:color="auto" w:fill="auto"/>
            <w:noWrap/>
            <w:vAlign w:val="center"/>
            <w:hideMark/>
          </w:tcPr>
          <w:p w14:paraId="002FD194"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47D32264" w14:textId="77777777" w:rsidTr="00795EAE">
        <w:trPr>
          <w:trHeight w:val="181"/>
        </w:trPr>
        <w:tc>
          <w:tcPr>
            <w:tcW w:w="669" w:type="dxa"/>
            <w:shd w:val="clear" w:color="auto" w:fill="D9E2F3" w:themeFill="accent1" w:themeFillTint="33"/>
            <w:noWrap/>
            <w:vAlign w:val="center"/>
            <w:hideMark/>
          </w:tcPr>
          <w:p w14:paraId="03D52B29"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21</w:t>
            </w:r>
          </w:p>
        </w:tc>
        <w:tc>
          <w:tcPr>
            <w:tcW w:w="7426" w:type="dxa"/>
            <w:shd w:val="clear" w:color="auto" w:fill="D9E2F3" w:themeFill="accent1" w:themeFillTint="33"/>
            <w:noWrap/>
            <w:vAlign w:val="center"/>
            <w:hideMark/>
          </w:tcPr>
          <w:p w14:paraId="23E57B0B" w14:textId="77777777" w:rsidR="00327ECD" w:rsidRPr="004D5D6C" w:rsidRDefault="00327ECD" w:rsidP="00881726">
            <w:pPr>
              <w:spacing w:before="80" w:after="80" w:line="240" w:lineRule="auto"/>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Full-text sources assessed for inclusion</w:t>
            </w:r>
          </w:p>
        </w:tc>
        <w:tc>
          <w:tcPr>
            <w:tcW w:w="2802" w:type="dxa"/>
            <w:shd w:val="clear" w:color="auto" w:fill="D9E2F3" w:themeFill="accent1" w:themeFillTint="33"/>
            <w:noWrap/>
            <w:vAlign w:val="center"/>
            <w:hideMark/>
          </w:tcPr>
          <w:p w14:paraId="35AE22D9"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690</w:t>
            </w:r>
          </w:p>
        </w:tc>
        <w:tc>
          <w:tcPr>
            <w:tcW w:w="3042" w:type="dxa"/>
            <w:shd w:val="clear" w:color="auto" w:fill="D9E2F3" w:themeFill="accent1" w:themeFillTint="33"/>
            <w:noWrap/>
            <w:vAlign w:val="center"/>
            <w:hideMark/>
          </w:tcPr>
          <w:p w14:paraId="747BAE1A"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4F82D2A2" w14:textId="77777777" w:rsidTr="00795EAE">
        <w:trPr>
          <w:trHeight w:val="181"/>
        </w:trPr>
        <w:tc>
          <w:tcPr>
            <w:tcW w:w="669" w:type="dxa"/>
            <w:shd w:val="clear" w:color="auto" w:fill="auto"/>
            <w:noWrap/>
            <w:vAlign w:val="center"/>
            <w:hideMark/>
          </w:tcPr>
          <w:p w14:paraId="09DB356A"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22</w:t>
            </w:r>
          </w:p>
        </w:tc>
        <w:tc>
          <w:tcPr>
            <w:tcW w:w="7426" w:type="dxa"/>
            <w:shd w:val="clear" w:color="auto" w:fill="auto"/>
            <w:noWrap/>
            <w:vAlign w:val="center"/>
            <w:hideMark/>
          </w:tcPr>
          <w:p w14:paraId="399CEA3E" w14:textId="294467EC"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No full text </w:t>
            </w:r>
            <w:r w:rsidR="00D36154">
              <w:rPr>
                <w:rFonts w:asciiTheme="majorBidi" w:eastAsia="Times New Roman" w:hAnsiTheme="majorBidi" w:cstheme="majorBidi"/>
                <w:color w:val="000000"/>
                <w:sz w:val="24"/>
                <w:szCs w:val="24"/>
                <w:lang w:val="en-US"/>
              </w:rPr>
              <w:t xml:space="preserve">was </w:t>
            </w:r>
            <w:r w:rsidRPr="004D5D6C">
              <w:rPr>
                <w:rFonts w:asciiTheme="majorBidi" w:eastAsia="Times New Roman" w:hAnsiTheme="majorBidi" w:cstheme="majorBidi"/>
                <w:color w:val="000000"/>
                <w:sz w:val="24"/>
                <w:szCs w:val="24"/>
                <w:lang w:val="en-US"/>
              </w:rPr>
              <w:t>available</w:t>
            </w:r>
          </w:p>
        </w:tc>
        <w:tc>
          <w:tcPr>
            <w:tcW w:w="2802" w:type="dxa"/>
            <w:shd w:val="clear" w:color="auto" w:fill="auto"/>
            <w:noWrap/>
            <w:vAlign w:val="center"/>
            <w:hideMark/>
          </w:tcPr>
          <w:p w14:paraId="53D311FB"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209</w:t>
            </w:r>
          </w:p>
        </w:tc>
        <w:tc>
          <w:tcPr>
            <w:tcW w:w="3042" w:type="dxa"/>
            <w:shd w:val="clear" w:color="auto" w:fill="auto"/>
            <w:noWrap/>
            <w:vAlign w:val="center"/>
            <w:hideMark/>
          </w:tcPr>
          <w:p w14:paraId="6365B2A2"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35F14AF4" w14:textId="77777777" w:rsidTr="00795EAE">
        <w:trPr>
          <w:trHeight w:val="181"/>
        </w:trPr>
        <w:tc>
          <w:tcPr>
            <w:tcW w:w="669" w:type="dxa"/>
            <w:shd w:val="clear" w:color="auto" w:fill="auto"/>
            <w:noWrap/>
            <w:vAlign w:val="center"/>
            <w:hideMark/>
          </w:tcPr>
          <w:p w14:paraId="68D76C43"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23</w:t>
            </w:r>
          </w:p>
        </w:tc>
        <w:tc>
          <w:tcPr>
            <w:tcW w:w="7426" w:type="dxa"/>
            <w:shd w:val="clear" w:color="auto" w:fill="auto"/>
            <w:noWrap/>
            <w:vAlign w:val="center"/>
            <w:hideMark/>
          </w:tcPr>
          <w:p w14:paraId="2B613742"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Review/letter/editorial/commentary/supplement/report/book chapter/guidelines</w:t>
            </w:r>
          </w:p>
        </w:tc>
        <w:tc>
          <w:tcPr>
            <w:tcW w:w="2802" w:type="dxa"/>
            <w:shd w:val="clear" w:color="auto" w:fill="auto"/>
            <w:noWrap/>
            <w:vAlign w:val="center"/>
            <w:hideMark/>
          </w:tcPr>
          <w:p w14:paraId="4B91AE8D" w14:textId="77BFE05C"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13</w:t>
            </w:r>
            <w:r w:rsidR="00DC56EE" w:rsidRPr="004D5D6C">
              <w:rPr>
                <w:rFonts w:asciiTheme="majorBidi" w:eastAsia="Times New Roman" w:hAnsiTheme="majorBidi" w:cstheme="majorBidi"/>
                <w:color w:val="000000"/>
                <w:sz w:val="24"/>
                <w:szCs w:val="24"/>
                <w:lang w:val="en-US"/>
              </w:rPr>
              <w:t>1</w:t>
            </w:r>
          </w:p>
        </w:tc>
        <w:tc>
          <w:tcPr>
            <w:tcW w:w="3042" w:type="dxa"/>
            <w:shd w:val="clear" w:color="auto" w:fill="auto"/>
            <w:noWrap/>
            <w:vAlign w:val="center"/>
            <w:hideMark/>
          </w:tcPr>
          <w:p w14:paraId="2EE22D51" w14:textId="0FF370B5"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12</w:t>
            </w:r>
            <w:r w:rsidR="006A7CAB" w:rsidRPr="004D5D6C">
              <w:rPr>
                <w:rFonts w:asciiTheme="majorBidi" w:eastAsia="Times New Roman" w:hAnsiTheme="majorBidi" w:cstheme="majorBidi"/>
                <w:color w:val="000000"/>
                <w:sz w:val="24"/>
                <w:szCs w:val="24"/>
                <w:lang w:val="en-US"/>
              </w:rPr>
              <w:t>7</w:t>
            </w:r>
            <w:r w:rsidRPr="004D5D6C">
              <w:rPr>
                <w:rFonts w:asciiTheme="majorBidi" w:eastAsia="Times New Roman" w:hAnsiTheme="majorBidi" w:cstheme="majorBidi"/>
                <w:color w:val="000000"/>
                <w:sz w:val="24"/>
                <w:szCs w:val="24"/>
                <w:lang w:val="en-US"/>
              </w:rPr>
              <w:t xml:space="preserve"> scholarly + 4 grey literature</w:t>
            </w:r>
          </w:p>
        </w:tc>
      </w:tr>
      <w:tr w:rsidR="00327ECD" w:rsidRPr="004D5D6C" w14:paraId="3B096217" w14:textId="77777777" w:rsidTr="00795EAE">
        <w:trPr>
          <w:trHeight w:val="181"/>
        </w:trPr>
        <w:tc>
          <w:tcPr>
            <w:tcW w:w="669" w:type="dxa"/>
            <w:shd w:val="clear" w:color="auto" w:fill="auto"/>
            <w:noWrap/>
            <w:vAlign w:val="center"/>
            <w:hideMark/>
          </w:tcPr>
          <w:p w14:paraId="04D533E8"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24</w:t>
            </w:r>
          </w:p>
        </w:tc>
        <w:tc>
          <w:tcPr>
            <w:tcW w:w="7426" w:type="dxa"/>
            <w:shd w:val="clear" w:color="auto" w:fill="auto"/>
            <w:noWrap/>
            <w:vAlign w:val="center"/>
            <w:hideMark/>
          </w:tcPr>
          <w:p w14:paraId="023506C7"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Case reports and case series</w:t>
            </w:r>
          </w:p>
        </w:tc>
        <w:tc>
          <w:tcPr>
            <w:tcW w:w="2802" w:type="dxa"/>
            <w:shd w:val="clear" w:color="auto" w:fill="auto"/>
            <w:noWrap/>
            <w:vAlign w:val="center"/>
            <w:hideMark/>
          </w:tcPr>
          <w:p w14:paraId="4751BC4F"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13</w:t>
            </w:r>
          </w:p>
        </w:tc>
        <w:tc>
          <w:tcPr>
            <w:tcW w:w="3042" w:type="dxa"/>
            <w:shd w:val="clear" w:color="auto" w:fill="auto"/>
            <w:noWrap/>
            <w:vAlign w:val="center"/>
            <w:hideMark/>
          </w:tcPr>
          <w:p w14:paraId="25B20F80"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193AF514" w14:textId="77777777" w:rsidTr="00795EAE">
        <w:trPr>
          <w:trHeight w:val="181"/>
        </w:trPr>
        <w:tc>
          <w:tcPr>
            <w:tcW w:w="669" w:type="dxa"/>
            <w:shd w:val="clear" w:color="auto" w:fill="D9E2F3" w:themeFill="accent1" w:themeFillTint="33"/>
            <w:noWrap/>
            <w:vAlign w:val="center"/>
            <w:hideMark/>
          </w:tcPr>
          <w:p w14:paraId="7204D5DB"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25</w:t>
            </w:r>
          </w:p>
        </w:tc>
        <w:tc>
          <w:tcPr>
            <w:tcW w:w="7426" w:type="dxa"/>
            <w:shd w:val="clear" w:color="auto" w:fill="D9E2F3" w:themeFill="accent1" w:themeFillTint="33"/>
            <w:noWrap/>
            <w:vAlign w:val="center"/>
            <w:hideMark/>
          </w:tcPr>
          <w:p w14:paraId="3E8D3A08" w14:textId="77777777" w:rsidR="00327ECD" w:rsidRPr="004D5D6C" w:rsidRDefault="00327ECD" w:rsidP="00881726">
            <w:pPr>
              <w:spacing w:before="80" w:after="80" w:line="240" w:lineRule="auto"/>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Studies underwent content analysis</w:t>
            </w:r>
          </w:p>
        </w:tc>
        <w:tc>
          <w:tcPr>
            <w:tcW w:w="2802" w:type="dxa"/>
            <w:shd w:val="clear" w:color="auto" w:fill="D9E2F3" w:themeFill="accent1" w:themeFillTint="33"/>
            <w:noWrap/>
            <w:vAlign w:val="center"/>
            <w:hideMark/>
          </w:tcPr>
          <w:p w14:paraId="4AF807F7" w14:textId="50AA6D33"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33</w:t>
            </w:r>
            <w:r w:rsidR="00DC56EE" w:rsidRPr="004D5D6C">
              <w:rPr>
                <w:rFonts w:asciiTheme="majorBidi" w:eastAsia="Times New Roman" w:hAnsiTheme="majorBidi" w:cstheme="majorBidi"/>
                <w:b/>
                <w:bCs/>
                <w:color w:val="000000"/>
                <w:sz w:val="24"/>
                <w:szCs w:val="24"/>
                <w:lang w:val="en-US"/>
              </w:rPr>
              <w:t>7</w:t>
            </w:r>
          </w:p>
        </w:tc>
        <w:tc>
          <w:tcPr>
            <w:tcW w:w="3042" w:type="dxa"/>
            <w:shd w:val="clear" w:color="auto" w:fill="D9E2F3" w:themeFill="accent1" w:themeFillTint="33"/>
            <w:noWrap/>
            <w:vAlign w:val="center"/>
            <w:hideMark/>
          </w:tcPr>
          <w:p w14:paraId="28567E60"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65AA4B73" w14:textId="77777777" w:rsidTr="00795EAE">
        <w:trPr>
          <w:trHeight w:val="181"/>
        </w:trPr>
        <w:tc>
          <w:tcPr>
            <w:tcW w:w="669" w:type="dxa"/>
            <w:shd w:val="clear" w:color="auto" w:fill="auto"/>
            <w:noWrap/>
            <w:vAlign w:val="center"/>
            <w:hideMark/>
          </w:tcPr>
          <w:p w14:paraId="05D8CFB2"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26</w:t>
            </w:r>
          </w:p>
        </w:tc>
        <w:tc>
          <w:tcPr>
            <w:tcW w:w="7426" w:type="dxa"/>
            <w:shd w:val="clear" w:color="auto" w:fill="auto"/>
            <w:noWrap/>
            <w:vAlign w:val="center"/>
            <w:hideMark/>
          </w:tcPr>
          <w:p w14:paraId="69A48174" w14:textId="0C703723" w:rsidR="00327ECD" w:rsidRPr="004D5D6C" w:rsidRDefault="00925AD8"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Economic analyses </w:t>
            </w:r>
            <w:r w:rsidR="00327ECD" w:rsidRPr="004D5D6C">
              <w:rPr>
                <w:rFonts w:asciiTheme="majorBidi" w:eastAsia="Times New Roman" w:hAnsiTheme="majorBidi" w:cstheme="majorBidi"/>
                <w:color w:val="000000"/>
                <w:sz w:val="24"/>
                <w:szCs w:val="24"/>
                <w:lang w:val="en-US"/>
              </w:rPr>
              <w:t>including other bleeding disorders</w:t>
            </w:r>
          </w:p>
        </w:tc>
        <w:tc>
          <w:tcPr>
            <w:tcW w:w="2802" w:type="dxa"/>
            <w:shd w:val="clear" w:color="auto" w:fill="auto"/>
            <w:noWrap/>
            <w:vAlign w:val="center"/>
            <w:hideMark/>
          </w:tcPr>
          <w:p w14:paraId="67073C45"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5</w:t>
            </w:r>
          </w:p>
        </w:tc>
        <w:tc>
          <w:tcPr>
            <w:tcW w:w="3042" w:type="dxa"/>
            <w:shd w:val="clear" w:color="auto" w:fill="auto"/>
            <w:noWrap/>
            <w:vAlign w:val="center"/>
            <w:hideMark/>
          </w:tcPr>
          <w:p w14:paraId="1BA009F2"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4894B5A6" w14:textId="77777777" w:rsidTr="00795EAE">
        <w:trPr>
          <w:trHeight w:val="181"/>
        </w:trPr>
        <w:tc>
          <w:tcPr>
            <w:tcW w:w="669" w:type="dxa"/>
            <w:shd w:val="clear" w:color="auto" w:fill="auto"/>
            <w:noWrap/>
            <w:vAlign w:val="center"/>
            <w:hideMark/>
          </w:tcPr>
          <w:p w14:paraId="511D6001"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27</w:t>
            </w:r>
          </w:p>
        </w:tc>
        <w:tc>
          <w:tcPr>
            <w:tcW w:w="7426" w:type="dxa"/>
            <w:shd w:val="clear" w:color="auto" w:fill="auto"/>
            <w:noWrap/>
            <w:vAlign w:val="center"/>
            <w:hideMark/>
          </w:tcPr>
          <w:p w14:paraId="6EF8EF69" w14:textId="06ABCA81"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 xml:space="preserve">Informal </w:t>
            </w:r>
            <w:r w:rsidR="00C97A8F" w:rsidRPr="004D5D6C">
              <w:rPr>
                <w:rFonts w:asciiTheme="majorBidi" w:eastAsia="Times New Roman" w:hAnsiTheme="majorBidi" w:cstheme="majorBidi"/>
                <w:color w:val="000000"/>
                <w:sz w:val="24"/>
                <w:szCs w:val="24"/>
                <w:lang w:val="en-US"/>
              </w:rPr>
              <w:t xml:space="preserve">economic </w:t>
            </w:r>
            <w:r w:rsidRPr="004D5D6C">
              <w:rPr>
                <w:rFonts w:asciiTheme="majorBidi" w:eastAsia="Times New Roman" w:hAnsiTheme="majorBidi" w:cstheme="majorBidi"/>
                <w:color w:val="000000"/>
                <w:sz w:val="24"/>
                <w:szCs w:val="24"/>
                <w:lang w:val="en-US"/>
              </w:rPr>
              <w:t>analyses that only report frequencies and absolute values of healthcare resource utilisation</w:t>
            </w:r>
          </w:p>
        </w:tc>
        <w:tc>
          <w:tcPr>
            <w:tcW w:w="2802" w:type="dxa"/>
            <w:shd w:val="clear" w:color="auto" w:fill="auto"/>
            <w:noWrap/>
            <w:vAlign w:val="center"/>
            <w:hideMark/>
          </w:tcPr>
          <w:p w14:paraId="5F05824F"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46</w:t>
            </w:r>
          </w:p>
        </w:tc>
        <w:tc>
          <w:tcPr>
            <w:tcW w:w="3042" w:type="dxa"/>
            <w:shd w:val="clear" w:color="auto" w:fill="auto"/>
            <w:noWrap/>
            <w:vAlign w:val="center"/>
            <w:hideMark/>
          </w:tcPr>
          <w:p w14:paraId="7164F194"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408E9E3E" w14:textId="77777777" w:rsidTr="00795EAE">
        <w:trPr>
          <w:trHeight w:val="181"/>
        </w:trPr>
        <w:tc>
          <w:tcPr>
            <w:tcW w:w="669" w:type="dxa"/>
            <w:shd w:val="clear" w:color="auto" w:fill="auto"/>
            <w:noWrap/>
            <w:vAlign w:val="center"/>
            <w:hideMark/>
          </w:tcPr>
          <w:p w14:paraId="0C0976F4"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28</w:t>
            </w:r>
          </w:p>
        </w:tc>
        <w:tc>
          <w:tcPr>
            <w:tcW w:w="7426" w:type="dxa"/>
            <w:shd w:val="clear" w:color="auto" w:fill="auto"/>
            <w:noWrap/>
            <w:vAlign w:val="center"/>
            <w:hideMark/>
          </w:tcPr>
          <w:p w14:paraId="6225135B" w14:textId="77777777"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Budget impact models</w:t>
            </w:r>
          </w:p>
        </w:tc>
        <w:tc>
          <w:tcPr>
            <w:tcW w:w="2802" w:type="dxa"/>
            <w:shd w:val="clear" w:color="auto" w:fill="auto"/>
            <w:noWrap/>
            <w:vAlign w:val="center"/>
            <w:hideMark/>
          </w:tcPr>
          <w:p w14:paraId="4364640C" w14:textId="29C6472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2</w:t>
            </w:r>
            <w:r w:rsidR="00287601" w:rsidRPr="004D5D6C">
              <w:rPr>
                <w:rFonts w:asciiTheme="majorBidi" w:eastAsia="Times New Roman" w:hAnsiTheme="majorBidi" w:cstheme="majorBidi"/>
                <w:color w:val="000000"/>
                <w:sz w:val="24"/>
                <w:szCs w:val="24"/>
                <w:lang w:val="en-US"/>
              </w:rPr>
              <w:t>0</w:t>
            </w:r>
          </w:p>
        </w:tc>
        <w:tc>
          <w:tcPr>
            <w:tcW w:w="3042" w:type="dxa"/>
            <w:shd w:val="clear" w:color="auto" w:fill="auto"/>
            <w:noWrap/>
            <w:vAlign w:val="center"/>
            <w:hideMark/>
          </w:tcPr>
          <w:p w14:paraId="7D5EFFF7" w14:textId="5D1DA143"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eastAsia="Times New Roman" w:hAnsiTheme="majorBidi" w:cstheme="majorBidi"/>
                <w:color w:val="000000"/>
                <w:sz w:val="24"/>
                <w:szCs w:val="24"/>
                <w:lang w:val="en-US"/>
              </w:rPr>
              <w:t>1</w:t>
            </w:r>
            <w:r w:rsidR="00287601" w:rsidRPr="004D5D6C">
              <w:rPr>
                <w:rFonts w:asciiTheme="majorBidi" w:eastAsia="Times New Roman" w:hAnsiTheme="majorBidi" w:cstheme="majorBidi"/>
                <w:color w:val="000000"/>
                <w:sz w:val="24"/>
                <w:szCs w:val="24"/>
                <w:lang w:val="en-US"/>
              </w:rPr>
              <w:t>8</w:t>
            </w:r>
            <w:r w:rsidRPr="004D5D6C">
              <w:rPr>
                <w:rFonts w:asciiTheme="majorBidi" w:eastAsia="Times New Roman" w:hAnsiTheme="majorBidi" w:cstheme="majorBidi"/>
                <w:color w:val="000000"/>
                <w:sz w:val="24"/>
                <w:szCs w:val="24"/>
                <w:lang w:val="en-US"/>
              </w:rPr>
              <w:t xml:space="preserve"> scholarly + 2 grey literature</w:t>
            </w:r>
          </w:p>
        </w:tc>
      </w:tr>
      <w:tr w:rsidR="00327ECD" w:rsidRPr="004D5D6C" w14:paraId="41C08A7D" w14:textId="77777777" w:rsidTr="00795EAE">
        <w:trPr>
          <w:trHeight w:val="181"/>
        </w:trPr>
        <w:tc>
          <w:tcPr>
            <w:tcW w:w="669" w:type="dxa"/>
            <w:shd w:val="clear" w:color="auto" w:fill="auto"/>
            <w:noWrap/>
            <w:vAlign w:val="center"/>
          </w:tcPr>
          <w:p w14:paraId="3A597F93"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hAnsiTheme="majorBidi" w:cstheme="majorBidi"/>
                <w:b/>
                <w:bCs/>
                <w:color w:val="000000"/>
                <w:sz w:val="24"/>
                <w:szCs w:val="24"/>
              </w:rPr>
              <w:t>28</w:t>
            </w:r>
          </w:p>
        </w:tc>
        <w:tc>
          <w:tcPr>
            <w:tcW w:w="7426" w:type="dxa"/>
            <w:shd w:val="clear" w:color="auto" w:fill="auto"/>
            <w:noWrap/>
            <w:vAlign w:val="center"/>
          </w:tcPr>
          <w:p w14:paraId="167FF615" w14:textId="15131D2A" w:rsidR="00327ECD" w:rsidRPr="004D5D6C" w:rsidRDefault="006A0DF6"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 xml:space="preserve">Economic analyses </w:t>
            </w:r>
            <w:r w:rsidR="00327ECD" w:rsidRPr="004D5D6C">
              <w:rPr>
                <w:rFonts w:asciiTheme="majorBidi" w:hAnsiTheme="majorBidi" w:cstheme="majorBidi"/>
                <w:color w:val="000000"/>
                <w:sz w:val="24"/>
                <w:szCs w:val="24"/>
              </w:rPr>
              <w:t>based on models, estimates or assumptions</w:t>
            </w:r>
            <w:r w:rsidR="00795EAE">
              <w:rPr>
                <w:rFonts w:asciiTheme="majorBidi" w:hAnsiTheme="majorBidi" w:cstheme="majorBidi"/>
                <w:color w:val="000000"/>
                <w:sz w:val="24"/>
                <w:szCs w:val="24"/>
              </w:rPr>
              <w:t xml:space="preserve"> </w:t>
            </w:r>
            <w:r w:rsidR="00795EAE" w:rsidRPr="00795EAE">
              <w:rPr>
                <w:rFonts w:asciiTheme="majorBidi" w:hAnsiTheme="majorBidi" w:cstheme="majorBidi"/>
                <w:color w:val="000000"/>
                <w:sz w:val="24"/>
                <w:szCs w:val="24"/>
              </w:rPr>
              <w:t xml:space="preserve">from a </w:t>
            </w:r>
            <w:r w:rsidR="00795EAE">
              <w:rPr>
                <w:rFonts w:asciiTheme="majorBidi" w:hAnsiTheme="majorBidi" w:cstheme="majorBidi"/>
                <w:color w:val="000000"/>
                <w:sz w:val="24"/>
                <w:szCs w:val="24"/>
              </w:rPr>
              <w:t>non-</w:t>
            </w:r>
            <w:r w:rsidR="00795EAE" w:rsidRPr="00795EAE">
              <w:rPr>
                <w:rFonts w:asciiTheme="majorBidi" w:hAnsiTheme="majorBidi" w:cstheme="majorBidi"/>
                <w:color w:val="000000"/>
                <w:sz w:val="24"/>
                <w:szCs w:val="24"/>
              </w:rPr>
              <w:t>societal perspective</w:t>
            </w:r>
          </w:p>
        </w:tc>
        <w:tc>
          <w:tcPr>
            <w:tcW w:w="2802" w:type="dxa"/>
            <w:shd w:val="clear" w:color="auto" w:fill="auto"/>
            <w:noWrap/>
            <w:vAlign w:val="center"/>
          </w:tcPr>
          <w:p w14:paraId="461048A3" w14:textId="619856A9"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6</w:t>
            </w:r>
            <w:r w:rsidR="00A02155" w:rsidRPr="004D5D6C">
              <w:rPr>
                <w:rFonts w:asciiTheme="majorBidi" w:hAnsiTheme="majorBidi" w:cstheme="majorBidi"/>
                <w:color w:val="000000"/>
                <w:sz w:val="24"/>
                <w:szCs w:val="24"/>
              </w:rPr>
              <w:t>5</w:t>
            </w:r>
          </w:p>
        </w:tc>
        <w:tc>
          <w:tcPr>
            <w:tcW w:w="3042" w:type="dxa"/>
            <w:shd w:val="clear" w:color="auto" w:fill="auto"/>
            <w:noWrap/>
            <w:vAlign w:val="center"/>
          </w:tcPr>
          <w:p w14:paraId="79BF7A37"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1DBAEF00" w14:textId="77777777" w:rsidTr="00795EAE">
        <w:trPr>
          <w:trHeight w:val="181"/>
        </w:trPr>
        <w:tc>
          <w:tcPr>
            <w:tcW w:w="669" w:type="dxa"/>
            <w:shd w:val="clear" w:color="auto" w:fill="auto"/>
            <w:noWrap/>
            <w:vAlign w:val="center"/>
            <w:hideMark/>
          </w:tcPr>
          <w:p w14:paraId="128DB6A7"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hAnsiTheme="majorBidi" w:cstheme="majorBidi"/>
                <w:b/>
                <w:bCs/>
                <w:color w:val="000000"/>
                <w:sz w:val="24"/>
                <w:szCs w:val="24"/>
              </w:rPr>
              <w:t>29</w:t>
            </w:r>
          </w:p>
        </w:tc>
        <w:tc>
          <w:tcPr>
            <w:tcW w:w="7426" w:type="dxa"/>
            <w:shd w:val="clear" w:color="auto" w:fill="auto"/>
            <w:noWrap/>
            <w:vAlign w:val="center"/>
            <w:hideMark/>
          </w:tcPr>
          <w:p w14:paraId="61A4E4F4" w14:textId="59BA7108" w:rsidR="00327ECD" w:rsidRPr="004D5D6C" w:rsidRDefault="006A0DF6"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 xml:space="preserve">Economic analyses </w:t>
            </w:r>
            <w:r w:rsidR="00327ECD" w:rsidRPr="004D5D6C">
              <w:rPr>
                <w:rFonts w:asciiTheme="majorBidi" w:hAnsiTheme="majorBidi" w:cstheme="majorBidi"/>
                <w:color w:val="000000"/>
                <w:sz w:val="24"/>
                <w:szCs w:val="24"/>
              </w:rPr>
              <w:t>based on models, estimates, or assumptions from a societal perspective</w:t>
            </w:r>
          </w:p>
        </w:tc>
        <w:tc>
          <w:tcPr>
            <w:tcW w:w="2802" w:type="dxa"/>
            <w:shd w:val="clear" w:color="auto" w:fill="auto"/>
            <w:noWrap/>
            <w:vAlign w:val="center"/>
            <w:hideMark/>
          </w:tcPr>
          <w:p w14:paraId="0DF05F00" w14:textId="54869960"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2</w:t>
            </w:r>
            <w:r w:rsidR="00A02155" w:rsidRPr="004D5D6C">
              <w:rPr>
                <w:rFonts w:asciiTheme="majorBidi" w:hAnsiTheme="majorBidi" w:cstheme="majorBidi"/>
                <w:color w:val="000000"/>
                <w:sz w:val="24"/>
                <w:szCs w:val="24"/>
              </w:rPr>
              <w:t>3</w:t>
            </w:r>
          </w:p>
        </w:tc>
        <w:tc>
          <w:tcPr>
            <w:tcW w:w="3042" w:type="dxa"/>
            <w:shd w:val="clear" w:color="auto" w:fill="auto"/>
            <w:noWrap/>
            <w:vAlign w:val="center"/>
            <w:hideMark/>
          </w:tcPr>
          <w:p w14:paraId="59794E3A"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53006B1F" w14:textId="77777777" w:rsidTr="00795EAE">
        <w:trPr>
          <w:trHeight w:val="181"/>
        </w:trPr>
        <w:tc>
          <w:tcPr>
            <w:tcW w:w="669" w:type="dxa"/>
            <w:shd w:val="clear" w:color="auto" w:fill="auto"/>
            <w:noWrap/>
            <w:vAlign w:val="center"/>
            <w:hideMark/>
          </w:tcPr>
          <w:p w14:paraId="276F8401"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hAnsiTheme="majorBidi" w:cstheme="majorBidi"/>
                <w:b/>
                <w:bCs/>
                <w:color w:val="000000"/>
                <w:sz w:val="24"/>
                <w:szCs w:val="24"/>
              </w:rPr>
              <w:t>30</w:t>
            </w:r>
          </w:p>
        </w:tc>
        <w:tc>
          <w:tcPr>
            <w:tcW w:w="7426" w:type="dxa"/>
            <w:shd w:val="clear" w:color="auto" w:fill="auto"/>
            <w:noWrap/>
            <w:vAlign w:val="center"/>
            <w:hideMark/>
          </w:tcPr>
          <w:p w14:paraId="7C27EC42" w14:textId="4876B6BC" w:rsidR="00327ECD" w:rsidRPr="004D5D6C" w:rsidRDefault="00EF242C"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Economic analyses estimating only the cost of haemostatic therapy</w:t>
            </w:r>
          </w:p>
        </w:tc>
        <w:tc>
          <w:tcPr>
            <w:tcW w:w="2802" w:type="dxa"/>
            <w:shd w:val="clear" w:color="auto" w:fill="auto"/>
            <w:noWrap/>
            <w:vAlign w:val="center"/>
            <w:hideMark/>
          </w:tcPr>
          <w:p w14:paraId="229F8E46" w14:textId="72069153"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5</w:t>
            </w:r>
            <w:r w:rsidR="005B1BF8" w:rsidRPr="004D5D6C">
              <w:rPr>
                <w:rFonts w:asciiTheme="majorBidi" w:hAnsiTheme="majorBidi" w:cstheme="majorBidi"/>
                <w:color w:val="000000"/>
                <w:sz w:val="24"/>
                <w:szCs w:val="24"/>
              </w:rPr>
              <w:t>8</w:t>
            </w:r>
          </w:p>
        </w:tc>
        <w:tc>
          <w:tcPr>
            <w:tcW w:w="3042" w:type="dxa"/>
            <w:shd w:val="clear" w:color="auto" w:fill="auto"/>
            <w:noWrap/>
            <w:vAlign w:val="center"/>
            <w:hideMark/>
          </w:tcPr>
          <w:p w14:paraId="5E21D54A"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54D4128E" w14:textId="77777777" w:rsidTr="00795EAE">
        <w:trPr>
          <w:trHeight w:val="181"/>
        </w:trPr>
        <w:tc>
          <w:tcPr>
            <w:tcW w:w="669" w:type="dxa"/>
            <w:shd w:val="clear" w:color="auto" w:fill="auto"/>
            <w:noWrap/>
            <w:vAlign w:val="center"/>
            <w:hideMark/>
          </w:tcPr>
          <w:p w14:paraId="521A6C09"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hAnsiTheme="majorBidi" w:cstheme="majorBidi"/>
                <w:b/>
                <w:bCs/>
                <w:color w:val="000000"/>
                <w:sz w:val="24"/>
                <w:szCs w:val="24"/>
              </w:rPr>
              <w:t>31</w:t>
            </w:r>
          </w:p>
        </w:tc>
        <w:tc>
          <w:tcPr>
            <w:tcW w:w="7426" w:type="dxa"/>
            <w:shd w:val="clear" w:color="auto" w:fill="auto"/>
            <w:noWrap/>
            <w:vAlign w:val="center"/>
            <w:hideMark/>
          </w:tcPr>
          <w:p w14:paraId="5AAF8510" w14:textId="2D9FAA5D" w:rsidR="00327ECD" w:rsidRPr="004D5D6C" w:rsidRDefault="006A0DF6"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 xml:space="preserve">Economic analyses </w:t>
            </w:r>
            <w:r w:rsidR="000E7CC3" w:rsidRPr="004D5D6C">
              <w:rPr>
                <w:rFonts w:asciiTheme="majorBidi" w:hAnsiTheme="majorBidi" w:cstheme="majorBidi"/>
                <w:color w:val="000000"/>
                <w:sz w:val="24"/>
                <w:szCs w:val="24"/>
              </w:rPr>
              <w:t xml:space="preserve">estimating </w:t>
            </w:r>
            <w:r w:rsidR="004A4DE0" w:rsidRPr="004D5D6C">
              <w:rPr>
                <w:rFonts w:asciiTheme="majorBidi" w:hAnsiTheme="majorBidi" w:cstheme="majorBidi"/>
                <w:color w:val="000000"/>
                <w:sz w:val="24"/>
                <w:szCs w:val="24"/>
              </w:rPr>
              <w:t xml:space="preserve">only </w:t>
            </w:r>
            <w:r w:rsidR="00327ECD" w:rsidRPr="004D5D6C">
              <w:rPr>
                <w:rFonts w:asciiTheme="majorBidi" w:hAnsiTheme="majorBidi" w:cstheme="majorBidi"/>
                <w:color w:val="000000"/>
                <w:sz w:val="24"/>
                <w:szCs w:val="24"/>
              </w:rPr>
              <w:t>direct medical</w:t>
            </w:r>
            <w:r w:rsidR="007C01B3" w:rsidRPr="004D5D6C">
              <w:rPr>
                <w:rFonts w:asciiTheme="majorBidi" w:hAnsiTheme="majorBidi" w:cstheme="majorBidi"/>
                <w:color w:val="000000"/>
                <w:sz w:val="24"/>
                <w:szCs w:val="24"/>
              </w:rPr>
              <w:t xml:space="preserve"> and non-medical</w:t>
            </w:r>
            <w:r w:rsidR="00327ECD" w:rsidRPr="004D5D6C">
              <w:rPr>
                <w:rFonts w:asciiTheme="majorBidi" w:hAnsiTheme="majorBidi" w:cstheme="majorBidi"/>
                <w:color w:val="000000"/>
                <w:sz w:val="24"/>
                <w:szCs w:val="24"/>
              </w:rPr>
              <w:t xml:space="preserve"> cost</w:t>
            </w:r>
            <w:r w:rsidR="007C01B3" w:rsidRPr="004D5D6C">
              <w:rPr>
                <w:rFonts w:asciiTheme="majorBidi" w:hAnsiTheme="majorBidi" w:cstheme="majorBidi"/>
                <w:color w:val="000000"/>
                <w:sz w:val="24"/>
                <w:szCs w:val="24"/>
              </w:rPr>
              <w:t>s</w:t>
            </w:r>
          </w:p>
        </w:tc>
        <w:tc>
          <w:tcPr>
            <w:tcW w:w="2802" w:type="dxa"/>
            <w:shd w:val="clear" w:color="auto" w:fill="auto"/>
            <w:noWrap/>
            <w:vAlign w:val="center"/>
            <w:hideMark/>
          </w:tcPr>
          <w:p w14:paraId="1A9090F4"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91</w:t>
            </w:r>
          </w:p>
        </w:tc>
        <w:tc>
          <w:tcPr>
            <w:tcW w:w="3042" w:type="dxa"/>
            <w:shd w:val="clear" w:color="auto" w:fill="auto"/>
            <w:noWrap/>
            <w:vAlign w:val="center"/>
            <w:hideMark/>
          </w:tcPr>
          <w:p w14:paraId="3715A7D3"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632E47DF" w14:textId="77777777" w:rsidTr="00795EAE">
        <w:trPr>
          <w:trHeight w:val="181"/>
        </w:trPr>
        <w:tc>
          <w:tcPr>
            <w:tcW w:w="669" w:type="dxa"/>
            <w:shd w:val="clear" w:color="auto" w:fill="auto"/>
            <w:noWrap/>
            <w:vAlign w:val="center"/>
            <w:hideMark/>
          </w:tcPr>
          <w:p w14:paraId="66D8C7AC"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hAnsiTheme="majorBidi" w:cstheme="majorBidi"/>
                <w:b/>
                <w:bCs/>
                <w:color w:val="000000"/>
                <w:sz w:val="24"/>
                <w:szCs w:val="24"/>
              </w:rPr>
              <w:t>32</w:t>
            </w:r>
          </w:p>
        </w:tc>
        <w:tc>
          <w:tcPr>
            <w:tcW w:w="7426" w:type="dxa"/>
            <w:shd w:val="clear" w:color="auto" w:fill="auto"/>
            <w:noWrap/>
            <w:vAlign w:val="center"/>
            <w:hideMark/>
          </w:tcPr>
          <w:p w14:paraId="2570F584" w14:textId="43268695" w:rsidR="00327ECD" w:rsidRPr="004D5D6C" w:rsidRDefault="00327ECD" w:rsidP="00881726">
            <w:pPr>
              <w:spacing w:before="80" w:after="80" w:line="240" w:lineRule="auto"/>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 xml:space="preserve">Non-English </w:t>
            </w:r>
            <w:r w:rsidR="00572836" w:rsidRPr="004D5D6C">
              <w:rPr>
                <w:rFonts w:asciiTheme="majorBidi" w:hAnsiTheme="majorBidi" w:cstheme="majorBidi"/>
                <w:color w:val="000000"/>
                <w:sz w:val="24"/>
                <w:szCs w:val="24"/>
              </w:rPr>
              <w:t xml:space="preserve">full-text studies </w:t>
            </w:r>
            <w:r w:rsidRPr="004D5D6C">
              <w:rPr>
                <w:rFonts w:asciiTheme="majorBidi" w:hAnsiTheme="majorBidi" w:cstheme="majorBidi"/>
                <w:color w:val="000000"/>
                <w:sz w:val="24"/>
                <w:szCs w:val="24"/>
              </w:rPr>
              <w:t>with English abstracts</w:t>
            </w:r>
          </w:p>
        </w:tc>
        <w:tc>
          <w:tcPr>
            <w:tcW w:w="2802" w:type="dxa"/>
            <w:shd w:val="clear" w:color="auto" w:fill="auto"/>
            <w:noWrap/>
            <w:vAlign w:val="center"/>
            <w:hideMark/>
          </w:tcPr>
          <w:p w14:paraId="79878F3C"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r w:rsidRPr="004D5D6C">
              <w:rPr>
                <w:rFonts w:asciiTheme="majorBidi" w:hAnsiTheme="majorBidi" w:cstheme="majorBidi"/>
                <w:color w:val="000000"/>
                <w:sz w:val="24"/>
                <w:szCs w:val="24"/>
              </w:rPr>
              <w:t>4</w:t>
            </w:r>
          </w:p>
        </w:tc>
        <w:tc>
          <w:tcPr>
            <w:tcW w:w="3042" w:type="dxa"/>
            <w:shd w:val="clear" w:color="auto" w:fill="auto"/>
            <w:noWrap/>
            <w:vAlign w:val="center"/>
            <w:hideMark/>
          </w:tcPr>
          <w:p w14:paraId="608ED92C"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r w:rsidR="00327ECD" w:rsidRPr="004D5D6C" w14:paraId="58EFEF3F" w14:textId="77777777" w:rsidTr="00795EAE">
        <w:trPr>
          <w:trHeight w:val="181"/>
        </w:trPr>
        <w:tc>
          <w:tcPr>
            <w:tcW w:w="669" w:type="dxa"/>
            <w:shd w:val="clear" w:color="auto" w:fill="D9E2F3" w:themeFill="accent1" w:themeFillTint="33"/>
            <w:noWrap/>
            <w:vAlign w:val="center"/>
            <w:hideMark/>
          </w:tcPr>
          <w:p w14:paraId="01881C85"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33</w:t>
            </w:r>
          </w:p>
        </w:tc>
        <w:tc>
          <w:tcPr>
            <w:tcW w:w="7426" w:type="dxa"/>
            <w:shd w:val="clear" w:color="auto" w:fill="D9E2F3" w:themeFill="accent1" w:themeFillTint="33"/>
            <w:noWrap/>
            <w:vAlign w:val="center"/>
            <w:hideMark/>
          </w:tcPr>
          <w:p w14:paraId="5DBABA02" w14:textId="668D9E58" w:rsidR="00327ECD" w:rsidRPr="004D5D6C" w:rsidRDefault="00F679AB" w:rsidP="00881726">
            <w:pPr>
              <w:spacing w:before="80" w:after="80" w:line="240" w:lineRule="auto"/>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 xml:space="preserve">Economic analyses </w:t>
            </w:r>
            <w:r w:rsidR="00327ECD" w:rsidRPr="004D5D6C">
              <w:rPr>
                <w:rFonts w:asciiTheme="majorBidi" w:eastAsia="Times New Roman" w:hAnsiTheme="majorBidi" w:cstheme="majorBidi"/>
                <w:b/>
                <w:bCs/>
                <w:color w:val="000000"/>
                <w:sz w:val="24"/>
                <w:szCs w:val="24"/>
                <w:lang w:val="en-US"/>
              </w:rPr>
              <w:t>from a societal perspective (included)</w:t>
            </w:r>
          </w:p>
        </w:tc>
        <w:tc>
          <w:tcPr>
            <w:tcW w:w="2802" w:type="dxa"/>
            <w:shd w:val="clear" w:color="auto" w:fill="D9E2F3" w:themeFill="accent1" w:themeFillTint="33"/>
            <w:noWrap/>
            <w:vAlign w:val="center"/>
            <w:hideMark/>
          </w:tcPr>
          <w:p w14:paraId="5F7ED88F" w14:textId="77777777" w:rsidR="00327ECD" w:rsidRPr="004D5D6C" w:rsidRDefault="00327ECD" w:rsidP="00881726">
            <w:pPr>
              <w:spacing w:before="80" w:after="80" w:line="240" w:lineRule="auto"/>
              <w:jc w:val="center"/>
              <w:rPr>
                <w:rFonts w:asciiTheme="majorBidi" w:eastAsia="Times New Roman" w:hAnsiTheme="majorBidi" w:cstheme="majorBidi"/>
                <w:b/>
                <w:bCs/>
                <w:color w:val="000000"/>
                <w:sz w:val="24"/>
                <w:szCs w:val="24"/>
                <w:lang w:val="en-US"/>
              </w:rPr>
            </w:pPr>
            <w:r w:rsidRPr="004D5D6C">
              <w:rPr>
                <w:rFonts w:asciiTheme="majorBidi" w:eastAsia="Times New Roman" w:hAnsiTheme="majorBidi" w:cstheme="majorBidi"/>
                <w:b/>
                <w:bCs/>
                <w:color w:val="000000"/>
                <w:sz w:val="24"/>
                <w:szCs w:val="24"/>
                <w:lang w:val="en-US"/>
              </w:rPr>
              <w:t>25</w:t>
            </w:r>
          </w:p>
        </w:tc>
        <w:tc>
          <w:tcPr>
            <w:tcW w:w="3042" w:type="dxa"/>
            <w:shd w:val="clear" w:color="auto" w:fill="D9E2F3" w:themeFill="accent1" w:themeFillTint="33"/>
            <w:noWrap/>
            <w:vAlign w:val="center"/>
            <w:hideMark/>
          </w:tcPr>
          <w:p w14:paraId="2046D897" w14:textId="77777777" w:rsidR="00327ECD" w:rsidRPr="004D5D6C" w:rsidRDefault="00327ECD" w:rsidP="00881726">
            <w:pPr>
              <w:spacing w:before="80" w:after="80" w:line="240" w:lineRule="auto"/>
              <w:jc w:val="center"/>
              <w:rPr>
                <w:rFonts w:asciiTheme="majorBidi" w:eastAsia="Times New Roman" w:hAnsiTheme="majorBidi" w:cstheme="majorBidi"/>
                <w:color w:val="000000"/>
                <w:sz w:val="24"/>
                <w:szCs w:val="24"/>
                <w:lang w:val="en-US"/>
              </w:rPr>
            </w:pPr>
          </w:p>
        </w:tc>
      </w:tr>
    </w:tbl>
    <w:p w14:paraId="07BA2E4A" w14:textId="77777777" w:rsidR="00327ECD" w:rsidRPr="004D5D6C" w:rsidRDefault="00327ECD" w:rsidP="00327ECD">
      <w:pPr>
        <w:spacing w:after="0" w:line="240" w:lineRule="auto"/>
        <w:rPr>
          <w:rFonts w:ascii="Times New Roman" w:eastAsia="DengXian" w:hAnsi="Times New Roman" w:cs="Times New Roman"/>
          <w:sz w:val="20"/>
          <w:szCs w:val="20"/>
          <w:lang w:val="en-US"/>
        </w:rPr>
      </w:pPr>
    </w:p>
    <w:p w14:paraId="5F43BB96" w14:textId="77777777" w:rsidR="005E38AC" w:rsidRPr="004D5D6C" w:rsidRDefault="005E38AC" w:rsidP="009947DE">
      <w:pPr>
        <w:spacing w:before="120" w:after="120" w:line="300" w:lineRule="auto"/>
        <w:rPr>
          <w:rFonts w:asciiTheme="majorBidi" w:eastAsia="SimSun" w:hAnsiTheme="majorBidi" w:cstheme="majorBidi"/>
          <w:noProof/>
          <w:szCs w:val="32"/>
          <w:lang w:val="en-US"/>
        </w:rPr>
        <w:sectPr w:rsidR="005E38AC" w:rsidRPr="004D5D6C" w:rsidSect="00376CE5">
          <w:pgSz w:w="16838" w:h="11906" w:orient="landscape"/>
          <w:pgMar w:top="1440" w:right="1440" w:bottom="1440" w:left="1440" w:header="720" w:footer="720" w:gutter="0"/>
          <w:cols w:space="720"/>
          <w:docGrid w:linePitch="360"/>
        </w:sectPr>
      </w:pPr>
    </w:p>
    <w:p w14:paraId="0744DEEE" w14:textId="5BA7C475" w:rsidR="00875991" w:rsidRPr="004D5D6C" w:rsidRDefault="00875991" w:rsidP="007222A8">
      <w:pPr>
        <w:jc w:val="center"/>
        <w:rPr>
          <w:rFonts w:asciiTheme="majorBidi" w:eastAsia="Arial" w:hAnsiTheme="majorBidi" w:cstheme="majorBidi"/>
          <w:sz w:val="28"/>
          <w:szCs w:val="28"/>
          <w:lang w:eastAsia="en-US"/>
        </w:rPr>
      </w:pPr>
      <w:r w:rsidRPr="004D5D6C">
        <w:rPr>
          <w:rFonts w:asciiTheme="majorBidi" w:eastAsia="Arial" w:hAnsiTheme="majorBidi" w:cstheme="majorBidi"/>
          <w:b/>
          <w:bCs/>
          <w:sz w:val="28"/>
          <w:szCs w:val="28"/>
          <w:lang w:eastAsia="en-US"/>
        </w:rPr>
        <w:lastRenderedPageBreak/>
        <w:t xml:space="preserve">Supplementary </w:t>
      </w:r>
      <w:r w:rsidR="00302080" w:rsidRPr="004D5D6C">
        <w:rPr>
          <w:rFonts w:asciiTheme="majorBidi" w:eastAsia="Arial" w:hAnsiTheme="majorBidi" w:cstheme="majorBidi"/>
          <w:b/>
          <w:bCs/>
          <w:sz w:val="28"/>
          <w:szCs w:val="28"/>
          <w:lang w:eastAsia="en-US"/>
        </w:rPr>
        <w:t xml:space="preserve">Methods </w:t>
      </w:r>
      <w:r w:rsidR="00596072" w:rsidRPr="004D5D6C">
        <w:rPr>
          <w:rFonts w:asciiTheme="majorBidi" w:eastAsia="Arial" w:hAnsiTheme="majorBidi" w:cstheme="majorBidi"/>
          <w:b/>
          <w:bCs/>
          <w:sz w:val="28"/>
          <w:szCs w:val="28"/>
          <w:lang w:eastAsia="en-US"/>
        </w:rPr>
        <w:t>4</w:t>
      </w:r>
      <w:r w:rsidRPr="004D5D6C">
        <w:rPr>
          <w:rFonts w:asciiTheme="majorBidi" w:eastAsia="Arial" w:hAnsiTheme="majorBidi" w:cstheme="majorBidi"/>
          <w:b/>
          <w:bCs/>
          <w:sz w:val="28"/>
          <w:szCs w:val="28"/>
          <w:lang w:eastAsia="en-US"/>
        </w:rPr>
        <w:t xml:space="preserve">: </w:t>
      </w:r>
      <w:r w:rsidR="00700EE9" w:rsidRPr="004D5D6C">
        <w:rPr>
          <w:rFonts w:asciiTheme="majorBidi" w:eastAsia="Arial" w:hAnsiTheme="majorBidi" w:cstheme="majorBidi"/>
          <w:sz w:val="28"/>
          <w:szCs w:val="28"/>
          <w:lang w:eastAsia="en-US"/>
        </w:rPr>
        <w:t>Model-based economic analyses</w:t>
      </w:r>
      <w:r w:rsidR="007D1229" w:rsidRPr="004D5D6C">
        <w:rPr>
          <w:rFonts w:asciiTheme="majorBidi" w:eastAsia="Arial" w:hAnsiTheme="majorBidi" w:cstheme="majorBidi"/>
          <w:sz w:val="28"/>
          <w:szCs w:val="28"/>
          <w:lang w:eastAsia="en-US"/>
        </w:rPr>
        <w:t xml:space="preserve"> from a societal perspective</w:t>
      </w:r>
    </w:p>
    <w:p w14:paraId="694B74D9" w14:textId="1051C38B"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 Smith PS, Teutsch SM, Shaffer PA, Rolka H, Evatt B. Episodic versus prophylactic infusions for hemophilia A: A cost-effectiveness analysis. J Pediatr. 1996;129(3):424–31. </w:t>
      </w:r>
    </w:p>
    <w:p w14:paraId="0ECE8EAA" w14:textId="2BC765CB"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2. Miners AH, Sabin CA, Tolley KH, Lee CA. Cost-utility analysis of primary prophylaxis versus treatment on-demand for individuals with severe haemophilia. Pharmacoeconomics. 2002;20(11):759–74. </w:t>
      </w:r>
    </w:p>
    <w:p w14:paraId="2543BD77" w14:textId="1B98DC5D"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3. Martínez-Murillo C, Quintana S, Ambriz R, Benitez H, Berges A, Collazo J, et al. An economic model of haemophilia in Mexico. Haemophilia. 2004 Jan;10(1):9–17. </w:t>
      </w:r>
    </w:p>
    <w:p w14:paraId="32C8506E" w14:textId="524A976D"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4. Risebrough N, Oh P, Blanchette V, Curtin J, Hitzler J, Feldman BM. Cost‐utility analysis of Canadian tailored prophylaxis, primary prophylaxis and on‐demand therapy in young children with severe haemophilia A. Haemophilia. 2008;14(4):743–52. </w:t>
      </w:r>
    </w:p>
    <w:p w14:paraId="49C24967" w14:textId="12A020EB"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5. Malec LM, Sidonio RFJ, Smith KJ, Cooper JD. Three Cost-utility Analyses of Screening for Intracranial Hemorrhage in Neonates With Hemophilia. J Pediatr Hematol Oncol. 2014;36(6). </w:t>
      </w:r>
    </w:p>
    <w:p w14:paraId="3D86CC29" w14:textId="241B9590"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6. Henrard S, Devleesschauwer B, Beutels P, Callens M, De Smet F, Hermans C, et al. The health and economic burden of haemophilia in Belgium: a rare, expensive and challenging disease. Orphanet J Rare Dis. 2014 Mar;9:39. </w:t>
      </w:r>
    </w:p>
    <w:p w14:paraId="77530F44" w14:textId="51458602"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7. Petrova G, Tachkov K, Georgieva S, Dimitrova M. Humanistic and economic aspects of haemophilia treatment in Bulgaria. Comparison between two therapeutic approaches: prophylactic vs. on-demand treatment. Biotechnol Biotechnol Equip. 2014 May 4;28(3):576–82. </w:t>
      </w:r>
    </w:p>
    <w:p w14:paraId="487DA3C1" w14:textId="7332EC9D"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8. Tsai M-C, Cheng C-N, Wang R-J, Chen K-T, Kuo M-C, Lin S-J. Cost-effectiveness analysis of carrier and prenatal genetic testing for X-linked hemophilia. J Formos Med Assoc. 2015;114(8):722–8. </w:t>
      </w:r>
    </w:p>
    <w:p w14:paraId="17000D4A" w14:textId="03AC46D7" w:rsidR="00AC5128" w:rsidRPr="004D5D6C" w:rsidRDefault="00AC5128" w:rsidP="00AC5128">
      <w:pPr>
        <w:rPr>
          <w:rFonts w:asciiTheme="majorBidi" w:eastAsia="Arial" w:hAnsiTheme="majorBidi" w:cstheme="majorBidi"/>
          <w:sz w:val="24"/>
          <w:szCs w:val="24"/>
          <w:lang w:val="it-IT" w:eastAsia="en-US"/>
        </w:rPr>
      </w:pPr>
      <w:r w:rsidRPr="004D5D6C">
        <w:rPr>
          <w:rFonts w:asciiTheme="majorBidi" w:eastAsia="Arial" w:hAnsiTheme="majorBidi" w:cstheme="majorBidi"/>
          <w:sz w:val="24"/>
          <w:szCs w:val="24"/>
          <w:lang w:eastAsia="en-US"/>
        </w:rPr>
        <w:t xml:space="preserve">9. Carlos-Rivera F, Gasca-Pineda R, Majluf-Cruz A, García-Chávez J. Economic impact of hemophilia type A and B in Mexico. </w:t>
      </w:r>
      <w:r w:rsidRPr="004D5D6C">
        <w:rPr>
          <w:rFonts w:asciiTheme="majorBidi" w:eastAsia="Arial" w:hAnsiTheme="majorBidi" w:cstheme="majorBidi"/>
          <w:sz w:val="24"/>
          <w:szCs w:val="24"/>
          <w:lang w:val="it-IT" w:eastAsia="en-US"/>
        </w:rPr>
        <w:t xml:space="preserve">Gac Med Mex. 2016;152(1):19–29. </w:t>
      </w:r>
    </w:p>
    <w:p w14:paraId="780A921E" w14:textId="032646B4"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val="it-IT" w:eastAsia="en-US"/>
        </w:rPr>
        <w:t xml:space="preserve">10. Coppola A, D’Ausilio A, Aiello A, Amoresano S, Toumi M, Mathew P, et al. </w:t>
      </w:r>
      <w:r w:rsidRPr="004D5D6C">
        <w:rPr>
          <w:rFonts w:asciiTheme="majorBidi" w:eastAsia="Arial" w:hAnsiTheme="majorBidi" w:cstheme="majorBidi"/>
          <w:sz w:val="24"/>
          <w:szCs w:val="24"/>
          <w:lang w:eastAsia="en-US"/>
        </w:rPr>
        <w:t xml:space="preserve">Cost‐effectiveness analysis of late prophylaxis vs. on‐demand treatment for severe haemophilia A in Italy. Haemophilia. 2017;23(3):422–9. </w:t>
      </w:r>
    </w:p>
    <w:p w14:paraId="4894789E" w14:textId="6E731B63"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11. Brown LJ, La HA, Li J, Brunner M, Snoke M, Kerr AM. The societal burden of haemophilia A. III - The potential impact of emicizumab on costs of haemophilia A in Australia. Haemophilia. 2020 Aug;26 Suppl 5:21–9. </w:t>
      </w:r>
    </w:p>
    <w:p w14:paraId="02E418A6" w14:textId="50EEA76B"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12. Lotfi F, Talebianpour H, Keshavarz K, Emadi F, Bordbar MR, Bastani P. Cost-utility analysis of factor VIII diet therapies prepared using blood plasma vs. recombinant technique for patients with hemophilia A. DARU J Pharm Sci. 2020;28(1):287–93. </w:t>
      </w:r>
    </w:p>
    <w:p w14:paraId="03924437" w14:textId="6E99876A"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13. Zhou Z-Y, Raimundo K, Patel AM, Han S, Ji Y, Fang H, et al. Model of Short- and Long-Term Outcomes of Emicizumab Prophylaxis Treatment for Persons with Hemophilia A. J Manag care Spec Pharm. 2020 Sep;26(9):1109–20. </w:t>
      </w:r>
    </w:p>
    <w:p w14:paraId="1D4FB665" w14:textId="12ECDBA8"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lastRenderedPageBreak/>
        <w:t xml:space="preserve">14. Brown LJ, La HA, Li J, Brunner M, Snoke M, Kerr AM. The societal burden of haemophilia A. II - The cost of moderate and severe haemophilia A in Australia. Haemophilia. 2020 Aug;26 Suppl 5:11–20. </w:t>
      </w:r>
    </w:p>
    <w:p w14:paraId="161504F2" w14:textId="23B3701C"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15. Bonanad S, Álvarez MT, Núñez R, Poveda JL, Gil B, Ruíz-Beato E, et al. Costs of the management of hemophilia A with inhibitors in Spain. Glob Reg Heal Technol Assess. 2021;8(1):35–42. </w:t>
      </w:r>
    </w:p>
    <w:p w14:paraId="3F6B6E5A" w14:textId="35E09EDD"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16. Malhan S, Öksüz E, Antmen B, Ar MC, Balkan C, Kavaklı K. Cost of hemophilia A in Turkey: an economic disease burden analysis. J Med Econ. 2021;24(1):1052–9. </w:t>
      </w:r>
    </w:p>
    <w:p w14:paraId="177537E5" w14:textId="053B6313"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17. Zahedi Z, Karimi M, Keshavarz K, Haghpanah S, Ravangard R. A cost-effectiveness analysis of the prophylaxis versus on-demand regimens in severe hemophilia A patients under 12 years old in southern Iran. Hematology. 2021;26(1):240–8. </w:t>
      </w:r>
    </w:p>
    <w:p w14:paraId="06EE0909" w14:textId="52547AC3"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18. Li N, Sawyer EK, Maruszczyk K, Guzauskas G, Slomka MT, Burke T, et al. Adult lifetime cost of hemophilia B management in the US: payer and societal perspectives from a decision analytic model. J Med Econ. 2021 Jan 1;24(1):363–72. </w:t>
      </w:r>
    </w:p>
    <w:p w14:paraId="74DD64A0" w14:textId="0DF660C9"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19. Saiyarsarai P, Robabpour Derakhshan A, Khedmati J, Eshghi P, Seyedifar M. A comparison between on-demand usage of rFVIIa vs prophylaxis use of emicizumab in high titer inhibitory hemophilia A patients in Iran: A cost-utility analysis. Medicine (Baltimore). 2021 Oct;100(40):e27303. </w:t>
      </w:r>
    </w:p>
    <w:p w14:paraId="6C6A3D77" w14:textId="3FEBBF9C" w:rsidR="00AC5128" w:rsidRPr="004D5D6C" w:rsidRDefault="00AC5128" w:rsidP="00AC5128">
      <w:pPr>
        <w:rPr>
          <w:rFonts w:asciiTheme="majorBidi" w:eastAsia="Arial" w:hAnsiTheme="majorBidi" w:cstheme="majorBidi"/>
          <w:sz w:val="24"/>
          <w:szCs w:val="24"/>
          <w:lang w:val="da-DK" w:eastAsia="en-US"/>
        </w:rPr>
      </w:pPr>
      <w:r w:rsidRPr="004D5D6C">
        <w:rPr>
          <w:rFonts w:asciiTheme="majorBidi" w:eastAsia="Arial" w:hAnsiTheme="majorBidi" w:cstheme="majorBidi"/>
          <w:sz w:val="24"/>
          <w:szCs w:val="24"/>
          <w:lang w:eastAsia="en-US"/>
        </w:rPr>
        <w:t xml:space="preserve">20. Ten Ham RMT, Walker SM, Soares MO, Frederix GWJ, Leebeek FWG, Fischer K, et al. Modeling Benefits, Costs, and Affordability of a Novel Gene Therapy in Hemophilia A. HemaSphere. </w:t>
      </w:r>
      <w:r w:rsidRPr="004D5D6C">
        <w:rPr>
          <w:rFonts w:asciiTheme="majorBidi" w:eastAsia="Arial" w:hAnsiTheme="majorBidi" w:cstheme="majorBidi"/>
          <w:sz w:val="24"/>
          <w:szCs w:val="24"/>
          <w:lang w:val="da-DK" w:eastAsia="en-US"/>
        </w:rPr>
        <w:t xml:space="preserve">2022;6(2):e679. </w:t>
      </w:r>
    </w:p>
    <w:p w14:paraId="42C4FB70" w14:textId="52228D2D"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val="da-DK" w:eastAsia="en-US"/>
        </w:rPr>
        <w:t xml:space="preserve">21. Chen R, Gultyaev D, Lister J, Han R, Hu N, Malacan J, et al. </w:t>
      </w:r>
      <w:r w:rsidRPr="004D5D6C">
        <w:rPr>
          <w:rFonts w:asciiTheme="majorBidi" w:eastAsia="Arial" w:hAnsiTheme="majorBidi" w:cstheme="majorBidi"/>
          <w:sz w:val="24"/>
          <w:szCs w:val="24"/>
          <w:lang w:eastAsia="en-US"/>
        </w:rPr>
        <w:t xml:space="preserve">Pharmacokinetic parameter driven outcomes model predicts a reduction in bleeding events associated with BAY 81-8973 versus antihemophilic factor (recombinant) plasma/albumin-free method in a Chinese healthcare setting. BMC Med Res Methodol. 2022 Aug;22(1):215. </w:t>
      </w:r>
    </w:p>
    <w:p w14:paraId="19EEBF3F" w14:textId="128ED875" w:rsidR="00AC5128"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 xml:space="preserve">22. Soto I, Mateo J, García-Diego D-A, Gil B, Ruiz-Beato E, Ivanova Y, et al. The impact of improving haemophilia A management within the Spanish National Healthcare System: a social return on investment analysis. BMC Health Serv Res. 2022;22(1):115. </w:t>
      </w:r>
    </w:p>
    <w:p w14:paraId="58FC61C0" w14:textId="0D12C391" w:rsidR="00F34907" w:rsidRPr="004D5D6C" w:rsidRDefault="00AC5128" w:rsidP="00AC5128">
      <w:pPr>
        <w:rPr>
          <w:rFonts w:asciiTheme="majorBidi" w:eastAsia="Arial" w:hAnsiTheme="majorBidi" w:cstheme="majorBidi"/>
          <w:sz w:val="24"/>
          <w:szCs w:val="24"/>
          <w:lang w:eastAsia="en-US"/>
        </w:rPr>
      </w:pPr>
      <w:r w:rsidRPr="004D5D6C">
        <w:rPr>
          <w:rFonts w:asciiTheme="majorBidi" w:eastAsia="Arial" w:hAnsiTheme="majorBidi" w:cstheme="majorBidi"/>
          <w:sz w:val="24"/>
          <w:szCs w:val="24"/>
          <w:lang w:eastAsia="en-US"/>
        </w:rPr>
        <w:t>23. He X, Wang X, Dong C, Zhao M, Wu J. The long‐term clinical benefits and economic costs associated with increased use of prophylaxis among patients with haemophilia A in China: Population‐based predictions from 2018 to 2033. Haemophilia. 2022;28(5):726–36.</w:t>
      </w:r>
    </w:p>
    <w:p w14:paraId="20CA6A03" w14:textId="77777777" w:rsidR="00AC5128" w:rsidRPr="004D5D6C" w:rsidRDefault="00AC5128" w:rsidP="00AC5128">
      <w:pPr>
        <w:rPr>
          <w:rFonts w:asciiTheme="majorBidi" w:eastAsia="Arial" w:hAnsiTheme="majorBidi" w:cstheme="majorBidi"/>
          <w:lang w:eastAsia="en-US"/>
        </w:rPr>
      </w:pPr>
    </w:p>
    <w:p w14:paraId="68F081F7" w14:textId="77777777" w:rsidR="00337E19" w:rsidRPr="004D5D6C" w:rsidRDefault="00337E19" w:rsidP="00AC5128">
      <w:pPr>
        <w:rPr>
          <w:rFonts w:asciiTheme="majorBidi" w:eastAsia="Arial" w:hAnsiTheme="majorBidi" w:cstheme="majorBidi"/>
          <w:lang w:eastAsia="en-US"/>
        </w:rPr>
      </w:pPr>
    </w:p>
    <w:p w14:paraId="16A19EE5" w14:textId="77777777" w:rsidR="00337E19" w:rsidRPr="004D5D6C" w:rsidRDefault="00337E19" w:rsidP="00AC5128">
      <w:pPr>
        <w:rPr>
          <w:rFonts w:asciiTheme="majorBidi" w:eastAsia="Arial" w:hAnsiTheme="majorBidi" w:cstheme="majorBidi"/>
          <w:lang w:eastAsia="en-US"/>
        </w:rPr>
      </w:pPr>
    </w:p>
    <w:p w14:paraId="6F43E972" w14:textId="77777777" w:rsidR="00337E19" w:rsidRPr="004D5D6C" w:rsidRDefault="00337E19" w:rsidP="00AC5128">
      <w:pPr>
        <w:rPr>
          <w:rFonts w:asciiTheme="majorBidi" w:eastAsia="Arial" w:hAnsiTheme="majorBidi" w:cstheme="majorBidi"/>
          <w:lang w:eastAsia="en-US"/>
        </w:rPr>
      </w:pPr>
    </w:p>
    <w:p w14:paraId="3F0BF93D" w14:textId="77777777" w:rsidR="00337E19" w:rsidRPr="004D5D6C" w:rsidRDefault="00337E19" w:rsidP="00AC5128">
      <w:pPr>
        <w:rPr>
          <w:rFonts w:asciiTheme="majorBidi" w:eastAsia="Arial" w:hAnsiTheme="majorBidi" w:cstheme="majorBidi"/>
          <w:lang w:eastAsia="en-US"/>
        </w:rPr>
      </w:pPr>
    </w:p>
    <w:p w14:paraId="50EE9BB8" w14:textId="77777777" w:rsidR="00337E19" w:rsidRPr="004D5D6C" w:rsidRDefault="00337E19" w:rsidP="00AC5128">
      <w:pPr>
        <w:rPr>
          <w:rFonts w:asciiTheme="majorBidi" w:eastAsia="Arial" w:hAnsiTheme="majorBidi" w:cstheme="majorBidi"/>
          <w:lang w:eastAsia="en-US"/>
        </w:rPr>
      </w:pPr>
    </w:p>
    <w:p w14:paraId="523793A6" w14:textId="77777777" w:rsidR="00337E19" w:rsidRPr="004D5D6C" w:rsidRDefault="00337E19" w:rsidP="00AC5128">
      <w:pPr>
        <w:rPr>
          <w:rFonts w:asciiTheme="majorBidi" w:eastAsia="Arial" w:hAnsiTheme="majorBidi" w:cstheme="majorBidi"/>
          <w:lang w:eastAsia="en-US"/>
        </w:rPr>
      </w:pPr>
    </w:p>
    <w:p w14:paraId="2EE5F884" w14:textId="688E5424" w:rsidR="001421F6" w:rsidRDefault="001421F6" w:rsidP="001421F6">
      <w:pPr>
        <w:rPr>
          <w:rFonts w:asciiTheme="majorBidi" w:eastAsia="Arial" w:hAnsiTheme="majorBidi" w:cstheme="majorBidi"/>
          <w:sz w:val="28"/>
          <w:szCs w:val="28"/>
          <w:lang w:eastAsia="en-US"/>
        </w:rPr>
      </w:pPr>
      <w:r w:rsidRPr="00203F4C">
        <w:rPr>
          <w:rFonts w:asciiTheme="majorBidi" w:eastAsia="Arial" w:hAnsiTheme="majorBidi" w:cstheme="majorBidi"/>
          <w:b/>
          <w:bCs/>
          <w:sz w:val="28"/>
          <w:szCs w:val="28"/>
          <w:lang w:eastAsia="en-US"/>
        </w:rPr>
        <w:lastRenderedPageBreak/>
        <w:t xml:space="preserve">Supplementary </w:t>
      </w:r>
      <w:r w:rsidRPr="006F20EC">
        <w:rPr>
          <w:rFonts w:asciiTheme="majorBidi" w:eastAsia="Arial" w:hAnsiTheme="majorBidi" w:cstheme="majorBidi"/>
          <w:b/>
          <w:bCs/>
          <w:sz w:val="28"/>
          <w:szCs w:val="28"/>
          <w:lang w:eastAsia="en-US"/>
        </w:rPr>
        <w:t>Table 1</w:t>
      </w:r>
      <w:r w:rsidRPr="00203F4C">
        <w:rPr>
          <w:rFonts w:asciiTheme="majorBidi" w:eastAsia="Arial" w:hAnsiTheme="majorBidi" w:cstheme="majorBidi"/>
          <w:b/>
          <w:bCs/>
          <w:sz w:val="28"/>
          <w:szCs w:val="28"/>
          <w:lang w:eastAsia="en-US"/>
        </w:rPr>
        <w:t>:</w:t>
      </w:r>
      <w:r w:rsidRPr="00AA36AC">
        <w:rPr>
          <w:rFonts w:asciiTheme="majorBidi" w:eastAsia="Arial" w:hAnsiTheme="majorBidi" w:cstheme="majorBidi"/>
          <w:sz w:val="28"/>
          <w:szCs w:val="28"/>
          <w:lang w:eastAsia="en-US"/>
        </w:rPr>
        <w:t xml:space="preserve"> </w:t>
      </w:r>
      <w:r w:rsidR="00CE6D61" w:rsidRPr="00CE6D61">
        <w:rPr>
          <w:rFonts w:asciiTheme="majorBidi" w:eastAsia="Arial" w:hAnsiTheme="majorBidi" w:cstheme="majorBidi"/>
          <w:sz w:val="28"/>
          <w:szCs w:val="28"/>
          <w:lang w:eastAsia="en-US"/>
        </w:rPr>
        <w:t xml:space="preserve">Income level </w:t>
      </w:r>
      <w:r w:rsidR="00CE6D61">
        <w:rPr>
          <w:rFonts w:asciiTheme="majorBidi" w:eastAsia="Arial" w:hAnsiTheme="majorBidi" w:cstheme="majorBidi"/>
          <w:sz w:val="28"/>
          <w:szCs w:val="28"/>
          <w:lang w:eastAsia="en-US"/>
        </w:rPr>
        <w:t xml:space="preserve">of the countries </w:t>
      </w:r>
      <w:r>
        <w:rPr>
          <w:rFonts w:asciiTheme="majorBidi" w:eastAsia="Arial" w:hAnsiTheme="majorBidi" w:cstheme="majorBidi"/>
          <w:sz w:val="28"/>
          <w:szCs w:val="28"/>
          <w:lang w:eastAsia="en-US"/>
        </w:rPr>
        <w:t>included in this review.</w:t>
      </w:r>
    </w:p>
    <w:tbl>
      <w:tblPr>
        <w:tblStyle w:val="TableGrid9"/>
        <w:tblW w:w="8010" w:type="dxa"/>
        <w:tblInd w:w="-5" w:type="dxa"/>
        <w:tblLook w:val="04A0" w:firstRow="1" w:lastRow="0" w:firstColumn="1" w:lastColumn="0" w:noHBand="0" w:noVBand="1"/>
      </w:tblPr>
      <w:tblGrid>
        <w:gridCol w:w="720"/>
        <w:gridCol w:w="3330"/>
        <w:gridCol w:w="3960"/>
      </w:tblGrid>
      <w:tr w:rsidR="001421F6" w:rsidRPr="00A51DA1" w14:paraId="0476D43D" w14:textId="77777777" w:rsidTr="0094490C">
        <w:trPr>
          <w:trHeight w:val="503"/>
        </w:trPr>
        <w:tc>
          <w:tcPr>
            <w:tcW w:w="720" w:type="dxa"/>
            <w:tcBorders>
              <w:top w:val="single" w:sz="4" w:space="0" w:color="auto"/>
              <w:left w:val="single" w:sz="4" w:space="0" w:color="auto"/>
              <w:bottom w:val="single" w:sz="4" w:space="0" w:color="auto"/>
              <w:right w:val="single" w:sz="4" w:space="0" w:color="auto"/>
            </w:tcBorders>
            <w:shd w:val="clear" w:color="auto" w:fill="1F3864"/>
            <w:noWrap/>
            <w:vAlign w:val="center"/>
          </w:tcPr>
          <w:p w14:paraId="477BB9A4" w14:textId="77777777" w:rsidR="001421F6" w:rsidRPr="00351E49" w:rsidRDefault="001421F6" w:rsidP="0094490C">
            <w:pPr>
              <w:jc w:val="center"/>
              <w:rPr>
                <w:rFonts w:asciiTheme="majorBidi" w:hAnsiTheme="majorBidi" w:cstheme="majorBidi"/>
                <w:b/>
                <w:bCs/>
                <w:sz w:val="28"/>
                <w:szCs w:val="28"/>
              </w:rPr>
            </w:pPr>
            <w:r w:rsidRPr="00351E49">
              <w:rPr>
                <w:rFonts w:asciiTheme="majorBidi" w:hAnsiTheme="majorBidi" w:cstheme="majorBidi"/>
                <w:b/>
                <w:bCs/>
                <w:sz w:val="28"/>
                <w:szCs w:val="28"/>
              </w:rPr>
              <w:t>#</w:t>
            </w:r>
          </w:p>
        </w:tc>
        <w:tc>
          <w:tcPr>
            <w:tcW w:w="3330" w:type="dxa"/>
            <w:tcBorders>
              <w:top w:val="single" w:sz="4" w:space="0" w:color="auto"/>
              <w:left w:val="single" w:sz="4" w:space="0" w:color="auto"/>
              <w:bottom w:val="single" w:sz="4" w:space="0" w:color="auto"/>
              <w:right w:val="single" w:sz="4" w:space="0" w:color="auto"/>
            </w:tcBorders>
            <w:shd w:val="clear" w:color="auto" w:fill="1F3864"/>
            <w:noWrap/>
            <w:vAlign w:val="center"/>
          </w:tcPr>
          <w:p w14:paraId="708DB2AD" w14:textId="77777777" w:rsidR="001421F6" w:rsidRPr="00351E49" w:rsidRDefault="001421F6" w:rsidP="0094490C">
            <w:pPr>
              <w:jc w:val="center"/>
              <w:rPr>
                <w:rFonts w:asciiTheme="majorBidi" w:eastAsia="Arial" w:hAnsiTheme="majorBidi" w:cstheme="majorBidi"/>
                <w:b/>
                <w:bCs/>
                <w:sz w:val="28"/>
                <w:szCs w:val="28"/>
                <w:lang w:eastAsia="en-US"/>
              </w:rPr>
            </w:pPr>
            <w:r w:rsidRPr="00351E49">
              <w:rPr>
                <w:rFonts w:asciiTheme="majorBidi" w:hAnsiTheme="majorBidi" w:cstheme="majorBidi"/>
                <w:b/>
                <w:bCs/>
                <w:sz w:val="28"/>
                <w:szCs w:val="28"/>
              </w:rPr>
              <w:t>Country</w:t>
            </w:r>
          </w:p>
        </w:tc>
        <w:tc>
          <w:tcPr>
            <w:tcW w:w="3960" w:type="dxa"/>
            <w:tcBorders>
              <w:top w:val="single" w:sz="4" w:space="0" w:color="auto"/>
              <w:left w:val="single" w:sz="4" w:space="0" w:color="auto"/>
              <w:bottom w:val="single" w:sz="4" w:space="0" w:color="auto"/>
              <w:right w:val="single" w:sz="4" w:space="0" w:color="auto"/>
            </w:tcBorders>
            <w:shd w:val="clear" w:color="auto" w:fill="1F3864"/>
            <w:noWrap/>
            <w:vAlign w:val="center"/>
          </w:tcPr>
          <w:p w14:paraId="070C787C" w14:textId="622EC116" w:rsidR="001421F6" w:rsidRPr="00A51DA1" w:rsidRDefault="001421F6" w:rsidP="0094490C">
            <w:pPr>
              <w:jc w:val="center"/>
              <w:rPr>
                <w:rFonts w:asciiTheme="majorBidi" w:eastAsia="Arial" w:hAnsiTheme="majorBidi" w:cstheme="majorBidi"/>
                <w:b/>
                <w:bCs/>
                <w:sz w:val="28"/>
                <w:szCs w:val="28"/>
                <w:lang w:eastAsia="en-US"/>
              </w:rPr>
            </w:pPr>
            <w:r>
              <w:rPr>
                <w:rFonts w:asciiTheme="majorBidi" w:eastAsia="Arial" w:hAnsiTheme="majorBidi" w:cstheme="majorBidi"/>
                <w:b/>
                <w:bCs/>
                <w:sz w:val="28"/>
                <w:szCs w:val="28"/>
                <w:lang w:eastAsia="en-US"/>
              </w:rPr>
              <w:t>I</w:t>
            </w:r>
            <w:r w:rsidRPr="00076D47">
              <w:rPr>
                <w:rFonts w:asciiTheme="majorBidi" w:eastAsia="Arial" w:hAnsiTheme="majorBidi" w:cstheme="majorBidi"/>
                <w:b/>
                <w:bCs/>
                <w:sz w:val="28"/>
                <w:szCs w:val="28"/>
                <w:lang w:eastAsia="en-US"/>
              </w:rPr>
              <w:t xml:space="preserve">ncome </w:t>
            </w:r>
            <w:r w:rsidR="00404BF9">
              <w:rPr>
                <w:rFonts w:asciiTheme="majorBidi" w:eastAsia="Arial" w:hAnsiTheme="majorBidi" w:cstheme="majorBidi"/>
                <w:b/>
                <w:bCs/>
                <w:sz w:val="28"/>
                <w:szCs w:val="28"/>
                <w:lang w:eastAsia="en-US"/>
              </w:rPr>
              <w:t>level</w:t>
            </w:r>
          </w:p>
        </w:tc>
      </w:tr>
      <w:tr w:rsidR="001421F6" w:rsidRPr="00A51DA1" w14:paraId="3E6D8D95" w14:textId="77777777" w:rsidTr="0094490C">
        <w:trPr>
          <w:trHeight w:val="503"/>
        </w:trPr>
        <w:tc>
          <w:tcPr>
            <w:tcW w:w="720" w:type="dxa"/>
            <w:tcBorders>
              <w:top w:val="single" w:sz="4" w:space="0" w:color="auto"/>
              <w:left w:val="single" w:sz="4" w:space="0" w:color="auto"/>
              <w:bottom w:val="single" w:sz="4" w:space="0" w:color="auto"/>
              <w:right w:val="single" w:sz="4" w:space="0" w:color="auto"/>
            </w:tcBorders>
            <w:shd w:val="clear" w:color="auto" w:fill="D9E2F3"/>
            <w:noWrap/>
            <w:vAlign w:val="center"/>
          </w:tcPr>
          <w:p w14:paraId="5DB8DB8F"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w:t>
            </w:r>
          </w:p>
        </w:tc>
        <w:tc>
          <w:tcPr>
            <w:tcW w:w="3330" w:type="dxa"/>
            <w:tcBorders>
              <w:top w:val="single" w:sz="4" w:space="0" w:color="auto"/>
              <w:left w:val="single" w:sz="4" w:space="0" w:color="auto"/>
              <w:bottom w:val="single" w:sz="4" w:space="0" w:color="auto"/>
              <w:right w:val="single" w:sz="4" w:space="0" w:color="auto"/>
            </w:tcBorders>
            <w:noWrap/>
            <w:vAlign w:val="center"/>
          </w:tcPr>
          <w:p w14:paraId="17CBEE05"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Algeria</w:t>
            </w:r>
          </w:p>
        </w:tc>
        <w:tc>
          <w:tcPr>
            <w:tcW w:w="3960" w:type="dxa"/>
            <w:tcBorders>
              <w:top w:val="single" w:sz="4" w:space="0" w:color="auto"/>
              <w:left w:val="single" w:sz="4" w:space="0" w:color="auto"/>
              <w:bottom w:val="single" w:sz="4" w:space="0" w:color="auto"/>
              <w:right w:val="single" w:sz="4" w:space="0" w:color="auto"/>
            </w:tcBorders>
            <w:noWrap/>
            <w:vAlign w:val="center"/>
          </w:tcPr>
          <w:p w14:paraId="0576ECF8"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LMIC</w:t>
            </w:r>
          </w:p>
        </w:tc>
      </w:tr>
      <w:tr w:rsidR="001421F6" w:rsidRPr="00A51DA1" w14:paraId="3751D1DB"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0BDD5C68"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2</w:t>
            </w:r>
          </w:p>
        </w:tc>
        <w:tc>
          <w:tcPr>
            <w:tcW w:w="3330" w:type="dxa"/>
            <w:tcBorders>
              <w:top w:val="nil"/>
              <w:left w:val="single" w:sz="4" w:space="0" w:color="auto"/>
              <w:bottom w:val="single" w:sz="4" w:space="0" w:color="auto"/>
              <w:right w:val="single" w:sz="4" w:space="0" w:color="auto"/>
            </w:tcBorders>
            <w:noWrap/>
            <w:vAlign w:val="center"/>
          </w:tcPr>
          <w:p w14:paraId="462EBC00"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Australia</w:t>
            </w:r>
          </w:p>
        </w:tc>
        <w:tc>
          <w:tcPr>
            <w:tcW w:w="3960" w:type="dxa"/>
            <w:tcBorders>
              <w:top w:val="nil"/>
              <w:left w:val="single" w:sz="4" w:space="0" w:color="auto"/>
              <w:bottom w:val="single" w:sz="4" w:space="0" w:color="auto"/>
              <w:right w:val="single" w:sz="4" w:space="0" w:color="auto"/>
            </w:tcBorders>
            <w:noWrap/>
            <w:vAlign w:val="center"/>
          </w:tcPr>
          <w:p w14:paraId="09EF2B03" w14:textId="062DD919"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r w:rsidR="00CE6D61">
              <w:rPr>
                <w:rFonts w:asciiTheme="majorBidi" w:eastAsia="Arial" w:hAnsiTheme="majorBidi" w:cstheme="majorBidi"/>
                <w:sz w:val="24"/>
                <w:szCs w:val="24"/>
                <w:lang w:eastAsia="en-US"/>
              </w:rPr>
              <w:t xml:space="preserve">f </w:t>
            </w:r>
          </w:p>
        </w:tc>
      </w:tr>
      <w:tr w:rsidR="001421F6" w:rsidRPr="00A51DA1" w14:paraId="023DE999"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58EC8823"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3</w:t>
            </w:r>
          </w:p>
        </w:tc>
        <w:tc>
          <w:tcPr>
            <w:tcW w:w="3330" w:type="dxa"/>
            <w:tcBorders>
              <w:top w:val="nil"/>
              <w:left w:val="single" w:sz="4" w:space="0" w:color="auto"/>
              <w:bottom w:val="single" w:sz="4" w:space="0" w:color="auto"/>
              <w:right w:val="single" w:sz="4" w:space="0" w:color="auto"/>
            </w:tcBorders>
            <w:noWrap/>
            <w:vAlign w:val="center"/>
          </w:tcPr>
          <w:p w14:paraId="052F8ECB"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Bulgaria</w:t>
            </w:r>
          </w:p>
        </w:tc>
        <w:tc>
          <w:tcPr>
            <w:tcW w:w="3960" w:type="dxa"/>
            <w:tcBorders>
              <w:top w:val="nil"/>
              <w:left w:val="single" w:sz="4" w:space="0" w:color="auto"/>
              <w:bottom w:val="single" w:sz="4" w:space="0" w:color="auto"/>
              <w:right w:val="single" w:sz="4" w:space="0" w:color="auto"/>
            </w:tcBorders>
            <w:noWrap/>
            <w:vAlign w:val="center"/>
          </w:tcPr>
          <w:p w14:paraId="0C85C0B0"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LMIC</w:t>
            </w:r>
          </w:p>
        </w:tc>
      </w:tr>
      <w:tr w:rsidR="001421F6" w:rsidRPr="00A51DA1" w14:paraId="14890BC2"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1C3734E7"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4</w:t>
            </w:r>
          </w:p>
        </w:tc>
        <w:tc>
          <w:tcPr>
            <w:tcW w:w="3330" w:type="dxa"/>
            <w:tcBorders>
              <w:top w:val="nil"/>
              <w:left w:val="single" w:sz="4" w:space="0" w:color="auto"/>
              <w:bottom w:val="single" w:sz="4" w:space="0" w:color="auto"/>
              <w:right w:val="single" w:sz="4" w:space="0" w:color="auto"/>
            </w:tcBorders>
            <w:noWrap/>
            <w:vAlign w:val="center"/>
          </w:tcPr>
          <w:p w14:paraId="0CF53CBE"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Canada</w:t>
            </w:r>
          </w:p>
        </w:tc>
        <w:tc>
          <w:tcPr>
            <w:tcW w:w="3960" w:type="dxa"/>
            <w:tcBorders>
              <w:top w:val="nil"/>
              <w:left w:val="single" w:sz="4" w:space="0" w:color="auto"/>
              <w:bottom w:val="single" w:sz="4" w:space="0" w:color="auto"/>
              <w:right w:val="single" w:sz="4" w:space="0" w:color="auto"/>
            </w:tcBorders>
            <w:noWrap/>
            <w:vAlign w:val="center"/>
          </w:tcPr>
          <w:p w14:paraId="3727FFB1"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55341A86"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6894DEE0"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5</w:t>
            </w:r>
          </w:p>
        </w:tc>
        <w:tc>
          <w:tcPr>
            <w:tcW w:w="3330" w:type="dxa"/>
            <w:tcBorders>
              <w:top w:val="nil"/>
              <w:left w:val="single" w:sz="4" w:space="0" w:color="auto"/>
              <w:bottom w:val="single" w:sz="4" w:space="0" w:color="auto"/>
              <w:right w:val="single" w:sz="4" w:space="0" w:color="auto"/>
            </w:tcBorders>
            <w:noWrap/>
            <w:vAlign w:val="center"/>
          </w:tcPr>
          <w:p w14:paraId="32372991"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France</w:t>
            </w:r>
          </w:p>
        </w:tc>
        <w:tc>
          <w:tcPr>
            <w:tcW w:w="3960" w:type="dxa"/>
            <w:tcBorders>
              <w:top w:val="nil"/>
              <w:left w:val="single" w:sz="4" w:space="0" w:color="auto"/>
              <w:bottom w:val="single" w:sz="4" w:space="0" w:color="auto"/>
              <w:right w:val="single" w:sz="4" w:space="0" w:color="auto"/>
            </w:tcBorders>
            <w:noWrap/>
            <w:vAlign w:val="center"/>
          </w:tcPr>
          <w:p w14:paraId="094272A0"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581B58D0"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4AEA5B93"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6</w:t>
            </w:r>
          </w:p>
        </w:tc>
        <w:tc>
          <w:tcPr>
            <w:tcW w:w="3330" w:type="dxa"/>
            <w:tcBorders>
              <w:top w:val="nil"/>
              <w:left w:val="single" w:sz="4" w:space="0" w:color="auto"/>
              <w:bottom w:val="single" w:sz="4" w:space="0" w:color="auto"/>
              <w:right w:val="single" w:sz="4" w:space="0" w:color="auto"/>
            </w:tcBorders>
            <w:noWrap/>
            <w:vAlign w:val="center"/>
          </w:tcPr>
          <w:p w14:paraId="1BC7E887"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Germany</w:t>
            </w:r>
          </w:p>
        </w:tc>
        <w:tc>
          <w:tcPr>
            <w:tcW w:w="3960" w:type="dxa"/>
            <w:tcBorders>
              <w:top w:val="nil"/>
              <w:left w:val="single" w:sz="4" w:space="0" w:color="auto"/>
              <w:bottom w:val="single" w:sz="4" w:space="0" w:color="auto"/>
              <w:right w:val="single" w:sz="4" w:space="0" w:color="auto"/>
            </w:tcBorders>
            <w:noWrap/>
            <w:vAlign w:val="center"/>
          </w:tcPr>
          <w:p w14:paraId="5F303984"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08688E65"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2C2B17ED"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7</w:t>
            </w:r>
          </w:p>
        </w:tc>
        <w:tc>
          <w:tcPr>
            <w:tcW w:w="3330" w:type="dxa"/>
            <w:tcBorders>
              <w:top w:val="nil"/>
              <w:left w:val="single" w:sz="4" w:space="0" w:color="auto"/>
              <w:bottom w:val="single" w:sz="4" w:space="0" w:color="auto"/>
              <w:right w:val="single" w:sz="4" w:space="0" w:color="auto"/>
            </w:tcBorders>
            <w:noWrap/>
            <w:vAlign w:val="center"/>
          </w:tcPr>
          <w:p w14:paraId="0C41BC50"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Greece</w:t>
            </w:r>
          </w:p>
        </w:tc>
        <w:tc>
          <w:tcPr>
            <w:tcW w:w="3960" w:type="dxa"/>
            <w:tcBorders>
              <w:top w:val="nil"/>
              <w:left w:val="single" w:sz="4" w:space="0" w:color="auto"/>
              <w:bottom w:val="single" w:sz="4" w:space="0" w:color="auto"/>
              <w:right w:val="single" w:sz="4" w:space="0" w:color="auto"/>
            </w:tcBorders>
            <w:noWrap/>
            <w:vAlign w:val="center"/>
          </w:tcPr>
          <w:p w14:paraId="50E1FB0A"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3BD6DEA2"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2E2B716A"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8</w:t>
            </w:r>
          </w:p>
        </w:tc>
        <w:tc>
          <w:tcPr>
            <w:tcW w:w="3330" w:type="dxa"/>
            <w:tcBorders>
              <w:top w:val="nil"/>
              <w:left w:val="single" w:sz="4" w:space="0" w:color="auto"/>
              <w:bottom w:val="single" w:sz="4" w:space="0" w:color="auto"/>
              <w:right w:val="single" w:sz="4" w:space="0" w:color="auto"/>
            </w:tcBorders>
            <w:noWrap/>
            <w:vAlign w:val="center"/>
          </w:tcPr>
          <w:p w14:paraId="53AAB63D"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Hungary</w:t>
            </w:r>
          </w:p>
        </w:tc>
        <w:tc>
          <w:tcPr>
            <w:tcW w:w="3960" w:type="dxa"/>
            <w:tcBorders>
              <w:top w:val="nil"/>
              <w:left w:val="single" w:sz="4" w:space="0" w:color="auto"/>
              <w:bottom w:val="single" w:sz="4" w:space="0" w:color="auto"/>
              <w:right w:val="single" w:sz="4" w:space="0" w:color="auto"/>
            </w:tcBorders>
            <w:noWrap/>
            <w:vAlign w:val="center"/>
          </w:tcPr>
          <w:p w14:paraId="571E2DFB"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08AA9A8E"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3D27CEA2"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9</w:t>
            </w:r>
          </w:p>
        </w:tc>
        <w:tc>
          <w:tcPr>
            <w:tcW w:w="3330" w:type="dxa"/>
            <w:tcBorders>
              <w:top w:val="nil"/>
              <w:left w:val="single" w:sz="4" w:space="0" w:color="auto"/>
              <w:bottom w:val="single" w:sz="4" w:space="0" w:color="auto"/>
              <w:right w:val="single" w:sz="4" w:space="0" w:color="auto"/>
            </w:tcBorders>
            <w:noWrap/>
            <w:vAlign w:val="center"/>
          </w:tcPr>
          <w:p w14:paraId="3B2EF844"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India</w:t>
            </w:r>
          </w:p>
        </w:tc>
        <w:tc>
          <w:tcPr>
            <w:tcW w:w="3960" w:type="dxa"/>
            <w:tcBorders>
              <w:top w:val="nil"/>
              <w:left w:val="single" w:sz="4" w:space="0" w:color="auto"/>
              <w:bottom w:val="single" w:sz="4" w:space="0" w:color="auto"/>
              <w:right w:val="single" w:sz="4" w:space="0" w:color="auto"/>
            </w:tcBorders>
            <w:noWrap/>
            <w:vAlign w:val="center"/>
          </w:tcPr>
          <w:p w14:paraId="13F71343"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LMIC</w:t>
            </w:r>
          </w:p>
        </w:tc>
      </w:tr>
      <w:tr w:rsidR="001421F6" w:rsidRPr="00A51DA1" w14:paraId="6A81B2C6"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13F7E951"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10</w:t>
            </w:r>
          </w:p>
        </w:tc>
        <w:tc>
          <w:tcPr>
            <w:tcW w:w="3330" w:type="dxa"/>
            <w:tcBorders>
              <w:top w:val="nil"/>
              <w:left w:val="single" w:sz="4" w:space="0" w:color="auto"/>
              <w:bottom w:val="single" w:sz="4" w:space="0" w:color="auto"/>
              <w:right w:val="single" w:sz="4" w:space="0" w:color="auto"/>
            </w:tcBorders>
            <w:noWrap/>
            <w:vAlign w:val="center"/>
          </w:tcPr>
          <w:p w14:paraId="28BE96F4"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Iran</w:t>
            </w:r>
          </w:p>
        </w:tc>
        <w:tc>
          <w:tcPr>
            <w:tcW w:w="3960" w:type="dxa"/>
            <w:tcBorders>
              <w:top w:val="nil"/>
              <w:left w:val="single" w:sz="4" w:space="0" w:color="auto"/>
              <w:bottom w:val="single" w:sz="4" w:space="0" w:color="auto"/>
              <w:right w:val="single" w:sz="4" w:space="0" w:color="auto"/>
            </w:tcBorders>
            <w:noWrap/>
            <w:vAlign w:val="center"/>
          </w:tcPr>
          <w:p w14:paraId="32B1CFE8"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LMIC</w:t>
            </w:r>
          </w:p>
        </w:tc>
      </w:tr>
      <w:tr w:rsidR="001421F6" w:rsidRPr="00A51DA1" w14:paraId="6E5EC9A3"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0CB43850"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11</w:t>
            </w:r>
          </w:p>
        </w:tc>
        <w:tc>
          <w:tcPr>
            <w:tcW w:w="3330" w:type="dxa"/>
            <w:tcBorders>
              <w:top w:val="nil"/>
              <w:left w:val="single" w:sz="4" w:space="0" w:color="auto"/>
              <w:bottom w:val="single" w:sz="4" w:space="0" w:color="auto"/>
              <w:right w:val="single" w:sz="4" w:space="0" w:color="auto"/>
            </w:tcBorders>
            <w:noWrap/>
            <w:vAlign w:val="center"/>
          </w:tcPr>
          <w:p w14:paraId="78E11B7E"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Italy</w:t>
            </w:r>
          </w:p>
        </w:tc>
        <w:tc>
          <w:tcPr>
            <w:tcW w:w="3960" w:type="dxa"/>
            <w:tcBorders>
              <w:top w:val="nil"/>
              <w:left w:val="single" w:sz="4" w:space="0" w:color="auto"/>
              <w:bottom w:val="single" w:sz="4" w:space="0" w:color="auto"/>
              <w:right w:val="single" w:sz="4" w:space="0" w:color="auto"/>
            </w:tcBorders>
            <w:noWrap/>
            <w:vAlign w:val="center"/>
          </w:tcPr>
          <w:p w14:paraId="6EE8A715"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54247643"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456A598A"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12</w:t>
            </w:r>
          </w:p>
        </w:tc>
        <w:tc>
          <w:tcPr>
            <w:tcW w:w="3330" w:type="dxa"/>
            <w:tcBorders>
              <w:top w:val="nil"/>
              <w:left w:val="single" w:sz="4" w:space="0" w:color="auto"/>
              <w:bottom w:val="single" w:sz="4" w:space="0" w:color="auto"/>
              <w:right w:val="single" w:sz="4" w:space="0" w:color="auto"/>
            </w:tcBorders>
            <w:noWrap/>
            <w:vAlign w:val="center"/>
          </w:tcPr>
          <w:p w14:paraId="1BF9EF8E"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Japan</w:t>
            </w:r>
          </w:p>
        </w:tc>
        <w:tc>
          <w:tcPr>
            <w:tcW w:w="3960" w:type="dxa"/>
            <w:tcBorders>
              <w:top w:val="nil"/>
              <w:left w:val="single" w:sz="4" w:space="0" w:color="auto"/>
              <w:bottom w:val="single" w:sz="4" w:space="0" w:color="auto"/>
              <w:right w:val="single" w:sz="4" w:space="0" w:color="auto"/>
            </w:tcBorders>
            <w:noWrap/>
            <w:vAlign w:val="center"/>
          </w:tcPr>
          <w:p w14:paraId="5E67EE0E"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603B12DE"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15D9C6C1"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13</w:t>
            </w:r>
          </w:p>
        </w:tc>
        <w:tc>
          <w:tcPr>
            <w:tcW w:w="3330" w:type="dxa"/>
            <w:tcBorders>
              <w:top w:val="nil"/>
              <w:left w:val="single" w:sz="4" w:space="0" w:color="auto"/>
              <w:bottom w:val="single" w:sz="4" w:space="0" w:color="auto"/>
              <w:right w:val="single" w:sz="4" w:space="0" w:color="auto"/>
            </w:tcBorders>
            <w:noWrap/>
            <w:vAlign w:val="center"/>
          </w:tcPr>
          <w:p w14:paraId="5EAA887E"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Morocco</w:t>
            </w:r>
          </w:p>
        </w:tc>
        <w:tc>
          <w:tcPr>
            <w:tcW w:w="3960" w:type="dxa"/>
            <w:tcBorders>
              <w:top w:val="nil"/>
              <w:left w:val="single" w:sz="4" w:space="0" w:color="auto"/>
              <w:bottom w:val="single" w:sz="4" w:space="0" w:color="auto"/>
              <w:right w:val="single" w:sz="4" w:space="0" w:color="auto"/>
            </w:tcBorders>
            <w:noWrap/>
            <w:vAlign w:val="center"/>
          </w:tcPr>
          <w:p w14:paraId="4F433452"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LMIC</w:t>
            </w:r>
          </w:p>
        </w:tc>
      </w:tr>
      <w:tr w:rsidR="001421F6" w:rsidRPr="00A51DA1" w14:paraId="2F7581A4"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554FA9C3"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14</w:t>
            </w:r>
          </w:p>
        </w:tc>
        <w:tc>
          <w:tcPr>
            <w:tcW w:w="3330" w:type="dxa"/>
            <w:tcBorders>
              <w:top w:val="nil"/>
              <w:left w:val="single" w:sz="4" w:space="0" w:color="auto"/>
              <w:bottom w:val="single" w:sz="4" w:space="0" w:color="auto"/>
              <w:right w:val="single" w:sz="4" w:space="0" w:color="auto"/>
            </w:tcBorders>
            <w:noWrap/>
            <w:vAlign w:val="center"/>
          </w:tcPr>
          <w:p w14:paraId="6C3072E2"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Netherlands</w:t>
            </w:r>
          </w:p>
        </w:tc>
        <w:tc>
          <w:tcPr>
            <w:tcW w:w="3960" w:type="dxa"/>
            <w:tcBorders>
              <w:top w:val="nil"/>
              <w:left w:val="single" w:sz="4" w:space="0" w:color="auto"/>
              <w:bottom w:val="single" w:sz="4" w:space="0" w:color="auto"/>
              <w:right w:val="single" w:sz="4" w:space="0" w:color="auto"/>
            </w:tcBorders>
            <w:noWrap/>
            <w:vAlign w:val="center"/>
          </w:tcPr>
          <w:p w14:paraId="19B4282A"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3B43BD17"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49FB34C3"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15</w:t>
            </w:r>
          </w:p>
        </w:tc>
        <w:tc>
          <w:tcPr>
            <w:tcW w:w="3330" w:type="dxa"/>
            <w:tcBorders>
              <w:top w:val="nil"/>
              <w:left w:val="single" w:sz="4" w:space="0" w:color="auto"/>
              <w:bottom w:val="single" w:sz="4" w:space="0" w:color="auto"/>
              <w:right w:val="single" w:sz="4" w:space="0" w:color="auto"/>
            </w:tcBorders>
            <w:noWrap/>
            <w:vAlign w:val="center"/>
          </w:tcPr>
          <w:p w14:paraId="452401EB"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Norway</w:t>
            </w:r>
          </w:p>
        </w:tc>
        <w:tc>
          <w:tcPr>
            <w:tcW w:w="3960" w:type="dxa"/>
            <w:tcBorders>
              <w:top w:val="nil"/>
              <w:left w:val="single" w:sz="4" w:space="0" w:color="auto"/>
              <w:bottom w:val="single" w:sz="4" w:space="0" w:color="auto"/>
              <w:right w:val="single" w:sz="4" w:space="0" w:color="auto"/>
            </w:tcBorders>
            <w:noWrap/>
            <w:vAlign w:val="center"/>
          </w:tcPr>
          <w:p w14:paraId="116A6F7D"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13521669"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30B9FB6A"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16</w:t>
            </w:r>
          </w:p>
        </w:tc>
        <w:tc>
          <w:tcPr>
            <w:tcW w:w="3330" w:type="dxa"/>
            <w:tcBorders>
              <w:top w:val="nil"/>
              <w:left w:val="single" w:sz="4" w:space="0" w:color="auto"/>
              <w:bottom w:val="single" w:sz="4" w:space="0" w:color="auto"/>
              <w:right w:val="single" w:sz="4" w:space="0" w:color="auto"/>
            </w:tcBorders>
            <w:noWrap/>
            <w:vAlign w:val="center"/>
          </w:tcPr>
          <w:p w14:paraId="69EEE61A"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Oman</w:t>
            </w:r>
          </w:p>
        </w:tc>
        <w:tc>
          <w:tcPr>
            <w:tcW w:w="3960" w:type="dxa"/>
            <w:tcBorders>
              <w:top w:val="nil"/>
              <w:left w:val="single" w:sz="4" w:space="0" w:color="auto"/>
              <w:bottom w:val="single" w:sz="4" w:space="0" w:color="auto"/>
              <w:right w:val="single" w:sz="4" w:space="0" w:color="auto"/>
            </w:tcBorders>
            <w:noWrap/>
            <w:vAlign w:val="center"/>
          </w:tcPr>
          <w:p w14:paraId="0CFE500F"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2CF0C920"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4F326E25"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17</w:t>
            </w:r>
          </w:p>
        </w:tc>
        <w:tc>
          <w:tcPr>
            <w:tcW w:w="3330" w:type="dxa"/>
            <w:tcBorders>
              <w:top w:val="nil"/>
              <w:left w:val="single" w:sz="4" w:space="0" w:color="auto"/>
              <w:bottom w:val="single" w:sz="4" w:space="0" w:color="auto"/>
              <w:right w:val="single" w:sz="4" w:space="0" w:color="auto"/>
            </w:tcBorders>
            <w:noWrap/>
            <w:vAlign w:val="center"/>
          </w:tcPr>
          <w:p w14:paraId="5CB85D87"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Romania</w:t>
            </w:r>
          </w:p>
        </w:tc>
        <w:tc>
          <w:tcPr>
            <w:tcW w:w="3960" w:type="dxa"/>
            <w:tcBorders>
              <w:top w:val="nil"/>
              <w:left w:val="single" w:sz="4" w:space="0" w:color="auto"/>
              <w:bottom w:val="single" w:sz="4" w:space="0" w:color="auto"/>
              <w:right w:val="single" w:sz="4" w:space="0" w:color="auto"/>
            </w:tcBorders>
            <w:noWrap/>
            <w:vAlign w:val="center"/>
          </w:tcPr>
          <w:p w14:paraId="27E8E6F3"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3CD4F6E9"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2C60AA17"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18</w:t>
            </w:r>
          </w:p>
        </w:tc>
        <w:tc>
          <w:tcPr>
            <w:tcW w:w="3330" w:type="dxa"/>
            <w:tcBorders>
              <w:top w:val="nil"/>
              <w:left w:val="single" w:sz="4" w:space="0" w:color="auto"/>
              <w:bottom w:val="single" w:sz="4" w:space="0" w:color="auto"/>
              <w:right w:val="single" w:sz="4" w:space="0" w:color="auto"/>
            </w:tcBorders>
            <w:noWrap/>
            <w:vAlign w:val="center"/>
          </w:tcPr>
          <w:p w14:paraId="136A098D"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South Africa</w:t>
            </w:r>
          </w:p>
        </w:tc>
        <w:tc>
          <w:tcPr>
            <w:tcW w:w="3960" w:type="dxa"/>
            <w:tcBorders>
              <w:top w:val="nil"/>
              <w:left w:val="single" w:sz="4" w:space="0" w:color="auto"/>
              <w:bottom w:val="single" w:sz="4" w:space="0" w:color="auto"/>
              <w:right w:val="single" w:sz="4" w:space="0" w:color="auto"/>
            </w:tcBorders>
            <w:noWrap/>
            <w:vAlign w:val="center"/>
          </w:tcPr>
          <w:p w14:paraId="65FD2DDA"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LMIC</w:t>
            </w:r>
          </w:p>
        </w:tc>
      </w:tr>
      <w:tr w:rsidR="001421F6" w:rsidRPr="00A51DA1" w14:paraId="25AA818E"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51112601"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19</w:t>
            </w:r>
          </w:p>
        </w:tc>
        <w:tc>
          <w:tcPr>
            <w:tcW w:w="3330" w:type="dxa"/>
            <w:tcBorders>
              <w:top w:val="nil"/>
              <w:left w:val="single" w:sz="4" w:space="0" w:color="auto"/>
              <w:bottom w:val="single" w:sz="4" w:space="0" w:color="auto"/>
              <w:right w:val="single" w:sz="4" w:space="0" w:color="auto"/>
            </w:tcBorders>
            <w:noWrap/>
            <w:vAlign w:val="center"/>
          </w:tcPr>
          <w:p w14:paraId="19EBDAA5"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Spain</w:t>
            </w:r>
          </w:p>
        </w:tc>
        <w:tc>
          <w:tcPr>
            <w:tcW w:w="3960" w:type="dxa"/>
            <w:tcBorders>
              <w:top w:val="nil"/>
              <w:left w:val="single" w:sz="4" w:space="0" w:color="auto"/>
              <w:bottom w:val="single" w:sz="4" w:space="0" w:color="auto"/>
              <w:right w:val="single" w:sz="4" w:space="0" w:color="auto"/>
            </w:tcBorders>
            <w:noWrap/>
            <w:vAlign w:val="center"/>
          </w:tcPr>
          <w:p w14:paraId="082F9D19"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2BDD04F7"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1938E447"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20</w:t>
            </w:r>
          </w:p>
        </w:tc>
        <w:tc>
          <w:tcPr>
            <w:tcW w:w="3330" w:type="dxa"/>
            <w:tcBorders>
              <w:top w:val="nil"/>
              <w:left w:val="single" w:sz="4" w:space="0" w:color="auto"/>
              <w:bottom w:val="single" w:sz="4" w:space="0" w:color="auto"/>
              <w:right w:val="single" w:sz="4" w:space="0" w:color="auto"/>
            </w:tcBorders>
            <w:noWrap/>
            <w:vAlign w:val="center"/>
          </w:tcPr>
          <w:p w14:paraId="369A3A68"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Sweden</w:t>
            </w:r>
          </w:p>
        </w:tc>
        <w:tc>
          <w:tcPr>
            <w:tcW w:w="3960" w:type="dxa"/>
            <w:tcBorders>
              <w:top w:val="nil"/>
              <w:left w:val="single" w:sz="4" w:space="0" w:color="auto"/>
              <w:bottom w:val="single" w:sz="4" w:space="0" w:color="auto"/>
              <w:right w:val="single" w:sz="4" w:space="0" w:color="auto"/>
            </w:tcBorders>
            <w:noWrap/>
            <w:vAlign w:val="center"/>
          </w:tcPr>
          <w:p w14:paraId="55BF6D9D"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5941F12F"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591444E8"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21</w:t>
            </w:r>
          </w:p>
        </w:tc>
        <w:tc>
          <w:tcPr>
            <w:tcW w:w="3330" w:type="dxa"/>
            <w:tcBorders>
              <w:top w:val="nil"/>
              <w:left w:val="single" w:sz="4" w:space="0" w:color="auto"/>
              <w:bottom w:val="single" w:sz="4" w:space="0" w:color="auto"/>
              <w:right w:val="single" w:sz="4" w:space="0" w:color="auto"/>
            </w:tcBorders>
            <w:noWrap/>
            <w:vAlign w:val="center"/>
          </w:tcPr>
          <w:p w14:paraId="79A45590"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UK</w:t>
            </w:r>
          </w:p>
        </w:tc>
        <w:tc>
          <w:tcPr>
            <w:tcW w:w="3960" w:type="dxa"/>
            <w:tcBorders>
              <w:top w:val="nil"/>
              <w:left w:val="single" w:sz="4" w:space="0" w:color="auto"/>
              <w:bottom w:val="single" w:sz="4" w:space="0" w:color="auto"/>
              <w:right w:val="single" w:sz="4" w:space="0" w:color="auto"/>
            </w:tcBorders>
            <w:noWrap/>
            <w:vAlign w:val="center"/>
          </w:tcPr>
          <w:p w14:paraId="30737AFC"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r w:rsidR="001421F6" w:rsidRPr="00A51DA1" w14:paraId="0B6DC462" w14:textId="77777777" w:rsidTr="0094490C">
        <w:trPr>
          <w:trHeight w:val="503"/>
        </w:trPr>
        <w:tc>
          <w:tcPr>
            <w:tcW w:w="720" w:type="dxa"/>
            <w:tcBorders>
              <w:top w:val="nil"/>
              <w:left w:val="single" w:sz="4" w:space="0" w:color="auto"/>
              <w:bottom w:val="single" w:sz="4" w:space="0" w:color="auto"/>
              <w:right w:val="single" w:sz="4" w:space="0" w:color="auto"/>
            </w:tcBorders>
            <w:shd w:val="clear" w:color="auto" w:fill="D9E2F3"/>
            <w:noWrap/>
            <w:vAlign w:val="center"/>
          </w:tcPr>
          <w:p w14:paraId="51CE7788" w14:textId="77777777" w:rsidR="001421F6" w:rsidRPr="00241ACD" w:rsidRDefault="001421F6" w:rsidP="0094490C">
            <w:pPr>
              <w:jc w:val="center"/>
              <w:rPr>
                <w:rFonts w:asciiTheme="majorBidi" w:hAnsiTheme="majorBidi" w:cstheme="majorBidi"/>
                <w:b/>
                <w:bCs/>
                <w:sz w:val="24"/>
                <w:szCs w:val="24"/>
              </w:rPr>
            </w:pPr>
            <w:r w:rsidRPr="00241ACD">
              <w:rPr>
                <w:rFonts w:asciiTheme="majorBidi" w:hAnsiTheme="majorBidi" w:cstheme="majorBidi"/>
                <w:b/>
                <w:bCs/>
                <w:sz w:val="24"/>
                <w:szCs w:val="24"/>
              </w:rPr>
              <w:t>22</w:t>
            </w:r>
          </w:p>
        </w:tc>
        <w:tc>
          <w:tcPr>
            <w:tcW w:w="3330" w:type="dxa"/>
            <w:tcBorders>
              <w:top w:val="nil"/>
              <w:left w:val="single" w:sz="4" w:space="0" w:color="auto"/>
              <w:bottom w:val="single" w:sz="4" w:space="0" w:color="auto"/>
              <w:right w:val="single" w:sz="4" w:space="0" w:color="auto"/>
            </w:tcBorders>
            <w:noWrap/>
            <w:vAlign w:val="center"/>
          </w:tcPr>
          <w:p w14:paraId="78CC85FA"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hAnsiTheme="majorBidi" w:cstheme="majorBidi"/>
                <w:sz w:val="24"/>
                <w:szCs w:val="24"/>
              </w:rPr>
              <w:t>USA</w:t>
            </w:r>
          </w:p>
        </w:tc>
        <w:tc>
          <w:tcPr>
            <w:tcW w:w="3960" w:type="dxa"/>
            <w:tcBorders>
              <w:top w:val="nil"/>
              <w:left w:val="single" w:sz="4" w:space="0" w:color="auto"/>
              <w:bottom w:val="single" w:sz="4" w:space="0" w:color="auto"/>
              <w:right w:val="single" w:sz="4" w:space="0" w:color="auto"/>
            </w:tcBorders>
            <w:noWrap/>
            <w:vAlign w:val="center"/>
          </w:tcPr>
          <w:p w14:paraId="593CC566" w14:textId="77777777" w:rsidR="001421F6" w:rsidRPr="00241ACD" w:rsidRDefault="001421F6" w:rsidP="0094490C">
            <w:pPr>
              <w:jc w:val="center"/>
              <w:rPr>
                <w:rFonts w:asciiTheme="majorBidi" w:eastAsia="Arial" w:hAnsiTheme="majorBidi" w:cstheme="majorBidi"/>
                <w:sz w:val="24"/>
                <w:szCs w:val="24"/>
                <w:lang w:eastAsia="en-US"/>
              </w:rPr>
            </w:pPr>
            <w:r w:rsidRPr="00241ACD">
              <w:rPr>
                <w:rFonts w:asciiTheme="majorBidi" w:eastAsia="Arial" w:hAnsiTheme="majorBidi" w:cstheme="majorBidi"/>
                <w:sz w:val="24"/>
                <w:szCs w:val="24"/>
                <w:lang w:eastAsia="en-US"/>
              </w:rPr>
              <w:t>HIC</w:t>
            </w:r>
          </w:p>
        </w:tc>
      </w:tr>
    </w:tbl>
    <w:p w14:paraId="0D138D6A" w14:textId="77777777" w:rsidR="001421F6" w:rsidRDefault="001421F6" w:rsidP="001421F6">
      <w:pPr>
        <w:rPr>
          <w:rFonts w:ascii="Times New Roman" w:eastAsia="DengXian" w:hAnsi="Times New Roman" w:cs="Times New Roman"/>
          <w:b/>
          <w:bCs/>
          <w:sz w:val="20"/>
          <w:szCs w:val="20"/>
        </w:rPr>
      </w:pPr>
    </w:p>
    <w:p w14:paraId="2CF605B6" w14:textId="77777777" w:rsidR="009B13AD" w:rsidRPr="004D5D6C" w:rsidRDefault="00671ACE" w:rsidP="009B13AD">
      <w:pPr>
        <w:rPr>
          <w:rFonts w:ascii="Times New Roman" w:eastAsia="DengXian" w:hAnsi="Times New Roman" w:cs="Times New Roman"/>
          <w:sz w:val="20"/>
          <w:szCs w:val="20"/>
        </w:rPr>
      </w:pPr>
      <w:r w:rsidRPr="004D5D6C">
        <w:rPr>
          <w:rFonts w:ascii="Times New Roman" w:eastAsia="DengXian" w:hAnsi="Times New Roman" w:cs="Times New Roman"/>
          <w:b/>
          <w:bCs/>
          <w:sz w:val="20"/>
          <w:szCs w:val="20"/>
        </w:rPr>
        <w:t>Abbreviations:</w:t>
      </w:r>
      <w:r w:rsidRPr="004D5D6C">
        <w:rPr>
          <w:rFonts w:ascii="Times New Roman" w:eastAsia="DengXian" w:hAnsi="Times New Roman" w:cs="Times New Roman"/>
          <w:sz w:val="20"/>
          <w:szCs w:val="20"/>
        </w:rPr>
        <w:t xml:space="preserve"> HIC: </w:t>
      </w:r>
      <w:r w:rsidR="00C46E43" w:rsidRPr="004D5D6C">
        <w:rPr>
          <w:rFonts w:ascii="Times New Roman" w:eastAsia="DengXian" w:hAnsi="Times New Roman" w:cs="Times New Roman"/>
          <w:sz w:val="20"/>
          <w:szCs w:val="20"/>
        </w:rPr>
        <w:t xml:space="preserve">High-income country; </w:t>
      </w:r>
      <w:r w:rsidRPr="004D5D6C">
        <w:rPr>
          <w:rFonts w:ascii="Times New Roman" w:eastAsia="DengXian" w:hAnsi="Times New Roman" w:cs="Times New Roman"/>
          <w:sz w:val="20"/>
          <w:szCs w:val="20"/>
        </w:rPr>
        <w:t>LMIC:</w:t>
      </w:r>
      <w:r w:rsidR="00C46E43" w:rsidRPr="004D5D6C">
        <w:rPr>
          <w:rFonts w:ascii="Times New Roman" w:eastAsia="DengXian" w:hAnsi="Times New Roman" w:cs="Times New Roman"/>
          <w:sz w:val="20"/>
          <w:szCs w:val="20"/>
        </w:rPr>
        <w:t xml:space="preserve"> Low- and middle-income countr</w:t>
      </w:r>
      <w:r w:rsidR="002E7887" w:rsidRPr="004D5D6C">
        <w:rPr>
          <w:rFonts w:ascii="Times New Roman" w:eastAsia="DengXian" w:hAnsi="Times New Roman" w:cs="Times New Roman"/>
          <w:sz w:val="20"/>
          <w:szCs w:val="20"/>
        </w:rPr>
        <w:t>y.</w:t>
      </w:r>
      <w:bookmarkStart w:id="8" w:name="_Hlk126871998"/>
    </w:p>
    <w:p w14:paraId="1354458E" w14:textId="77777777" w:rsidR="009B13AD" w:rsidRPr="004D5D6C" w:rsidRDefault="009B13AD" w:rsidP="009B13AD">
      <w:pPr>
        <w:rPr>
          <w:rFonts w:ascii="Times New Roman" w:eastAsia="DengXian" w:hAnsi="Times New Roman" w:cs="Times New Roman"/>
          <w:b/>
          <w:bCs/>
          <w:sz w:val="28"/>
          <w:szCs w:val="28"/>
        </w:rPr>
      </w:pPr>
    </w:p>
    <w:p w14:paraId="08CE2D62" w14:textId="4F26A559" w:rsidR="009B13AD" w:rsidRPr="004D5D6C" w:rsidRDefault="009B13AD" w:rsidP="009B13AD">
      <w:pPr>
        <w:jc w:val="center"/>
        <w:rPr>
          <w:rFonts w:ascii="Times New Roman" w:eastAsia="DengXian" w:hAnsi="Times New Roman" w:cs="Times New Roman"/>
          <w:sz w:val="20"/>
          <w:szCs w:val="20"/>
        </w:rPr>
      </w:pPr>
      <w:r w:rsidRPr="004D5D6C">
        <w:rPr>
          <w:rFonts w:ascii="Times New Roman" w:eastAsia="DengXian" w:hAnsi="Times New Roman" w:cs="Times New Roman"/>
          <w:b/>
          <w:bCs/>
          <w:sz w:val="28"/>
          <w:szCs w:val="28"/>
        </w:rPr>
        <w:lastRenderedPageBreak/>
        <w:t xml:space="preserve">Supplementary Table 2. </w:t>
      </w:r>
      <w:bookmarkEnd w:id="8"/>
      <w:r w:rsidRPr="004D5D6C">
        <w:rPr>
          <w:rFonts w:ascii="Times New Roman" w:eastAsia="DengXian" w:hAnsi="Times New Roman" w:cs="Times New Roman"/>
          <w:sz w:val="28"/>
          <w:szCs w:val="28"/>
        </w:rPr>
        <w:t>Summary of study characteristics and reported items by the included studies (n=25)</w:t>
      </w:r>
      <w:r w:rsidR="001421F6">
        <w:rPr>
          <w:rFonts w:ascii="Times New Roman" w:eastAsia="DengXian" w:hAnsi="Times New Roman" w:cs="Times New Roman"/>
          <w:sz w:val="28"/>
          <w:szCs w:val="28"/>
        </w:rPr>
        <w:t>.</w:t>
      </w:r>
    </w:p>
    <w:tbl>
      <w:tblPr>
        <w:tblStyle w:val="TableGrid16"/>
        <w:tblW w:w="7735" w:type="dxa"/>
        <w:jc w:val="center"/>
        <w:tblLook w:val="04A0" w:firstRow="1" w:lastRow="0" w:firstColumn="1" w:lastColumn="0" w:noHBand="0" w:noVBand="1"/>
      </w:tblPr>
      <w:tblGrid>
        <w:gridCol w:w="6025"/>
        <w:gridCol w:w="1710"/>
      </w:tblGrid>
      <w:tr w:rsidR="009B13AD" w:rsidRPr="004D5D6C" w14:paraId="31C2BEE8" w14:textId="77777777" w:rsidTr="001C733A">
        <w:trPr>
          <w:trHeight w:val="629"/>
          <w:jc w:val="center"/>
        </w:trPr>
        <w:tc>
          <w:tcPr>
            <w:tcW w:w="6025" w:type="dxa"/>
            <w:shd w:val="clear" w:color="auto" w:fill="002060"/>
            <w:vAlign w:val="center"/>
          </w:tcPr>
          <w:p w14:paraId="68AFBBDA" w14:textId="77777777" w:rsidR="009B13AD" w:rsidRPr="004D5D6C" w:rsidRDefault="009B13AD" w:rsidP="009B13AD">
            <w:pPr>
              <w:rPr>
                <w:rFonts w:ascii="Times New Roman" w:hAnsi="Times New Roman" w:cs="Times New Roman"/>
                <w:b/>
                <w:bCs/>
                <w:sz w:val="28"/>
                <w:szCs w:val="28"/>
              </w:rPr>
            </w:pPr>
            <w:bookmarkStart w:id="9" w:name="_Hlk121706079"/>
            <w:r w:rsidRPr="004D5D6C">
              <w:rPr>
                <w:rFonts w:ascii="Times New Roman" w:hAnsi="Times New Roman" w:cs="Times New Roman"/>
                <w:b/>
                <w:bCs/>
                <w:sz w:val="28"/>
                <w:szCs w:val="28"/>
              </w:rPr>
              <w:t>Characteristic</w:t>
            </w:r>
            <w:bookmarkEnd w:id="9"/>
          </w:p>
        </w:tc>
        <w:tc>
          <w:tcPr>
            <w:tcW w:w="1710" w:type="dxa"/>
            <w:shd w:val="clear" w:color="auto" w:fill="002060"/>
            <w:vAlign w:val="center"/>
          </w:tcPr>
          <w:p w14:paraId="38C67D54" w14:textId="77777777" w:rsidR="009B13AD" w:rsidRPr="004D5D6C" w:rsidRDefault="009B13AD" w:rsidP="009B13AD">
            <w:pPr>
              <w:rPr>
                <w:rFonts w:ascii="Times New Roman" w:hAnsi="Times New Roman" w:cs="Times New Roman"/>
                <w:b/>
                <w:bCs/>
                <w:sz w:val="28"/>
                <w:szCs w:val="28"/>
              </w:rPr>
            </w:pPr>
            <w:r w:rsidRPr="004D5D6C">
              <w:rPr>
                <w:rFonts w:ascii="Times New Roman" w:hAnsi="Times New Roman" w:cs="Times New Roman"/>
                <w:b/>
                <w:bCs/>
                <w:sz w:val="28"/>
                <w:szCs w:val="28"/>
              </w:rPr>
              <w:t>Number of studies (%)</w:t>
            </w:r>
          </w:p>
        </w:tc>
      </w:tr>
      <w:tr w:rsidR="009B13AD" w:rsidRPr="004D5D6C" w14:paraId="251660EC" w14:textId="77777777" w:rsidTr="001C733A">
        <w:trPr>
          <w:trHeight w:val="400"/>
          <w:jc w:val="center"/>
        </w:trPr>
        <w:tc>
          <w:tcPr>
            <w:tcW w:w="7735" w:type="dxa"/>
            <w:gridSpan w:val="2"/>
            <w:shd w:val="clear" w:color="auto" w:fill="D9E2F3"/>
            <w:vAlign w:val="center"/>
          </w:tcPr>
          <w:p w14:paraId="17229763"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Geographical location</w:t>
            </w:r>
          </w:p>
        </w:tc>
      </w:tr>
      <w:tr w:rsidR="009B13AD" w:rsidRPr="004D5D6C" w14:paraId="0835C048" w14:textId="77777777" w:rsidTr="001C733A">
        <w:trPr>
          <w:trHeight w:val="400"/>
          <w:jc w:val="center"/>
        </w:trPr>
        <w:tc>
          <w:tcPr>
            <w:tcW w:w="6025" w:type="dxa"/>
            <w:vAlign w:val="center"/>
          </w:tcPr>
          <w:p w14:paraId="6690FAC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Single country</w:t>
            </w:r>
          </w:p>
        </w:tc>
        <w:tc>
          <w:tcPr>
            <w:tcW w:w="1710" w:type="dxa"/>
            <w:vAlign w:val="center"/>
          </w:tcPr>
          <w:p w14:paraId="62F265B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14 (56%)</w:t>
            </w:r>
          </w:p>
        </w:tc>
      </w:tr>
      <w:tr w:rsidR="009B13AD" w:rsidRPr="004D5D6C" w14:paraId="1E846006" w14:textId="77777777" w:rsidTr="001C733A">
        <w:trPr>
          <w:trHeight w:val="400"/>
          <w:jc w:val="center"/>
        </w:trPr>
        <w:tc>
          <w:tcPr>
            <w:tcW w:w="6025" w:type="dxa"/>
            <w:vAlign w:val="center"/>
          </w:tcPr>
          <w:p w14:paraId="111E3B9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Multiple European countries</w:t>
            </w:r>
          </w:p>
        </w:tc>
        <w:tc>
          <w:tcPr>
            <w:tcW w:w="1710" w:type="dxa"/>
            <w:vAlign w:val="center"/>
          </w:tcPr>
          <w:p w14:paraId="4FE1A50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7 (28%)</w:t>
            </w:r>
          </w:p>
        </w:tc>
      </w:tr>
      <w:tr w:rsidR="009B13AD" w:rsidRPr="004D5D6C" w14:paraId="4EF0ED82" w14:textId="77777777" w:rsidTr="001C733A">
        <w:trPr>
          <w:trHeight w:val="400"/>
          <w:jc w:val="center"/>
        </w:trPr>
        <w:tc>
          <w:tcPr>
            <w:tcW w:w="6025" w:type="dxa"/>
            <w:vAlign w:val="center"/>
          </w:tcPr>
          <w:p w14:paraId="57648A4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Two European countries</w:t>
            </w:r>
          </w:p>
        </w:tc>
        <w:tc>
          <w:tcPr>
            <w:tcW w:w="1710" w:type="dxa"/>
            <w:vAlign w:val="center"/>
          </w:tcPr>
          <w:p w14:paraId="471A16F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2F95FAC4" w14:textId="77777777" w:rsidTr="001C733A">
        <w:trPr>
          <w:trHeight w:val="382"/>
          <w:jc w:val="center"/>
        </w:trPr>
        <w:tc>
          <w:tcPr>
            <w:tcW w:w="6025" w:type="dxa"/>
            <w:vAlign w:val="center"/>
          </w:tcPr>
          <w:p w14:paraId="0BD468E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Multinational</w:t>
            </w:r>
          </w:p>
        </w:tc>
        <w:tc>
          <w:tcPr>
            <w:tcW w:w="1710" w:type="dxa"/>
            <w:vAlign w:val="center"/>
          </w:tcPr>
          <w:p w14:paraId="6EC8FCC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5A50F51D" w14:textId="77777777" w:rsidTr="001C733A">
        <w:trPr>
          <w:trHeight w:val="400"/>
          <w:jc w:val="center"/>
        </w:trPr>
        <w:tc>
          <w:tcPr>
            <w:tcW w:w="7735" w:type="dxa"/>
            <w:gridSpan w:val="2"/>
            <w:shd w:val="clear" w:color="auto" w:fill="D9E2F3"/>
            <w:vAlign w:val="center"/>
          </w:tcPr>
          <w:p w14:paraId="27C20BF1"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Study design</w:t>
            </w:r>
          </w:p>
        </w:tc>
      </w:tr>
      <w:tr w:rsidR="009B13AD" w:rsidRPr="004D5D6C" w14:paraId="669AD81B" w14:textId="77777777" w:rsidTr="001C733A">
        <w:trPr>
          <w:trHeight w:val="400"/>
          <w:jc w:val="center"/>
        </w:trPr>
        <w:tc>
          <w:tcPr>
            <w:tcW w:w="6025" w:type="dxa"/>
            <w:vAlign w:val="center"/>
          </w:tcPr>
          <w:p w14:paraId="6ED84E3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Retrospective cross-sectional</w:t>
            </w:r>
            <w:r w:rsidRPr="004D5D6C">
              <w:rPr>
                <w:rFonts w:ascii="Calibri" w:hAnsi="Calibri" w:cs="Arial"/>
              </w:rPr>
              <w:t xml:space="preserve"> </w:t>
            </w:r>
            <w:r w:rsidRPr="004D5D6C">
              <w:rPr>
                <w:rFonts w:ascii="Times New Roman" w:hAnsi="Times New Roman" w:cs="Times New Roman"/>
                <w:sz w:val="24"/>
                <w:szCs w:val="24"/>
              </w:rPr>
              <w:t>study</w:t>
            </w:r>
          </w:p>
        </w:tc>
        <w:tc>
          <w:tcPr>
            <w:tcW w:w="1710" w:type="dxa"/>
            <w:vAlign w:val="center"/>
          </w:tcPr>
          <w:p w14:paraId="7B3CCD3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19 (76%)</w:t>
            </w:r>
          </w:p>
        </w:tc>
      </w:tr>
      <w:tr w:rsidR="009B13AD" w:rsidRPr="004D5D6C" w14:paraId="39C5FF47" w14:textId="77777777" w:rsidTr="001C733A">
        <w:trPr>
          <w:trHeight w:val="400"/>
          <w:jc w:val="center"/>
        </w:trPr>
        <w:tc>
          <w:tcPr>
            <w:tcW w:w="6025" w:type="dxa"/>
            <w:vAlign w:val="center"/>
          </w:tcPr>
          <w:p w14:paraId="5D61652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Retrospective-prospective cohort study</w:t>
            </w:r>
          </w:p>
        </w:tc>
        <w:tc>
          <w:tcPr>
            <w:tcW w:w="1710" w:type="dxa"/>
            <w:vAlign w:val="center"/>
          </w:tcPr>
          <w:p w14:paraId="7C71EE0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54521C38" w14:textId="77777777" w:rsidTr="001C733A">
        <w:trPr>
          <w:trHeight w:val="400"/>
          <w:jc w:val="center"/>
        </w:trPr>
        <w:tc>
          <w:tcPr>
            <w:tcW w:w="6025" w:type="dxa"/>
            <w:vAlign w:val="center"/>
          </w:tcPr>
          <w:p w14:paraId="7BDF143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Prospective cohort study</w:t>
            </w:r>
          </w:p>
        </w:tc>
        <w:tc>
          <w:tcPr>
            <w:tcW w:w="1710" w:type="dxa"/>
            <w:vAlign w:val="center"/>
          </w:tcPr>
          <w:p w14:paraId="38168DF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44B0C096" w14:textId="77777777" w:rsidTr="001C733A">
        <w:trPr>
          <w:trHeight w:val="400"/>
          <w:jc w:val="center"/>
        </w:trPr>
        <w:tc>
          <w:tcPr>
            <w:tcW w:w="6025" w:type="dxa"/>
            <w:vAlign w:val="center"/>
          </w:tcPr>
          <w:p w14:paraId="6D116D1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Randomised controlled trial</w:t>
            </w:r>
          </w:p>
        </w:tc>
        <w:tc>
          <w:tcPr>
            <w:tcW w:w="1710" w:type="dxa"/>
            <w:vAlign w:val="center"/>
          </w:tcPr>
          <w:p w14:paraId="509379B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46484812" w14:textId="77777777" w:rsidTr="001C733A">
        <w:trPr>
          <w:trHeight w:val="400"/>
          <w:jc w:val="center"/>
        </w:trPr>
        <w:tc>
          <w:tcPr>
            <w:tcW w:w="6025" w:type="dxa"/>
            <w:vAlign w:val="center"/>
          </w:tcPr>
          <w:p w14:paraId="4BD91E4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Post-hoc analysis</w:t>
            </w:r>
          </w:p>
        </w:tc>
        <w:tc>
          <w:tcPr>
            <w:tcW w:w="1710" w:type="dxa"/>
            <w:vAlign w:val="center"/>
          </w:tcPr>
          <w:p w14:paraId="636C215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026BFF2C" w14:textId="77777777" w:rsidTr="001C733A">
        <w:trPr>
          <w:trHeight w:val="400"/>
          <w:jc w:val="center"/>
        </w:trPr>
        <w:tc>
          <w:tcPr>
            <w:tcW w:w="7735" w:type="dxa"/>
            <w:gridSpan w:val="2"/>
            <w:shd w:val="clear" w:color="auto" w:fill="D9E2F3"/>
            <w:vAlign w:val="center"/>
          </w:tcPr>
          <w:p w14:paraId="5E01B43A"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Study duration</w:t>
            </w:r>
          </w:p>
        </w:tc>
      </w:tr>
      <w:tr w:rsidR="009B13AD" w:rsidRPr="004D5D6C" w14:paraId="56AA0125" w14:textId="77777777" w:rsidTr="001C733A">
        <w:trPr>
          <w:trHeight w:val="400"/>
          <w:jc w:val="center"/>
        </w:trPr>
        <w:tc>
          <w:tcPr>
            <w:tcW w:w="6025" w:type="dxa"/>
            <w:vAlign w:val="center"/>
          </w:tcPr>
          <w:p w14:paraId="0428F64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6 months</w:t>
            </w:r>
          </w:p>
        </w:tc>
        <w:tc>
          <w:tcPr>
            <w:tcW w:w="1710" w:type="dxa"/>
            <w:vAlign w:val="center"/>
          </w:tcPr>
          <w:p w14:paraId="327BE91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3 (12%)</w:t>
            </w:r>
          </w:p>
        </w:tc>
      </w:tr>
      <w:tr w:rsidR="009B13AD" w:rsidRPr="004D5D6C" w14:paraId="6C00900A" w14:textId="77777777" w:rsidTr="001C733A">
        <w:trPr>
          <w:trHeight w:val="400"/>
          <w:jc w:val="center"/>
        </w:trPr>
        <w:tc>
          <w:tcPr>
            <w:tcW w:w="6025" w:type="dxa"/>
            <w:vAlign w:val="center"/>
          </w:tcPr>
          <w:p w14:paraId="52FAC550"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6-12 months</w:t>
            </w:r>
          </w:p>
        </w:tc>
        <w:tc>
          <w:tcPr>
            <w:tcW w:w="1710" w:type="dxa"/>
            <w:vAlign w:val="center"/>
          </w:tcPr>
          <w:p w14:paraId="7970808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0A452587" w14:textId="77777777" w:rsidTr="001C733A">
        <w:trPr>
          <w:trHeight w:val="400"/>
          <w:jc w:val="center"/>
        </w:trPr>
        <w:tc>
          <w:tcPr>
            <w:tcW w:w="6025" w:type="dxa"/>
            <w:vAlign w:val="center"/>
          </w:tcPr>
          <w:p w14:paraId="6CA2C25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year</w:t>
            </w:r>
          </w:p>
        </w:tc>
        <w:tc>
          <w:tcPr>
            <w:tcW w:w="1710" w:type="dxa"/>
            <w:vAlign w:val="center"/>
          </w:tcPr>
          <w:p w14:paraId="3B06ADC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13 (52%)</w:t>
            </w:r>
          </w:p>
        </w:tc>
      </w:tr>
      <w:tr w:rsidR="009B13AD" w:rsidRPr="004D5D6C" w14:paraId="3C31A289" w14:textId="77777777" w:rsidTr="001C733A">
        <w:trPr>
          <w:trHeight w:val="400"/>
          <w:jc w:val="center"/>
        </w:trPr>
        <w:tc>
          <w:tcPr>
            <w:tcW w:w="6025" w:type="dxa"/>
            <w:vAlign w:val="center"/>
          </w:tcPr>
          <w:p w14:paraId="19BD600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1.5 years</w:t>
            </w:r>
          </w:p>
        </w:tc>
        <w:tc>
          <w:tcPr>
            <w:tcW w:w="1710" w:type="dxa"/>
            <w:vAlign w:val="center"/>
          </w:tcPr>
          <w:p w14:paraId="111A621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7004E37A" w14:textId="77777777" w:rsidTr="001C733A">
        <w:trPr>
          <w:trHeight w:val="400"/>
          <w:jc w:val="center"/>
        </w:trPr>
        <w:tc>
          <w:tcPr>
            <w:tcW w:w="6025" w:type="dxa"/>
            <w:vAlign w:val="center"/>
          </w:tcPr>
          <w:p w14:paraId="5735329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years</w:t>
            </w:r>
          </w:p>
        </w:tc>
        <w:tc>
          <w:tcPr>
            <w:tcW w:w="1710" w:type="dxa"/>
            <w:vAlign w:val="center"/>
          </w:tcPr>
          <w:p w14:paraId="2EE3B0D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618357A7" w14:textId="77777777" w:rsidTr="001C733A">
        <w:trPr>
          <w:trHeight w:val="400"/>
          <w:jc w:val="center"/>
        </w:trPr>
        <w:tc>
          <w:tcPr>
            <w:tcW w:w="6025" w:type="dxa"/>
            <w:vAlign w:val="center"/>
          </w:tcPr>
          <w:p w14:paraId="0697AD5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5 years</w:t>
            </w:r>
          </w:p>
        </w:tc>
        <w:tc>
          <w:tcPr>
            <w:tcW w:w="1710" w:type="dxa"/>
            <w:vAlign w:val="center"/>
          </w:tcPr>
          <w:p w14:paraId="03E0C8C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628129CB" w14:textId="77777777" w:rsidTr="001C733A">
        <w:trPr>
          <w:trHeight w:val="400"/>
          <w:jc w:val="center"/>
        </w:trPr>
        <w:tc>
          <w:tcPr>
            <w:tcW w:w="6025" w:type="dxa"/>
            <w:vAlign w:val="center"/>
          </w:tcPr>
          <w:p w14:paraId="06C687F3"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6 years</w:t>
            </w:r>
          </w:p>
        </w:tc>
        <w:tc>
          <w:tcPr>
            <w:tcW w:w="1710" w:type="dxa"/>
            <w:vAlign w:val="center"/>
          </w:tcPr>
          <w:p w14:paraId="095A266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4C7B26D3" w14:textId="77777777" w:rsidTr="001C733A">
        <w:trPr>
          <w:trHeight w:val="400"/>
          <w:jc w:val="center"/>
        </w:trPr>
        <w:tc>
          <w:tcPr>
            <w:tcW w:w="6025" w:type="dxa"/>
            <w:vAlign w:val="center"/>
          </w:tcPr>
          <w:p w14:paraId="102D36C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7 years</w:t>
            </w:r>
          </w:p>
        </w:tc>
        <w:tc>
          <w:tcPr>
            <w:tcW w:w="1710" w:type="dxa"/>
            <w:vAlign w:val="center"/>
          </w:tcPr>
          <w:p w14:paraId="319C191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238323A0" w14:textId="77777777" w:rsidTr="001C733A">
        <w:trPr>
          <w:trHeight w:val="400"/>
          <w:jc w:val="center"/>
        </w:trPr>
        <w:tc>
          <w:tcPr>
            <w:tcW w:w="6025" w:type="dxa"/>
            <w:vAlign w:val="center"/>
          </w:tcPr>
          <w:p w14:paraId="2B8D519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11 years</w:t>
            </w:r>
          </w:p>
        </w:tc>
        <w:tc>
          <w:tcPr>
            <w:tcW w:w="1710" w:type="dxa"/>
            <w:vAlign w:val="center"/>
          </w:tcPr>
          <w:p w14:paraId="677F8E4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39C4102D" w14:textId="77777777" w:rsidTr="001C733A">
        <w:trPr>
          <w:trHeight w:val="400"/>
          <w:jc w:val="center"/>
        </w:trPr>
        <w:tc>
          <w:tcPr>
            <w:tcW w:w="7735" w:type="dxa"/>
            <w:gridSpan w:val="2"/>
            <w:shd w:val="clear" w:color="auto" w:fill="D9E2F3"/>
            <w:vAlign w:val="center"/>
          </w:tcPr>
          <w:p w14:paraId="78FA6A11"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Haemophilia type</w:t>
            </w:r>
          </w:p>
        </w:tc>
      </w:tr>
      <w:tr w:rsidR="009B13AD" w:rsidRPr="004D5D6C" w14:paraId="459E3A40" w14:textId="77777777" w:rsidTr="001C733A">
        <w:trPr>
          <w:trHeight w:val="400"/>
          <w:jc w:val="center"/>
        </w:trPr>
        <w:tc>
          <w:tcPr>
            <w:tcW w:w="6025" w:type="dxa"/>
            <w:vAlign w:val="center"/>
          </w:tcPr>
          <w:p w14:paraId="31AD6DE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Haemophilia A and B</w:t>
            </w:r>
          </w:p>
        </w:tc>
        <w:tc>
          <w:tcPr>
            <w:tcW w:w="1710" w:type="dxa"/>
            <w:vAlign w:val="center"/>
          </w:tcPr>
          <w:p w14:paraId="655D4147"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17 (68%)</w:t>
            </w:r>
          </w:p>
        </w:tc>
      </w:tr>
      <w:tr w:rsidR="009B13AD" w:rsidRPr="004D5D6C" w14:paraId="32648655" w14:textId="77777777" w:rsidTr="001C733A">
        <w:trPr>
          <w:trHeight w:val="400"/>
          <w:jc w:val="center"/>
        </w:trPr>
        <w:tc>
          <w:tcPr>
            <w:tcW w:w="6025" w:type="dxa"/>
            <w:vAlign w:val="center"/>
          </w:tcPr>
          <w:p w14:paraId="622D93F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Haemophilia A</w:t>
            </w:r>
          </w:p>
        </w:tc>
        <w:tc>
          <w:tcPr>
            <w:tcW w:w="1710" w:type="dxa"/>
            <w:vAlign w:val="center"/>
          </w:tcPr>
          <w:p w14:paraId="09919DE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5 (20%)</w:t>
            </w:r>
          </w:p>
        </w:tc>
      </w:tr>
      <w:tr w:rsidR="009B13AD" w:rsidRPr="004D5D6C" w14:paraId="4046033F" w14:textId="77777777" w:rsidTr="001C733A">
        <w:trPr>
          <w:trHeight w:val="400"/>
          <w:jc w:val="center"/>
        </w:trPr>
        <w:tc>
          <w:tcPr>
            <w:tcW w:w="6025" w:type="dxa"/>
            <w:vAlign w:val="center"/>
          </w:tcPr>
          <w:p w14:paraId="558240A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Haemophilia B</w:t>
            </w:r>
          </w:p>
        </w:tc>
        <w:tc>
          <w:tcPr>
            <w:tcW w:w="1710" w:type="dxa"/>
            <w:vAlign w:val="center"/>
          </w:tcPr>
          <w:p w14:paraId="00F7DF8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3 (12%)</w:t>
            </w:r>
          </w:p>
        </w:tc>
      </w:tr>
      <w:tr w:rsidR="009B13AD" w:rsidRPr="004D5D6C" w14:paraId="26670E75" w14:textId="77777777" w:rsidTr="001C733A">
        <w:trPr>
          <w:trHeight w:val="400"/>
          <w:jc w:val="center"/>
        </w:trPr>
        <w:tc>
          <w:tcPr>
            <w:tcW w:w="7735" w:type="dxa"/>
            <w:gridSpan w:val="2"/>
            <w:shd w:val="clear" w:color="auto" w:fill="D9E2F3"/>
            <w:vAlign w:val="center"/>
          </w:tcPr>
          <w:p w14:paraId="58F7683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b/>
                <w:bCs/>
                <w:sz w:val="24"/>
                <w:szCs w:val="24"/>
              </w:rPr>
              <w:t>Inhibitor status</w:t>
            </w:r>
          </w:p>
        </w:tc>
      </w:tr>
      <w:tr w:rsidR="009B13AD" w:rsidRPr="004D5D6C" w14:paraId="08220DAE" w14:textId="77777777" w:rsidTr="001C733A">
        <w:trPr>
          <w:trHeight w:val="400"/>
          <w:jc w:val="center"/>
        </w:trPr>
        <w:tc>
          <w:tcPr>
            <w:tcW w:w="6025" w:type="dxa"/>
            <w:vAlign w:val="center"/>
          </w:tcPr>
          <w:p w14:paraId="5AA2629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Haemophilia without inhibitors</w:t>
            </w:r>
          </w:p>
        </w:tc>
        <w:tc>
          <w:tcPr>
            <w:tcW w:w="1710" w:type="dxa"/>
            <w:vAlign w:val="center"/>
          </w:tcPr>
          <w:p w14:paraId="22ADFF2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16 (64%)</w:t>
            </w:r>
          </w:p>
        </w:tc>
      </w:tr>
      <w:tr w:rsidR="009B13AD" w:rsidRPr="004D5D6C" w14:paraId="361E339B" w14:textId="77777777" w:rsidTr="001C733A">
        <w:trPr>
          <w:trHeight w:val="400"/>
          <w:jc w:val="center"/>
        </w:trPr>
        <w:tc>
          <w:tcPr>
            <w:tcW w:w="6025" w:type="dxa"/>
            <w:vAlign w:val="center"/>
          </w:tcPr>
          <w:p w14:paraId="1D737A8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Haemophilia with and without inhibitors</w:t>
            </w:r>
          </w:p>
        </w:tc>
        <w:tc>
          <w:tcPr>
            <w:tcW w:w="1710" w:type="dxa"/>
            <w:vAlign w:val="center"/>
          </w:tcPr>
          <w:p w14:paraId="722FFD8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8 (32%)</w:t>
            </w:r>
          </w:p>
        </w:tc>
      </w:tr>
      <w:tr w:rsidR="009B13AD" w:rsidRPr="004D5D6C" w14:paraId="691E6265" w14:textId="77777777" w:rsidTr="001C733A">
        <w:trPr>
          <w:trHeight w:val="400"/>
          <w:jc w:val="center"/>
        </w:trPr>
        <w:tc>
          <w:tcPr>
            <w:tcW w:w="6025" w:type="dxa"/>
            <w:vAlign w:val="center"/>
          </w:tcPr>
          <w:p w14:paraId="3FAE9C0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Haemophilia with inhibitors</w:t>
            </w:r>
          </w:p>
        </w:tc>
        <w:tc>
          <w:tcPr>
            <w:tcW w:w="1710" w:type="dxa"/>
            <w:vAlign w:val="center"/>
          </w:tcPr>
          <w:p w14:paraId="28A550E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35975B26" w14:textId="77777777" w:rsidTr="001C733A">
        <w:trPr>
          <w:trHeight w:val="400"/>
          <w:jc w:val="center"/>
        </w:trPr>
        <w:tc>
          <w:tcPr>
            <w:tcW w:w="7735" w:type="dxa"/>
            <w:gridSpan w:val="2"/>
            <w:shd w:val="clear" w:color="auto" w:fill="D9E2F3"/>
            <w:vAlign w:val="center"/>
          </w:tcPr>
          <w:p w14:paraId="4DB1B5C6"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Age group</w:t>
            </w:r>
          </w:p>
        </w:tc>
      </w:tr>
      <w:tr w:rsidR="009B13AD" w:rsidRPr="004D5D6C" w14:paraId="22DFBC9A" w14:textId="77777777" w:rsidTr="001C733A">
        <w:trPr>
          <w:trHeight w:val="400"/>
          <w:jc w:val="center"/>
        </w:trPr>
        <w:tc>
          <w:tcPr>
            <w:tcW w:w="6025" w:type="dxa"/>
            <w:vAlign w:val="center"/>
          </w:tcPr>
          <w:p w14:paraId="0A90A21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lastRenderedPageBreak/>
              <w:t>All age groups</w:t>
            </w:r>
          </w:p>
        </w:tc>
        <w:tc>
          <w:tcPr>
            <w:tcW w:w="1710" w:type="dxa"/>
            <w:vAlign w:val="center"/>
          </w:tcPr>
          <w:p w14:paraId="69A610C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12 (48%)</w:t>
            </w:r>
          </w:p>
        </w:tc>
      </w:tr>
      <w:tr w:rsidR="009B13AD" w:rsidRPr="004D5D6C" w14:paraId="577E2BA5" w14:textId="77777777" w:rsidTr="001C733A">
        <w:trPr>
          <w:trHeight w:val="400"/>
          <w:jc w:val="center"/>
        </w:trPr>
        <w:tc>
          <w:tcPr>
            <w:tcW w:w="6025" w:type="dxa"/>
            <w:vAlign w:val="center"/>
          </w:tcPr>
          <w:p w14:paraId="7C532CE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Adults</w:t>
            </w:r>
          </w:p>
        </w:tc>
        <w:tc>
          <w:tcPr>
            <w:tcW w:w="1710" w:type="dxa"/>
            <w:vAlign w:val="center"/>
          </w:tcPr>
          <w:p w14:paraId="1DEE3BF0"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8 (32%)</w:t>
            </w:r>
          </w:p>
        </w:tc>
      </w:tr>
      <w:tr w:rsidR="009B13AD" w:rsidRPr="004D5D6C" w14:paraId="4659BC96" w14:textId="77777777" w:rsidTr="001C733A">
        <w:trPr>
          <w:trHeight w:val="400"/>
          <w:jc w:val="center"/>
        </w:trPr>
        <w:tc>
          <w:tcPr>
            <w:tcW w:w="6025" w:type="dxa"/>
            <w:vAlign w:val="center"/>
          </w:tcPr>
          <w:p w14:paraId="1E5D416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Children and adolescents</w:t>
            </w:r>
          </w:p>
        </w:tc>
        <w:tc>
          <w:tcPr>
            <w:tcW w:w="1710" w:type="dxa"/>
            <w:vAlign w:val="center"/>
          </w:tcPr>
          <w:p w14:paraId="7AA27B1B"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3 (12%)</w:t>
            </w:r>
          </w:p>
        </w:tc>
      </w:tr>
      <w:tr w:rsidR="009B13AD" w:rsidRPr="004D5D6C" w14:paraId="5CC3CF11" w14:textId="77777777" w:rsidTr="001C733A">
        <w:trPr>
          <w:trHeight w:val="400"/>
          <w:jc w:val="center"/>
        </w:trPr>
        <w:tc>
          <w:tcPr>
            <w:tcW w:w="6025" w:type="dxa"/>
            <w:vAlign w:val="center"/>
          </w:tcPr>
          <w:p w14:paraId="7BA4910B"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Adolescents and adults</w:t>
            </w:r>
          </w:p>
        </w:tc>
        <w:tc>
          <w:tcPr>
            <w:tcW w:w="1710" w:type="dxa"/>
            <w:vAlign w:val="center"/>
          </w:tcPr>
          <w:p w14:paraId="735D48E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0FC17B79" w14:textId="77777777" w:rsidTr="001C733A">
        <w:trPr>
          <w:trHeight w:val="400"/>
          <w:jc w:val="center"/>
        </w:trPr>
        <w:tc>
          <w:tcPr>
            <w:tcW w:w="7735" w:type="dxa"/>
            <w:gridSpan w:val="2"/>
            <w:shd w:val="clear" w:color="auto" w:fill="D9E2F3"/>
            <w:vAlign w:val="center"/>
          </w:tcPr>
          <w:p w14:paraId="5EEB9BB6"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Timeline of data collection</w:t>
            </w:r>
          </w:p>
        </w:tc>
      </w:tr>
      <w:tr w:rsidR="009B13AD" w:rsidRPr="004D5D6C" w14:paraId="5A5B203F" w14:textId="77777777" w:rsidTr="001C733A">
        <w:trPr>
          <w:trHeight w:val="400"/>
          <w:jc w:val="center"/>
        </w:trPr>
        <w:tc>
          <w:tcPr>
            <w:tcW w:w="6025" w:type="dxa"/>
            <w:vAlign w:val="center"/>
          </w:tcPr>
          <w:p w14:paraId="0CAA891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Reported</w:t>
            </w:r>
          </w:p>
        </w:tc>
        <w:tc>
          <w:tcPr>
            <w:tcW w:w="1710" w:type="dxa"/>
            <w:vAlign w:val="center"/>
          </w:tcPr>
          <w:p w14:paraId="05599FFB"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18 (72%)</w:t>
            </w:r>
          </w:p>
        </w:tc>
      </w:tr>
      <w:tr w:rsidR="009B13AD" w:rsidRPr="004D5D6C" w14:paraId="0BB0480B" w14:textId="77777777" w:rsidTr="001C733A">
        <w:trPr>
          <w:trHeight w:val="400"/>
          <w:jc w:val="center"/>
        </w:trPr>
        <w:tc>
          <w:tcPr>
            <w:tcW w:w="6025" w:type="dxa"/>
            <w:vAlign w:val="center"/>
          </w:tcPr>
          <w:p w14:paraId="74F0F65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Not reported</w:t>
            </w:r>
          </w:p>
        </w:tc>
        <w:tc>
          <w:tcPr>
            <w:tcW w:w="1710" w:type="dxa"/>
            <w:vAlign w:val="center"/>
          </w:tcPr>
          <w:p w14:paraId="5B273F3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7 (28%)</w:t>
            </w:r>
          </w:p>
        </w:tc>
      </w:tr>
      <w:tr w:rsidR="009B13AD" w:rsidRPr="004D5D6C" w14:paraId="1D5D96A3" w14:textId="77777777" w:rsidTr="001C733A">
        <w:trPr>
          <w:trHeight w:val="400"/>
          <w:jc w:val="center"/>
        </w:trPr>
        <w:tc>
          <w:tcPr>
            <w:tcW w:w="7735" w:type="dxa"/>
            <w:gridSpan w:val="2"/>
            <w:shd w:val="clear" w:color="auto" w:fill="D9E2F3"/>
            <w:vAlign w:val="center"/>
          </w:tcPr>
          <w:p w14:paraId="04C89089" w14:textId="302884CF" w:rsidR="009B13AD" w:rsidRPr="004D5D6C" w:rsidRDefault="00D02042" w:rsidP="009B13AD">
            <w:pPr>
              <w:rPr>
                <w:rFonts w:ascii="Times New Roman" w:hAnsi="Times New Roman" w:cs="Times New Roman"/>
                <w:b/>
                <w:bCs/>
                <w:sz w:val="24"/>
                <w:szCs w:val="24"/>
              </w:rPr>
            </w:pPr>
            <w:r w:rsidRPr="00D02042">
              <w:rPr>
                <w:rFonts w:ascii="Times New Roman" w:hAnsi="Times New Roman" w:cs="Times New Roman"/>
                <w:b/>
                <w:bCs/>
                <w:sz w:val="24"/>
                <w:szCs w:val="24"/>
              </w:rPr>
              <w:t>Type of interventions and comparators</w:t>
            </w:r>
          </w:p>
        </w:tc>
      </w:tr>
      <w:tr w:rsidR="009B13AD" w:rsidRPr="004D5D6C" w14:paraId="2C06CAA7" w14:textId="77777777" w:rsidTr="001C733A">
        <w:trPr>
          <w:trHeight w:val="400"/>
          <w:jc w:val="center"/>
        </w:trPr>
        <w:tc>
          <w:tcPr>
            <w:tcW w:w="6025" w:type="dxa"/>
            <w:vAlign w:val="center"/>
          </w:tcPr>
          <w:p w14:paraId="2A68ADE7"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Routine care</w:t>
            </w:r>
          </w:p>
        </w:tc>
        <w:tc>
          <w:tcPr>
            <w:tcW w:w="1710" w:type="dxa"/>
            <w:vAlign w:val="center"/>
          </w:tcPr>
          <w:p w14:paraId="0CE443B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10 (40%)</w:t>
            </w:r>
          </w:p>
        </w:tc>
      </w:tr>
      <w:tr w:rsidR="009B13AD" w:rsidRPr="004D5D6C" w14:paraId="2B25E8E1" w14:textId="77777777" w:rsidTr="001C733A">
        <w:trPr>
          <w:trHeight w:val="400"/>
          <w:jc w:val="center"/>
        </w:trPr>
        <w:tc>
          <w:tcPr>
            <w:tcW w:w="6025" w:type="dxa"/>
            <w:vAlign w:val="center"/>
          </w:tcPr>
          <w:p w14:paraId="1B99363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Prophylaxis versus episodic treatment</w:t>
            </w:r>
          </w:p>
        </w:tc>
        <w:tc>
          <w:tcPr>
            <w:tcW w:w="1710" w:type="dxa"/>
            <w:vAlign w:val="center"/>
          </w:tcPr>
          <w:p w14:paraId="5FC1DC1B"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6 (24%)</w:t>
            </w:r>
          </w:p>
        </w:tc>
      </w:tr>
      <w:tr w:rsidR="009B13AD" w:rsidRPr="004D5D6C" w14:paraId="4BEF22B3" w14:textId="77777777" w:rsidTr="001C733A">
        <w:trPr>
          <w:trHeight w:val="400"/>
          <w:jc w:val="center"/>
        </w:trPr>
        <w:tc>
          <w:tcPr>
            <w:tcW w:w="6025" w:type="dxa"/>
            <w:vAlign w:val="center"/>
          </w:tcPr>
          <w:p w14:paraId="6863B6E2" w14:textId="1C21D260"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Prophylaxis</w:t>
            </w:r>
            <w:r w:rsidR="00694903">
              <w:rPr>
                <w:rFonts w:ascii="Times New Roman" w:hAnsi="Times New Roman" w:cs="Times New Roman"/>
                <w:sz w:val="24"/>
                <w:szCs w:val="24"/>
              </w:rPr>
              <w:t xml:space="preserve"> </w:t>
            </w:r>
            <w:r w:rsidR="00694903" w:rsidRPr="00694903">
              <w:rPr>
                <w:rFonts w:ascii="Times New Roman" w:hAnsi="Times New Roman" w:cs="Times New Roman"/>
                <w:sz w:val="24"/>
                <w:szCs w:val="24"/>
              </w:rPr>
              <w:t>only</w:t>
            </w:r>
          </w:p>
        </w:tc>
        <w:tc>
          <w:tcPr>
            <w:tcW w:w="1710" w:type="dxa"/>
            <w:vAlign w:val="center"/>
          </w:tcPr>
          <w:p w14:paraId="546BF050"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3 (12%)</w:t>
            </w:r>
          </w:p>
        </w:tc>
      </w:tr>
      <w:tr w:rsidR="009B13AD" w:rsidRPr="004D5D6C" w14:paraId="5B3A1156" w14:textId="77777777" w:rsidTr="001C733A">
        <w:trPr>
          <w:trHeight w:val="400"/>
          <w:jc w:val="center"/>
        </w:trPr>
        <w:tc>
          <w:tcPr>
            <w:tcW w:w="6025" w:type="dxa"/>
            <w:vAlign w:val="center"/>
          </w:tcPr>
          <w:p w14:paraId="30130D9C" w14:textId="5B0247EB"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Episodic treatment</w:t>
            </w:r>
            <w:r w:rsidR="00694903">
              <w:rPr>
                <w:rFonts w:ascii="Times New Roman" w:hAnsi="Times New Roman" w:cs="Times New Roman"/>
                <w:sz w:val="24"/>
                <w:szCs w:val="24"/>
              </w:rPr>
              <w:t xml:space="preserve"> </w:t>
            </w:r>
            <w:r w:rsidR="00694903" w:rsidRPr="00694903">
              <w:rPr>
                <w:rFonts w:ascii="Times New Roman" w:hAnsi="Times New Roman" w:cs="Times New Roman"/>
                <w:sz w:val="24"/>
                <w:szCs w:val="24"/>
              </w:rPr>
              <w:t>only</w:t>
            </w:r>
          </w:p>
        </w:tc>
        <w:tc>
          <w:tcPr>
            <w:tcW w:w="1710" w:type="dxa"/>
            <w:vAlign w:val="center"/>
          </w:tcPr>
          <w:p w14:paraId="65FDF8A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54DBDE1B" w14:textId="77777777" w:rsidTr="001C733A">
        <w:trPr>
          <w:trHeight w:val="400"/>
          <w:jc w:val="center"/>
        </w:trPr>
        <w:tc>
          <w:tcPr>
            <w:tcW w:w="6025" w:type="dxa"/>
            <w:vAlign w:val="center"/>
          </w:tcPr>
          <w:p w14:paraId="5DB8002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Hospital versus home treatment</w:t>
            </w:r>
          </w:p>
        </w:tc>
        <w:tc>
          <w:tcPr>
            <w:tcW w:w="1710" w:type="dxa"/>
            <w:vAlign w:val="center"/>
          </w:tcPr>
          <w:p w14:paraId="76EBF32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0DA42FD9" w14:textId="77777777" w:rsidTr="001C733A">
        <w:trPr>
          <w:trHeight w:val="400"/>
          <w:jc w:val="center"/>
        </w:trPr>
        <w:tc>
          <w:tcPr>
            <w:tcW w:w="6025" w:type="dxa"/>
            <w:vAlign w:val="center"/>
          </w:tcPr>
          <w:p w14:paraId="11E4A1D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HTC versus local healthcare centres</w:t>
            </w:r>
          </w:p>
        </w:tc>
        <w:tc>
          <w:tcPr>
            <w:tcW w:w="1710" w:type="dxa"/>
            <w:vAlign w:val="center"/>
          </w:tcPr>
          <w:p w14:paraId="0B210AB3"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0B908212" w14:textId="77777777" w:rsidTr="001C733A">
        <w:trPr>
          <w:trHeight w:val="400"/>
          <w:jc w:val="center"/>
        </w:trPr>
        <w:tc>
          <w:tcPr>
            <w:tcW w:w="6025" w:type="dxa"/>
            <w:vAlign w:val="center"/>
          </w:tcPr>
          <w:p w14:paraId="6ECC61D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Sports therapy programme versus control group</w:t>
            </w:r>
          </w:p>
        </w:tc>
        <w:tc>
          <w:tcPr>
            <w:tcW w:w="1710" w:type="dxa"/>
            <w:vAlign w:val="center"/>
          </w:tcPr>
          <w:p w14:paraId="31D3207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5A06AC2E" w14:textId="77777777" w:rsidTr="001C733A">
        <w:trPr>
          <w:trHeight w:val="400"/>
          <w:jc w:val="center"/>
        </w:trPr>
        <w:tc>
          <w:tcPr>
            <w:tcW w:w="6025" w:type="dxa"/>
            <w:vAlign w:val="center"/>
          </w:tcPr>
          <w:p w14:paraId="41DA990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rFVIIa vs plasma-derived products</w:t>
            </w:r>
          </w:p>
        </w:tc>
        <w:tc>
          <w:tcPr>
            <w:tcW w:w="1710" w:type="dxa"/>
            <w:vAlign w:val="center"/>
          </w:tcPr>
          <w:p w14:paraId="7A2E372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5BD6BA68" w14:textId="77777777" w:rsidTr="001C733A">
        <w:trPr>
          <w:trHeight w:val="400"/>
          <w:jc w:val="center"/>
        </w:trPr>
        <w:tc>
          <w:tcPr>
            <w:tcW w:w="6025" w:type="dxa"/>
            <w:vAlign w:val="center"/>
          </w:tcPr>
          <w:p w14:paraId="4D0858D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Surgical and orthopaedic interventions</w:t>
            </w:r>
          </w:p>
        </w:tc>
        <w:tc>
          <w:tcPr>
            <w:tcW w:w="1710" w:type="dxa"/>
            <w:vAlign w:val="center"/>
          </w:tcPr>
          <w:p w14:paraId="544450A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198EB7E3" w14:textId="77777777" w:rsidTr="001C733A">
        <w:trPr>
          <w:trHeight w:val="400"/>
          <w:jc w:val="center"/>
        </w:trPr>
        <w:tc>
          <w:tcPr>
            <w:tcW w:w="7735" w:type="dxa"/>
            <w:gridSpan w:val="2"/>
            <w:shd w:val="clear" w:color="auto" w:fill="D9E2F3"/>
            <w:vAlign w:val="center"/>
          </w:tcPr>
          <w:p w14:paraId="57BA1A45"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Type of the economic analysis</w:t>
            </w:r>
          </w:p>
        </w:tc>
      </w:tr>
      <w:tr w:rsidR="009B13AD" w:rsidRPr="004D5D6C" w14:paraId="05EB62E9" w14:textId="77777777" w:rsidTr="001C733A">
        <w:trPr>
          <w:trHeight w:val="400"/>
          <w:jc w:val="center"/>
        </w:trPr>
        <w:tc>
          <w:tcPr>
            <w:tcW w:w="6025" w:type="dxa"/>
            <w:vAlign w:val="center"/>
          </w:tcPr>
          <w:p w14:paraId="13314BB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Cost-of-illness studies</w:t>
            </w:r>
          </w:p>
        </w:tc>
        <w:tc>
          <w:tcPr>
            <w:tcW w:w="1710" w:type="dxa"/>
            <w:vAlign w:val="center"/>
          </w:tcPr>
          <w:p w14:paraId="65338E6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15 (60%)</w:t>
            </w:r>
          </w:p>
        </w:tc>
      </w:tr>
      <w:tr w:rsidR="009B13AD" w:rsidRPr="004D5D6C" w14:paraId="30579C27" w14:textId="77777777" w:rsidTr="001C733A">
        <w:trPr>
          <w:trHeight w:val="400"/>
          <w:jc w:val="center"/>
        </w:trPr>
        <w:tc>
          <w:tcPr>
            <w:tcW w:w="6025" w:type="dxa"/>
            <w:vAlign w:val="center"/>
          </w:tcPr>
          <w:p w14:paraId="323E356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Cost-effectiveness analysis</w:t>
            </w:r>
          </w:p>
        </w:tc>
        <w:tc>
          <w:tcPr>
            <w:tcW w:w="1710" w:type="dxa"/>
            <w:vAlign w:val="center"/>
          </w:tcPr>
          <w:p w14:paraId="1794539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67DD4512" w14:textId="77777777" w:rsidTr="001C733A">
        <w:trPr>
          <w:trHeight w:val="400"/>
          <w:jc w:val="center"/>
        </w:trPr>
        <w:tc>
          <w:tcPr>
            <w:tcW w:w="6025" w:type="dxa"/>
            <w:vAlign w:val="center"/>
          </w:tcPr>
          <w:p w14:paraId="2C0E44E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Cost-utility analysis</w:t>
            </w:r>
          </w:p>
        </w:tc>
        <w:tc>
          <w:tcPr>
            <w:tcW w:w="1710" w:type="dxa"/>
            <w:vAlign w:val="center"/>
          </w:tcPr>
          <w:p w14:paraId="3A764FB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5D3CE732" w14:textId="77777777" w:rsidTr="001C733A">
        <w:trPr>
          <w:trHeight w:val="400"/>
          <w:jc w:val="center"/>
        </w:trPr>
        <w:tc>
          <w:tcPr>
            <w:tcW w:w="6025" w:type="dxa"/>
            <w:vAlign w:val="center"/>
          </w:tcPr>
          <w:p w14:paraId="2EAFADB7"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Cost-minimization analysis</w:t>
            </w:r>
          </w:p>
        </w:tc>
        <w:tc>
          <w:tcPr>
            <w:tcW w:w="1710" w:type="dxa"/>
            <w:vAlign w:val="center"/>
          </w:tcPr>
          <w:p w14:paraId="24A807B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4D86DD69" w14:textId="77777777" w:rsidTr="001C733A">
        <w:trPr>
          <w:trHeight w:val="400"/>
          <w:jc w:val="center"/>
        </w:trPr>
        <w:tc>
          <w:tcPr>
            <w:tcW w:w="6025" w:type="dxa"/>
            <w:vAlign w:val="center"/>
          </w:tcPr>
          <w:p w14:paraId="047E62B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Comparative cost analysis</w:t>
            </w:r>
          </w:p>
        </w:tc>
        <w:tc>
          <w:tcPr>
            <w:tcW w:w="1710" w:type="dxa"/>
            <w:vAlign w:val="center"/>
          </w:tcPr>
          <w:p w14:paraId="7F9D385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2C1B465B" w14:textId="77777777" w:rsidTr="001C733A">
        <w:trPr>
          <w:trHeight w:val="400"/>
          <w:jc w:val="center"/>
        </w:trPr>
        <w:tc>
          <w:tcPr>
            <w:tcW w:w="6025" w:type="dxa"/>
            <w:vAlign w:val="center"/>
          </w:tcPr>
          <w:p w14:paraId="49E8D86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Preliminary cost-benefit analysis</w:t>
            </w:r>
          </w:p>
        </w:tc>
        <w:tc>
          <w:tcPr>
            <w:tcW w:w="1710" w:type="dxa"/>
            <w:vAlign w:val="center"/>
          </w:tcPr>
          <w:p w14:paraId="04C2469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75D47488" w14:textId="77777777" w:rsidTr="001C733A">
        <w:trPr>
          <w:trHeight w:val="400"/>
          <w:jc w:val="center"/>
        </w:trPr>
        <w:tc>
          <w:tcPr>
            <w:tcW w:w="6025" w:type="dxa"/>
            <w:vAlign w:val="center"/>
          </w:tcPr>
          <w:p w14:paraId="2D66E4A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Preliminary cost analysis</w:t>
            </w:r>
          </w:p>
        </w:tc>
        <w:tc>
          <w:tcPr>
            <w:tcW w:w="1710" w:type="dxa"/>
            <w:vAlign w:val="center"/>
          </w:tcPr>
          <w:p w14:paraId="5F5FB5F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0F5382A6" w14:textId="77777777" w:rsidTr="001C733A">
        <w:trPr>
          <w:trHeight w:val="400"/>
          <w:jc w:val="center"/>
        </w:trPr>
        <w:tc>
          <w:tcPr>
            <w:tcW w:w="6025" w:type="dxa"/>
            <w:vAlign w:val="center"/>
          </w:tcPr>
          <w:p w14:paraId="72878143"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Cost analysis</w:t>
            </w:r>
          </w:p>
        </w:tc>
        <w:tc>
          <w:tcPr>
            <w:tcW w:w="1710" w:type="dxa"/>
            <w:vAlign w:val="center"/>
          </w:tcPr>
          <w:p w14:paraId="5376CAEB"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3A5C15C0" w14:textId="77777777" w:rsidTr="001C733A">
        <w:trPr>
          <w:trHeight w:val="400"/>
          <w:jc w:val="center"/>
        </w:trPr>
        <w:tc>
          <w:tcPr>
            <w:tcW w:w="7735" w:type="dxa"/>
            <w:gridSpan w:val="2"/>
            <w:shd w:val="clear" w:color="auto" w:fill="D9E2F3"/>
            <w:vAlign w:val="center"/>
          </w:tcPr>
          <w:p w14:paraId="11C7D5A7"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Cost estimation approach</w:t>
            </w:r>
          </w:p>
        </w:tc>
      </w:tr>
      <w:tr w:rsidR="009B13AD" w:rsidRPr="004D5D6C" w14:paraId="1D371CCD" w14:textId="77777777" w:rsidTr="001C733A">
        <w:trPr>
          <w:trHeight w:val="400"/>
          <w:jc w:val="center"/>
        </w:trPr>
        <w:tc>
          <w:tcPr>
            <w:tcW w:w="6025" w:type="dxa"/>
            <w:vAlign w:val="center"/>
          </w:tcPr>
          <w:p w14:paraId="79BB356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Prevalence-based</w:t>
            </w:r>
          </w:p>
        </w:tc>
        <w:tc>
          <w:tcPr>
            <w:tcW w:w="1710" w:type="dxa"/>
            <w:vAlign w:val="center"/>
          </w:tcPr>
          <w:p w14:paraId="1DFD65C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3 (12%)</w:t>
            </w:r>
          </w:p>
        </w:tc>
      </w:tr>
      <w:tr w:rsidR="009B13AD" w:rsidRPr="004D5D6C" w14:paraId="308F03F1" w14:textId="77777777" w:rsidTr="001C733A">
        <w:trPr>
          <w:trHeight w:val="400"/>
          <w:jc w:val="center"/>
        </w:trPr>
        <w:tc>
          <w:tcPr>
            <w:tcW w:w="6025" w:type="dxa"/>
            <w:vAlign w:val="center"/>
          </w:tcPr>
          <w:p w14:paraId="6658A83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Not reported</w:t>
            </w:r>
          </w:p>
        </w:tc>
        <w:tc>
          <w:tcPr>
            <w:tcW w:w="1710" w:type="dxa"/>
            <w:vAlign w:val="center"/>
          </w:tcPr>
          <w:p w14:paraId="7239DAE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22 (88%)</w:t>
            </w:r>
          </w:p>
        </w:tc>
      </w:tr>
      <w:tr w:rsidR="009B13AD" w:rsidRPr="004D5D6C" w14:paraId="32076FE6" w14:textId="77777777" w:rsidTr="001C733A">
        <w:trPr>
          <w:trHeight w:val="400"/>
          <w:jc w:val="center"/>
        </w:trPr>
        <w:tc>
          <w:tcPr>
            <w:tcW w:w="7735" w:type="dxa"/>
            <w:gridSpan w:val="2"/>
            <w:shd w:val="clear" w:color="auto" w:fill="D9E2F3"/>
            <w:vAlign w:val="center"/>
          </w:tcPr>
          <w:p w14:paraId="7997077E"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Calculation method for cost estimation</w:t>
            </w:r>
          </w:p>
        </w:tc>
      </w:tr>
      <w:tr w:rsidR="009B13AD" w:rsidRPr="004D5D6C" w14:paraId="04B0B82D" w14:textId="77777777" w:rsidTr="001C733A">
        <w:trPr>
          <w:trHeight w:val="400"/>
          <w:jc w:val="center"/>
        </w:trPr>
        <w:tc>
          <w:tcPr>
            <w:tcW w:w="6025" w:type="dxa"/>
            <w:vAlign w:val="center"/>
          </w:tcPr>
          <w:p w14:paraId="625C9F9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Cost valuation</w:t>
            </w:r>
          </w:p>
        </w:tc>
        <w:tc>
          <w:tcPr>
            <w:tcW w:w="1710" w:type="dxa"/>
            <w:vAlign w:val="center"/>
          </w:tcPr>
          <w:p w14:paraId="166390A5"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17 (68%)</w:t>
            </w:r>
          </w:p>
        </w:tc>
      </w:tr>
      <w:tr w:rsidR="009B13AD" w:rsidRPr="004D5D6C" w14:paraId="3DEF987F" w14:textId="77777777" w:rsidTr="001C733A">
        <w:trPr>
          <w:trHeight w:val="400"/>
          <w:jc w:val="center"/>
        </w:trPr>
        <w:tc>
          <w:tcPr>
            <w:tcW w:w="6025" w:type="dxa"/>
            <w:vAlign w:val="center"/>
          </w:tcPr>
          <w:p w14:paraId="0A964C9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Bottom-up</w:t>
            </w:r>
          </w:p>
        </w:tc>
        <w:tc>
          <w:tcPr>
            <w:tcW w:w="1710" w:type="dxa"/>
            <w:vAlign w:val="center"/>
          </w:tcPr>
          <w:p w14:paraId="4305508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3 (12%)</w:t>
            </w:r>
          </w:p>
        </w:tc>
      </w:tr>
      <w:tr w:rsidR="009B13AD" w:rsidRPr="004D5D6C" w14:paraId="3FE6ECE2" w14:textId="77777777" w:rsidTr="001C733A">
        <w:trPr>
          <w:trHeight w:val="400"/>
          <w:jc w:val="center"/>
        </w:trPr>
        <w:tc>
          <w:tcPr>
            <w:tcW w:w="6025" w:type="dxa"/>
            <w:vAlign w:val="center"/>
          </w:tcPr>
          <w:p w14:paraId="2BBA1C3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Incremental cost-utility ratio</w:t>
            </w:r>
          </w:p>
        </w:tc>
        <w:tc>
          <w:tcPr>
            <w:tcW w:w="1710" w:type="dxa"/>
            <w:vAlign w:val="center"/>
          </w:tcPr>
          <w:p w14:paraId="1DD9999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21A170A5" w14:textId="77777777" w:rsidTr="001C733A">
        <w:trPr>
          <w:trHeight w:val="400"/>
          <w:jc w:val="center"/>
        </w:trPr>
        <w:tc>
          <w:tcPr>
            <w:tcW w:w="6025" w:type="dxa"/>
            <w:vAlign w:val="center"/>
          </w:tcPr>
          <w:p w14:paraId="191A739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Cost comparison</w:t>
            </w:r>
          </w:p>
        </w:tc>
        <w:tc>
          <w:tcPr>
            <w:tcW w:w="1710" w:type="dxa"/>
            <w:vAlign w:val="center"/>
          </w:tcPr>
          <w:p w14:paraId="26D056D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1CCCF897" w14:textId="77777777" w:rsidTr="001C733A">
        <w:trPr>
          <w:trHeight w:val="400"/>
          <w:jc w:val="center"/>
        </w:trPr>
        <w:tc>
          <w:tcPr>
            <w:tcW w:w="6025" w:type="dxa"/>
            <w:vAlign w:val="center"/>
          </w:tcPr>
          <w:p w14:paraId="496B364B"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lastRenderedPageBreak/>
              <w:t>Data panel regression analysis</w:t>
            </w:r>
          </w:p>
        </w:tc>
        <w:tc>
          <w:tcPr>
            <w:tcW w:w="1710" w:type="dxa"/>
            <w:vAlign w:val="center"/>
          </w:tcPr>
          <w:p w14:paraId="310EB89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0D798A14" w14:textId="77777777" w:rsidTr="001C733A">
        <w:trPr>
          <w:trHeight w:val="400"/>
          <w:jc w:val="center"/>
        </w:trPr>
        <w:tc>
          <w:tcPr>
            <w:tcW w:w="6025" w:type="dxa"/>
            <w:vAlign w:val="center"/>
          </w:tcPr>
          <w:p w14:paraId="7E696A0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Quality-adjusted life years</w:t>
            </w:r>
          </w:p>
        </w:tc>
        <w:tc>
          <w:tcPr>
            <w:tcW w:w="1710" w:type="dxa"/>
            <w:vAlign w:val="center"/>
          </w:tcPr>
          <w:p w14:paraId="2D14AE90"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4633E1CD" w14:textId="77777777" w:rsidTr="001C733A">
        <w:trPr>
          <w:trHeight w:val="400"/>
          <w:jc w:val="center"/>
        </w:trPr>
        <w:tc>
          <w:tcPr>
            <w:tcW w:w="6025" w:type="dxa"/>
            <w:vAlign w:val="center"/>
          </w:tcPr>
          <w:p w14:paraId="0AB2EAD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Incremental cost per avoided joint bleed</w:t>
            </w:r>
          </w:p>
        </w:tc>
        <w:tc>
          <w:tcPr>
            <w:tcW w:w="1710" w:type="dxa"/>
            <w:vAlign w:val="center"/>
          </w:tcPr>
          <w:p w14:paraId="0CE8488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3A049DAB" w14:textId="77777777" w:rsidTr="001C733A">
        <w:trPr>
          <w:trHeight w:val="400"/>
          <w:jc w:val="center"/>
        </w:trPr>
        <w:tc>
          <w:tcPr>
            <w:tcW w:w="7735" w:type="dxa"/>
            <w:gridSpan w:val="2"/>
            <w:shd w:val="clear" w:color="auto" w:fill="D9E2F3"/>
            <w:vAlign w:val="center"/>
          </w:tcPr>
          <w:p w14:paraId="4F6A3F20"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Frequency of reporting cost categories</w:t>
            </w:r>
          </w:p>
        </w:tc>
      </w:tr>
      <w:tr w:rsidR="009B13AD" w:rsidRPr="004D5D6C" w14:paraId="3652874F" w14:textId="77777777" w:rsidTr="001C733A">
        <w:trPr>
          <w:trHeight w:val="400"/>
          <w:jc w:val="center"/>
        </w:trPr>
        <w:tc>
          <w:tcPr>
            <w:tcW w:w="6025" w:type="dxa"/>
            <w:vAlign w:val="center"/>
          </w:tcPr>
          <w:p w14:paraId="5E218A4D" w14:textId="77777777" w:rsidR="009B13AD" w:rsidRPr="004D5D6C" w:rsidRDefault="009B13AD" w:rsidP="009B13AD">
            <w:pPr>
              <w:rPr>
                <w:rFonts w:ascii="Times New Roman" w:hAnsi="Times New Roman" w:cs="Times New Roman"/>
                <w:sz w:val="24"/>
                <w:szCs w:val="24"/>
              </w:rPr>
            </w:pPr>
            <w:bookmarkStart w:id="10" w:name="_Hlk126859813"/>
            <w:r w:rsidRPr="004D5D6C">
              <w:rPr>
                <w:rFonts w:ascii="Times New Roman" w:hAnsi="Times New Roman" w:cs="Times New Roman"/>
                <w:sz w:val="24"/>
                <w:szCs w:val="24"/>
              </w:rPr>
              <w:t>Cost of haemostatic therapies</w:t>
            </w:r>
          </w:p>
        </w:tc>
        <w:tc>
          <w:tcPr>
            <w:tcW w:w="1710" w:type="dxa"/>
            <w:vAlign w:val="center"/>
          </w:tcPr>
          <w:p w14:paraId="47C39C5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20 (80%)</w:t>
            </w:r>
          </w:p>
        </w:tc>
      </w:tr>
      <w:tr w:rsidR="009B13AD" w:rsidRPr="004D5D6C" w14:paraId="4EE87794" w14:textId="77777777" w:rsidTr="001C733A">
        <w:trPr>
          <w:trHeight w:val="400"/>
          <w:jc w:val="center"/>
        </w:trPr>
        <w:tc>
          <w:tcPr>
            <w:tcW w:w="6025" w:type="dxa"/>
            <w:vAlign w:val="center"/>
          </w:tcPr>
          <w:p w14:paraId="171DAE47"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Direct medical cost</w:t>
            </w:r>
          </w:p>
        </w:tc>
        <w:tc>
          <w:tcPr>
            <w:tcW w:w="1710" w:type="dxa"/>
            <w:vAlign w:val="center"/>
          </w:tcPr>
          <w:p w14:paraId="68B3A5B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25 (100%)</w:t>
            </w:r>
          </w:p>
        </w:tc>
      </w:tr>
      <w:tr w:rsidR="009B13AD" w:rsidRPr="004D5D6C" w14:paraId="0CB3A953" w14:textId="77777777" w:rsidTr="001C733A">
        <w:trPr>
          <w:trHeight w:val="400"/>
          <w:jc w:val="center"/>
        </w:trPr>
        <w:tc>
          <w:tcPr>
            <w:tcW w:w="6025" w:type="dxa"/>
            <w:vAlign w:val="center"/>
          </w:tcPr>
          <w:p w14:paraId="4740416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Direct formal non-medical cost</w:t>
            </w:r>
          </w:p>
        </w:tc>
        <w:tc>
          <w:tcPr>
            <w:tcW w:w="1710" w:type="dxa"/>
            <w:vAlign w:val="center"/>
          </w:tcPr>
          <w:p w14:paraId="071A080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16 (64%)</w:t>
            </w:r>
          </w:p>
        </w:tc>
      </w:tr>
      <w:tr w:rsidR="009B13AD" w:rsidRPr="004D5D6C" w14:paraId="1EB94400" w14:textId="77777777" w:rsidTr="001C733A">
        <w:trPr>
          <w:trHeight w:val="400"/>
          <w:jc w:val="center"/>
        </w:trPr>
        <w:tc>
          <w:tcPr>
            <w:tcW w:w="6025" w:type="dxa"/>
            <w:vAlign w:val="center"/>
          </w:tcPr>
          <w:p w14:paraId="63739D6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Direct informal non-medical cost</w:t>
            </w:r>
          </w:p>
        </w:tc>
        <w:tc>
          <w:tcPr>
            <w:tcW w:w="1710" w:type="dxa"/>
            <w:vAlign w:val="center"/>
          </w:tcPr>
          <w:p w14:paraId="6569965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8 (32%)</w:t>
            </w:r>
          </w:p>
        </w:tc>
      </w:tr>
      <w:tr w:rsidR="009B13AD" w:rsidRPr="004D5D6C" w14:paraId="5CBC1323" w14:textId="77777777" w:rsidTr="001C733A">
        <w:trPr>
          <w:trHeight w:val="400"/>
          <w:jc w:val="center"/>
        </w:trPr>
        <w:tc>
          <w:tcPr>
            <w:tcW w:w="6025" w:type="dxa"/>
            <w:vAlign w:val="center"/>
          </w:tcPr>
          <w:p w14:paraId="447276E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Indirect cost</w:t>
            </w:r>
          </w:p>
        </w:tc>
        <w:tc>
          <w:tcPr>
            <w:tcW w:w="1710" w:type="dxa"/>
            <w:vAlign w:val="center"/>
          </w:tcPr>
          <w:p w14:paraId="7648AA5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24 (96%)</w:t>
            </w:r>
          </w:p>
        </w:tc>
      </w:tr>
      <w:bookmarkEnd w:id="10"/>
      <w:tr w:rsidR="009B13AD" w:rsidRPr="004D5D6C" w14:paraId="3EBF9991" w14:textId="77777777" w:rsidTr="001C733A">
        <w:trPr>
          <w:trHeight w:val="400"/>
          <w:jc w:val="center"/>
        </w:trPr>
        <w:tc>
          <w:tcPr>
            <w:tcW w:w="6025" w:type="dxa"/>
            <w:vAlign w:val="center"/>
          </w:tcPr>
          <w:p w14:paraId="36371AD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Intangible cost</w:t>
            </w:r>
          </w:p>
        </w:tc>
        <w:tc>
          <w:tcPr>
            <w:tcW w:w="1710" w:type="dxa"/>
            <w:vAlign w:val="center"/>
          </w:tcPr>
          <w:p w14:paraId="7B0D0D2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0 (0%)</w:t>
            </w:r>
          </w:p>
        </w:tc>
      </w:tr>
      <w:tr w:rsidR="009B13AD" w:rsidRPr="004D5D6C" w14:paraId="12245F4E" w14:textId="77777777" w:rsidTr="001C733A">
        <w:trPr>
          <w:trHeight w:val="400"/>
          <w:jc w:val="center"/>
        </w:trPr>
        <w:tc>
          <w:tcPr>
            <w:tcW w:w="6025" w:type="dxa"/>
            <w:vAlign w:val="center"/>
          </w:tcPr>
          <w:p w14:paraId="5773334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Total cost</w:t>
            </w:r>
          </w:p>
        </w:tc>
        <w:tc>
          <w:tcPr>
            <w:tcW w:w="1710" w:type="dxa"/>
            <w:vAlign w:val="center"/>
          </w:tcPr>
          <w:p w14:paraId="79822DC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16 (64%)</w:t>
            </w:r>
          </w:p>
        </w:tc>
      </w:tr>
      <w:tr w:rsidR="009B13AD" w:rsidRPr="004D5D6C" w14:paraId="0B3D8D4F" w14:textId="77777777" w:rsidTr="001C733A">
        <w:trPr>
          <w:trHeight w:val="400"/>
          <w:jc w:val="center"/>
        </w:trPr>
        <w:tc>
          <w:tcPr>
            <w:tcW w:w="7735" w:type="dxa"/>
            <w:gridSpan w:val="2"/>
            <w:shd w:val="clear" w:color="auto" w:fill="D9E2F3"/>
            <w:vAlign w:val="center"/>
          </w:tcPr>
          <w:p w14:paraId="1868E59E" w14:textId="388FAC43" w:rsidR="009B13AD" w:rsidRPr="004D5D6C" w:rsidRDefault="00CA46BA" w:rsidP="009B13AD">
            <w:pPr>
              <w:rPr>
                <w:rFonts w:ascii="Times New Roman" w:hAnsi="Times New Roman" w:cs="Times New Roman"/>
                <w:b/>
                <w:bCs/>
                <w:sz w:val="24"/>
                <w:szCs w:val="24"/>
              </w:rPr>
            </w:pPr>
            <w:r w:rsidRPr="00CA46BA">
              <w:rPr>
                <w:rFonts w:ascii="Times New Roman" w:hAnsi="Times New Roman" w:cs="Times New Roman"/>
                <w:b/>
                <w:bCs/>
                <w:sz w:val="24"/>
                <w:szCs w:val="24"/>
              </w:rPr>
              <w:t>Number of the reported cost categories</w:t>
            </w:r>
          </w:p>
        </w:tc>
      </w:tr>
      <w:tr w:rsidR="009B13AD" w:rsidRPr="004D5D6C" w14:paraId="1AC8F89C" w14:textId="77777777" w:rsidTr="001C733A">
        <w:trPr>
          <w:trHeight w:val="400"/>
          <w:jc w:val="center"/>
        </w:trPr>
        <w:tc>
          <w:tcPr>
            <w:tcW w:w="6025" w:type="dxa"/>
            <w:vAlign w:val="center"/>
          </w:tcPr>
          <w:p w14:paraId="5362B7E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 xml:space="preserve">Three </w:t>
            </w:r>
          </w:p>
        </w:tc>
        <w:tc>
          <w:tcPr>
            <w:tcW w:w="1710" w:type="dxa"/>
            <w:vAlign w:val="center"/>
          </w:tcPr>
          <w:p w14:paraId="0D373A6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5 (20%)</w:t>
            </w:r>
          </w:p>
        </w:tc>
      </w:tr>
      <w:tr w:rsidR="009B13AD" w:rsidRPr="004D5D6C" w14:paraId="40CA7DB3" w14:textId="77777777" w:rsidTr="001C733A">
        <w:trPr>
          <w:trHeight w:val="400"/>
          <w:jc w:val="center"/>
        </w:trPr>
        <w:tc>
          <w:tcPr>
            <w:tcW w:w="6025" w:type="dxa"/>
            <w:vAlign w:val="center"/>
          </w:tcPr>
          <w:p w14:paraId="2AF6351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 xml:space="preserve">Four </w:t>
            </w:r>
          </w:p>
        </w:tc>
        <w:tc>
          <w:tcPr>
            <w:tcW w:w="1710" w:type="dxa"/>
            <w:vAlign w:val="center"/>
          </w:tcPr>
          <w:p w14:paraId="425E901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8 (32%)</w:t>
            </w:r>
          </w:p>
        </w:tc>
      </w:tr>
      <w:tr w:rsidR="009B13AD" w:rsidRPr="004D5D6C" w14:paraId="3B0BD60D" w14:textId="77777777" w:rsidTr="001C733A">
        <w:trPr>
          <w:trHeight w:val="400"/>
          <w:jc w:val="center"/>
        </w:trPr>
        <w:tc>
          <w:tcPr>
            <w:tcW w:w="6025" w:type="dxa"/>
            <w:vAlign w:val="center"/>
          </w:tcPr>
          <w:p w14:paraId="3345107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 xml:space="preserve">Five </w:t>
            </w:r>
          </w:p>
        </w:tc>
        <w:tc>
          <w:tcPr>
            <w:tcW w:w="1710" w:type="dxa"/>
            <w:vAlign w:val="center"/>
          </w:tcPr>
          <w:p w14:paraId="7B95C0A1"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10 (40%)</w:t>
            </w:r>
          </w:p>
        </w:tc>
      </w:tr>
      <w:tr w:rsidR="009B13AD" w:rsidRPr="004D5D6C" w14:paraId="5CC7D427" w14:textId="77777777" w:rsidTr="001C733A">
        <w:trPr>
          <w:trHeight w:val="400"/>
          <w:jc w:val="center"/>
        </w:trPr>
        <w:tc>
          <w:tcPr>
            <w:tcW w:w="6025" w:type="dxa"/>
            <w:vAlign w:val="center"/>
          </w:tcPr>
          <w:p w14:paraId="501F8A6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 xml:space="preserve">Six </w:t>
            </w:r>
          </w:p>
        </w:tc>
        <w:tc>
          <w:tcPr>
            <w:tcW w:w="1710" w:type="dxa"/>
            <w:vAlign w:val="center"/>
          </w:tcPr>
          <w:p w14:paraId="650DC83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 (8%)</w:t>
            </w:r>
          </w:p>
        </w:tc>
      </w:tr>
      <w:tr w:rsidR="009B13AD" w:rsidRPr="004D5D6C" w14:paraId="4792AF86" w14:textId="77777777" w:rsidTr="001C733A">
        <w:trPr>
          <w:trHeight w:val="400"/>
          <w:jc w:val="center"/>
        </w:trPr>
        <w:tc>
          <w:tcPr>
            <w:tcW w:w="7735" w:type="dxa"/>
            <w:gridSpan w:val="2"/>
            <w:shd w:val="clear" w:color="auto" w:fill="D9E2F3"/>
            <w:vAlign w:val="center"/>
          </w:tcPr>
          <w:p w14:paraId="7922D001" w14:textId="77777777" w:rsidR="009B13AD" w:rsidRPr="004D5D6C" w:rsidRDefault="009B13AD" w:rsidP="009B13AD">
            <w:pPr>
              <w:rPr>
                <w:rFonts w:ascii="Times New Roman" w:hAnsi="Times New Roman" w:cs="Times New Roman"/>
                <w:b/>
                <w:bCs/>
                <w:sz w:val="24"/>
                <w:szCs w:val="24"/>
              </w:rPr>
            </w:pPr>
            <w:bookmarkStart w:id="11" w:name="_Hlk121703714"/>
            <w:r w:rsidRPr="004D5D6C">
              <w:rPr>
                <w:rFonts w:ascii="Times New Roman" w:hAnsi="Times New Roman" w:cs="Times New Roman"/>
                <w:b/>
                <w:bCs/>
                <w:sz w:val="24"/>
                <w:szCs w:val="24"/>
              </w:rPr>
              <w:t>Type of indirect cost</w:t>
            </w:r>
            <w:bookmarkEnd w:id="11"/>
            <w:r w:rsidRPr="004D5D6C">
              <w:rPr>
                <w:rFonts w:ascii="Times New Roman" w:hAnsi="Times New Roman" w:cs="Times New Roman"/>
                <w:b/>
                <w:bCs/>
                <w:sz w:val="24"/>
                <w:szCs w:val="24"/>
              </w:rPr>
              <w:t>s included</w:t>
            </w:r>
          </w:p>
        </w:tc>
      </w:tr>
      <w:tr w:rsidR="009B13AD" w:rsidRPr="004D5D6C" w14:paraId="58700B43" w14:textId="77777777" w:rsidTr="001C733A">
        <w:trPr>
          <w:trHeight w:val="400"/>
          <w:jc w:val="center"/>
        </w:trPr>
        <w:tc>
          <w:tcPr>
            <w:tcW w:w="6025" w:type="dxa"/>
            <w:vAlign w:val="center"/>
          </w:tcPr>
          <w:p w14:paraId="6164769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Productivity loss</w:t>
            </w:r>
          </w:p>
        </w:tc>
        <w:tc>
          <w:tcPr>
            <w:tcW w:w="1710" w:type="dxa"/>
            <w:vAlign w:val="center"/>
          </w:tcPr>
          <w:p w14:paraId="6625EFD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22 (88%)</w:t>
            </w:r>
          </w:p>
        </w:tc>
      </w:tr>
      <w:tr w:rsidR="009B13AD" w:rsidRPr="004D5D6C" w14:paraId="599960CB" w14:textId="77777777" w:rsidTr="001C733A">
        <w:trPr>
          <w:trHeight w:val="400"/>
          <w:jc w:val="center"/>
        </w:trPr>
        <w:tc>
          <w:tcPr>
            <w:tcW w:w="6025" w:type="dxa"/>
            <w:vAlign w:val="center"/>
          </w:tcPr>
          <w:p w14:paraId="5D6CED9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Productivity gains</w:t>
            </w:r>
          </w:p>
        </w:tc>
        <w:tc>
          <w:tcPr>
            <w:tcW w:w="1710" w:type="dxa"/>
            <w:vAlign w:val="center"/>
          </w:tcPr>
          <w:p w14:paraId="36E3BB6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38CA62BD" w14:textId="77777777" w:rsidTr="001C733A">
        <w:trPr>
          <w:trHeight w:val="400"/>
          <w:jc w:val="center"/>
        </w:trPr>
        <w:tc>
          <w:tcPr>
            <w:tcW w:w="6025" w:type="dxa"/>
            <w:vAlign w:val="center"/>
          </w:tcPr>
          <w:p w14:paraId="6C2327AE"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QALYs</w:t>
            </w:r>
          </w:p>
        </w:tc>
        <w:tc>
          <w:tcPr>
            <w:tcW w:w="1710" w:type="dxa"/>
            <w:vAlign w:val="center"/>
          </w:tcPr>
          <w:p w14:paraId="1BB6398C"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5D3BDAA8" w14:textId="77777777" w:rsidTr="001C733A">
        <w:trPr>
          <w:trHeight w:val="400"/>
          <w:jc w:val="center"/>
        </w:trPr>
        <w:tc>
          <w:tcPr>
            <w:tcW w:w="6025" w:type="dxa"/>
            <w:vAlign w:val="center"/>
          </w:tcPr>
          <w:p w14:paraId="473AACF3"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Not reported</w:t>
            </w:r>
          </w:p>
        </w:tc>
        <w:tc>
          <w:tcPr>
            <w:tcW w:w="1710" w:type="dxa"/>
            <w:vAlign w:val="center"/>
          </w:tcPr>
          <w:p w14:paraId="3109BA4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28EEFC5F" w14:textId="77777777" w:rsidTr="001C733A">
        <w:trPr>
          <w:trHeight w:val="400"/>
          <w:jc w:val="center"/>
        </w:trPr>
        <w:tc>
          <w:tcPr>
            <w:tcW w:w="7735" w:type="dxa"/>
            <w:gridSpan w:val="2"/>
            <w:shd w:val="clear" w:color="auto" w:fill="D9E2F3"/>
            <w:vAlign w:val="center"/>
          </w:tcPr>
          <w:p w14:paraId="5C4046F5"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Calculation method for the indirect cost</w:t>
            </w:r>
          </w:p>
        </w:tc>
      </w:tr>
      <w:tr w:rsidR="009B13AD" w:rsidRPr="004D5D6C" w14:paraId="19229F21" w14:textId="77777777" w:rsidTr="001C733A">
        <w:trPr>
          <w:trHeight w:val="400"/>
          <w:jc w:val="center"/>
        </w:trPr>
        <w:tc>
          <w:tcPr>
            <w:tcW w:w="6025" w:type="dxa"/>
            <w:vAlign w:val="center"/>
          </w:tcPr>
          <w:p w14:paraId="73549A68"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The human capital approach</w:t>
            </w:r>
          </w:p>
        </w:tc>
        <w:tc>
          <w:tcPr>
            <w:tcW w:w="1710" w:type="dxa"/>
            <w:vAlign w:val="center"/>
          </w:tcPr>
          <w:p w14:paraId="0FB4761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18 (72%)</w:t>
            </w:r>
          </w:p>
        </w:tc>
      </w:tr>
      <w:tr w:rsidR="009B13AD" w:rsidRPr="004D5D6C" w14:paraId="02C4A63F" w14:textId="77777777" w:rsidTr="001C733A">
        <w:trPr>
          <w:trHeight w:val="400"/>
          <w:jc w:val="center"/>
        </w:trPr>
        <w:tc>
          <w:tcPr>
            <w:tcW w:w="6025" w:type="dxa"/>
            <w:vAlign w:val="center"/>
          </w:tcPr>
          <w:p w14:paraId="603F81DD"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The friction-cost method</w:t>
            </w:r>
          </w:p>
        </w:tc>
        <w:tc>
          <w:tcPr>
            <w:tcW w:w="1710" w:type="dxa"/>
            <w:vAlign w:val="center"/>
          </w:tcPr>
          <w:p w14:paraId="7F65E30F"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2013BF76" w14:textId="77777777" w:rsidTr="001C733A">
        <w:trPr>
          <w:trHeight w:val="400"/>
          <w:jc w:val="center"/>
        </w:trPr>
        <w:tc>
          <w:tcPr>
            <w:tcW w:w="6025" w:type="dxa"/>
            <w:vAlign w:val="center"/>
          </w:tcPr>
          <w:p w14:paraId="4D2A72A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EQ-5D questionnaire</w:t>
            </w:r>
          </w:p>
        </w:tc>
        <w:tc>
          <w:tcPr>
            <w:tcW w:w="1710" w:type="dxa"/>
            <w:vAlign w:val="center"/>
          </w:tcPr>
          <w:p w14:paraId="707DAAF0"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1 (4%)</w:t>
            </w:r>
          </w:p>
        </w:tc>
      </w:tr>
      <w:tr w:rsidR="009B13AD" w:rsidRPr="004D5D6C" w14:paraId="67F75AFA" w14:textId="77777777" w:rsidTr="001C733A">
        <w:trPr>
          <w:trHeight w:val="400"/>
          <w:jc w:val="center"/>
        </w:trPr>
        <w:tc>
          <w:tcPr>
            <w:tcW w:w="6025" w:type="dxa"/>
            <w:vAlign w:val="center"/>
          </w:tcPr>
          <w:p w14:paraId="30A4D887"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 xml:space="preserve">Generic cost estimation methods  </w:t>
            </w:r>
          </w:p>
        </w:tc>
        <w:tc>
          <w:tcPr>
            <w:tcW w:w="1710" w:type="dxa"/>
            <w:vAlign w:val="center"/>
          </w:tcPr>
          <w:p w14:paraId="3F137189"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5 (20%)</w:t>
            </w:r>
          </w:p>
        </w:tc>
      </w:tr>
      <w:tr w:rsidR="009B13AD" w:rsidRPr="004D5D6C" w14:paraId="5A173201" w14:textId="77777777" w:rsidTr="001C733A">
        <w:trPr>
          <w:trHeight w:val="400"/>
          <w:jc w:val="center"/>
        </w:trPr>
        <w:tc>
          <w:tcPr>
            <w:tcW w:w="7735" w:type="dxa"/>
            <w:gridSpan w:val="2"/>
            <w:shd w:val="clear" w:color="auto" w:fill="D9E2F3"/>
            <w:vAlign w:val="center"/>
          </w:tcPr>
          <w:p w14:paraId="176A0A3B" w14:textId="77777777" w:rsidR="009B13AD" w:rsidRPr="004D5D6C" w:rsidRDefault="009B13AD" w:rsidP="009B13AD">
            <w:pPr>
              <w:rPr>
                <w:rFonts w:ascii="Times New Roman" w:hAnsi="Times New Roman" w:cs="Times New Roman"/>
                <w:b/>
                <w:bCs/>
                <w:sz w:val="24"/>
                <w:szCs w:val="24"/>
              </w:rPr>
            </w:pPr>
            <w:r w:rsidRPr="004D5D6C">
              <w:rPr>
                <w:rFonts w:ascii="Times New Roman" w:hAnsi="Times New Roman" w:cs="Times New Roman"/>
                <w:b/>
                <w:bCs/>
                <w:sz w:val="24"/>
                <w:szCs w:val="24"/>
              </w:rPr>
              <w:t>Cost year</w:t>
            </w:r>
          </w:p>
        </w:tc>
      </w:tr>
      <w:tr w:rsidR="009B13AD" w:rsidRPr="004D5D6C" w14:paraId="040771F1" w14:textId="77777777" w:rsidTr="001C733A">
        <w:trPr>
          <w:trHeight w:val="400"/>
          <w:jc w:val="center"/>
        </w:trPr>
        <w:tc>
          <w:tcPr>
            <w:tcW w:w="6025" w:type="dxa"/>
            <w:vAlign w:val="center"/>
          </w:tcPr>
          <w:p w14:paraId="46E62F86"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Reported</w:t>
            </w:r>
          </w:p>
        </w:tc>
        <w:tc>
          <w:tcPr>
            <w:tcW w:w="1710" w:type="dxa"/>
            <w:vAlign w:val="center"/>
          </w:tcPr>
          <w:p w14:paraId="07B9F562"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22 (88%)</w:t>
            </w:r>
          </w:p>
        </w:tc>
      </w:tr>
      <w:tr w:rsidR="009B13AD" w:rsidRPr="004D5D6C" w14:paraId="7F23C580" w14:textId="77777777" w:rsidTr="001C733A">
        <w:trPr>
          <w:trHeight w:val="400"/>
          <w:jc w:val="center"/>
        </w:trPr>
        <w:tc>
          <w:tcPr>
            <w:tcW w:w="6025" w:type="dxa"/>
            <w:vAlign w:val="center"/>
          </w:tcPr>
          <w:p w14:paraId="2CAAED04"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Not reported</w:t>
            </w:r>
          </w:p>
        </w:tc>
        <w:tc>
          <w:tcPr>
            <w:tcW w:w="1710" w:type="dxa"/>
            <w:vAlign w:val="center"/>
          </w:tcPr>
          <w:p w14:paraId="34536A5A" w14:textId="77777777" w:rsidR="009B13AD" w:rsidRPr="004D5D6C" w:rsidRDefault="009B13AD" w:rsidP="009B13AD">
            <w:pPr>
              <w:rPr>
                <w:rFonts w:ascii="Times New Roman" w:hAnsi="Times New Roman" w:cs="Times New Roman"/>
                <w:sz w:val="24"/>
                <w:szCs w:val="24"/>
              </w:rPr>
            </w:pPr>
            <w:r w:rsidRPr="004D5D6C">
              <w:rPr>
                <w:rFonts w:ascii="Times New Roman" w:hAnsi="Times New Roman" w:cs="Times New Roman"/>
                <w:sz w:val="24"/>
                <w:szCs w:val="24"/>
              </w:rPr>
              <w:t>3 (12%)</w:t>
            </w:r>
          </w:p>
        </w:tc>
      </w:tr>
    </w:tbl>
    <w:p w14:paraId="1A5CB24B" w14:textId="77777777" w:rsidR="009B13AD" w:rsidRPr="004D5D6C" w:rsidRDefault="009B13AD" w:rsidP="009B13AD">
      <w:pPr>
        <w:rPr>
          <w:rFonts w:ascii="Times New Roman" w:eastAsia="DengXian" w:hAnsi="Times New Roman" w:cs="Times New Roman"/>
          <w:sz w:val="24"/>
          <w:szCs w:val="24"/>
        </w:rPr>
      </w:pPr>
    </w:p>
    <w:p w14:paraId="78ECB9CC" w14:textId="6A996FDE" w:rsidR="002E7887" w:rsidRPr="004D5D6C" w:rsidRDefault="009B13AD" w:rsidP="009B13AD">
      <w:pPr>
        <w:rPr>
          <w:rFonts w:asciiTheme="majorBidi" w:eastAsia="Arial" w:hAnsiTheme="majorBidi" w:cstheme="majorBidi"/>
          <w:sz w:val="28"/>
          <w:szCs w:val="28"/>
          <w:lang w:eastAsia="en-US"/>
        </w:rPr>
        <w:sectPr w:rsidR="002E7887" w:rsidRPr="004D5D6C" w:rsidSect="00376CE5">
          <w:pgSz w:w="11906" w:h="16838"/>
          <w:pgMar w:top="1440" w:right="1440" w:bottom="1440" w:left="1440" w:header="720" w:footer="720" w:gutter="0"/>
          <w:cols w:space="720"/>
          <w:docGrid w:linePitch="360"/>
        </w:sectPr>
      </w:pPr>
      <w:r w:rsidRPr="004D5D6C">
        <w:rPr>
          <w:rFonts w:ascii="Times New Roman" w:eastAsia="DengXian" w:hAnsi="Times New Roman" w:cs="Times New Roman"/>
          <w:b/>
          <w:bCs/>
          <w:sz w:val="20"/>
          <w:szCs w:val="20"/>
        </w:rPr>
        <w:t xml:space="preserve">Abbreviations: </w:t>
      </w:r>
      <w:r w:rsidRPr="004D5D6C">
        <w:rPr>
          <w:rFonts w:ascii="Times New Roman" w:eastAsia="Arial" w:hAnsi="Times New Roman" w:cs="Times New Roman"/>
          <w:lang w:eastAsia="en-US"/>
        </w:rPr>
        <w:t>EQ-5D: EuroQoL 5 Dimensions; HTC: haemophilia treatment centre; QALYs: quality-adjusted life years; PwH:</w:t>
      </w:r>
      <w:r w:rsidRPr="004D5D6C">
        <w:rPr>
          <w:rFonts w:ascii="Calibri" w:eastAsia="DengXian" w:hAnsi="Calibri" w:cs="Arial"/>
        </w:rPr>
        <w:t xml:space="preserve"> </w:t>
      </w:r>
      <w:r w:rsidRPr="004D5D6C">
        <w:rPr>
          <w:rFonts w:ascii="Times New Roman" w:eastAsia="Arial" w:hAnsi="Times New Roman" w:cs="Times New Roman"/>
          <w:lang w:eastAsia="en-US"/>
        </w:rPr>
        <w:t>persons with haemophilia; rFVIIa: recombinant activated factor VII.</w:t>
      </w:r>
    </w:p>
    <w:p w14:paraId="5C2C14D2" w14:textId="18A21C01" w:rsidR="00607669" w:rsidRPr="004D5D6C" w:rsidRDefault="00F40403" w:rsidP="00744577">
      <w:pPr>
        <w:jc w:val="center"/>
        <w:rPr>
          <w:rFonts w:asciiTheme="majorBidi" w:hAnsiTheme="majorBidi" w:cstheme="majorBidi"/>
          <w:sz w:val="28"/>
          <w:szCs w:val="28"/>
        </w:rPr>
      </w:pPr>
      <w:bookmarkStart w:id="12" w:name="_Hlk134311409"/>
      <w:bookmarkStart w:id="13" w:name="_Hlk134276617"/>
      <w:bookmarkStart w:id="14" w:name="_Hlk126871718"/>
      <w:bookmarkEnd w:id="0"/>
      <w:r w:rsidRPr="004D5D6C">
        <w:rPr>
          <w:rFonts w:asciiTheme="majorBidi" w:hAnsiTheme="majorBidi" w:cstheme="majorBidi"/>
          <w:b/>
          <w:bCs/>
          <w:sz w:val="28"/>
          <w:szCs w:val="28"/>
        </w:rPr>
        <w:lastRenderedPageBreak/>
        <w:t xml:space="preserve">Supplementary </w:t>
      </w:r>
      <w:r w:rsidR="00607669" w:rsidRPr="004D5D6C">
        <w:rPr>
          <w:rFonts w:asciiTheme="majorBidi" w:hAnsiTheme="majorBidi" w:cstheme="majorBidi"/>
          <w:b/>
          <w:bCs/>
          <w:sz w:val="28"/>
          <w:szCs w:val="28"/>
        </w:rPr>
        <w:t xml:space="preserve">Table </w:t>
      </w:r>
      <w:r w:rsidR="002C60A1" w:rsidRPr="004D5D6C">
        <w:rPr>
          <w:rFonts w:asciiTheme="majorBidi" w:hAnsiTheme="majorBidi" w:cstheme="majorBidi"/>
          <w:b/>
          <w:bCs/>
          <w:sz w:val="28"/>
          <w:szCs w:val="28"/>
        </w:rPr>
        <w:t>3</w:t>
      </w:r>
      <w:r w:rsidR="00FE5C1A" w:rsidRPr="004D5D6C">
        <w:rPr>
          <w:rFonts w:asciiTheme="majorBidi" w:hAnsiTheme="majorBidi" w:cstheme="majorBidi"/>
          <w:b/>
          <w:bCs/>
          <w:sz w:val="28"/>
          <w:szCs w:val="28"/>
        </w:rPr>
        <w:t>.</w:t>
      </w:r>
      <w:r w:rsidR="00607669" w:rsidRPr="004D5D6C">
        <w:rPr>
          <w:rFonts w:asciiTheme="majorBidi" w:hAnsiTheme="majorBidi" w:cstheme="majorBidi"/>
          <w:b/>
          <w:bCs/>
          <w:sz w:val="28"/>
          <w:szCs w:val="28"/>
        </w:rPr>
        <w:t xml:space="preserve"> </w:t>
      </w:r>
      <w:bookmarkStart w:id="15" w:name="_Hlk146822109"/>
      <w:r w:rsidR="00FE5C1A" w:rsidRPr="004D5D6C">
        <w:rPr>
          <w:rFonts w:asciiTheme="majorBidi" w:hAnsiTheme="majorBidi" w:cstheme="majorBidi"/>
          <w:sz w:val="28"/>
          <w:szCs w:val="28"/>
        </w:rPr>
        <w:t xml:space="preserve">Original </w:t>
      </w:r>
      <w:bookmarkEnd w:id="15"/>
      <w:r w:rsidR="00FE5C1A" w:rsidRPr="004D5D6C">
        <w:rPr>
          <w:rFonts w:asciiTheme="majorBidi" w:hAnsiTheme="majorBidi" w:cstheme="majorBidi"/>
          <w:sz w:val="28"/>
          <w:szCs w:val="28"/>
        </w:rPr>
        <w:t>v</w:t>
      </w:r>
      <w:r w:rsidR="00607669" w:rsidRPr="004D5D6C">
        <w:rPr>
          <w:rFonts w:asciiTheme="majorBidi" w:hAnsiTheme="majorBidi" w:cstheme="majorBidi"/>
          <w:sz w:val="28"/>
          <w:szCs w:val="28"/>
        </w:rPr>
        <w:t xml:space="preserve">alues of the </w:t>
      </w:r>
      <w:r w:rsidR="00BE547D" w:rsidRPr="004D5D6C">
        <w:rPr>
          <w:rFonts w:asciiTheme="majorBidi" w:hAnsiTheme="majorBidi" w:cstheme="majorBidi"/>
          <w:sz w:val="28"/>
          <w:szCs w:val="28"/>
        </w:rPr>
        <w:t xml:space="preserve">reported </w:t>
      </w:r>
      <w:r w:rsidR="00607669" w:rsidRPr="004D5D6C">
        <w:rPr>
          <w:rFonts w:asciiTheme="majorBidi" w:hAnsiTheme="majorBidi" w:cstheme="majorBidi"/>
          <w:sz w:val="28"/>
          <w:szCs w:val="28"/>
        </w:rPr>
        <w:t xml:space="preserve">cost categories </w:t>
      </w:r>
      <w:r w:rsidR="00BF0DA1" w:rsidRPr="004D5D6C">
        <w:rPr>
          <w:rFonts w:asciiTheme="majorBidi" w:hAnsiTheme="majorBidi" w:cstheme="majorBidi"/>
          <w:sz w:val="28"/>
          <w:szCs w:val="28"/>
        </w:rPr>
        <w:t>by the included studies</w:t>
      </w:r>
      <w:r w:rsidR="00B708AE" w:rsidRPr="004D5D6C">
        <w:rPr>
          <w:rFonts w:asciiTheme="majorBidi" w:hAnsiTheme="majorBidi" w:cstheme="majorBidi"/>
          <w:sz w:val="28"/>
          <w:szCs w:val="28"/>
        </w:rPr>
        <w:t xml:space="preserve"> (n=25)</w:t>
      </w:r>
      <w:r w:rsidR="001421F6">
        <w:rPr>
          <w:rFonts w:asciiTheme="majorBidi" w:hAnsiTheme="majorBidi" w:cstheme="majorBidi"/>
          <w:sz w:val="28"/>
          <w:szCs w:val="28"/>
        </w:rPr>
        <w:t>.</w:t>
      </w:r>
    </w:p>
    <w:tbl>
      <w:tblPr>
        <w:tblStyle w:val="TableGrid15"/>
        <w:tblW w:w="0" w:type="auto"/>
        <w:tblLook w:val="04A0" w:firstRow="1" w:lastRow="0" w:firstColumn="1" w:lastColumn="0" w:noHBand="0" w:noVBand="1"/>
      </w:tblPr>
      <w:tblGrid>
        <w:gridCol w:w="436"/>
        <w:gridCol w:w="1629"/>
        <w:gridCol w:w="2250"/>
        <w:gridCol w:w="2160"/>
        <w:gridCol w:w="1620"/>
        <w:gridCol w:w="1710"/>
        <w:gridCol w:w="2070"/>
        <w:gridCol w:w="2070"/>
      </w:tblGrid>
      <w:tr w:rsidR="00A12787" w:rsidRPr="004D5D6C" w14:paraId="747B2D84" w14:textId="77777777" w:rsidTr="005359D8">
        <w:trPr>
          <w:trHeight w:val="570"/>
        </w:trPr>
        <w:tc>
          <w:tcPr>
            <w:tcW w:w="436" w:type="dxa"/>
            <w:tcBorders>
              <w:top w:val="single" w:sz="4" w:space="0" w:color="001965"/>
              <w:left w:val="single" w:sz="4" w:space="0" w:color="001965"/>
              <w:bottom w:val="single" w:sz="4" w:space="0" w:color="001965"/>
            </w:tcBorders>
            <w:shd w:val="solid" w:color="001965" w:fill="000000"/>
            <w:noWrap/>
            <w:vAlign w:val="center"/>
            <w:hideMark/>
          </w:tcPr>
          <w:p w14:paraId="222793BC" w14:textId="77777777" w:rsidR="00607669" w:rsidRPr="004D5D6C" w:rsidRDefault="00607669"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w:t>
            </w:r>
          </w:p>
        </w:tc>
        <w:tc>
          <w:tcPr>
            <w:tcW w:w="1629" w:type="dxa"/>
            <w:tcBorders>
              <w:top w:val="single" w:sz="4" w:space="0" w:color="001965"/>
              <w:bottom w:val="single" w:sz="4" w:space="0" w:color="001965"/>
            </w:tcBorders>
            <w:shd w:val="solid" w:color="001965" w:fill="000000"/>
            <w:noWrap/>
            <w:vAlign w:val="center"/>
            <w:hideMark/>
          </w:tcPr>
          <w:p w14:paraId="635B45CC" w14:textId="10F6BA26" w:rsidR="00607669" w:rsidRPr="004D5D6C" w:rsidRDefault="004C41A8"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lang w:eastAsia="en-US"/>
              </w:rPr>
              <w:t>Study</w:t>
            </w:r>
            <w:r w:rsidRPr="004D5D6C">
              <w:rPr>
                <w:rFonts w:ascii="Times New Roman" w:hAnsi="Times New Roman" w:cs="Times New Roman"/>
                <w:b/>
                <w:bCs/>
                <w:sz w:val="24"/>
                <w:szCs w:val="24"/>
                <w:lang w:eastAsia="en-US"/>
              </w:rPr>
              <w:t>*</w:t>
            </w:r>
            <w:r w:rsidRPr="004D5D6C">
              <w:rPr>
                <w:rFonts w:ascii="Times New Roman" w:hAnsi="Times New Roman" w:cs="Times New Roman"/>
                <w:b/>
                <w:bCs/>
                <w:color w:val="FFFFFF"/>
                <w:sz w:val="24"/>
                <w:szCs w:val="24"/>
                <w:lang w:eastAsia="en-US"/>
              </w:rPr>
              <w:t xml:space="preserve"> &amp; currency</w:t>
            </w:r>
          </w:p>
        </w:tc>
        <w:tc>
          <w:tcPr>
            <w:tcW w:w="2250" w:type="dxa"/>
            <w:tcBorders>
              <w:top w:val="single" w:sz="4" w:space="0" w:color="001965"/>
              <w:bottom w:val="single" w:sz="4" w:space="0" w:color="001965"/>
            </w:tcBorders>
            <w:shd w:val="solid" w:color="001965" w:fill="000000"/>
            <w:vAlign w:val="center"/>
            <w:hideMark/>
          </w:tcPr>
          <w:p w14:paraId="3F918D48" w14:textId="7B420519" w:rsidR="00607669" w:rsidRPr="004D5D6C" w:rsidRDefault="000F796B"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Cost of haemostatic therapies</w:t>
            </w:r>
          </w:p>
        </w:tc>
        <w:tc>
          <w:tcPr>
            <w:tcW w:w="2160" w:type="dxa"/>
            <w:tcBorders>
              <w:top w:val="single" w:sz="4" w:space="0" w:color="001965"/>
              <w:bottom w:val="single" w:sz="4" w:space="0" w:color="001965"/>
            </w:tcBorders>
            <w:shd w:val="solid" w:color="001965" w:fill="000000"/>
            <w:vAlign w:val="center"/>
            <w:hideMark/>
          </w:tcPr>
          <w:p w14:paraId="4DE5EBC1" w14:textId="77777777" w:rsidR="00607669" w:rsidRPr="004D5D6C" w:rsidRDefault="00607669"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Direct medical cost</w:t>
            </w:r>
          </w:p>
        </w:tc>
        <w:tc>
          <w:tcPr>
            <w:tcW w:w="1620" w:type="dxa"/>
            <w:tcBorders>
              <w:top w:val="single" w:sz="4" w:space="0" w:color="001965"/>
              <w:bottom w:val="single" w:sz="4" w:space="0" w:color="001965"/>
            </w:tcBorders>
            <w:shd w:val="solid" w:color="001965" w:fill="000000"/>
            <w:vAlign w:val="center"/>
            <w:hideMark/>
          </w:tcPr>
          <w:p w14:paraId="08923AD6" w14:textId="77777777" w:rsidR="00607669" w:rsidRPr="004D5D6C" w:rsidRDefault="00607669"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Direct formal non-med. cost</w:t>
            </w:r>
          </w:p>
        </w:tc>
        <w:tc>
          <w:tcPr>
            <w:tcW w:w="1710" w:type="dxa"/>
            <w:tcBorders>
              <w:top w:val="single" w:sz="4" w:space="0" w:color="001965"/>
              <w:bottom w:val="single" w:sz="4" w:space="0" w:color="001965"/>
            </w:tcBorders>
            <w:shd w:val="solid" w:color="001965" w:fill="000000"/>
            <w:vAlign w:val="center"/>
            <w:hideMark/>
          </w:tcPr>
          <w:p w14:paraId="6CE7D08C" w14:textId="77777777" w:rsidR="00607669" w:rsidRPr="004D5D6C" w:rsidRDefault="00607669"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Direct informal non-med. cost</w:t>
            </w:r>
          </w:p>
        </w:tc>
        <w:tc>
          <w:tcPr>
            <w:tcW w:w="2070" w:type="dxa"/>
            <w:tcBorders>
              <w:top w:val="single" w:sz="4" w:space="0" w:color="001965"/>
              <w:bottom w:val="single" w:sz="4" w:space="0" w:color="001965"/>
            </w:tcBorders>
            <w:shd w:val="solid" w:color="001965" w:fill="000000"/>
            <w:vAlign w:val="center"/>
            <w:hideMark/>
          </w:tcPr>
          <w:p w14:paraId="14387C87" w14:textId="77777777" w:rsidR="00607669" w:rsidRPr="004D5D6C" w:rsidRDefault="00607669"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Indirect cost</w:t>
            </w:r>
          </w:p>
        </w:tc>
        <w:tc>
          <w:tcPr>
            <w:tcW w:w="2070" w:type="dxa"/>
            <w:tcBorders>
              <w:top w:val="single" w:sz="4" w:space="0" w:color="001965"/>
              <w:bottom w:val="single" w:sz="4" w:space="0" w:color="001965"/>
              <w:right w:val="single" w:sz="4" w:space="0" w:color="001965"/>
            </w:tcBorders>
            <w:shd w:val="solid" w:color="001965" w:fill="000000"/>
            <w:vAlign w:val="center"/>
            <w:hideMark/>
          </w:tcPr>
          <w:p w14:paraId="560E0FA6" w14:textId="77777777" w:rsidR="00607669" w:rsidRPr="004D5D6C" w:rsidRDefault="00607669" w:rsidP="001E6A9C">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Total cost</w:t>
            </w:r>
          </w:p>
        </w:tc>
      </w:tr>
      <w:tr w:rsidR="007C39B7" w:rsidRPr="004D5D6C" w14:paraId="2A2DEFF7" w14:textId="77777777" w:rsidTr="005359D8">
        <w:trPr>
          <w:trHeight w:val="368"/>
        </w:trPr>
        <w:tc>
          <w:tcPr>
            <w:tcW w:w="436" w:type="dxa"/>
            <w:tcBorders>
              <w:top w:val="single" w:sz="4" w:space="0" w:color="001965"/>
            </w:tcBorders>
            <w:shd w:val="clear" w:color="auto" w:fill="DBE5F1"/>
            <w:noWrap/>
            <w:vAlign w:val="center"/>
            <w:hideMark/>
          </w:tcPr>
          <w:p w14:paraId="348E1578"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w:t>
            </w:r>
          </w:p>
        </w:tc>
        <w:tc>
          <w:tcPr>
            <w:tcW w:w="1629" w:type="dxa"/>
            <w:tcBorders>
              <w:top w:val="single" w:sz="4" w:space="0" w:color="001965"/>
            </w:tcBorders>
            <w:noWrap/>
            <w:vAlign w:val="center"/>
            <w:hideMark/>
          </w:tcPr>
          <w:p w14:paraId="49DA6174" w14:textId="735350E5"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Ingram et al., 1979, (£)</w:t>
            </w:r>
            <w:r w:rsidR="005F6F97">
              <w:rPr>
                <w:rFonts w:ascii="Times New Roman" w:hAnsi="Times New Roman" w:cs="Times New Roman"/>
              </w:rPr>
              <w:t xml:space="preserve"> </w:t>
            </w:r>
            <w:r w:rsidR="00DA19D3">
              <w:rPr>
                <w:rFonts w:ascii="Times New Roman" w:hAnsi="Times New Roman" w:cs="Times New Roman"/>
              </w:rPr>
              <w:fldChar w:fldCharType="begin" w:fldLock="1"/>
            </w:r>
            <w:r w:rsidR="00DA19D3">
              <w:rPr>
                <w:rFonts w:ascii="Times New Roman" w:hAnsi="Times New Roman" w:cs="Times New Roman"/>
              </w:rPr>
              <w:instrText>ADDIN CSL_CITATION {"citationItems":[{"id":"ITEM-1","itemData":{"DOI":"10.1111/j.1365-2257.1979.tb00586.x","ISSN":"0141-9854 (Print)","PMID":"535301","abstract":"Twenty-eight severely affected haemophiliacs were observed for 3 months under  treatment as hospital out-patients and for the subsequent 9 months while treating themselves at home. Delay in receiving treatment and financial costs were both clearly reduced by home treatment, the patients recovered from individual bleeds more quickly and reported a greater sense of personal freedom and independence. The amount of treatment required did not materially change and no untoward effects were noted; the use of analgesics tended to be less.","author":[{"dropping-particle":"","family":"Ingram","given":"G I","non-dropping-particle":"","parse-names":false,"suffix":""},{"dropping-particle":"","family":"Dykes","given":"S R","non-dropping-particle":"","parse-names":false,"suffix":""},{"dropping-particle":"","family":"Creese","given":"A L","non-dropping-particle":"","parse-names":false,"suffix":""},{"dropping-particle":"","family":"Mellor","given":"P","non-dropping-particle":"","parse-names":false,"suffix":""},{"dropping-particle":"V","family":"Swan","given":"A","non-dropping-particle":"","parse-names":false,"suffix":""},{"dropping-particle":"","family":"Kaufert","given":"J K","non-dropping-particle":"","parse-names":false,"suffix":""},{"dropping-particle":"","family":"Rizza","given":"C R","non-dropping-particle":"","parse-names":false,"suffix":""},{"dropping-particle":"","family":"Spooner","given":"R J","non-dropping-particle":"","parse-names":false,"suffix":""},{"dropping-particle":"","family":"Biggs","given":"R","non-dropping-particle":"","parse-names":false,"suffix":""}],"container-title":"Clinical and laboratory haematology","id":"ITEM-1","issue":"1","issued":{"date-parts":[["1979"]]},"language":"eng","page":"13-27","publisher-place":"England","title":"Home treatment in haemophilia: clinical, social and economic advantages.","type":"article-journal","volume":"1"},"uris":["http://www.mendeley.com/documents/?uuid=0f58a2e2-e210-4f27-be22-9b573ab2c400"]}],"mendeley":{"formattedCitation":"[1]","plainTextFormattedCitation":"[1]","previouslyFormattedCitation":"[1]"},"properties":{"noteIndex":0},"schema":"https://github.com/citation-style-language/schema/raw/master/csl-citation.json"}</w:instrText>
            </w:r>
            <w:r w:rsidR="00DA19D3">
              <w:rPr>
                <w:rFonts w:ascii="Times New Roman" w:hAnsi="Times New Roman" w:cs="Times New Roman"/>
              </w:rPr>
              <w:fldChar w:fldCharType="separate"/>
            </w:r>
            <w:r w:rsidR="00DA19D3" w:rsidRPr="00DA19D3">
              <w:rPr>
                <w:rFonts w:ascii="Times New Roman" w:hAnsi="Times New Roman" w:cs="Times New Roman"/>
                <w:noProof/>
              </w:rPr>
              <w:t>[1]</w:t>
            </w:r>
            <w:r w:rsidR="00DA19D3">
              <w:rPr>
                <w:rFonts w:ascii="Times New Roman" w:hAnsi="Times New Roman" w:cs="Times New Roman"/>
              </w:rPr>
              <w:fldChar w:fldCharType="end"/>
            </w:r>
          </w:p>
        </w:tc>
        <w:tc>
          <w:tcPr>
            <w:tcW w:w="2250" w:type="dxa"/>
            <w:tcBorders>
              <w:top w:val="single" w:sz="4" w:space="0" w:color="001965"/>
            </w:tcBorders>
            <w:vAlign w:val="center"/>
            <w:hideMark/>
          </w:tcPr>
          <w:p w14:paraId="59D97635"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5490" w:type="dxa"/>
            <w:gridSpan w:val="3"/>
            <w:tcBorders>
              <w:top w:val="single" w:sz="4" w:space="0" w:color="001965"/>
            </w:tcBorders>
            <w:vAlign w:val="center"/>
            <w:hideMark/>
          </w:tcPr>
          <w:p w14:paraId="0698ABA5"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Hospital outpatient: 3.47; Home: 0.88/bleed˟</w:t>
            </w:r>
          </w:p>
        </w:tc>
        <w:tc>
          <w:tcPr>
            <w:tcW w:w="2070" w:type="dxa"/>
            <w:tcBorders>
              <w:top w:val="single" w:sz="4" w:space="0" w:color="001965"/>
            </w:tcBorders>
            <w:vAlign w:val="center"/>
            <w:hideMark/>
          </w:tcPr>
          <w:p w14:paraId="29FD8AF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Hospital outpatient: 72.5; Home: 22/bleed</w:t>
            </w:r>
          </w:p>
        </w:tc>
        <w:tc>
          <w:tcPr>
            <w:tcW w:w="2070" w:type="dxa"/>
            <w:tcBorders>
              <w:top w:val="single" w:sz="4" w:space="0" w:color="001965"/>
            </w:tcBorders>
            <w:vAlign w:val="center"/>
            <w:hideMark/>
          </w:tcPr>
          <w:p w14:paraId="7ECA18F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r>
      <w:tr w:rsidR="007C39B7" w:rsidRPr="004D5D6C" w14:paraId="1A736263" w14:textId="77777777" w:rsidTr="005359D8">
        <w:trPr>
          <w:trHeight w:val="611"/>
        </w:trPr>
        <w:tc>
          <w:tcPr>
            <w:tcW w:w="436" w:type="dxa"/>
            <w:shd w:val="clear" w:color="auto" w:fill="DBE5F1"/>
            <w:noWrap/>
            <w:vAlign w:val="center"/>
            <w:hideMark/>
          </w:tcPr>
          <w:p w14:paraId="3F5B9DFD"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2</w:t>
            </w:r>
          </w:p>
        </w:tc>
        <w:tc>
          <w:tcPr>
            <w:tcW w:w="1629" w:type="dxa"/>
            <w:noWrap/>
            <w:vAlign w:val="center"/>
            <w:hideMark/>
          </w:tcPr>
          <w:p w14:paraId="38C8C2C9" w14:textId="114D476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Schimpf and Niederberger, 1981, DM</w:t>
            </w:r>
            <w:r w:rsidR="00DA19D3">
              <w:rPr>
                <w:rFonts w:ascii="Times New Roman" w:hAnsi="Times New Roman" w:cs="Times New Roman"/>
              </w:rPr>
              <w:t xml:space="preserve"> </w:t>
            </w:r>
            <w:r w:rsidR="00DA19D3">
              <w:rPr>
                <w:rFonts w:ascii="Times New Roman" w:hAnsi="Times New Roman" w:cs="Times New Roman"/>
              </w:rPr>
              <w:fldChar w:fldCharType="begin" w:fldLock="1"/>
            </w:r>
            <w:r w:rsidR="00223EA3">
              <w:rPr>
                <w:rFonts w:ascii="Times New Roman" w:hAnsi="Times New Roman" w:cs="Times New Roman"/>
              </w:rPr>
              <w:instrText>ADDIN CSL_CITATION {"citationItems":[{"id":"ITEM-1","itemData":{"ISSN":"1424-8832","author":[{"dropping-particle":"","family":"Schimpf","given":"K","non-dropping-particle":"","parse-names":false,"suffix":""},{"dropping-particle":"","family":"Niederberger","given":"M","non-dropping-particle":"","parse-names":false,"suffix":""}],"container-title":"Pathophysiology of Haemostasis and Thrombosis","id":"ITEM-1","issue":"Suppl. 1","issued":{"date-parts":[["1981"]]},"page":"185-187","publisher":"Karger Publishers","title":"Cost effectiveness in treatment of severe hemophilia","type":"article-journal","volume":"10"},"uris":["http://www.mendeley.com/documents/?uuid=6c251aae-d64d-4484-b06a-441612086980"]}],"mendeley":{"formattedCitation":"[2]","plainTextFormattedCitation":"[2]","previouslyFormattedCitation":"[2]"},"properties":{"noteIndex":0},"schema":"https://github.com/citation-style-language/schema/raw/master/csl-citation.json"}</w:instrText>
            </w:r>
            <w:r w:rsidR="00DA19D3">
              <w:rPr>
                <w:rFonts w:ascii="Times New Roman" w:hAnsi="Times New Roman" w:cs="Times New Roman"/>
              </w:rPr>
              <w:fldChar w:fldCharType="separate"/>
            </w:r>
            <w:r w:rsidR="00DA19D3" w:rsidRPr="00DA19D3">
              <w:rPr>
                <w:rFonts w:ascii="Times New Roman" w:hAnsi="Times New Roman" w:cs="Times New Roman"/>
                <w:noProof/>
              </w:rPr>
              <w:t>[2]</w:t>
            </w:r>
            <w:r w:rsidR="00DA19D3">
              <w:rPr>
                <w:rFonts w:ascii="Times New Roman" w:hAnsi="Times New Roman" w:cs="Times New Roman"/>
              </w:rPr>
              <w:fldChar w:fldCharType="end"/>
            </w:r>
          </w:p>
        </w:tc>
        <w:tc>
          <w:tcPr>
            <w:tcW w:w="2250" w:type="dxa"/>
            <w:vAlign w:val="center"/>
            <w:hideMark/>
          </w:tcPr>
          <w:p w14:paraId="08E564A0" w14:textId="4E8FAD86" w:rsidR="00607669" w:rsidRPr="004D5D6C" w:rsidRDefault="00B42DFE" w:rsidP="001E6A9C">
            <w:pPr>
              <w:jc w:val="center"/>
              <w:rPr>
                <w:rFonts w:ascii="Times New Roman" w:hAnsi="Times New Roman" w:cs="Times New Roman"/>
              </w:rPr>
            </w:pPr>
            <w:r w:rsidRPr="004D5D6C">
              <w:rPr>
                <w:rFonts w:ascii="Times New Roman" w:hAnsi="Times New Roman" w:cs="Times New Roman"/>
              </w:rPr>
              <w:t>47,903</w:t>
            </w:r>
            <w:r w:rsidRPr="004D5D6C">
              <w:rPr>
                <w:rFonts w:asciiTheme="majorBidi" w:hAnsiTheme="majorBidi" w:cstheme="majorBidi"/>
                <w:sz w:val="20"/>
                <w:szCs w:val="20"/>
                <w:vertAlign w:val="superscript"/>
              </w:rPr>
              <w:t>ε</w:t>
            </w:r>
          </w:p>
        </w:tc>
        <w:tc>
          <w:tcPr>
            <w:tcW w:w="2160" w:type="dxa"/>
            <w:vAlign w:val="center"/>
            <w:hideMark/>
          </w:tcPr>
          <w:p w14:paraId="63520C2A" w14:textId="2DDE7893" w:rsidR="00607669" w:rsidRPr="004D5D6C" w:rsidRDefault="004272C6" w:rsidP="001E6A9C">
            <w:pPr>
              <w:jc w:val="center"/>
              <w:rPr>
                <w:rFonts w:ascii="Times New Roman" w:hAnsi="Times New Roman" w:cs="Times New Roman"/>
              </w:rPr>
            </w:pPr>
            <w:r w:rsidRPr="004D5D6C">
              <w:rPr>
                <w:rFonts w:ascii="Times New Roman" w:hAnsi="Times New Roman" w:cs="Times New Roman"/>
              </w:rPr>
              <w:t>1,431</w:t>
            </w:r>
            <w:r w:rsidR="00654E55" w:rsidRPr="004D5D6C">
              <w:rPr>
                <w:rFonts w:ascii="Times New Roman" w:hAnsi="Times New Roman" w:cs="Times New Roman"/>
              </w:rPr>
              <w:t>˟</w:t>
            </w:r>
            <w:r w:rsidR="00F825E5" w:rsidRPr="004D5D6C">
              <w:rPr>
                <w:rFonts w:asciiTheme="majorBidi" w:hAnsiTheme="majorBidi" w:cstheme="majorBidi"/>
                <w:sz w:val="20"/>
                <w:szCs w:val="20"/>
                <w:vertAlign w:val="superscript"/>
              </w:rPr>
              <w:t>ε</w:t>
            </w:r>
          </w:p>
        </w:tc>
        <w:tc>
          <w:tcPr>
            <w:tcW w:w="1620" w:type="dxa"/>
            <w:vAlign w:val="center"/>
            <w:hideMark/>
          </w:tcPr>
          <w:p w14:paraId="5DA9906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4D14D35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32FDC033" w14:textId="4F543B6C" w:rsidR="00607669" w:rsidRPr="004D5D6C" w:rsidRDefault="0062020B" w:rsidP="001E6A9C">
            <w:pPr>
              <w:jc w:val="center"/>
              <w:rPr>
                <w:rFonts w:ascii="Times New Roman" w:hAnsi="Times New Roman" w:cs="Times New Roman"/>
              </w:rPr>
            </w:pPr>
            <w:r w:rsidRPr="004D5D6C">
              <w:rPr>
                <w:rFonts w:ascii="Times New Roman" w:hAnsi="Times New Roman" w:cs="Times New Roman"/>
              </w:rPr>
              <w:t>-34,155</w:t>
            </w:r>
            <w:r w:rsidRPr="004D5D6C">
              <w:rPr>
                <w:rFonts w:asciiTheme="majorBidi" w:hAnsiTheme="majorBidi" w:cstheme="majorBidi"/>
                <w:sz w:val="20"/>
                <w:szCs w:val="20"/>
                <w:vertAlign w:val="superscript"/>
              </w:rPr>
              <w:t>ε</w:t>
            </w:r>
          </w:p>
        </w:tc>
        <w:tc>
          <w:tcPr>
            <w:tcW w:w="2070" w:type="dxa"/>
            <w:vAlign w:val="center"/>
            <w:hideMark/>
          </w:tcPr>
          <w:p w14:paraId="4BC33274" w14:textId="0C9F4EC9" w:rsidR="00607669" w:rsidRPr="004D5D6C" w:rsidRDefault="00EC5F3A" w:rsidP="001E6A9C">
            <w:pPr>
              <w:jc w:val="center"/>
              <w:rPr>
                <w:rFonts w:ascii="Times New Roman" w:hAnsi="Times New Roman" w:cs="Times New Roman"/>
              </w:rPr>
            </w:pPr>
            <w:r w:rsidRPr="004D5D6C">
              <w:rPr>
                <w:rFonts w:ascii="Times New Roman" w:hAnsi="Times New Roman" w:cs="Times New Roman"/>
              </w:rPr>
              <w:t>15,179</w:t>
            </w:r>
            <w:r w:rsidRPr="004D5D6C">
              <w:rPr>
                <w:rFonts w:asciiTheme="majorBidi" w:hAnsiTheme="majorBidi" w:cstheme="majorBidi"/>
                <w:sz w:val="20"/>
                <w:szCs w:val="20"/>
                <w:vertAlign w:val="superscript"/>
              </w:rPr>
              <w:t>§</w:t>
            </w:r>
          </w:p>
        </w:tc>
      </w:tr>
      <w:tr w:rsidR="007C39B7" w:rsidRPr="004D5D6C" w14:paraId="24D6D16B" w14:textId="77777777" w:rsidTr="005359D8">
        <w:trPr>
          <w:trHeight w:val="550"/>
        </w:trPr>
        <w:tc>
          <w:tcPr>
            <w:tcW w:w="436" w:type="dxa"/>
            <w:shd w:val="clear" w:color="auto" w:fill="DBE5F1"/>
            <w:noWrap/>
            <w:vAlign w:val="center"/>
            <w:hideMark/>
          </w:tcPr>
          <w:p w14:paraId="57922610"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3</w:t>
            </w:r>
          </w:p>
        </w:tc>
        <w:tc>
          <w:tcPr>
            <w:tcW w:w="1629" w:type="dxa"/>
            <w:noWrap/>
            <w:vAlign w:val="center"/>
            <w:hideMark/>
          </w:tcPr>
          <w:p w14:paraId="1CCB1333" w14:textId="628709C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Szucs et al., 1996, DM</w:t>
            </w:r>
            <w:r w:rsidR="00223EA3">
              <w:rPr>
                <w:rFonts w:ascii="Times New Roman" w:hAnsi="Times New Roman" w:cs="Times New Roman"/>
              </w:rPr>
              <w:t xml:space="preserve"> </w:t>
            </w:r>
            <w:r w:rsidR="00223EA3">
              <w:rPr>
                <w:rFonts w:ascii="Times New Roman" w:hAnsi="Times New Roman" w:cs="Times New Roman"/>
              </w:rPr>
              <w:fldChar w:fldCharType="begin" w:fldLock="1"/>
            </w:r>
            <w:r w:rsidR="00223EA3">
              <w:rPr>
                <w:rFonts w:ascii="Times New Roman" w:hAnsi="Times New Roman" w:cs="Times New Roman"/>
              </w:rPr>
              <w:instrText>ADDIN CSL_CITATION {"citationItems":[{"id":"ITEM-1","itemData":{"ISSN":"1351-8216","author":[{"dropping-particle":"","family":"Szucs","given":"T D","non-dropping-particle":"","parse-names":false,"suffix":""},{"dropping-particle":"","family":"Öffner","given":"A","non-dropping-particle":"","parse-names":false,"suffix":""},{"dropping-particle":"","family":"Schramm","given":"W","non-dropping-particle":"","parse-names":false,"suffix":""}],"container-title":"Haemophilia","id":"ITEM-1","issue":"4","issued":{"date-parts":[["1996"]]},"page":"211-217","publisher":"Wiley Online Library","title":"Socioeconomic impact of haemophilia care: results of a pilot study","type":"article-journal","volume":"2"},"uris":["http://www.mendeley.com/documents/?uuid=269a0487-f367-4e48-affc-6aaa5f550a14"]}],"mendeley":{"formattedCitation":"[3]","plainTextFormattedCitation":"[3]","previouslyFormattedCitation":"[3]"},"properties":{"noteIndex":0},"schema":"https://github.com/citation-style-language/schema/raw/master/csl-citation.json"}</w:instrText>
            </w:r>
            <w:r w:rsidR="00223EA3">
              <w:rPr>
                <w:rFonts w:ascii="Times New Roman" w:hAnsi="Times New Roman" w:cs="Times New Roman"/>
              </w:rPr>
              <w:fldChar w:fldCharType="separate"/>
            </w:r>
            <w:r w:rsidR="00223EA3" w:rsidRPr="00223EA3">
              <w:rPr>
                <w:rFonts w:ascii="Times New Roman" w:hAnsi="Times New Roman" w:cs="Times New Roman"/>
                <w:noProof/>
              </w:rPr>
              <w:t>[3]</w:t>
            </w:r>
            <w:r w:rsidR="00223EA3">
              <w:rPr>
                <w:rFonts w:ascii="Times New Roman" w:hAnsi="Times New Roman" w:cs="Times New Roman"/>
              </w:rPr>
              <w:fldChar w:fldCharType="end"/>
            </w:r>
          </w:p>
        </w:tc>
        <w:tc>
          <w:tcPr>
            <w:tcW w:w="2250" w:type="dxa"/>
            <w:vAlign w:val="center"/>
            <w:hideMark/>
          </w:tcPr>
          <w:p w14:paraId="35AC47C5"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56,436; ODT: 34,212ᴺ</w:t>
            </w:r>
          </w:p>
        </w:tc>
        <w:tc>
          <w:tcPr>
            <w:tcW w:w="2160" w:type="dxa"/>
            <w:vAlign w:val="center"/>
            <w:hideMark/>
          </w:tcPr>
          <w:p w14:paraId="2D4A2BE8" w14:textId="40C777E4" w:rsidR="00607669" w:rsidRPr="004D5D6C" w:rsidRDefault="00607669" w:rsidP="001E6A9C">
            <w:pPr>
              <w:jc w:val="center"/>
              <w:rPr>
                <w:rFonts w:ascii="Times New Roman" w:hAnsi="Times New Roman" w:cs="Times New Roman"/>
              </w:rPr>
            </w:pPr>
            <w:r w:rsidRPr="004D5D6C">
              <w:rPr>
                <w:rFonts w:ascii="Times New Roman" w:hAnsi="Times New Roman" w:cs="Times New Roman"/>
              </w:rPr>
              <w:t xml:space="preserve">PPX: </w:t>
            </w:r>
            <w:r w:rsidR="00424F54" w:rsidRPr="004D5D6C">
              <w:rPr>
                <w:rFonts w:ascii="Times New Roman" w:hAnsi="Times New Roman" w:cs="Times New Roman"/>
              </w:rPr>
              <w:t>54</w:t>
            </w:r>
            <w:r w:rsidRPr="004D5D6C">
              <w:rPr>
                <w:rFonts w:ascii="Times New Roman" w:hAnsi="Times New Roman" w:cs="Times New Roman"/>
              </w:rPr>
              <w:t xml:space="preserve">; ODT: </w:t>
            </w:r>
            <w:r w:rsidR="00424F54" w:rsidRPr="004D5D6C">
              <w:rPr>
                <w:rFonts w:ascii="Times New Roman" w:hAnsi="Times New Roman" w:cs="Times New Roman"/>
              </w:rPr>
              <w:t>294</w:t>
            </w:r>
            <w:r w:rsidR="00344DF3" w:rsidRPr="004D5D6C">
              <w:rPr>
                <w:rFonts w:ascii="Times New Roman" w:hAnsi="Times New Roman" w:cs="Times New Roman"/>
              </w:rPr>
              <w:t>˟</w:t>
            </w:r>
            <w:r w:rsidR="00424F54" w:rsidRPr="004D5D6C">
              <w:rPr>
                <w:rFonts w:asciiTheme="majorBidi" w:hAnsiTheme="majorBidi" w:cstheme="majorBidi"/>
                <w:sz w:val="20"/>
                <w:szCs w:val="20"/>
                <w:vertAlign w:val="superscript"/>
              </w:rPr>
              <w:t>§</w:t>
            </w:r>
          </w:p>
        </w:tc>
        <w:tc>
          <w:tcPr>
            <w:tcW w:w="1620" w:type="dxa"/>
            <w:vAlign w:val="center"/>
            <w:hideMark/>
          </w:tcPr>
          <w:p w14:paraId="118326D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6F76E657"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3F6F93B0"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376; ODT: 1,560ᴺ</w:t>
            </w:r>
          </w:p>
        </w:tc>
        <w:tc>
          <w:tcPr>
            <w:tcW w:w="2070" w:type="dxa"/>
            <w:vAlign w:val="center"/>
            <w:hideMark/>
          </w:tcPr>
          <w:p w14:paraId="368198FC"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56,866; ODT: 36,066ᴺ</w:t>
            </w:r>
          </w:p>
        </w:tc>
      </w:tr>
      <w:tr w:rsidR="007C39B7" w:rsidRPr="004D5D6C" w14:paraId="0DB6F8D3" w14:textId="77777777" w:rsidTr="005359D8">
        <w:trPr>
          <w:trHeight w:val="548"/>
        </w:trPr>
        <w:tc>
          <w:tcPr>
            <w:tcW w:w="436" w:type="dxa"/>
            <w:shd w:val="clear" w:color="auto" w:fill="DBE5F1"/>
            <w:noWrap/>
            <w:vAlign w:val="center"/>
            <w:hideMark/>
          </w:tcPr>
          <w:p w14:paraId="602CAF7D"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4</w:t>
            </w:r>
          </w:p>
        </w:tc>
        <w:tc>
          <w:tcPr>
            <w:tcW w:w="1629" w:type="dxa"/>
            <w:noWrap/>
            <w:vAlign w:val="center"/>
            <w:hideMark/>
          </w:tcPr>
          <w:p w14:paraId="2D554267" w14:textId="6B87DE5D" w:rsidR="00607669" w:rsidRPr="004D5D6C" w:rsidRDefault="00607669" w:rsidP="001E6A9C">
            <w:pPr>
              <w:jc w:val="center"/>
              <w:rPr>
                <w:rFonts w:ascii="Times New Roman" w:hAnsi="Times New Roman" w:cs="Times New Roman"/>
              </w:rPr>
            </w:pPr>
            <w:r w:rsidRPr="004D5D6C">
              <w:rPr>
                <w:rFonts w:ascii="Times New Roman" w:hAnsi="Times New Roman" w:cs="Times New Roman"/>
              </w:rPr>
              <w:t>Bohn et al., 1998, ($)</w:t>
            </w:r>
            <w:r w:rsidR="00223EA3">
              <w:rPr>
                <w:rFonts w:ascii="Times New Roman" w:hAnsi="Times New Roman" w:cs="Times New Roman"/>
              </w:rPr>
              <w:t xml:space="preserve"> </w:t>
            </w:r>
            <w:r w:rsidR="00223EA3">
              <w:rPr>
                <w:rFonts w:ascii="Times New Roman" w:hAnsi="Times New Roman" w:cs="Times New Roman"/>
              </w:rPr>
              <w:fldChar w:fldCharType="begin" w:fldLock="1"/>
            </w:r>
            <w:r w:rsidR="00223EA3">
              <w:rPr>
                <w:rFonts w:ascii="Times New Roman" w:hAnsi="Times New Roman" w:cs="Times New Roman"/>
              </w:rPr>
              <w:instrText>ADDIN CSL_CITATION {"citationItems":[{"id":"ITEM-1","itemData":{"ISSN":"0340-6245 (Print)","PMID":"9609224","abstract":"BACKGROUND: Since the introduction of exogenous factor VIII therapy, several  studies have explored the clinical benefits of prophylactic use of factor VIII. Little research, though, has focused on the economic aspects of this regimen. We conducted a cost analysis using data from the Orthopedic Outcomes Study, a prospective, cross-national study of the clinical outcomes associated with different patterns of factor VIII utilization to examine the health care costs incurred and expenditures averted in patients receiving on-demand versus prophylactic use of factor VIII in hemophilia. METHODS AND ANALYSIS: 831 patients with severe hemophilia aged 1 to 31 years, from 19 centers around the world were included in the cost analysis. Patients were categorized into three groups according to the number of weeks during the study years in which they received prophylactic regimens of factor VIII. For each subject, we estimated the costs of hospitalization, surgery, days lost from school or work, and factor VIII utilization. Costs were then stratified by age and by joint score to assess confounding, and a multivariate model developed to determine the relationship between use of factor VIII prophylaxis and total costs, while controlling for potential confounders. RESULTS: Patients who received factor VIII episodically incurred substantially greater disability-related costs (days lost from school or work, days hospitalized due to hemophilia, surgery) than patients who received factor VIII prophylactically for some or all of the study period. For all treatment regimens, most disability-related costs were accounted for by hospitalization for hemophilia-related conditions. The cost of factor VIII itself was substantial in all treatment categories but was highest among patients who received year-round prophylaxis, exceeding the savings resulting from reduced disability and other health care expenditures. CONCLUSIONS: Reductions in non-factor health care costs and disability associated with prophylactic use of factor VIII in hemophilia were substantial and helped somewhat to offset the much higher costs of this regimen. For certain subgroups, frequent episodic treatment may be more expensive than full-time prophylaxis. However, because of the very high cost of year-round prophylactic use of factor VIII, total health care expenditures were highest among patients receiving this therapeutic regimen. However, because prophylaxis clearly offers important clinical benefits, this a…","author":[{"dropping-particle":"","family":"Bohn","given":"R L","non-dropping-particle":"","parse-names":false,"suffix":""},{"dropping-particle":"","family":"Avorn","given":"J","non-dropping-particle":"","parse-names":false,"suffix":""},{"dropping-particle":"","family":"Glynn","given":"R J","non-dropping-particle":"","parse-names":false,"suffix":""},{"dropping-particle":"","family":"Choodnovskiy","given":"I","non-dropping-particle":"","parse-names":false,"suffix":""},{"dropping-particle":"","family":"Haschemeyer","given":"R","non-dropping-particle":"","parse-names":false,"suffix":""},{"dropping-particle":"","family":"Aledort","given":"L M","non-dropping-particle":"","parse-names":false,"suffix":""}],"container-title":"Thrombosis and haemostasis","id":"ITEM-1","issue":"5","issued":{"date-parts":[["1998","5"]]},"language":"eng","page":"932-937","publisher-place":"Germany","title":"Prophylactic use of factor VIII: an economic evaluation.","type":"article-journal","volume":"79"},"uris":["http://www.mendeley.com/documents/?uuid=fbf99a68-81fa-497b-8bc7-5fdeb3fda1a0"]}],"mendeley":{"formattedCitation":"[4]","plainTextFormattedCitation":"[4]","previouslyFormattedCitation":"[4]"},"properties":{"noteIndex":0},"schema":"https://github.com/citation-style-language/schema/raw/master/csl-citation.json"}</w:instrText>
            </w:r>
            <w:r w:rsidR="00223EA3">
              <w:rPr>
                <w:rFonts w:ascii="Times New Roman" w:hAnsi="Times New Roman" w:cs="Times New Roman"/>
              </w:rPr>
              <w:fldChar w:fldCharType="separate"/>
            </w:r>
            <w:r w:rsidR="00223EA3" w:rsidRPr="00223EA3">
              <w:rPr>
                <w:rFonts w:ascii="Times New Roman" w:hAnsi="Times New Roman" w:cs="Times New Roman"/>
                <w:noProof/>
              </w:rPr>
              <w:t>[4]</w:t>
            </w:r>
            <w:r w:rsidR="00223EA3">
              <w:rPr>
                <w:rFonts w:ascii="Times New Roman" w:hAnsi="Times New Roman" w:cs="Times New Roman"/>
              </w:rPr>
              <w:fldChar w:fldCharType="end"/>
            </w:r>
          </w:p>
        </w:tc>
        <w:tc>
          <w:tcPr>
            <w:tcW w:w="2250" w:type="dxa"/>
            <w:vAlign w:val="center"/>
            <w:hideMark/>
          </w:tcPr>
          <w:p w14:paraId="3AE123CA" w14:textId="23CA65CC" w:rsidR="00607669" w:rsidRPr="004D5D6C" w:rsidRDefault="00607669" w:rsidP="001E6A9C">
            <w:pPr>
              <w:jc w:val="center"/>
              <w:rPr>
                <w:rFonts w:ascii="Times New Roman" w:hAnsi="Times New Roman" w:cs="Times New Roman"/>
              </w:rPr>
            </w:pPr>
            <w:r w:rsidRPr="004D5D6C">
              <w:rPr>
                <w:rFonts w:ascii="Times New Roman" w:hAnsi="Times New Roman" w:cs="Times New Roman"/>
              </w:rPr>
              <w:t xml:space="preserve">Full PPX: 87,865; Partial PPX: 79,639; </w:t>
            </w:r>
            <w:r w:rsidR="00FD6DEE" w:rsidRPr="004D5D6C">
              <w:rPr>
                <w:rFonts w:ascii="Times New Roman" w:hAnsi="Times New Roman" w:cs="Times New Roman"/>
              </w:rPr>
              <w:t>ODT</w:t>
            </w:r>
            <w:r w:rsidRPr="004D5D6C">
              <w:rPr>
                <w:rFonts w:ascii="Times New Roman" w:hAnsi="Times New Roman" w:cs="Times New Roman"/>
              </w:rPr>
              <w:t>: 30,820</w:t>
            </w:r>
          </w:p>
        </w:tc>
        <w:tc>
          <w:tcPr>
            <w:tcW w:w="2160" w:type="dxa"/>
            <w:vAlign w:val="center"/>
            <w:hideMark/>
          </w:tcPr>
          <w:p w14:paraId="6A26C2F7" w14:textId="3C42FAD6" w:rsidR="00607669" w:rsidRPr="004D5D6C" w:rsidRDefault="00607669" w:rsidP="001E6A9C">
            <w:pPr>
              <w:jc w:val="center"/>
              <w:rPr>
                <w:rFonts w:ascii="Times New Roman" w:hAnsi="Times New Roman" w:cs="Times New Roman"/>
              </w:rPr>
            </w:pPr>
            <w:r w:rsidRPr="004D5D6C">
              <w:rPr>
                <w:rFonts w:ascii="Times New Roman" w:hAnsi="Times New Roman" w:cs="Times New Roman"/>
              </w:rPr>
              <w:t>Full PPX: ~700; Partial PPX: ~2,000</w:t>
            </w:r>
            <w:r w:rsidRPr="004D5D6C">
              <w:rPr>
                <w:rFonts w:ascii="Times New Roman" w:hAnsi="Times New Roman" w:cs="Times New Roman"/>
              </w:rPr>
              <w:br/>
            </w:r>
            <w:r w:rsidR="00FD6DEE" w:rsidRPr="004D5D6C">
              <w:rPr>
                <w:rFonts w:ascii="Times New Roman" w:hAnsi="Times New Roman" w:cs="Times New Roman"/>
              </w:rPr>
              <w:t>ODT</w:t>
            </w:r>
            <w:r w:rsidRPr="004D5D6C">
              <w:rPr>
                <w:rFonts w:ascii="Times New Roman" w:hAnsi="Times New Roman" w:cs="Times New Roman"/>
              </w:rPr>
              <w:t>: ~1,100˟</w:t>
            </w:r>
          </w:p>
        </w:tc>
        <w:tc>
          <w:tcPr>
            <w:tcW w:w="1620" w:type="dxa"/>
            <w:vAlign w:val="center"/>
            <w:hideMark/>
          </w:tcPr>
          <w:p w14:paraId="6C125B9D"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175186BB"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2DAA6E9B" w14:textId="7C807B5F" w:rsidR="00607669" w:rsidRPr="004D5D6C" w:rsidRDefault="00607669" w:rsidP="001E6A9C">
            <w:pPr>
              <w:jc w:val="center"/>
              <w:rPr>
                <w:rFonts w:ascii="Times New Roman" w:hAnsi="Times New Roman" w:cs="Times New Roman"/>
              </w:rPr>
            </w:pPr>
            <w:r w:rsidRPr="004D5D6C">
              <w:rPr>
                <w:rFonts w:ascii="Times New Roman" w:hAnsi="Times New Roman" w:cs="Times New Roman"/>
              </w:rPr>
              <w:t>Full PPX ~</w:t>
            </w:r>
            <w:r w:rsidR="00477B69" w:rsidRPr="004D5D6C">
              <w:rPr>
                <w:rFonts w:ascii="Times New Roman" w:hAnsi="Times New Roman" w:cs="Times New Roman"/>
              </w:rPr>
              <w:t>20</w:t>
            </w:r>
            <w:r w:rsidRPr="004D5D6C">
              <w:rPr>
                <w:rFonts w:ascii="Times New Roman" w:hAnsi="Times New Roman" w:cs="Times New Roman"/>
              </w:rPr>
              <w:t xml:space="preserve">0; Partial PPX: ~600; </w:t>
            </w:r>
            <w:r w:rsidR="00FD6DEE" w:rsidRPr="004D5D6C">
              <w:rPr>
                <w:rFonts w:ascii="Times New Roman" w:hAnsi="Times New Roman" w:cs="Times New Roman"/>
              </w:rPr>
              <w:t>ODT</w:t>
            </w:r>
            <w:r w:rsidRPr="004D5D6C">
              <w:rPr>
                <w:rFonts w:ascii="Times New Roman" w:hAnsi="Times New Roman" w:cs="Times New Roman"/>
              </w:rPr>
              <w:t>: ~50</w:t>
            </w:r>
            <w:r w:rsidR="00324085" w:rsidRPr="004D5D6C">
              <w:rPr>
                <w:rFonts w:ascii="Times New Roman" w:hAnsi="Times New Roman" w:cs="Times New Roman"/>
              </w:rPr>
              <w:t>0</w:t>
            </w:r>
            <w:r w:rsidR="00937C4B" w:rsidRPr="004D5D6C">
              <w:rPr>
                <w:rFonts w:ascii="Times New Roman" w:hAnsi="Times New Roman" w:cs="Times New Roman"/>
                <w:sz w:val="20"/>
                <w:szCs w:val="20"/>
                <w:vertAlign w:val="superscript"/>
                <w:lang w:eastAsia="en-US"/>
              </w:rPr>
              <w:t>§</w:t>
            </w:r>
          </w:p>
        </w:tc>
        <w:tc>
          <w:tcPr>
            <w:tcW w:w="2070" w:type="dxa"/>
            <w:vAlign w:val="center"/>
            <w:hideMark/>
          </w:tcPr>
          <w:p w14:paraId="7E61EC66" w14:textId="686E70E5" w:rsidR="00607669" w:rsidRPr="004D5D6C" w:rsidRDefault="00607669" w:rsidP="001E6A9C">
            <w:pPr>
              <w:jc w:val="center"/>
              <w:rPr>
                <w:rFonts w:ascii="Times New Roman" w:hAnsi="Times New Roman" w:cs="Times New Roman"/>
              </w:rPr>
            </w:pPr>
            <w:r w:rsidRPr="004D5D6C">
              <w:rPr>
                <w:rFonts w:ascii="Times New Roman" w:hAnsi="Times New Roman" w:cs="Times New Roman"/>
              </w:rPr>
              <w:t xml:space="preserve">Full PPX: 88,676; Partial PPX: 81,883; </w:t>
            </w:r>
            <w:r w:rsidR="00FD6DEE" w:rsidRPr="004D5D6C">
              <w:rPr>
                <w:rFonts w:ascii="Times New Roman" w:hAnsi="Times New Roman" w:cs="Times New Roman"/>
              </w:rPr>
              <w:t>ODT</w:t>
            </w:r>
            <w:r w:rsidRPr="004D5D6C">
              <w:rPr>
                <w:rFonts w:ascii="Times New Roman" w:hAnsi="Times New Roman" w:cs="Times New Roman"/>
              </w:rPr>
              <w:t>: 32,391</w:t>
            </w:r>
          </w:p>
        </w:tc>
      </w:tr>
      <w:tr w:rsidR="007C39B7" w:rsidRPr="004D5D6C" w14:paraId="092DA7C4" w14:textId="77777777" w:rsidTr="005359D8">
        <w:trPr>
          <w:trHeight w:val="431"/>
        </w:trPr>
        <w:tc>
          <w:tcPr>
            <w:tcW w:w="436" w:type="dxa"/>
            <w:shd w:val="clear" w:color="auto" w:fill="DBE5F1"/>
            <w:noWrap/>
            <w:vAlign w:val="center"/>
            <w:hideMark/>
          </w:tcPr>
          <w:p w14:paraId="3F745C31"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5</w:t>
            </w:r>
          </w:p>
        </w:tc>
        <w:tc>
          <w:tcPr>
            <w:tcW w:w="1629" w:type="dxa"/>
            <w:noWrap/>
            <w:vAlign w:val="center"/>
            <w:hideMark/>
          </w:tcPr>
          <w:p w14:paraId="6E019DB6" w14:textId="6D09AB92" w:rsidR="00607669" w:rsidRPr="004D5D6C" w:rsidRDefault="00607669" w:rsidP="001E6A9C">
            <w:pPr>
              <w:jc w:val="center"/>
              <w:rPr>
                <w:rFonts w:ascii="Times New Roman" w:hAnsi="Times New Roman" w:cs="Times New Roman"/>
              </w:rPr>
            </w:pPr>
            <w:r w:rsidRPr="004D5D6C">
              <w:rPr>
                <w:rFonts w:ascii="Times New Roman" w:hAnsi="Times New Roman" w:cs="Times New Roman"/>
              </w:rPr>
              <w:t>Molho et al., 2000, ($)</w:t>
            </w:r>
            <w:r w:rsidR="00223EA3">
              <w:rPr>
                <w:rFonts w:ascii="Times New Roman" w:hAnsi="Times New Roman" w:cs="Times New Roman"/>
              </w:rPr>
              <w:t xml:space="preserve"> </w:t>
            </w:r>
            <w:r w:rsidR="00223EA3">
              <w:rPr>
                <w:rFonts w:ascii="Times New Roman" w:hAnsi="Times New Roman" w:cs="Times New Roman"/>
              </w:rPr>
              <w:fldChar w:fldCharType="begin" w:fldLock="1"/>
            </w:r>
            <w:r w:rsidR="00CE2F20">
              <w:rPr>
                <w:rFonts w:ascii="Times New Roman" w:hAnsi="Times New Roman" w:cs="Times New Roman"/>
              </w:rPr>
              <w:instrText>ADDIN CSL_CITATION {"citationItems":[{"id":"ITEM-1","itemData":{"DOI":"10.1046/j.1365-2516.2000.00358.x","ISSN":"1351-8216 (Print)","PMID":"10632738","abstract":"One hundred and 16 patients contributed to an analysis of the impact of the  consequences of severe haemophilia A or B (factor levels &lt; 2%) on orthopaedic status, resources consumed in relation to this status and resultant cost, and quality of life as perceived by the patient, using the MOS 36-Item-Short-Form Health Survey (SF-36). This French cross-sectional study involved outpatients regularly attending a haemophilia treatment centre. Data were collected retrospectively over a period of 1 year by the physician of the haemophilia treatment centre. Patients had a mean age of 23, and consisted of 50% students, 25% salaried workers, 17.2% with no professional activity and 7.8% physically impaired; 82.8% of them had type A haemophilia. Mean pain score was 2.5 per patient for the six main joints; 7.7 for the clinical score and 18.8 for the radiological score, with a mean number of bleeds of 16.3 per year per patient. During the year prior to inclusion, and because of their orthopaedic status, 22.4% of patients were hospitalized, 76.7% attended for an outpatient visit and 76.7% required at least one special investigation; 97.4% received replacement therapy, 41.4% required treatment for joint pain and 42.2% orthopaedic equipment. The less affected dimensions were the physical function (76.8 +/- 22. 2) and the social relations (76.1 +/- 23.1). Least good quality of life scores concerned the pain (60.2 +/- 25.2), perception of general health (59.3 +/- 23.1) and vitality (57.8 +/- 19.5) dimensions. The age was a discriminant criterion since quality of life was better in patients of the 18-23 age group for five dimensions. Mean annual treatment costs of a patient with severe haemophilia were determined as 425 762 French francs ($73 029). Loss of production was estimated at a mean of 4609 French francs ($791) per active patient over the course of the year. Results showed indirect evidence of the usefulness of early home treatment.","author":[{"dropping-particle":"","family":"Molho","given":"P","non-dropping-particle":"","parse-names":false,"suffix":""},{"dropping-particle":"","family":"Rolland","given":"N","non-dropping-particle":"","parse-names":false,"suffix":""},{"dropping-particle":"","family":"Lebrun","given":"T","non-dropping-particle":"","parse-names":false,"suffix":""},{"dropping-particle":"","family":"Dirat","given":"G","non-dropping-particle":"","parse-names":false,"suffix":""},{"dropping-particle":"","family":"Courpied","given":"J P","non-dropping-particle":"","parse-names":false,"suffix":""},{"dropping-particle":"","family":"Croughs","given":"T","non-dropping-particle":"","parse-names":false,"suffix":""},{"dropping-particle":"","family":"Duprat","given":"I","non-dropping-particle":"","parse-names":false,"suffix":""},{"dropping-particle":"","family":"Sultan","given":"Y","non-dropping-particle":"","parse-names":false,"suffix":""}],"container-title":"Haemophilia : the official journal of the World Federation of Hemophilia","id":"ITEM-1","issue":"1","issued":{"date-parts":[["2000","1"]]},"language":"eng","page":"23-32","publisher-place":"England","title":"Epidemiological survey of the orthopaedic status of severe haemophilia A and B  patients in France. The French Study Group. secretariat.haemophiles@cch.ap-hop-paris.fr.","type":"article-journal","volume":"6"},"uris":["http://www.mendeley.com/documents/?uuid=36ff0566-98a2-4f85-bb5d-b4dbf0a836d3"]}],"mendeley":{"formattedCitation":"[5]","plainTextFormattedCitation":"[5]","previouslyFormattedCitation":"[5]"},"properties":{"noteIndex":0},"schema":"https://github.com/citation-style-language/schema/raw/master/csl-citation.json"}</w:instrText>
            </w:r>
            <w:r w:rsidR="00223EA3">
              <w:rPr>
                <w:rFonts w:ascii="Times New Roman" w:hAnsi="Times New Roman" w:cs="Times New Roman"/>
              </w:rPr>
              <w:fldChar w:fldCharType="separate"/>
            </w:r>
            <w:r w:rsidR="00223EA3" w:rsidRPr="00223EA3">
              <w:rPr>
                <w:rFonts w:ascii="Times New Roman" w:hAnsi="Times New Roman" w:cs="Times New Roman"/>
                <w:noProof/>
              </w:rPr>
              <w:t>[5]</w:t>
            </w:r>
            <w:r w:rsidR="00223EA3">
              <w:rPr>
                <w:rFonts w:ascii="Times New Roman" w:hAnsi="Times New Roman" w:cs="Times New Roman"/>
              </w:rPr>
              <w:fldChar w:fldCharType="end"/>
            </w:r>
          </w:p>
        </w:tc>
        <w:tc>
          <w:tcPr>
            <w:tcW w:w="2250" w:type="dxa"/>
            <w:vAlign w:val="center"/>
            <w:hideMark/>
          </w:tcPr>
          <w:p w14:paraId="4F0C4E1F" w14:textId="42DEA758" w:rsidR="00607669" w:rsidRPr="004D5D6C" w:rsidRDefault="00607669" w:rsidP="001E6A9C">
            <w:pPr>
              <w:jc w:val="center"/>
              <w:rPr>
                <w:rFonts w:ascii="Times New Roman" w:hAnsi="Times New Roman" w:cs="Times New Roman"/>
              </w:rPr>
            </w:pPr>
            <w:r w:rsidRPr="004D5D6C">
              <w:rPr>
                <w:rFonts w:ascii="Times New Roman" w:hAnsi="Times New Roman" w:cs="Times New Roman"/>
              </w:rPr>
              <w:t>71,49</w:t>
            </w:r>
            <w:r w:rsidR="00F71ECC" w:rsidRPr="004D5D6C">
              <w:rPr>
                <w:rFonts w:ascii="Times New Roman" w:hAnsi="Times New Roman" w:cs="Times New Roman"/>
              </w:rPr>
              <w:t>0</w:t>
            </w:r>
          </w:p>
        </w:tc>
        <w:tc>
          <w:tcPr>
            <w:tcW w:w="2160" w:type="dxa"/>
            <w:vAlign w:val="center"/>
            <w:hideMark/>
          </w:tcPr>
          <w:p w14:paraId="261DD09B" w14:textId="6B796235" w:rsidR="00607669" w:rsidRPr="004D5D6C" w:rsidRDefault="00654E55" w:rsidP="001E6A9C">
            <w:pPr>
              <w:jc w:val="center"/>
              <w:rPr>
                <w:rFonts w:ascii="Times New Roman" w:hAnsi="Times New Roman" w:cs="Times New Roman"/>
              </w:rPr>
            </w:pPr>
            <w:r w:rsidRPr="004D5D6C">
              <w:rPr>
                <w:rFonts w:ascii="Times New Roman" w:hAnsi="Times New Roman" w:cs="Times New Roman"/>
              </w:rPr>
              <w:t>1,53</w:t>
            </w:r>
            <w:r w:rsidR="0062089D" w:rsidRPr="004D5D6C">
              <w:rPr>
                <w:rFonts w:ascii="Times New Roman" w:hAnsi="Times New Roman" w:cs="Times New Roman"/>
              </w:rPr>
              <w:t>9</w:t>
            </w:r>
            <w:r w:rsidRPr="004D5D6C">
              <w:rPr>
                <w:rFonts w:ascii="Times New Roman" w:hAnsi="Times New Roman" w:cs="Times New Roman"/>
              </w:rPr>
              <w:t>˟</w:t>
            </w:r>
            <w:r w:rsidR="0062089D" w:rsidRPr="004D5D6C">
              <w:rPr>
                <w:rFonts w:ascii="Times New Roman" w:eastAsia="Calibri" w:hAnsi="Times New Roman" w:cs="Times New Roman"/>
                <w:color w:val="000000"/>
                <w:vertAlign w:val="superscript"/>
                <w:lang w:val="en-US"/>
              </w:rPr>
              <w:t>,ε</w:t>
            </w:r>
          </w:p>
        </w:tc>
        <w:tc>
          <w:tcPr>
            <w:tcW w:w="1620" w:type="dxa"/>
            <w:vAlign w:val="center"/>
            <w:hideMark/>
          </w:tcPr>
          <w:p w14:paraId="60D89FE0"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717A3ED8"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79C9E8F0"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791</w:t>
            </w:r>
          </w:p>
        </w:tc>
        <w:tc>
          <w:tcPr>
            <w:tcW w:w="2070" w:type="dxa"/>
            <w:vAlign w:val="center"/>
            <w:hideMark/>
          </w:tcPr>
          <w:p w14:paraId="51FA44C9"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73,820</w:t>
            </w:r>
          </w:p>
        </w:tc>
      </w:tr>
      <w:tr w:rsidR="007C39B7" w:rsidRPr="004D5D6C" w14:paraId="50200BD8" w14:textId="77777777" w:rsidTr="005359D8">
        <w:trPr>
          <w:trHeight w:val="422"/>
        </w:trPr>
        <w:tc>
          <w:tcPr>
            <w:tcW w:w="436" w:type="dxa"/>
            <w:shd w:val="clear" w:color="auto" w:fill="DBE5F1"/>
            <w:noWrap/>
            <w:vAlign w:val="center"/>
            <w:hideMark/>
          </w:tcPr>
          <w:p w14:paraId="3789CE64"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6</w:t>
            </w:r>
          </w:p>
        </w:tc>
        <w:tc>
          <w:tcPr>
            <w:tcW w:w="1629" w:type="dxa"/>
            <w:noWrap/>
            <w:vAlign w:val="center"/>
            <w:hideMark/>
          </w:tcPr>
          <w:p w14:paraId="3CBF910B" w14:textId="3483AC4E" w:rsidR="00607669" w:rsidRPr="004D5D6C" w:rsidRDefault="00607669" w:rsidP="001E6A9C">
            <w:pPr>
              <w:jc w:val="center"/>
              <w:rPr>
                <w:rFonts w:ascii="Times New Roman" w:hAnsi="Times New Roman" w:cs="Times New Roman"/>
              </w:rPr>
            </w:pPr>
            <w:r w:rsidRPr="004D5D6C">
              <w:rPr>
                <w:rFonts w:ascii="Times New Roman" w:hAnsi="Times New Roman" w:cs="Times New Roman"/>
              </w:rPr>
              <w:t>Ekert et al., 2001, AUD</w:t>
            </w:r>
            <w:r w:rsidR="00CE2F20">
              <w:rPr>
                <w:rFonts w:ascii="Times New Roman" w:hAnsi="Times New Roman" w:cs="Times New Roman"/>
              </w:rPr>
              <w:t xml:space="preserve"> </w:t>
            </w:r>
            <w:r w:rsidR="00CE2F20">
              <w:rPr>
                <w:rFonts w:ascii="Times New Roman" w:hAnsi="Times New Roman" w:cs="Times New Roman"/>
              </w:rPr>
              <w:fldChar w:fldCharType="begin" w:fldLock="1"/>
            </w:r>
            <w:r w:rsidR="00CE2F20">
              <w:rPr>
                <w:rFonts w:ascii="Times New Roman" w:hAnsi="Times New Roman" w:cs="Times New Roman"/>
              </w:rPr>
              <w:instrText>ADDIN CSL_CITATION {"citationItems":[{"id":"ITEM-1","itemData":{"DOI":"10.1046/j.1365-2516.2001.00502.x","ISSN":"1351-8216 (Print)","PMID":"11380632","abstract":"The high cost of treating patients with inhibitors in an environment of  restricted budgets warrants consideration of cost-effectiveness. We determined the clinical response, effect on quality of life and the cost-effectiveness of treatment with rFVIIa in six boys with long-standing inhibitors to factors VIII or IX, compared with other treatment regimes previously used in these patients. The study used a longitudinal before-and-after design and was conducted in three phases. Phase 1 was 6 months preceding the introduction of rFVIIa, during which patients received on-demand 'usual care' with other treatment regimes; phase 2 was 6 months treatment on rFVIIa assessed retrospectively; and phase 3 was 6 months on rfVIIa treatment assessed prospectively. Treatment with rFVIIa was reserved for intrarticular, compartment, psoas, mucosal and suspected intracranial bleeding. Treatment outcomes were obtained by interview using structured questionnaires, the quality-of-life instruments CHQ CF-80 and CHQ PF-50, patient self-reporting diary, interrogation of hospital records, and the EuroQoL EQ-5D for utility valuations. Our results confirm that rFVIIa is clinically effective and resulted in 63-92% reductions in the number of re-treatments, duration of painful episodes, delay to initiation of treatment, days requiring wheelchair or crutches, emergency room visits and lost carer time compared with the patients' other therapies. Quality-of-life improvements were observed in several important areas as perceived by both patients and their families, at an incremental cost per QALY of A$51 533.","author":[{"dropping-particle":"","family":"Ekert","given":"H","non-dropping-particle":"","parse-names":false,"suffix":""},{"dropping-particle":"","family":"Brewin","given":"T","non-dropping-particle":"","parse-names":false,"suffix":""},{"dropping-particle":"","family":"Boey","given":"W","non-dropping-particle":"","parse-names":false,"suffix":""},{"dropping-particle":"","family":"Davey","given":"P","non-dropping-particle":"","parse-names":false,"suffix":""},{"dropping-particle":"","family":"Tilden","given":"D","non-dropping-particle":"","parse-names":false,"suffix":""}],"container-title":"Haemophilia : the official journal of the World Federation of Hemophilia","id":"ITEM-1","issue":"3","issued":{"date-parts":[["2001","5"]]},"language":"eng","page":"279-285","publisher-place":"England","title":"Cost-utility analysis of recombinant factor VIIa (NovoSeven) in six children with  long-standing inhibitors to factor VIII or IX.","type":"article-journal","volume":"7"},"uris":["http://www.mendeley.com/documents/?uuid=be044d54-f53b-4365-919a-7a38ee5f34f1"]}],"mendeley":{"formattedCitation":"[6]","plainTextFormattedCitation":"[6]","previouslyFormattedCitation":"[6]"},"properties":{"noteIndex":0},"schema":"https://github.com/citation-style-language/schema/raw/master/csl-citation.json"}</w:instrText>
            </w:r>
            <w:r w:rsidR="00CE2F20">
              <w:rPr>
                <w:rFonts w:ascii="Times New Roman" w:hAnsi="Times New Roman" w:cs="Times New Roman"/>
              </w:rPr>
              <w:fldChar w:fldCharType="separate"/>
            </w:r>
            <w:r w:rsidR="00CE2F20" w:rsidRPr="00CE2F20">
              <w:rPr>
                <w:rFonts w:ascii="Times New Roman" w:hAnsi="Times New Roman" w:cs="Times New Roman"/>
                <w:noProof/>
              </w:rPr>
              <w:t>[6]</w:t>
            </w:r>
            <w:r w:rsidR="00CE2F20">
              <w:rPr>
                <w:rFonts w:ascii="Times New Roman" w:hAnsi="Times New Roman" w:cs="Times New Roman"/>
              </w:rPr>
              <w:fldChar w:fldCharType="end"/>
            </w:r>
          </w:p>
        </w:tc>
        <w:tc>
          <w:tcPr>
            <w:tcW w:w="2250" w:type="dxa"/>
            <w:vAlign w:val="center"/>
            <w:hideMark/>
          </w:tcPr>
          <w:p w14:paraId="1C2C2E1D" w14:textId="2AC86689" w:rsidR="00607669" w:rsidRPr="004D5D6C" w:rsidRDefault="00607669" w:rsidP="001E6A9C">
            <w:pPr>
              <w:jc w:val="center"/>
              <w:rPr>
                <w:rFonts w:ascii="Times New Roman" w:hAnsi="Times New Roman" w:cs="Times New Roman"/>
              </w:rPr>
            </w:pPr>
            <w:r w:rsidRPr="004D5D6C">
              <w:rPr>
                <w:rFonts w:ascii="Times New Roman" w:hAnsi="Times New Roman" w:cs="Times New Roman"/>
              </w:rPr>
              <w:t>RC: 183,066; rFVIIa: 214,930</w:t>
            </w:r>
            <w:r w:rsidR="00424F54" w:rsidRPr="004D5D6C">
              <w:rPr>
                <w:rFonts w:ascii="Times New Roman" w:hAnsi="Times New Roman" w:cs="Times New Roman"/>
              </w:rPr>
              <w:t>ᴺ</w:t>
            </w:r>
          </w:p>
        </w:tc>
        <w:tc>
          <w:tcPr>
            <w:tcW w:w="2160" w:type="dxa"/>
            <w:vAlign w:val="center"/>
            <w:hideMark/>
          </w:tcPr>
          <w:p w14:paraId="65F1BD37" w14:textId="76D99A19" w:rsidR="00607669" w:rsidRPr="004D5D6C" w:rsidRDefault="00607669" w:rsidP="001E6A9C">
            <w:pPr>
              <w:jc w:val="center"/>
              <w:rPr>
                <w:rFonts w:ascii="Times New Roman" w:hAnsi="Times New Roman" w:cs="Times New Roman"/>
              </w:rPr>
            </w:pPr>
            <w:r w:rsidRPr="004D5D6C">
              <w:rPr>
                <w:rFonts w:ascii="Times New Roman" w:hAnsi="Times New Roman" w:cs="Times New Roman"/>
              </w:rPr>
              <w:t xml:space="preserve">RC: </w:t>
            </w:r>
            <w:r w:rsidR="00344DF3" w:rsidRPr="004D5D6C">
              <w:rPr>
                <w:rFonts w:ascii="Times New Roman" w:hAnsi="Times New Roman" w:cs="Times New Roman"/>
              </w:rPr>
              <w:t xml:space="preserve">6,248; </w:t>
            </w:r>
            <w:r w:rsidRPr="004D5D6C">
              <w:rPr>
                <w:rFonts w:ascii="Times New Roman" w:hAnsi="Times New Roman" w:cs="Times New Roman"/>
              </w:rPr>
              <w:t xml:space="preserve">rFVIIa: </w:t>
            </w:r>
            <w:r w:rsidR="00344DF3" w:rsidRPr="004D5D6C">
              <w:rPr>
                <w:rFonts w:ascii="Times New Roman" w:hAnsi="Times New Roman" w:cs="Times New Roman"/>
              </w:rPr>
              <w:t>4,284</w:t>
            </w:r>
            <w:r w:rsidR="00ED0810" w:rsidRPr="004D5D6C">
              <w:rPr>
                <w:rFonts w:ascii="Times New Roman" w:hAnsi="Times New Roman" w:cs="Times New Roman"/>
              </w:rPr>
              <w:t>ᴺ</w:t>
            </w:r>
            <w:r w:rsidR="00344DF3" w:rsidRPr="004D5D6C">
              <w:rPr>
                <w:rFonts w:ascii="Times New Roman" w:hAnsi="Times New Roman" w:cs="Times New Roman"/>
              </w:rPr>
              <w:t>˟</w:t>
            </w:r>
            <w:r w:rsidR="00344DF3" w:rsidRPr="004D5D6C">
              <w:rPr>
                <w:rFonts w:asciiTheme="majorBidi" w:hAnsiTheme="majorBidi" w:cstheme="majorBidi"/>
                <w:sz w:val="20"/>
                <w:szCs w:val="20"/>
                <w:vertAlign w:val="superscript"/>
              </w:rPr>
              <w:t>§</w:t>
            </w:r>
          </w:p>
        </w:tc>
        <w:tc>
          <w:tcPr>
            <w:tcW w:w="1620" w:type="dxa"/>
            <w:vAlign w:val="center"/>
            <w:hideMark/>
          </w:tcPr>
          <w:p w14:paraId="05F4C70B"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1A849F3B"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6CDD50AE" w14:textId="1C73258F" w:rsidR="00607669" w:rsidRPr="004D5D6C" w:rsidRDefault="00660F07" w:rsidP="001E6A9C">
            <w:pPr>
              <w:jc w:val="center"/>
              <w:rPr>
                <w:rFonts w:ascii="Times New Roman" w:hAnsi="Times New Roman" w:cs="Times New Roman"/>
              </w:rPr>
            </w:pPr>
            <w:r w:rsidRPr="004D5D6C">
              <w:rPr>
                <w:rFonts w:ascii="Times New Roman" w:hAnsi="Times New Roman" w:cs="Times New Roman"/>
                <w:lang w:eastAsia="en-US"/>
              </w:rPr>
              <w:t>+0.58 QALY (rFVIIa vs RC)</w:t>
            </w:r>
          </w:p>
        </w:tc>
        <w:tc>
          <w:tcPr>
            <w:tcW w:w="2070" w:type="dxa"/>
            <w:vAlign w:val="center"/>
            <w:hideMark/>
          </w:tcPr>
          <w:p w14:paraId="016D1089" w14:textId="0DFB7996" w:rsidR="00607669" w:rsidRPr="004D5D6C" w:rsidRDefault="002153D0" w:rsidP="001E6A9C">
            <w:pPr>
              <w:jc w:val="center"/>
              <w:rPr>
                <w:rFonts w:ascii="Times New Roman" w:hAnsi="Times New Roman" w:cs="Times New Roman"/>
              </w:rPr>
            </w:pPr>
            <w:r w:rsidRPr="004D5D6C">
              <w:rPr>
                <w:rFonts w:ascii="Times New Roman" w:hAnsi="Times New Roman" w:cs="Times New Roman"/>
              </w:rPr>
              <w:t xml:space="preserve">RC: </w:t>
            </w:r>
            <w:r w:rsidR="009247E9" w:rsidRPr="004D5D6C">
              <w:rPr>
                <w:rFonts w:ascii="Times New Roman" w:hAnsi="Times New Roman" w:cs="Times New Roman"/>
              </w:rPr>
              <w:t>189,314</w:t>
            </w:r>
            <w:r w:rsidRPr="004D5D6C">
              <w:rPr>
                <w:rFonts w:ascii="Times New Roman" w:hAnsi="Times New Roman" w:cs="Times New Roman"/>
              </w:rPr>
              <w:t xml:space="preserve">; rFVIIa: </w:t>
            </w:r>
            <w:r w:rsidR="00CF1ACD" w:rsidRPr="004D5D6C">
              <w:rPr>
                <w:rFonts w:ascii="Times New Roman" w:hAnsi="Times New Roman" w:cs="Times New Roman"/>
              </w:rPr>
              <w:t>219,214</w:t>
            </w:r>
            <w:r w:rsidRPr="004D5D6C">
              <w:rPr>
                <w:rFonts w:ascii="Times New Roman" w:hAnsi="Times New Roman" w:cs="Times New Roman"/>
              </w:rPr>
              <w:t>ᴺ</w:t>
            </w:r>
          </w:p>
        </w:tc>
      </w:tr>
      <w:tr w:rsidR="007C39B7" w:rsidRPr="004D5D6C" w14:paraId="06CB5B1A" w14:textId="77777777" w:rsidTr="005359D8">
        <w:trPr>
          <w:trHeight w:val="494"/>
        </w:trPr>
        <w:tc>
          <w:tcPr>
            <w:tcW w:w="436" w:type="dxa"/>
            <w:shd w:val="clear" w:color="auto" w:fill="DBE5F1"/>
            <w:noWrap/>
            <w:vAlign w:val="center"/>
            <w:hideMark/>
          </w:tcPr>
          <w:p w14:paraId="78734086"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7</w:t>
            </w:r>
          </w:p>
        </w:tc>
        <w:tc>
          <w:tcPr>
            <w:tcW w:w="1629" w:type="dxa"/>
            <w:noWrap/>
            <w:vAlign w:val="center"/>
            <w:hideMark/>
          </w:tcPr>
          <w:p w14:paraId="787F3EED" w14:textId="3AF6E80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Schramm et al., 2002, (€)</w:t>
            </w:r>
            <w:r w:rsidR="00CE2F20">
              <w:rPr>
                <w:rFonts w:ascii="Times New Roman" w:hAnsi="Times New Roman" w:cs="Times New Roman"/>
              </w:rPr>
              <w:t xml:space="preserve"> </w:t>
            </w:r>
            <w:r w:rsidR="00CE2F20">
              <w:rPr>
                <w:rFonts w:ascii="Times New Roman" w:hAnsi="Times New Roman" w:cs="Times New Roman"/>
              </w:rPr>
              <w:fldChar w:fldCharType="begin" w:fldLock="1"/>
            </w:r>
            <w:r w:rsidR="006A2E28">
              <w:rPr>
                <w:rFonts w:ascii="Times New Roman" w:hAnsi="Times New Roman" w:cs="Times New Roman"/>
              </w:rPr>
              <w:instrText>ADDIN CSL_CITATION {"citationItems":[{"id":"ITEM-1","itemData":{"DOI":"10.1046/j.1365-2516.2002.00580.x","ISSN":"1351-8216 (Print)","PMID":"11886463","abstract":"We conducted a multicentre, cross- sectional study of 1042 haemophilia subjects  across Europe to compare various health outcomes associated with on-demand vs. prophylactic factor-substitution therapy. Demographic, medical history, and healthcare resource utilization data were analysed along with the number of bleeding events over the past 6 months. Treatment-cost data were also examined to provide preliminary information for future economic studies. A logistic regression analysis, controlling for other statistically significant covariates, showed that patients treated on demand were 3.4 times more likely to have had a joint bleed over the previous 6 months than those treated with prophylaxis. Multiple regression analyses further confirmed these findings, because on-demand subjects had, on average, 5.15 more joint bleeds over the reporting period than patients treated with prophylaxis. Notably, these findings were even more dramatic for younger haemophilia patients when our study sample was stratified by age. Due to the high cost of factor replacement, healthcare costs were significantly higher for subjects treated prophylactically. While hospital costs for prophylaxis subjects were, on average, lower, statistically significant cost savings for prophylactic subjects were not noted. These results suggest that clinicians and health policy decision-makers should consider the advantages of prophylactic therapy for haemophilia patients in formulating treatment protocols and allocating health resources.","author":[{"dropping-particle":"","family":"Schramm","given":"W","non-dropping-particle":"","parse-names":false,"suffix":""},{"dropping-particle":"","family":"Royal","given":"S","non-dropping-particle":"","parse-names":false,"suffix":""},{"dropping-particle":"","family":"Kroner","given":"B","non-dropping-particle":"","parse-names":false,"suffix":""},{"dropping-particle":"","family":"Berntorp","given":"E","non-dropping-particle":"","parse-names":false,"suffix":""},{"dropping-particle":"","family":"Giangrande","given":"P","non-dropping-particle":"","parse-names":false,"suffix":""},{"dropping-particle":"","family":"Ludlam","given":"C","non-dropping-particle":"","parse-names":false,"suffix":""},{"dropping-particle":"","family":"Gringeri","given":"A","non-dropping-particle":"","parse-names":false,"suffix":""},{"dropping-particle":"","family":"Berger","given":"K","non-dropping-particle":"","parse-names":false,"suffix":""},{"dropping-particle":"","family":"Szucs","given":"T","non-dropping-particle":"","parse-names":false,"suffix":""}],"container-title":"Haemophilia : the official journal of the World Federation of Hemophilia","id":"ITEM-1","issue":"1","issued":{"date-parts":[["2002","1"]]},"language":"eng","page":"33-43","publisher-place":"England","title":"Clinical outcomes and resource utilization associated with haemophilia care in  Europe.","type":"article-journal","volume":"8"},"uris":["http://www.mendeley.com/documents/?uuid=aa1b6845-64c6-4a9e-b4f1-e37ffb541190"]}],"mendeley":{"formattedCitation":"[7]","plainTextFormattedCitation":"[7]","previouslyFormattedCitation":"[7]"},"properties":{"noteIndex":0},"schema":"https://github.com/citation-style-language/schema/raw/master/csl-citation.json"}</w:instrText>
            </w:r>
            <w:r w:rsidR="00CE2F20">
              <w:rPr>
                <w:rFonts w:ascii="Times New Roman" w:hAnsi="Times New Roman" w:cs="Times New Roman"/>
              </w:rPr>
              <w:fldChar w:fldCharType="separate"/>
            </w:r>
            <w:r w:rsidR="00CE2F20" w:rsidRPr="00CE2F20">
              <w:rPr>
                <w:rFonts w:ascii="Times New Roman" w:hAnsi="Times New Roman" w:cs="Times New Roman"/>
                <w:noProof/>
              </w:rPr>
              <w:t>[7]</w:t>
            </w:r>
            <w:r w:rsidR="00CE2F20">
              <w:rPr>
                <w:rFonts w:ascii="Times New Roman" w:hAnsi="Times New Roman" w:cs="Times New Roman"/>
              </w:rPr>
              <w:fldChar w:fldCharType="end"/>
            </w:r>
          </w:p>
        </w:tc>
        <w:tc>
          <w:tcPr>
            <w:tcW w:w="2250" w:type="dxa"/>
            <w:vAlign w:val="center"/>
            <w:hideMark/>
          </w:tcPr>
          <w:p w14:paraId="449DF9D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1,833-11,300; ODT: 429-1,149</w:t>
            </w:r>
          </w:p>
        </w:tc>
        <w:tc>
          <w:tcPr>
            <w:tcW w:w="2160" w:type="dxa"/>
            <w:vAlign w:val="center"/>
            <w:hideMark/>
          </w:tcPr>
          <w:p w14:paraId="7B859A2B" w14:textId="2617CD7F" w:rsidR="00607669" w:rsidRPr="004D5D6C" w:rsidRDefault="00E346D6" w:rsidP="001E6A9C">
            <w:pPr>
              <w:jc w:val="center"/>
              <w:rPr>
                <w:rFonts w:ascii="Times New Roman" w:hAnsi="Times New Roman" w:cs="Times New Roman"/>
              </w:rPr>
            </w:pPr>
            <w:r w:rsidRPr="004D5D6C">
              <w:rPr>
                <w:rFonts w:ascii="Times New Roman" w:hAnsi="Times New Roman" w:cs="Times New Roman"/>
              </w:rPr>
              <w:t>PPX: 47-6,018; ODT: 3</w:t>
            </w:r>
            <w:r w:rsidR="002036CA" w:rsidRPr="004D5D6C">
              <w:rPr>
                <w:rFonts w:ascii="Times New Roman" w:hAnsi="Times New Roman" w:cs="Times New Roman"/>
              </w:rPr>
              <w:t>99</w:t>
            </w:r>
            <w:r w:rsidRPr="004D5D6C">
              <w:rPr>
                <w:rFonts w:ascii="Times New Roman" w:hAnsi="Times New Roman" w:cs="Times New Roman"/>
              </w:rPr>
              <w:t>-2,665</w:t>
            </w:r>
            <w:r w:rsidR="00A02524" w:rsidRPr="004D5D6C">
              <w:rPr>
                <w:rFonts w:ascii="Times New Roman" w:hAnsi="Times New Roman" w:cs="Times New Roman"/>
              </w:rPr>
              <w:t>˟</w:t>
            </w:r>
            <w:r w:rsidR="00A33AE8" w:rsidRPr="004D5D6C">
              <w:rPr>
                <w:rFonts w:ascii="Times New Roman" w:eastAsia="Calibri" w:hAnsi="Times New Roman" w:cs="Times New Roman"/>
                <w:color w:val="000000"/>
                <w:vertAlign w:val="superscript"/>
                <w:lang w:val="en-US"/>
              </w:rPr>
              <w:t>,ε</w:t>
            </w:r>
          </w:p>
        </w:tc>
        <w:tc>
          <w:tcPr>
            <w:tcW w:w="1620" w:type="dxa"/>
            <w:vAlign w:val="center"/>
            <w:hideMark/>
          </w:tcPr>
          <w:p w14:paraId="4F785C4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57781489"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34B8AD5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252-994; ODT: 51-961</w:t>
            </w:r>
          </w:p>
        </w:tc>
        <w:tc>
          <w:tcPr>
            <w:tcW w:w="2070" w:type="dxa"/>
            <w:vAlign w:val="center"/>
            <w:hideMark/>
          </w:tcPr>
          <w:p w14:paraId="23A842B8" w14:textId="3203DC9D" w:rsidR="00607669" w:rsidRPr="004D5D6C" w:rsidRDefault="00631614" w:rsidP="001E6A9C">
            <w:pPr>
              <w:jc w:val="center"/>
              <w:rPr>
                <w:rFonts w:ascii="Times New Roman" w:hAnsi="Times New Roman" w:cs="Times New Roman"/>
                <w:color w:val="000000"/>
                <w:vertAlign w:val="superscript"/>
              </w:rPr>
            </w:pPr>
            <w:r w:rsidRPr="004D5D6C">
              <w:rPr>
                <w:rFonts w:ascii="Times New Roman" w:hAnsi="Times New Roman" w:cs="Times New Roman"/>
              </w:rPr>
              <w:t xml:space="preserve">PPX: </w:t>
            </w:r>
            <w:r w:rsidR="00E95E4C" w:rsidRPr="004D5D6C">
              <w:rPr>
                <w:rFonts w:ascii="Times New Roman" w:hAnsi="Times New Roman" w:cs="Times New Roman"/>
              </w:rPr>
              <w:t>1,067-13,768</w:t>
            </w:r>
            <w:r w:rsidRPr="004D5D6C">
              <w:rPr>
                <w:rFonts w:ascii="Times New Roman" w:hAnsi="Times New Roman" w:cs="Times New Roman"/>
                <w:color w:val="000000"/>
                <w:vertAlign w:val="superscript"/>
              </w:rPr>
              <w:t>ε</w:t>
            </w:r>
          </w:p>
          <w:p w14:paraId="2BDE3606" w14:textId="3F7B5BD2" w:rsidR="00631614" w:rsidRPr="004D5D6C" w:rsidRDefault="00631614" w:rsidP="001E6A9C">
            <w:pPr>
              <w:jc w:val="center"/>
              <w:rPr>
                <w:rFonts w:ascii="Times New Roman" w:hAnsi="Times New Roman" w:cs="Times New Roman"/>
              </w:rPr>
            </w:pPr>
            <w:r w:rsidRPr="004D5D6C">
              <w:rPr>
                <w:rFonts w:ascii="Times New Roman" w:hAnsi="Times New Roman" w:cs="Times New Roman"/>
              </w:rPr>
              <w:t xml:space="preserve">ODT: </w:t>
            </w:r>
            <w:r w:rsidR="0083155B" w:rsidRPr="004D5D6C">
              <w:rPr>
                <w:rFonts w:ascii="Times New Roman" w:hAnsi="Times New Roman" w:cs="Times New Roman"/>
              </w:rPr>
              <w:t>953</w:t>
            </w:r>
            <w:r w:rsidR="00CB52F3" w:rsidRPr="004D5D6C">
              <w:rPr>
                <w:rFonts w:ascii="Times New Roman" w:hAnsi="Times New Roman" w:cs="Times New Roman"/>
              </w:rPr>
              <w:t>-3,857</w:t>
            </w:r>
            <w:r w:rsidR="00CB52F3" w:rsidRPr="004D5D6C">
              <w:rPr>
                <w:rFonts w:ascii="Times New Roman" w:hAnsi="Times New Roman" w:cs="Times New Roman"/>
                <w:color w:val="000000"/>
                <w:vertAlign w:val="superscript"/>
              </w:rPr>
              <w:t>ε</w:t>
            </w:r>
          </w:p>
        </w:tc>
      </w:tr>
      <w:tr w:rsidR="007C39B7" w:rsidRPr="004D5D6C" w14:paraId="73B90E93" w14:textId="77777777" w:rsidTr="005359D8">
        <w:trPr>
          <w:trHeight w:val="377"/>
        </w:trPr>
        <w:tc>
          <w:tcPr>
            <w:tcW w:w="436" w:type="dxa"/>
            <w:shd w:val="clear" w:color="auto" w:fill="DBE5F1"/>
            <w:noWrap/>
            <w:vAlign w:val="center"/>
            <w:hideMark/>
          </w:tcPr>
          <w:p w14:paraId="42729C88"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8</w:t>
            </w:r>
          </w:p>
        </w:tc>
        <w:tc>
          <w:tcPr>
            <w:tcW w:w="1629" w:type="dxa"/>
            <w:noWrap/>
            <w:vAlign w:val="center"/>
            <w:hideMark/>
          </w:tcPr>
          <w:p w14:paraId="41EBEE10" w14:textId="63CCC0AA" w:rsidR="00607669" w:rsidRPr="004D5D6C" w:rsidRDefault="00607669" w:rsidP="001E6A9C">
            <w:pPr>
              <w:jc w:val="center"/>
              <w:rPr>
                <w:rFonts w:ascii="Times New Roman" w:hAnsi="Times New Roman" w:cs="Times New Roman"/>
              </w:rPr>
            </w:pPr>
            <w:r w:rsidRPr="004D5D6C">
              <w:rPr>
                <w:rFonts w:ascii="Times New Roman" w:hAnsi="Times New Roman" w:cs="Times New Roman"/>
              </w:rPr>
              <w:t>Carlsson et al., 2004, (€)</w:t>
            </w:r>
            <w:r w:rsidR="00BD36CE">
              <w:rPr>
                <w:rFonts w:ascii="Times New Roman" w:hAnsi="Times New Roman" w:cs="Times New Roman"/>
              </w:rPr>
              <w:t xml:space="preserve"> </w:t>
            </w:r>
            <w:r w:rsidR="006A2E28">
              <w:rPr>
                <w:rFonts w:ascii="Times New Roman" w:hAnsi="Times New Roman" w:cs="Times New Roman"/>
              </w:rPr>
              <w:fldChar w:fldCharType="begin" w:fldLock="1"/>
            </w:r>
            <w:r w:rsidR="006A2E28">
              <w:rPr>
                <w:rFonts w:ascii="Times New Roman" w:hAnsi="Times New Roman" w:cs="Times New Roman"/>
              </w:rPr>
              <w:instrText>ADDIN CSL_CITATION {"citationItems":[{"id":"ITEM-1","itemData":{"DOI":"10.1111/j.1365-2516.2004.00952.x","ISSN":"1351-8216 (Print)","PMID":"15357779","abstract":"The expected annual cost (in the year 2000 prices) for a 30-year-old patient with average individual and treatment characteristics for on-demand EUR 51,832 (95% CI: 44,324-59,341) and for prophylaxis EUR 146,118 (95% CI: 129,965-162,271), was obtained from panel-data analysis of an 11-year retrospective panel of 156 patients with severe haemophilia in Norway and Sweden. Costs included haemophilia-related treatment costs within the health-care sector (factor concentrate, doctors' visits, diagnostic procedures, hospitalisation, invasive procedures, etc.) and cost for haemophilia-related resource use in other sectors (lost production, use of special equipment, adaptation of workplace and domicile, etc). Although costs of lost production, reconstructive surgery and hospitalisation were higher for on-demand, they did not balance out the higher costs of factor-concentrate consumption in prophylaxis. The cut-off risk of premature death, where on-demand and prophylaxis would have been equally costly, was 3.7 percentage units higher for on-demand than for prophylaxis. Such a great risk difference has not been reported elsewhere to our knowledge. Estimated cost-elasticities indicated that annual costs of prophylaxis would increase by approximately the same proportion as a potential increase in the price of factor concentrate and decrease less than proportionately with a reduction in prescribed dose kg(-1). For on-demand, the annual costs would increase by approximately the same proportion as an increase in the prescribed dose kg(-1).","author":[{"dropping-particle":"","family":"Carlsson","given":"K Steen","non-dropping-particle":"","parse-names":false,"suffix":""},{"dropping-particle":"","family":"Höjgård","given":"S","non-dropping-particle":"","parse-names":false,"suffix":""},{"dropping-particle":"","family":"Lindgren","given":"A","non-dropping-particle":"","parse-names":false,"suffix":""},{"dropping-particle":"","family":"Lethagen","given":"S","non-dropping-particle":"","parse-names":false,"suffix":""},{"dropping-particle":"","family":"Schulman","given":"S","non-dropping-particle":"","parse-names":false,"suffix":""},{"dropping-particle":"","family":"Glomstein","given":"A","non-dropping-particle":"","parse-names":false,"suffix":""},{"dropping-particle":"","family":"Tengborn","given":"L","non-dropping-particle":"","parse-names":false,"suffix":""},{"dropping-particle":"","family":"Berntorp","given":"E","non-dropping-particle":"","parse-names":false,"suffix":""},{"dropping-particle":"","family":"Lindgren","given":"B","non-dropping-particle":"","parse-names":false,"suffix":""}],"container-title":"Haemophilia : the official journal of the World Federation of Hemophilia","id":"ITEM-1","issue":"5","issued":{"date-parts":[["2004","9"]]},"language":"eng","page":"515-526","publisher-place":"England","title":"Costs of on-demand and prophylactic treatment for severe haemophilia in Norway and Sweden","type":"article-journal","volume":"10"},"uris":["http://www.mendeley.com/documents/?uuid=afc9823a-fbdb-4b96-9764-6dd3b10f7b0e"]}],"mendeley":{"formattedCitation":"[8]","plainTextFormattedCitation":"[8]","previouslyFormattedCitation":"[8]"},"properties":{"noteIndex":0},"schema":"https://github.com/citation-style-language/schema/raw/master/csl-citation.json"}</w:instrText>
            </w:r>
            <w:r w:rsidR="006A2E28">
              <w:rPr>
                <w:rFonts w:ascii="Times New Roman" w:hAnsi="Times New Roman" w:cs="Times New Roman"/>
              </w:rPr>
              <w:fldChar w:fldCharType="separate"/>
            </w:r>
            <w:r w:rsidR="006A2E28" w:rsidRPr="006A2E28">
              <w:rPr>
                <w:rFonts w:ascii="Times New Roman" w:hAnsi="Times New Roman" w:cs="Times New Roman"/>
                <w:noProof/>
              </w:rPr>
              <w:t>[8]</w:t>
            </w:r>
            <w:r w:rsidR="006A2E28">
              <w:rPr>
                <w:rFonts w:ascii="Times New Roman" w:hAnsi="Times New Roman" w:cs="Times New Roman"/>
              </w:rPr>
              <w:fldChar w:fldCharType="end"/>
            </w:r>
          </w:p>
        </w:tc>
        <w:tc>
          <w:tcPr>
            <w:tcW w:w="2250" w:type="dxa"/>
            <w:vAlign w:val="center"/>
            <w:hideMark/>
          </w:tcPr>
          <w:p w14:paraId="1318C1CB"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139,063; ODT: 38,123</w:t>
            </w:r>
          </w:p>
        </w:tc>
        <w:tc>
          <w:tcPr>
            <w:tcW w:w="2160" w:type="dxa"/>
            <w:vAlign w:val="center"/>
            <w:hideMark/>
          </w:tcPr>
          <w:p w14:paraId="37CF446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1,126; ODT: 1,807˟</w:t>
            </w:r>
          </w:p>
        </w:tc>
        <w:tc>
          <w:tcPr>
            <w:tcW w:w="1620" w:type="dxa"/>
            <w:vAlign w:val="center"/>
            <w:hideMark/>
          </w:tcPr>
          <w:p w14:paraId="257F7A49" w14:textId="265C8A22"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7,530</w:t>
            </w:r>
            <w:r w:rsidR="00DA30BC" w:rsidRPr="004D5D6C">
              <w:rPr>
                <w:rFonts w:ascii="Times New Roman" w:hAnsi="Times New Roman" w:cs="Times New Roman"/>
              </w:rPr>
              <w:t>;</w:t>
            </w:r>
            <w:r w:rsidRPr="004D5D6C">
              <w:rPr>
                <w:rFonts w:ascii="Times New Roman" w:hAnsi="Times New Roman" w:cs="Times New Roman"/>
              </w:rPr>
              <w:t xml:space="preserve"> ODT: 11,358</w:t>
            </w:r>
          </w:p>
        </w:tc>
        <w:tc>
          <w:tcPr>
            <w:tcW w:w="1710" w:type="dxa"/>
            <w:vAlign w:val="center"/>
            <w:hideMark/>
          </w:tcPr>
          <w:p w14:paraId="268300B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0ABF16D2" w14:textId="472C01C2" w:rsidR="00607669" w:rsidRPr="004D5D6C" w:rsidRDefault="008A6B56" w:rsidP="001E6A9C">
            <w:pPr>
              <w:jc w:val="center"/>
              <w:rPr>
                <w:rFonts w:ascii="Times New Roman" w:hAnsi="Times New Roman" w:cs="Times New Roman"/>
              </w:rPr>
            </w:pPr>
            <w:r w:rsidRPr="004D5D6C">
              <w:rPr>
                <w:rFonts w:ascii="Times New Roman" w:hAnsi="Times New Roman" w:cs="Times New Roman"/>
              </w:rPr>
              <w:t xml:space="preserve">PPX: </w:t>
            </w:r>
            <w:r w:rsidR="00E2771E" w:rsidRPr="004D5D6C">
              <w:rPr>
                <w:rFonts w:ascii="Times New Roman" w:hAnsi="Times New Roman" w:cs="Times New Roman"/>
              </w:rPr>
              <w:t>220</w:t>
            </w:r>
            <w:r w:rsidR="00DA30BC" w:rsidRPr="004D5D6C">
              <w:rPr>
                <w:rFonts w:ascii="Times New Roman" w:hAnsi="Times New Roman" w:cs="Times New Roman"/>
              </w:rPr>
              <w:t>;</w:t>
            </w:r>
            <w:r w:rsidR="00E2771E" w:rsidRPr="004D5D6C">
              <w:rPr>
                <w:rFonts w:ascii="Times New Roman" w:hAnsi="Times New Roman" w:cs="Times New Roman"/>
              </w:rPr>
              <w:t xml:space="preserve"> </w:t>
            </w:r>
            <w:r w:rsidRPr="004D5D6C">
              <w:rPr>
                <w:rFonts w:ascii="Times New Roman" w:hAnsi="Times New Roman" w:cs="Times New Roman"/>
              </w:rPr>
              <w:t xml:space="preserve">ODT: </w:t>
            </w:r>
            <w:r w:rsidR="000304DF" w:rsidRPr="004D5D6C">
              <w:rPr>
                <w:rFonts w:ascii="Times New Roman" w:hAnsi="Times New Roman" w:cs="Times New Roman"/>
              </w:rPr>
              <w:t>230</w:t>
            </w:r>
            <w:r w:rsidR="00FB5C53" w:rsidRPr="004D5D6C">
              <w:rPr>
                <w:rFonts w:asciiTheme="majorBidi" w:hAnsiTheme="majorBidi" w:cstheme="majorBidi"/>
                <w:sz w:val="20"/>
                <w:szCs w:val="20"/>
                <w:vertAlign w:val="superscript"/>
              </w:rPr>
              <w:t>§</w:t>
            </w:r>
          </w:p>
        </w:tc>
        <w:tc>
          <w:tcPr>
            <w:tcW w:w="2070" w:type="dxa"/>
            <w:vAlign w:val="center"/>
            <w:hideMark/>
          </w:tcPr>
          <w:p w14:paraId="5FDB1B7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147,939; ODT: 51,518</w:t>
            </w:r>
          </w:p>
        </w:tc>
      </w:tr>
      <w:tr w:rsidR="007C39B7" w:rsidRPr="004D5D6C" w14:paraId="755C69E6" w14:textId="77777777" w:rsidTr="005359D8">
        <w:trPr>
          <w:trHeight w:val="638"/>
        </w:trPr>
        <w:tc>
          <w:tcPr>
            <w:tcW w:w="436" w:type="dxa"/>
            <w:shd w:val="clear" w:color="auto" w:fill="DBE5F1"/>
            <w:noWrap/>
            <w:vAlign w:val="center"/>
            <w:hideMark/>
          </w:tcPr>
          <w:p w14:paraId="1D710AA6"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9</w:t>
            </w:r>
          </w:p>
        </w:tc>
        <w:tc>
          <w:tcPr>
            <w:tcW w:w="1629" w:type="dxa"/>
            <w:noWrap/>
            <w:vAlign w:val="center"/>
            <w:hideMark/>
          </w:tcPr>
          <w:p w14:paraId="14B255DA" w14:textId="61112C32" w:rsidR="00607669" w:rsidRPr="004D5D6C" w:rsidRDefault="00607669" w:rsidP="001E6A9C">
            <w:pPr>
              <w:jc w:val="center"/>
              <w:rPr>
                <w:rFonts w:ascii="Times New Roman" w:hAnsi="Times New Roman" w:cs="Times New Roman"/>
              </w:rPr>
            </w:pPr>
            <w:r w:rsidRPr="004D5D6C">
              <w:rPr>
                <w:rFonts w:ascii="Times New Roman" w:hAnsi="Times New Roman" w:cs="Times New Roman"/>
              </w:rPr>
              <w:t>Mihailov et al., 2007, (€)</w:t>
            </w:r>
            <w:r w:rsidR="006A2E28">
              <w:rPr>
                <w:rFonts w:ascii="Times New Roman" w:hAnsi="Times New Roman" w:cs="Times New Roman"/>
              </w:rPr>
              <w:t xml:space="preserve"> </w:t>
            </w:r>
            <w:r w:rsidR="006A2E28">
              <w:rPr>
                <w:rFonts w:ascii="Times New Roman" w:hAnsi="Times New Roman" w:cs="Times New Roman"/>
              </w:rPr>
              <w:fldChar w:fldCharType="begin" w:fldLock="1"/>
            </w:r>
            <w:r w:rsidR="006A2E28">
              <w:rPr>
                <w:rFonts w:ascii="Times New Roman" w:hAnsi="Times New Roman" w:cs="Times New Roman"/>
              </w:rPr>
              <w:instrText>ADDIN CSL_CITATION {"citationItems":[{"id":"ITEM-1","itemData":{"author":[{"dropping-particle":"","family":"Mihailov","given":"D","non-dropping-particle":"","parse-names":false,"suffix":""},{"dropping-particle":"","family":"Serban","given":"M","non-dropping-particle":"","parse-names":false,"suffix":""},{"dropping-particle":"","family":"Badeti","given":"R","non-dropping-particle":"","parse-names":false,"suffix":""},{"dropping-particle":"","family":"Tepeneu","given":"P","non-dropping-particle":"","parse-names":false,"suffix":""},{"dropping-particle":"","family":"Schramm","given":"W","non-dropping-particle":"","parse-names":false,"suffix":""},{"dropping-particle":"","family":"Lighezan","given":"D","non-dropping-particle":"","parse-names":false,"suffix":""}],"container-title":"36th Hemophilia Symposium Hamburg 2005","id":"ITEM-1","issued":{"date-parts":[["2007"]]},"page":"161-167","publisher":"Springer","title":"Economic Evaluation of Orthopedic and Surgical Interventions in Hemophiliacs-Not Only Direct Medical Costs Matter","type":"paper-conference"},"uris":["http://www.mendeley.com/documents/?uuid=4fc2f2c3-7292-44f1-9e17-dd2c51b10ce2"]}],"mendeley":{"formattedCitation":"[9]","plainTextFormattedCitation":"[9]","previouslyFormattedCitation":"[9]"},"properties":{"noteIndex":0},"schema":"https://github.com/citation-style-language/schema/raw/master/csl-citation.json"}</w:instrText>
            </w:r>
            <w:r w:rsidR="006A2E28">
              <w:rPr>
                <w:rFonts w:ascii="Times New Roman" w:hAnsi="Times New Roman" w:cs="Times New Roman"/>
              </w:rPr>
              <w:fldChar w:fldCharType="separate"/>
            </w:r>
            <w:r w:rsidR="006A2E28" w:rsidRPr="006A2E28">
              <w:rPr>
                <w:rFonts w:ascii="Times New Roman" w:hAnsi="Times New Roman" w:cs="Times New Roman"/>
                <w:noProof/>
              </w:rPr>
              <w:t>[9]</w:t>
            </w:r>
            <w:r w:rsidR="006A2E28">
              <w:rPr>
                <w:rFonts w:ascii="Times New Roman" w:hAnsi="Times New Roman" w:cs="Times New Roman"/>
              </w:rPr>
              <w:fldChar w:fldCharType="end"/>
            </w:r>
          </w:p>
        </w:tc>
        <w:tc>
          <w:tcPr>
            <w:tcW w:w="2250" w:type="dxa"/>
            <w:vAlign w:val="center"/>
            <w:hideMark/>
          </w:tcPr>
          <w:p w14:paraId="189453FB" w14:textId="7E4C4D49"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HA w/o INHs: 11,958</w:t>
            </w:r>
            <w:r w:rsidR="000C62ED" w:rsidRPr="004D5D6C">
              <w:rPr>
                <w:rFonts w:ascii="Times New Roman" w:hAnsi="Times New Roman" w:cs="Times New Roman"/>
              </w:rPr>
              <w:t>; HB:</w:t>
            </w:r>
            <w:r w:rsidR="007D1726" w:rsidRPr="004D5D6C">
              <w:rPr>
                <w:rFonts w:ascii="Times New Roman" w:hAnsi="Times New Roman" w:cs="Times New Roman"/>
              </w:rPr>
              <w:t xml:space="preserve"> </w:t>
            </w:r>
            <w:r w:rsidRPr="004D5D6C">
              <w:rPr>
                <w:rFonts w:ascii="Times New Roman" w:hAnsi="Times New Roman" w:cs="Times New Roman"/>
              </w:rPr>
              <w:t>13,747; HA w. INHs: 41,677/INT</w:t>
            </w:r>
            <w:r w:rsidR="00DE5697" w:rsidRPr="004D5D6C">
              <w:rPr>
                <w:rFonts w:asciiTheme="majorBidi" w:hAnsiTheme="majorBidi" w:cstheme="majorBidi"/>
                <w:sz w:val="20"/>
                <w:szCs w:val="20"/>
                <w:vertAlign w:val="superscript"/>
              </w:rPr>
              <w:t>§</w:t>
            </w:r>
          </w:p>
        </w:tc>
        <w:tc>
          <w:tcPr>
            <w:tcW w:w="2160" w:type="dxa"/>
            <w:vAlign w:val="center"/>
            <w:hideMark/>
          </w:tcPr>
          <w:p w14:paraId="0D66781D" w14:textId="503DD33E"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HA w/o INHs: 1,978; HB: 1,111; HA w. INHs: 2,036/INT˟</w:t>
            </w:r>
            <w:r w:rsidR="00C9321F" w:rsidRPr="004D5D6C">
              <w:rPr>
                <w:rFonts w:asciiTheme="majorBidi" w:hAnsiTheme="majorBidi" w:cstheme="majorBidi"/>
                <w:sz w:val="20"/>
                <w:szCs w:val="20"/>
                <w:vertAlign w:val="superscript"/>
              </w:rPr>
              <w:t>§</w:t>
            </w:r>
          </w:p>
        </w:tc>
        <w:tc>
          <w:tcPr>
            <w:tcW w:w="1620" w:type="dxa"/>
            <w:vAlign w:val="center"/>
            <w:hideMark/>
          </w:tcPr>
          <w:p w14:paraId="2F1A9F4B"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Unit prices</w:t>
            </w:r>
          </w:p>
        </w:tc>
        <w:tc>
          <w:tcPr>
            <w:tcW w:w="1710" w:type="dxa"/>
            <w:vAlign w:val="center"/>
            <w:hideMark/>
          </w:tcPr>
          <w:p w14:paraId="2B5DC0E9" w14:textId="697FE596" w:rsidR="00607669" w:rsidRPr="004D5D6C" w:rsidRDefault="00914B32"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46BE7B1E" w14:textId="01D352AF" w:rsidR="00607669" w:rsidRPr="004D5D6C" w:rsidRDefault="002B7A4E" w:rsidP="001E6A9C">
            <w:pPr>
              <w:jc w:val="center"/>
              <w:rPr>
                <w:rFonts w:ascii="Times New Roman" w:hAnsi="Times New Roman" w:cs="Times New Roman"/>
              </w:rPr>
            </w:pPr>
            <w:r w:rsidRPr="004D5D6C">
              <w:rPr>
                <w:rFonts w:ascii="Times New Roman" w:hAnsi="Times New Roman" w:cs="Times New Roman"/>
                <w:lang w:eastAsia="en-US"/>
              </w:rPr>
              <w:t>2,550.5ᴺ</w:t>
            </w:r>
            <w:r w:rsidRPr="004D5D6C">
              <w:rPr>
                <w:rFonts w:ascii="Times New Roman" w:eastAsia="Calibri" w:hAnsi="Times New Roman" w:cs="Times New Roman"/>
                <w:color w:val="000000"/>
                <w:vertAlign w:val="superscript"/>
                <w:lang w:val="en-US" w:eastAsia="en-US"/>
              </w:rPr>
              <w:t>,ε</w:t>
            </w:r>
          </w:p>
        </w:tc>
        <w:tc>
          <w:tcPr>
            <w:tcW w:w="2070" w:type="dxa"/>
            <w:vAlign w:val="center"/>
            <w:hideMark/>
          </w:tcPr>
          <w:p w14:paraId="14860AE3"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r>
      <w:tr w:rsidR="007C39B7" w:rsidRPr="004D5D6C" w14:paraId="75FF946D" w14:textId="77777777" w:rsidTr="005359D8">
        <w:trPr>
          <w:trHeight w:val="521"/>
        </w:trPr>
        <w:tc>
          <w:tcPr>
            <w:tcW w:w="436" w:type="dxa"/>
            <w:shd w:val="clear" w:color="auto" w:fill="DBE5F1"/>
            <w:noWrap/>
            <w:vAlign w:val="center"/>
            <w:hideMark/>
          </w:tcPr>
          <w:p w14:paraId="755788AC"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10</w:t>
            </w:r>
          </w:p>
        </w:tc>
        <w:tc>
          <w:tcPr>
            <w:tcW w:w="1629" w:type="dxa"/>
            <w:noWrap/>
            <w:vAlign w:val="center"/>
            <w:hideMark/>
          </w:tcPr>
          <w:p w14:paraId="3A2332E2" w14:textId="70A0F32C" w:rsidR="00607669" w:rsidRPr="004D5D6C" w:rsidRDefault="00607669" w:rsidP="001E6A9C">
            <w:pPr>
              <w:jc w:val="center"/>
              <w:rPr>
                <w:rFonts w:ascii="Times New Roman" w:hAnsi="Times New Roman" w:cs="Times New Roman"/>
              </w:rPr>
            </w:pPr>
            <w:r w:rsidRPr="004D5D6C">
              <w:rPr>
                <w:rFonts w:ascii="Times New Roman" w:hAnsi="Times New Roman" w:cs="Times New Roman"/>
              </w:rPr>
              <w:t>Fischer et al., 2013, ($)</w:t>
            </w:r>
            <w:r w:rsidR="006A2E28">
              <w:rPr>
                <w:rFonts w:ascii="Times New Roman" w:hAnsi="Times New Roman" w:cs="Times New Roman"/>
              </w:rPr>
              <w:t xml:space="preserve"> </w:t>
            </w:r>
            <w:r w:rsidR="006A2E28">
              <w:rPr>
                <w:rFonts w:ascii="Times New Roman" w:hAnsi="Times New Roman" w:cs="Times New Roman"/>
              </w:rPr>
              <w:fldChar w:fldCharType="begin" w:fldLock="1"/>
            </w:r>
            <w:r w:rsidR="00A12787">
              <w:rPr>
                <w:rFonts w:ascii="Times New Roman" w:hAnsi="Times New Roman" w:cs="Times New Roman"/>
              </w:rPr>
              <w:instrText>ADDIN CSL_CITATION {"citationItems":[{"id":"ITEM-1","itemData":{"DOI":"10.1182/blood-2012-12-470898","ISSN":"1528-0020 (Electronic)","PMID":"23777770","abstract":"Prophylactic treatment in severe hemophilia is very effective but is limited by cost issues. The implementation of 2 different prophylactic regimens in The Netherlands and Sweden since the 1970s may be considered a natural experiment. We compared the costs and outcomes of Dutch intermediate- and Swedish high-dose prophylactic regimens for patients with severe hemophilia (factor VIII/IX &lt; 1 IU/dL) born between 1970 and 1994, using prospective standardized outcome assessment and retrospective collection of cost data. Seventy-eight Dutch and 50 Swedish patients, median age 24 years (range, 14-37 years), were included. Intermediate-dose prophylaxis used less factor concentrate (median: Netherlands, 2100 IU/kg per year [interquartile range (IQR), 1400-2900 IU/kg per year] vs Sweden, 4000 IU/kg per year [IQR, 3000-4900 IU/kg per year]); (P &lt; .01). Clinical outcome was slightly inferior for the intermediate-dose regimen (P &lt; .01) for 5-year bleeding (median, 1.3 [IQR, 0.8-2.7] vs 0 [IQR, 0.0-2.0] joint bleeds/y) and joint health (Haemophilia Joint Health Score &gt;10 of 144 points in 46% vs 11% of participants), although social participation and quality of life were similar. Annual total costs were 66% higher for high-dose prophylaxis (mean, 180 [95% confidence interval, 163 - 196] × US$1000 for Dutch vs 298 [95% confidence interval, 271-325]) × US$1000 for Swedish patients; (P &lt; .01). At group level, the incremental benefits of high-dose prophylaxis appear limited. At the patient level, prophylaxis should be tailored individually, and many patients may do well receiving lower doses of concentrate without compromising safety.","author":[{"dropping-particle":"","family":"Fischer","given":"Kathelijn","non-dropping-particle":"","parse-names":false,"suffix":""},{"dropping-particle":"","family":"Steen Carlsson","given":"Katarina","non-dropping-particle":"","parse-names":false,"suffix":""},{"dropping-particle":"","family":"Petrini","given":"Pia","non-dropping-particle":"","parse-names":false,"suffix":""},{"dropping-particle":"","family":"Holmström","given":"Margareta","non-dropping-particle":"","parse-names":false,"suffix":""},{"dropping-particle":"","family":"Ljung","given":"Rolf","non-dropping-particle":"","parse-names":false,"suffix":""},{"dropping-particle":"","family":"Berg","given":"H Marijke","non-dropping-particle":"van den","parse-names":false,"suffix":""},{"dropping-particle":"","family":"Berntorp","given":"Erik","non-dropping-particle":"","parse-names":false,"suffix":""}],"container-title":"Blood","id":"ITEM-1","issue":"7","issued":{"date-parts":[["2013","8"]]},"language":"eng","page":"1129-1136","title":"Intermediate-dose versus high-dose prophylaxis for severe hemophilia: comparing outcome and costs since the 1970s","type":"article-journal","volume":"122"},"uris":["http://www.mendeley.com/documents/?uuid=58c99f2d-e289-44f9-81f1-822a03c04866"]}],"mendeley":{"formattedCitation":"[10]","plainTextFormattedCitation":"[10]","previouslyFormattedCitation":"[10]"},"properties":{"noteIndex":0},"schema":"https://github.com/citation-style-language/schema/raw/master/csl-citation.json"}</w:instrText>
            </w:r>
            <w:r w:rsidR="006A2E28">
              <w:rPr>
                <w:rFonts w:ascii="Times New Roman" w:hAnsi="Times New Roman" w:cs="Times New Roman"/>
              </w:rPr>
              <w:fldChar w:fldCharType="separate"/>
            </w:r>
            <w:r w:rsidR="006A2E28" w:rsidRPr="006A2E28">
              <w:rPr>
                <w:rFonts w:ascii="Times New Roman" w:hAnsi="Times New Roman" w:cs="Times New Roman"/>
                <w:noProof/>
              </w:rPr>
              <w:t>[10]</w:t>
            </w:r>
            <w:r w:rsidR="006A2E28">
              <w:rPr>
                <w:rFonts w:ascii="Times New Roman" w:hAnsi="Times New Roman" w:cs="Times New Roman"/>
              </w:rPr>
              <w:fldChar w:fldCharType="end"/>
            </w:r>
          </w:p>
        </w:tc>
        <w:tc>
          <w:tcPr>
            <w:tcW w:w="2250" w:type="dxa"/>
            <w:vAlign w:val="center"/>
            <w:hideMark/>
          </w:tcPr>
          <w:p w14:paraId="7363E070"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HD PPX: 290,400; IMD PPX: 173,400</w:t>
            </w:r>
          </w:p>
        </w:tc>
        <w:tc>
          <w:tcPr>
            <w:tcW w:w="2160" w:type="dxa"/>
            <w:vAlign w:val="center"/>
            <w:hideMark/>
          </w:tcPr>
          <w:p w14:paraId="59A62ECF" w14:textId="6EDDD6C0"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HD PPX: 800</w:t>
            </w:r>
            <w:r w:rsidR="00DA30BC" w:rsidRPr="004D5D6C">
              <w:rPr>
                <w:rFonts w:ascii="Times New Roman" w:hAnsi="Times New Roman" w:cs="Times New Roman"/>
              </w:rPr>
              <w:t>;</w:t>
            </w:r>
            <w:r w:rsidRPr="004D5D6C">
              <w:rPr>
                <w:rFonts w:ascii="Times New Roman" w:hAnsi="Times New Roman" w:cs="Times New Roman"/>
              </w:rPr>
              <w:t xml:space="preserve"> IMD PPX: 1,000˟</w:t>
            </w:r>
          </w:p>
        </w:tc>
        <w:tc>
          <w:tcPr>
            <w:tcW w:w="1620" w:type="dxa"/>
            <w:vAlign w:val="center"/>
            <w:hideMark/>
          </w:tcPr>
          <w:p w14:paraId="575E9A6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635768FE"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2B63BBDB" w14:textId="1FBC9C8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HD PPX: 200; IMD PPX: 2,800</w:t>
            </w:r>
            <w:r w:rsidR="00757874" w:rsidRPr="004D5D6C">
              <w:rPr>
                <w:rFonts w:asciiTheme="majorBidi" w:hAnsiTheme="majorBidi" w:cstheme="majorBidi"/>
                <w:sz w:val="20"/>
                <w:szCs w:val="20"/>
                <w:vertAlign w:val="superscript"/>
              </w:rPr>
              <w:t>§</w:t>
            </w:r>
          </w:p>
        </w:tc>
        <w:tc>
          <w:tcPr>
            <w:tcW w:w="2070" w:type="dxa"/>
            <w:vAlign w:val="center"/>
            <w:hideMark/>
          </w:tcPr>
          <w:p w14:paraId="2C2A8365" w14:textId="3C07616E"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HD PPX: 291,400; IMD PPX: 177,200</w:t>
            </w:r>
            <w:r w:rsidR="00272844" w:rsidRPr="004D5D6C">
              <w:rPr>
                <w:rFonts w:asciiTheme="majorBidi" w:hAnsiTheme="majorBidi" w:cstheme="majorBidi"/>
                <w:sz w:val="20"/>
                <w:szCs w:val="20"/>
                <w:vertAlign w:val="superscript"/>
              </w:rPr>
              <w:t>§</w:t>
            </w:r>
          </w:p>
        </w:tc>
      </w:tr>
      <w:tr w:rsidR="007C39B7" w:rsidRPr="004D5D6C" w14:paraId="1EB43548" w14:textId="77777777" w:rsidTr="005359D8">
        <w:trPr>
          <w:trHeight w:val="550"/>
        </w:trPr>
        <w:tc>
          <w:tcPr>
            <w:tcW w:w="436" w:type="dxa"/>
            <w:shd w:val="clear" w:color="auto" w:fill="DBE5F1"/>
            <w:noWrap/>
            <w:vAlign w:val="center"/>
            <w:hideMark/>
          </w:tcPr>
          <w:p w14:paraId="68EE1886"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11</w:t>
            </w:r>
          </w:p>
        </w:tc>
        <w:tc>
          <w:tcPr>
            <w:tcW w:w="1629" w:type="dxa"/>
            <w:noWrap/>
            <w:vAlign w:val="center"/>
            <w:hideMark/>
          </w:tcPr>
          <w:p w14:paraId="112FC17F" w14:textId="20C5629C" w:rsidR="00607669" w:rsidRPr="004D5D6C" w:rsidRDefault="00607669" w:rsidP="001E6A9C">
            <w:pPr>
              <w:jc w:val="center"/>
              <w:rPr>
                <w:rFonts w:ascii="Times New Roman" w:hAnsi="Times New Roman" w:cs="Times New Roman"/>
              </w:rPr>
            </w:pPr>
            <w:r w:rsidRPr="004D5D6C">
              <w:rPr>
                <w:rFonts w:ascii="Times New Roman" w:hAnsi="Times New Roman" w:cs="Times New Roman"/>
              </w:rPr>
              <w:t>Kodra et al., 2014,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{"citationItems":[{"id":"ITEM-1","itemData":{"DOI":"10.2450/2014.0042-14s","ISSN":"2385-2070 (Electronic)","PMID":"24922297","abstract":"BACKGROUND: In Italy, the project on the social burden and quality of life (QoL) of patients with haemophilia investigates costs from a society perspective and provides an overview of their quality of life. Moreover, as life expectancy increased in recent years along with new treatment strategies implemented in the last decades, it analyses trends of costs other than drugs simulating impacts during patient whole life. MATERIAL AND METHODS: We ran a web-based cross-sectional survey supported by the Italian Federation of Haemophilia Societies in recruiting patients with haemophilia and their caregivers. We developed a questionnaire to collect information on demographic characteristics, healthcare and social services consumption, formal and informal care utilisation, productivity loss and quality of life. In particular, quality of life was assessed through the EuroQoL tool. Last, we applied the illness cost method from a society perspective. RESULTS: On average, quality of life is worse in adult patients compared to child and caregivers: more than 75% of adult patients declare physical problems, 43% of adult patients and 54% of their parents have anxiety problems. Assuming a society perspective, the estimated mean annual total cost per patient in 2012 is 117,732 €. Drugs represent 92% of total costs. Focusing on costs other than drugs, each additional point of EuroQoL tool implies a costs' reduction of 279 €. The impact of age varies across age groups: each added year implies a total decrease of costs up to 46.6 years old. Afterwards, every additional year increases costs. DISCUSSION: Quality of life of patients with haemophilia and their caregivers improved and it influences positively on consumed resources and on their contribution to the social-economic system. Costs other than drugs for patients with haemophilia follow the same trends of general population.","author":[{"dropping-particle":"","family":"Kodra","given":"Yllka","non-dropping-particle":"","parse-names":false,"suffix":""},{"dropping-particle":"","family":"Cavazza","given":"Marianna","non-dropping-particle":"","parse-names":false,"suffix":""},{"dropping-particle":"","family":"Schieppati","given":"Arrigo","non-dropping-particle":"","parse-names":false,"suffix":""},{"dropping-particle":"","family":"Santis","given":"Marta","non-dropping-particle":"De","parse-names":false,"suffix":""},{"dropping-particle":"","family":"Armeni","given":"Patrizio","non-dropping-particle":"","parse-names":false,"suffix":""},{"dropping-particle":"","family":"Arcieri","given":"Romano","non-dropping-particle":"","parse-names":false,"suffix":""},{"dropping-particle":"","family":"Calizzani","given":"Gabriele","non-dropping-particle":"","parse-names":false,"suffix":""},{"dropping-particle":"","family":"Fattore","given":"Giovanni","non-dropping-particle":"","parse-names":false,"suffix":""},{"dropping-particle":"","family":"Manzoli","given":"Lamberto","non-dropping-particle":"","parse-names":false,"suffix":""},{"dropping-particle":"","family":"Mantovani","given":"Lorenzo","non-dropping-particle":"","parse-names":false,"suffix":""},{"dropping-particle":"","family":"Taruscio","given":"Domenica","non-dropping-particle":"","parse-names":false,"suffix":""}],"container-title":"Blood transfusion = Trasfusione del sangue","id":"ITEM-1","issue":"Suppl 3","issued":{"date-parts":[["2014","4"]]},"language":"eng","page":"s567-75","title":"The social burden and quality of life of patients with haemophilia in Italy","type":"article-journal","volume":"12 Suppl 3"},"uris":["http://www.mendeley.com/documents/?uuid=e569975d-1413-40d0-89d3-06e5985b7d48"]}],"mendeley":{"formattedCitation":"[11]","plainTextFormattedCitation":"[11]","previouslyFormattedCitation":"[11]"},"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[11]</w:t>
            </w:r>
            <w:r w:rsidR="00A12787">
              <w:rPr>
                <w:rFonts w:ascii="Times New Roman" w:hAnsi="Times New Roman" w:cs="Times New Roman"/>
              </w:rPr>
              <w:fldChar w:fldCharType="end"/>
            </w:r>
          </w:p>
        </w:tc>
        <w:tc>
          <w:tcPr>
            <w:tcW w:w="2250" w:type="dxa"/>
            <w:vAlign w:val="center"/>
            <w:hideMark/>
          </w:tcPr>
          <w:p w14:paraId="701EDF6E"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107,728ᴰ</w:t>
            </w:r>
          </w:p>
        </w:tc>
        <w:tc>
          <w:tcPr>
            <w:tcW w:w="2160" w:type="dxa"/>
            <w:vAlign w:val="center"/>
            <w:hideMark/>
          </w:tcPr>
          <w:p w14:paraId="6B6E64F0" w14:textId="2496D282" w:rsidR="00607669" w:rsidRPr="004D5D6C" w:rsidRDefault="00654E55" w:rsidP="001E6A9C">
            <w:pPr>
              <w:jc w:val="center"/>
              <w:rPr>
                <w:rFonts w:ascii="Times New Roman" w:hAnsi="Times New Roman" w:cs="Times New Roman"/>
              </w:rPr>
            </w:pPr>
            <w:r w:rsidRPr="004D5D6C">
              <w:rPr>
                <w:rFonts w:ascii="Times New Roman" w:hAnsi="Times New Roman" w:cs="Times New Roman"/>
              </w:rPr>
              <w:t>2,041˟</w:t>
            </w:r>
            <w:r w:rsidRPr="004D5D6C">
              <w:rPr>
                <w:rFonts w:asciiTheme="majorBidi" w:hAnsiTheme="majorBidi" w:cstheme="majorBidi"/>
                <w:sz w:val="20"/>
                <w:szCs w:val="20"/>
                <w:vertAlign w:val="superscript"/>
              </w:rPr>
              <w:t>§</w:t>
            </w:r>
          </w:p>
        </w:tc>
        <w:tc>
          <w:tcPr>
            <w:tcW w:w="1620" w:type="dxa"/>
            <w:vAlign w:val="center"/>
            <w:hideMark/>
          </w:tcPr>
          <w:p w14:paraId="05232D4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263</w:t>
            </w:r>
          </w:p>
        </w:tc>
        <w:tc>
          <w:tcPr>
            <w:tcW w:w="1710" w:type="dxa"/>
            <w:vAlign w:val="center"/>
            <w:hideMark/>
          </w:tcPr>
          <w:p w14:paraId="318C811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4,960</w:t>
            </w:r>
          </w:p>
        </w:tc>
        <w:tc>
          <w:tcPr>
            <w:tcW w:w="2070" w:type="dxa"/>
            <w:vAlign w:val="center"/>
            <w:hideMark/>
          </w:tcPr>
          <w:p w14:paraId="76402A3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2,740</w:t>
            </w:r>
          </w:p>
        </w:tc>
        <w:tc>
          <w:tcPr>
            <w:tcW w:w="2070" w:type="dxa"/>
            <w:vAlign w:val="center"/>
            <w:hideMark/>
          </w:tcPr>
          <w:p w14:paraId="16A04CE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117,732</w:t>
            </w:r>
          </w:p>
        </w:tc>
      </w:tr>
      <w:tr w:rsidR="007C39B7" w:rsidRPr="004D5D6C" w14:paraId="5A64BB38" w14:textId="77777777" w:rsidTr="005359D8">
        <w:trPr>
          <w:trHeight w:val="440"/>
        </w:trPr>
        <w:tc>
          <w:tcPr>
            <w:tcW w:w="436" w:type="dxa"/>
            <w:shd w:val="clear" w:color="auto" w:fill="DBE5F1"/>
            <w:noWrap/>
            <w:vAlign w:val="center"/>
            <w:hideMark/>
          </w:tcPr>
          <w:p w14:paraId="026CD770"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12</w:t>
            </w:r>
          </w:p>
        </w:tc>
        <w:tc>
          <w:tcPr>
            <w:tcW w:w="1629" w:type="dxa"/>
            <w:noWrap/>
            <w:vAlign w:val="center"/>
            <w:hideMark/>
          </w:tcPr>
          <w:p w14:paraId="249193B8" w14:textId="5972C4B1"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Price et al., 2015, CAD</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{"citationItems":[{"id":"ITEM-1","itemData":{"DOI":"10.1111/hae.12715","ISSN":"1365-2516 (Electronic)","PMID":"25955276","abstract":"INTRODUCTION AND OBJECTIVES: Although economic evaluations of haemophilia-related care have highlighted both the health care payer and societal perspectives, the costs to families with children with haemophilia have not been examined. This study determined the costs incurred by families of children with haemophilia, attending a haemophilia treatment centre (HTC), servicing a large geographical area in Eastern Canada. METHODS: Families recorded all direct and indirect costs associated with haemophilia-related care for a year. Costs incurred to receive care at the HTC and local health care centres were compared. The relationship between distance to the HTC and costs was modelled using linear regression. RESULTS: Participants included 31/45 children (68%) from 27 families attending the HTC. Median age was 12 years (range: 0.5-17 years); 24/31 (77%) had severe haemophilia. The median distance to the HTC and local health care facility was 230 km (range: 7-600 km) and 33.5 km (range: 2-400 km) respectively. Due to this difference in distance, 23/31 (74%) children do not attend the HTC for management of acute haemorrhage. The median annual total cost per family to attend the HTC is $775.93 (range: $200.00-$5741.00). The total cost to attend the HTC increases by $2.16 (95% CI 1.24-3.9) per kilometer from the HTC. The median total annual cost of haemophilia-related care per family is $1222.50 (range: $396.00-$8037.00). CONCLUSION: Families incur high costs related to haemophilia care. The distance to the HTC is a barrier to care. Improving access to HTCs is paramount in improving haemophilia-related outcomes.","author":[{"dropping-particle":"","family":"Price","given":"V E","non-dropping-particle":"","parse-names":false,"suffix":""},{"dropping-particle":"","family":"Hawes","given":"S A","non-dropping-particle":"","parse-names":false,"suffix":""},{"dropping-particle":"","family":"Bouchard","given":"A","non-dropping-particle":"","parse-names":false,"suffix":""},{"dropping-particle":"","family":"Vaughan","given":"A","non-dropping-particle":"","parse-names":false,"suffix":""},{"dropping-particle":"","family":"Jarock","given":"C","non-dropping-particle":"","parse-names":false,"suffix":""},{"dropping-particle":"","family":"Kuhle","given":"S","non-dropping-particle":"","parse-names":false,"suffix":""}],"container-title":"Haemophilia : the official journal of the World Federation of Hemophilia","id":"ITEM-1","issue":"4","issued":{"date-parts":[["2015","7"]]},"language":"eng","page":"e294-9","publisher-place":"England","title":"Unmeasured costs of haemophilia: the economic burden on families with children with haemophilia","type":"article-journal","volume":"21"},"uris":["http://www.mendeley.com/documents/?uuid=8f77a9ca-9235-46db-b50f-ea1e155a6cc4"]}],"mendeley":{"formattedCitation":"[12]","plainTextFormattedCitation":"[12]","previouslyFormattedCitation":"[12]"},"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[12]</w:t>
            </w:r>
            <w:r w:rsidR="00A12787">
              <w:rPr>
                <w:rFonts w:ascii="Times New Roman" w:hAnsi="Times New Roman" w:cs="Times New Roman"/>
              </w:rPr>
              <w:fldChar w:fldCharType="end"/>
            </w:r>
          </w:p>
        </w:tc>
        <w:tc>
          <w:tcPr>
            <w:tcW w:w="2250" w:type="dxa"/>
            <w:vAlign w:val="center"/>
            <w:hideMark/>
          </w:tcPr>
          <w:p w14:paraId="7FDCBDE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Not included</w:t>
            </w:r>
          </w:p>
        </w:tc>
        <w:tc>
          <w:tcPr>
            <w:tcW w:w="5490" w:type="dxa"/>
            <w:gridSpan w:val="3"/>
            <w:vAlign w:val="center"/>
            <w:hideMark/>
          </w:tcPr>
          <w:p w14:paraId="526D4EE2"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RC &amp; AC: 776ᴹ</w:t>
            </w:r>
          </w:p>
        </w:tc>
        <w:tc>
          <w:tcPr>
            <w:tcW w:w="2070" w:type="dxa"/>
            <w:vAlign w:val="center"/>
            <w:hideMark/>
          </w:tcPr>
          <w:p w14:paraId="46780E8A"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RC: 343ᴹ</w:t>
            </w:r>
          </w:p>
        </w:tc>
        <w:tc>
          <w:tcPr>
            <w:tcW w:w="2070" w:type="dxa"/>
            <w:vAlign w:val="center"/>
            <w:hideMark/>
          </w:tcPr>
          <w:p w14:paraId="06D2A73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RC &amp; AC:1,223ᴹ</w:t>
            </w:r>
          </w:p>
        </w:tc>
      </w:tr>
      <w:tr w:rsidR="007C39B7" w:rsidRPr="004D5D6C" w14:paraId="4649BA89" w14:textId="77777777" w:rsidTr="005359D8">
        <w:trPr>
          <w:trHeight w:val="521"/>
        </w:trPr>
        <w:tc>
          <w:tcPr>
            <w:tcW w:w="436" w:type="dxa"/>
            <w:shd w:val="clear" w:color="auto" w:fill="DBE5F1"/>
            <w:noWrap/>
            <w:vAlign w:val="center"/>
            <w:hideMark/>
          </w:tcPr>
          <w:p w14:paraId="656F4AED"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lastRenderedPageBreak/>
              <w:t>13</w:t>
            </w:r>
          </w:p>
        </w:tc>
        <w:tc>
          <w:tcPr>
            <w:tcW w:w="1629" w:type="dxa"/>
            <w:noWrap/>
            <w:vAlign w:val="center"/>
            <w:hideMark/>
          </w:tcPr>
          <w:p w14:paraId="799A6267" w14:textId="6227E44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Zhou et al., 2015,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{"citationItems":[{"id":"ITEM-1","itemData":{"DOI":"10.3111/13696998.2015.1016228","ISSN":"1941-837X (Electronic)","PMID":"25660324","abstract":"OBJECTIVE: To examine the direct and indirect costs of hemophilia care among persons with hemophilia A in the US. METHODS: Observational data were obtained from HUGS-Va, a multi-center study from six federally supported hemophilia treatment centers (HTCs). Eligible individuals completed a standardized initial questionnaire and were followed regularly for 2 years to obtain information on work or school absenteeism, time spent arranging hemophilia care, and unpaid hemophilia-related support from caregivers. Data from 1-year healthcare utilization records and 2-year clotting factor dispensing records measured direct medical costs. Indirect costs were imputed using the human capital approach, which uses wages as a proxy measure of work time output. RESULTS: A total of 222 patients with complete data were included in the analysis. Two-thirds had severe hemophilia and the mean age was 21.1 years. The use of prophylaxis in severe hemophilia patients is associated with statistically significant reduction in the numbers of emergency department (ED) visits and bleeding episodes compared with those who were treated episodically. From the societal perspective, mild hemophilia costs $59,101 (median: $7519) annually per person, $84,363 (median: $61,837) for moderate hemophilia, $201,471 (median: $143,431) for severe hemophilia using episodic treatment, and $301,392 (median: $286,198) for severe hemophilia receiving prophylaxis. Clotting factor contributed from 54% of total costs in mild hemophilia to a maximum of 94% for patients with severe hemophilia receiving prophylaxis. CONCLUSION: Hemophilia is a costly disorder not only because of its high medical expenses, but also due to the high indirect costs incurred.","author":[{"dropping-particle":"","family":"Zhou","given":"Zheng-Yi","non-dropping-particle":"","parse-names":false,"suffix":""},{"dropping-particle":"","family":"Koerper","given":"Marion A","non-dropping-particle":"","parse-names":false,"suffix":""},{"dropping-particle":"","family":"Johnson","given":"Kathleen A","non-dropping-particle":"","parse-names":false,"suffix":""},{"dropping-particle":"","family":"Riske","given":"Brenda","non-dropping-particle":"","parse-names":false,"suffix":""},{"dropping-particle":"","family":"Baker","given":"Judith R","non-dropping-particle":"","parse-names":false,"suffix":""},{"dropping-particle":"","family":"Ullman","given":"Megan","non-dropping-particle":"","parse-names":false,"suffix":""},{"dropping-particle":"","family":"Curtis","given":"Randall G","non-dropping-particle":"","parse-names":false,"suffix":""},{"dropping-particle":"","family":"Poon","given":"Jiat-Ling","non-dropping-particle":"","parse-names":false,"suffix":""},{"dropping-particle":"","family":"Lou","given":"Mimi","non-dropping-particle":"","parse-names":false,"suffix":""},{"dropping-particle":"","family":"Nichol","given":"Michael B","non-dropping-particle":"","parse-names":false,"suffix":""}],"container-title":"Journal of medical economics","id":"ITEM-1","issue":"6","issued":{"date-parts":[["2015","6"]]},"language":"eng","page":"457-465","publisher-place":"England","title":"Burden of illness: direct and indirect costs among persons with hemophilia A in the United States","type":"article-journal","volume":"18"},"uris":["http://www.mendeley.com/documents/?uuid=8157c333-d419-4292-a7ed-e2a6e15144ac"]}],"mendeley":{"formattedCitation":"[13]","plainTextFormattedCitation":"[13]","previouslyFormattedCitation":"[13]"},"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[13]</w:t>
            </w:r>
            <w:r w:rsidR="00A12787">
              <w:rPr>
                <w:rFonts w:ascii="Times New Roman" w:hAnsi="Times New Roman" w:cs="Times New Roman"/>
              </w:rPr>
              <w:fldChar w:fldCharType="end"/>
            </w:r>
          </w:p>
        </w:tc>
        <w:tc>
          <w:tcPr>
            <w:tcW w:w="2250" w:type="dxa"/>
            <w:vAlign w:val="center"/>
            <w:hideMark/>
          </w:tcPr>
          <w:p w14:paraId="32BDF05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289,172; ODT: 170,037</w:t>
            </w:r>
          </w:p>
        </w:tc>
        <w:tc>
          <w:tcPr>
            <w:tcW w:w="2160" w:type="dxa"/>
            <w:vAlign w:val="center"/>
            <w:hideMark/>
          </w:tcPr>
          <w:p w14:paraId="3BBB362B"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3,353; ODT: 14,481˟</w:t>
            </w:r>
          </w:p>
        </w:tc>
        <w:tc>
          <w:tcPr>
            <w:tcW w:w="1620" w:type="dxa"/>
            <w:vAlign w:val="center"/>
            <w:hideMark/>
          </w:tcPr>
          <w:p w14:paraId="1819D84E"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328BE328"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3B963F90"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8,867; ODT: 16,952</w:t>
            </w:r>
          </w:p>
        </w:tc>
        <w:tc>
          <w:tcPr>
            <w:tcW w:w="2070" w:type="dxa"/>
            <w:vAlign w:val="center"/>
            <w:hideMark/>
          </w:tcPr>
          <w:p w14:paraId="0E113C7A"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301,392; ODT: 201,471</w:t>
            </w:r>
          </w:p>
        </w:tc>
      </w:tr>
      <w:tr w:rsidR="007C39B7" w:rsidRPr="004D5D6C" w14:paraId="5E91A323" w14:textId="77777777" w:rsidTr="005359D8">
        <w:trPr>
          <w:trHeight w:val="395"/>
        </w:trPr>
        <w:tc>
          <w:tcPr>
            <w:tcW w:w="436" w:type="dxa"/>
            <w:shd w:val="clear" w:color="auto" w:fill="DBE5F1"/>
            <w:noWrap/>
            <w:vAlign w:val="center"/>
            <w:hideMark/>
          </w:tcPr>
          <w:p w14:paraId="1585E5AD"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14</w:t>
            </w:r>
          </w:p>
        </w:tc>
        <w:tc>
          <w:tcPr>
            <w:tcW w:w="1629" w:type="dxa"/>
            <w:noWrap/>
            <w:vAlign w:val="center"/>
            <w:hideMark/>
          </w:tcPr>
          <w:p w14:paraId="4CC8D166" w14:textId="71473F58" w:rsidR="00607669" w:rsidRPr="004D5D6C" w:rsidRDefault="00607669" w:rsidP="001E6A9C">
            <w:pPr>
              <w:jc w:val="center"/>
              <w:rPr>
                <w:rFonts w:ascii="Times New Roman" w:hAnsi="Times New Roman" w:cs="Times New Roman"/>
              </w:rPr>
            </w:pPr>
            <w:r w:rsidRPr="004D5D6C">
              <w:rPr>
                <w:rFonts w:ascii="Times New Roman" w:hAnsi="Times New Roman" w:cs="Times New Roman"/>
              </w:rPr>
              <w:t>Cavazza et al., 2016,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{"citationItems":[{"id":"ITEM-1","itemData":{"DOI":"10.1007/s10198-016-0785-2","ISSN":"1618-7601 (Electronic)","PMID":"27048374","abstract":"OBJECTIVE: The aim of this study was to determine the economic burden from a societal perspective and the health-related quality of life (HRQOL) of patients with haemophilia in Europe. METHODS: We conducted a cross-sectional study of patients with haemophilia from Bulgaria, France, Germany, Hungary, Italy, Spain Sweden and the UK. Data on demographic characteristics, health resource utilisation, informal care, loss of labour productivity and HRQOL were collected from the questionnaires completed by patients or their caregivers. HRQOL was measured with the EuroQol 5-domain (EQ-5D) questionnaire. The costs have been estimated from a societal perspective adopting a bottom-up approach. RESULTS: A total of 401 questionnaires were included in the study, of which 339 were collected from patients with haemophilia and 62 from caregivers. The lowest average annual cost per person was reported in Bulgaria (€6,660) and the highest in Germany (€194,490). Our results demonstrate both a large difference from country to country in the average annual cost per patient in 2012 and the driving role of drugs in costs. Drugs represent nearly 90 % of direct healthcare costs in a majority of the countries analysed (Hungary, Italy, Spain and Germany). In Bulgaria, France and Sweden, however, healthcare services (visits, tests and hospitalisations) prevail. Costs are also shown to differ between children and adults. The mean EQ-5D index score for adult patients was 0.69 and mean EQ-5D VAS was 66.6. The mean EQ-5D index score for carers was 0.87 and mean EQ-5D VAS was 75.5. In the disability score, 60 % showed no disability and measuring caregiver burden with the Zarit Index produced an overall mean score of 25.3. CONCLUSION: We have shown that haemophilia is associated with a substantial economic burden and impaired HRQOL. Studies on cost of illness and HRQOL are important for haemophilia as the future of this disease is likely to change with the development of new innovative treatments. The introduction of these treatments will most likely impact future costs related to haemophilia.","author":[{"dropping-particle":"","family":"Cavazza","given":"Marianna","non-dropping-particle":"","parse-names":false,"suffix":""},{"dropping-particle":"","family":"Kodra","given":"Yllka","non-dropping-particle":"","parse-names":false,"suffix":""},{"dropping-particle":"","family":"Armeni","given":"Patrizio","non-dropping-particle":"","parse-names":false,"suffix":""},{"dropping-particle":"","family":"Santis","given":"Marta","non-dropping-particle":"De","parse-names":false,"suffix":""},{"dropping-particle":"","family":"López-Bastida","given":"Julio","non-dropping-particle":"","parse-names":false,"suffix":""},{"dropping-particle":"","family":"Linertová","given":"Renata","non-dropping-particle":"","parse-names":false,"suffix":""},{"dropping-particle":"","family":"Oliva-Moreno","given":"Juan","non-dropping-particle":"","parse-names":false,"suffix":""},{"dropping-particle":"","family":"Serrano-Aguilar","given":"Pedro","non-dropping-particle":"","parse-names":false,"suffix":""},{"dropping-particle":"","family":"Posada-de-la-Paz","given":"Manuel","non-dropping-particle":"","parse-names":false,"suffix":""},{"dropping-particle":"","family":"Taruscio","given":"Domenica","non-dropping-particle":"","parse-names":false,"suffix":""},{"dropping-particle":"","family":"Schieppati","given":"Arrigo","non-dropping-particle":"","parse-names":false,"suffix":""},{"dropping-particle":"","family":"Iskrov","given":"Georgi","non-dropping-particle":"","parse-names":false,"suffix":""},{"dropping-particle":"","family":"Gulácsi","given":"László","non-dropping-particle":"","parse-names":false,"suffix":""},{"dropping-particle":"","family":"Schulenburg","given":"Johann Matthias Graf","non-dropping-particle":"von der","parse-names":false,"suffix":""},{"dropping-particle":"","family":"Kanavos","given":"Panos","non-dropping-particle":"","parse-names":false,"suffix":""},{"dropping-particle":"","family":"Chevreul","given":"Karine","non-dropping-particle":"","parse-names":false,"suffix":""},{"dropping-particle":"","family":"Persson","given":"Ulf","non-dropping-particle":"","parse-names":false,"suffix":""},{"dropping-particle":"","family":"Fattore","given":"Giovanni","non-dropping-particle":"","parse-names":false,"suffix":""}],"container-title":"The European journal of health economics : HEPAC : health economics in prevention and care","id":"ITEM-1","issued":{"date-parts":[["2016","4"]]},"language":"eng","page":"53-65","publisher-place":"Germany","title":"Social/economic costs and quality of life in patients with haemophilia in Europe","type":"article-journal","volume":"17 Suppl 1"},"uris":["http://www.mendeley.com/documents/?uuid=77796f99-b216-4b47-98ca-703de2eb5eec"]}],"mendeley":{"formattedCitation":"[14]","plainTextFormattedCitation":"[14]","previouslyFormattedCitation":"[14]"},"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[14]</w:t>
            </w:r>
            <w:r w:rsidR="00A12787">
              <w:rPr>
                <w:rFonts w:ascii="Times New Roman" w:hAnsi="Times New Roman" w:cs="Times New Roman"/>
              </w:rPr>
              <w:fldChar w:fldCharType="end"/>
            </w:r>
          </w:p>
        </w:tc>
        <w:tc>
          <w:tcPr>
            <w:tcW w:w="2250" w:type="dxa"/>
            <w:vAlign w:val="center"/>
            <w:hideMark/>
          </w:tcPr>
          <w:p w14:paraId="4F160EB2"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87-174,712ᴰ</w:t>
            </w:r>
          </w:p>
        </w:tc>
        <w:tc>
          <w:tcPr>
            <w:tcW w:w="2160" w:type="dxa"/>
            <w:vAlign w:val="center"/>
            <w:hideMark/>
          </w:tcPr>
          <w:p w14:paraId="1C3E97EF" w14:textId="14AC5845" w:rsidR="00607669" w:rsidRPr="004D5D6C" w:rsidRDefault="005B7E6A" w:rsidP="001E6A9C">
            <w:pPr>
              <w:jc w:val="center"/>
              <w:rPr>
                <w:rFonts w:ascii="Times New Roman" w:hAnsi="Times New Roman" w:cs="Times New Roman"/>
              </w:rPr>
            </w:pPr>
            <w:r w:rsidRPr="004D5D6C">
              <w:rPr>
                <w:rFonts w:ascii="Times New Roman" w:hAnsi="Times New Roman" w:cs="Times New Roman"/>
              </w:rPr>
              <w:t>293</w:t>
            </w:r>
            <w:r w:rsidR="00607669" w:rsidRPr="004D5D6C">
              <w:rPr>
                <w:rFonts w:ascii="Times New Roman" w:hAnsi="Times New Roman" w:cs="Times New Roman"/>
              </w:rPr>
              <w:t>-</w:t>
            </w:r>
            <w:r w:rsidR="00716015" w:rsidRPr="004D5D6C">
              <w:rPr>
                <w:rFonts w:ascii="Times New Roman" w:hAnsi="Times New Roman" w:cs="Times New Roman"/>
              </w:rPr>
              <w:t>7,065˟</w:t>
            </w:r>
            <w:r w:rsidR="00716015" w:rsidRPr="004D5D6C">
              <w:rPr>
                <w:rFonts w:asciiTheme="majorBidi" w:hAnsiTheme="majorBidi" w:cstheme="majorBidi"/>
                <w:sz w:val="20"/>
                <w:szCs w:val="20"/>
                <w:vertAlign w:val="superscript"/>
              </w:rPr>
              <w:t>§</w:t>
            </w:r>
          </w:p>
        </w:tc>
        <w:tc>
          <w:tcPr>
            <w:tcW w:w="1620" w:type="dxa"/>
            <w:vAlign w:val="center"/>
            <w:hideMark/>
          </w:tcPr>
          <w:p w14:paraId="28577A6D" w14:textId="6F42973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42-53,870</w:t>
            </w:r>
          </w:p>
        </w:tc>
        <w:tc>
          <w:tcPr>
            <w:tcW w:w="1710" w:type="dxa"/>
            <w:vAlign w:val="center"/>
            <w:hideMark/>
          </w:tcPr>
          <w:p w14:paraId="3F006FD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530-4,962</w:t>
            </w:r>
          </w:p>
        </w:tc>
        <w:tc>
          <w:tcPr>
            <w:tcW w:w="2070" w:type="dxa"/>
            <w:vAlign w:val="center"/>
            <w:hideMark/>
          </w:tcPr>
          <w:p w14:paraId="0ECEF5C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139-9,444</w:t>
            </w:r>
          </w:p>
        </w:tc>
        <w:tc>
          <w:tcPr>
            <w:tcW w:w="2070" w:type="dxa"/>
            <w:vAlign w:val="center"/>
            <w:hideMark/>
          </w:tcPr>
          <w:p w14:paraId="34B6A982"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6,660-194,491</w:t>
            </w:r>
          </w:p>
        </w:tc>
      </w:tr>
      <w:tr w:rsidR="007C39B7" w:rsidRPr="004D5D6C" w14:paraId="5980DD80" w14:textId="77777777" w:rsidTr="005359D8">
        <w:trPr>
          <w:trHeight w:val="386"/>
        </w:trPr>
        <w:tc>
          <w:tcPr>
            <w:tcW w:w="436" w:type="dxa"/>
            <w:shd w:val="clear" w:color="auto" w:fill="DBE5F1"/>
            <w:noWrap/>
            <w:vAlign w:val="center"/>
            <w:hideMark/>
          </w:tcPr>
          <w:p w14:paraId="142C576D"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15</w:t>
            </w:r>
          </w:p>
        </w:tc>
        <w:tc>
          <w:tcPr>
            <w:tcW w:w="1629" w:type="dxa"/>
            <w:noWrap/>
            <w:vAlign w:val="center"/>
            <w:hideMark/>
          </w:tcPr>
          <w:p w14:paraId="04229EAF" w14:textId="2021576D" w:rsidR="00607669" w:rsidRPr="004D5D6C" w:rsidRDefault="00607669" w:rsidP="001E6A9C">
            <w:pPr>
              <w:jc w:val="center"/>
              <w:rPr>
                <w:rFonts w:ascii="Times New Roman" w:hAnsi="Times New Roman" w:cs="Times New Roman"/>
              </w:rPr>
            </w:pPr>
            <w:r w:rsidRPr="004D5D6C">
              <w:rPr>
                <w:rFonts w:ascii="Times New Roman" w:hAnsi="Times New Roman" w:cs="Times New Roman"/>
              </w:rPr>
              <w:t>Chen et al., 2017,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{"citationItems":[{"id":"ITEM-1","itemData":{"ISSN":"1098-3015","author":[{"dropping-particle":"","family":"Chen","given":"Christina X","non-dropping-particle":"","parse-names":false,"suffix":""},{"dropping-particle":"","family":"Baker","given":"Judith R","non-dropping-particle":"","parse-names":false,"suffix":""},{"dropping-particle":"","family":"Nichol","given":"Michael B","non-dropping-particle":"","parse-names":false,"suffix":""}],"container-title":"Value in Health","id":"ITEM-1","issue":"8","issued":{"date-parts":[["2017"]]},"page":"1074-1082","publisher":"Elsevier","title":"Economic burden of illness among persons with hemophilia B from HUGS Vb: examining the association of severity and treatment regimens with costs and annual bleed rates","type":"article-journal","volume":"20"},"uris":["http://www.mendeley.com/documents/?uuid=5ee151aa-c171-49cc-9f71-de8c4e4e6700"]}],"mendeley":{"formattedCitation":"[15]","plainTextFormattedCitation":"[15]","previouslyFormattedCitation":"[15]"},"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[15]</w:t>
            </w:r>
            <w:r w:rsidR="00A12787">
              <w:rPr>
                <w:rFonts w:ascii="Times New Roman" w:hAnsi="Times New Roman" w:cs="Times New Roman"/>
              </w:rPr>
              <w:fldChar w:fldCharType="end"/>
            </w:r>
          </w:p>
        </w:tc>
        <w:tc>
          <w:tcPr>
            <w:tcW w:w="2250" w:type="dxa"/>
            <w:vAlign w:val="center"/>
            <w:hideMark/>
          </w:tcPr>
          <w:p w14:paraId="3F2E47E3"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255,747; ODT: 97,490</w:t>
            </w:r>
          </w:p>
        </w:tc>
        <w:tc>
          <w:tcPr>
            <w:tcW w:w="2160" w:type="dxa"/>
            <w:vAlign w:val="center"/>
            <w:hideMark/>
          </w:tcPr>
          <w:p w14:paraId="6D889EA9"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1,015; ODT: 6,122˟</w:t>
            </w:r>
          </w:p>
        </w:tc>
        <w:tc>
          <w:tcPr>
            <w:tcW w:w="1620" w:type="dxa"/>
            <w:vAlign w:val="center"/>
            <w:hideMark/>
          </w:tcPr>
          <w:p w14:paraId="2D3BB960"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1710" w:type="dxa"/>
            <w:vAlign w:val="center"/>
            <w:hideMark/>
          </w:tcPr>
          <w:p w14:paraId="674354A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1D12FD55"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6,477 ODT: 10,957</w:t>
            </w:r>
          </w:p>
        </w:tc>
        <w:tc>
          <w:tcPr>
            <w:tcW w:w="2070" w:type="dxa"/>
            <w:vAlign w:val="center"/>
            <w:hideMark/>
          </w:tcPr>
          <w:p w14:paraId="7C8D72FA"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PPX: 263,253; ODT: 114,577</w:t>
            </w:r>
          </w:p>
        </w:tc>
      </w:tr>
      <w:tr w:rsidR="007C39B7" w:rsidRPr="004D5D6C" w14:paraId="180F3A44" w14:textId="77777777" w:rsidTr="005359D8">
        <w:trPr>
          <w:trHeight w:val="359"/>
        </w:trPr>
        <w:tc>
          <w:tcPr>
            <w:tcW w:w="436" w:type="dxa"/>
            <w:shd w:val="clear" w:color="auto" w:fill="DBE5F1"/>
            <w:noWrap/>
            <w:vAlign w:val="center"/>
            <w:hideMark/>
          </w:tcPr>
          <w:p w14:paraId="3FBE5AEE"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16</w:t>
            </w:r>
          </w:p>
        </w:tc>
        <w:tc>
          <w:tcPr>
            <w:tcW w:w="1629" w:type="dxa"/>
            <w:noWrap/>
            <w:vAlign w:val="center"/>
            <w:hideMark/>
          </w:tcPr>
          <w:p w14:paraId="04B337BA" w14:textId="6B356EBF" w:rsidR="00607669" w:rsidRPr="004D5D6C" w:rsidRDefault="00607669" w:rsidP="001E6A9C">
            <w:pPr>
              <w:jc w:val="center"/>
              <w:rPr>
                <w:rFonts w:ascii="Times New Roman" w:hAnsi="Times New Roman" w:cs="Times New Roman"/>
              </w:rPr>
            </w:pPr>
            <w:r w:rsidRPr="004D5D6C">
              <w:rPr>
                <w:rFonts w:ascii="Times New Roman" w:hAnsi="Times New Roman" w:cs="Times New Roman"/>
              </w:rPr>
              <w:t>O’Hara et al., 2017,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ISSN":"1750-1172","author":[{"dropping-particle":"","family":"O’Hara","given":"Jamie","non-dropping-particle":"","parse-names":false,"suffix":""},{"dropping-particle":"","family":"Hughes","given":"David","non-dropping-particle":"","parse-names":false,"suffix":""},{"dropping-particle":"","family":"Camp","given":"Charlotte","non-dropping-particle":"","parse-names":false,"suffix":""},{"dropping-particle":"","family":"Burke","given":"Tom","non-dropping-particle":"","parse-names":false,"suffix":""},{"dropping-particle":"","family":"Carroll","given":"Liz","non-dropping-particle":"","parse-names":false,"suffix":""},{"dropping-particle":"","family":"Diego","given":"Daniel-Anibal Garcia","non-dropping-particle":"","parse-names":false,"suffix":""}],"container-title":"Orphanet journal of rare diseases","id":"ITEM-1","issue":"1","issued":{"date-parts":[["2017"]]},"page":"1-8","publisher":"Springer","title":"The cost of severe haemophilia in Europe: the CHESS study","type":"article-journal","volume":"12"},"uris":["http://www.mendeley.com/documents/?uuid=11345695-9419-4546-971f-013f2a165210"]}],"mendeley":{"formattedCitation":"[16]","plainTextFormattedCitation":"[16]","previouslyFormattedCitation":"[16]"},"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[16]</w:t>
            </w:r>
            <w:r w:rsidR="00A12787">
              <w:rPr>
                <w:rFonts w:ascii="Times New Roman" w:hAnsi="Times New Roman" w:cs="Times New Roman"/>
              </w:rPr>
              <w:fldChar w:fldCharType="end"/>
            </w:r>
          </w:p>
        </w:tc>
        <w:tc>
          <w:tcPr>
            <w:tcW w:w="2250" w:type="dxa"/>
            <w:vAlign w:val="center"/>
            <w:hideMark/>
          </w:tcPr>
          <w:p w14:paraId="6A6D972F" w14:textId="556988AF" w:rsidR="00607669" w:rsidRPr="004D5D6C" w:rsidRDefault="00607669" w:rsidP="001E6A9C">
            <w:pPr>
              <w:jc w:val="center"/>
              <w:rPr>
                <w:rFonts w:ascii="Times New Roman" w:hAnsi="Times New Roman" w:cs="Times New Roman"/>
              </w:rPr>
            </w:pPr>
            <w:r w:rsidRPr="004D5D6C">
              <w:rPr>
                <w:rFonts w:ascii="Times New Roman" w:hAnsi="Times New Roman" w:cs="Times New Roman"/>
              </w:rPr>
              <w:t>1</w:t>
            </w:r>
            <w:r w:rsidR="00BC7DF4" w:rsidRPr="004D5D6C">
              <w:rPr>
                <w:rFonts w:ascii="Times New Roman" w:hAnsi="Times New Roman" w:cs="Times New Roman"/>
              </w:rPr>
              <w:t>89</w:t>
            </w:r>
            <w:r w:rsidRPr="004D5D6C">
              <w:rPr>
                <w:rFonts w:ascii="Times New Roman" w:hAnsi="Times New Roman" w:cs="Times New Roman"/>
              </w:rPr>
              <w:t>,</w:t>
            </w:r>
            <w:r w:rsidR="007B2EEF" w:rsidRPr="004D5D6C">
              <w:rPr>
                <w:rFonts w:ascii="Times New Roman" w:hAnsi="Times New Roman" w:cs="Times New Roman"/>
              </w:rPr>
              <w:t>285</w:t>
            </w:r>
          </w:p>
        </w:tc>
        <w:tc>
          <w:tcPr>
            <w:tcW w:w="2160" w:type="dxa"/>
            <w:vAlign w:val="center"/>
            <w:hideMark/>
          </w:tcPr>
          <w:p w14:paraId="094DE442" w14:textId="6CA960C1" w:rsidR="00607669" w:rsidRPr="004D5D6C" w:rsidRDefault="00521AF5" w:rsidP="001E6A9C">
            <w:pPr>
              <w:jc w:val="center"/>
              <w:rPr>
                <w:rFonts w:ascii="Times New Roman" w:hAnsi="Times New Roman" w:cs="Times New Roman"/>
              </w:rPr>
            </w:pPr>
            <w:r w:rsidRPr="004D5D6C">
              <w:rPr>
                <w:rFonts w:ascii="Times New Roman" w:hAnsi="Times New Roman" w:cs="Times New Roman"/>
              </w:rPr>
              <w:t>4,181</w:t>
            </w:r>
            <w:r w:rsidR="00607669" w:rsidRPr="004D5D6C">
              <w:rPr>
                <w:rFonts w:ascii="Times New Roman" w:hAnsi="Times New Roman" w:cs="Times New Roman"/>
              </w:rPr>
              <w:t>˟</w:t>
            </w:r>
          </w:p>
        </w:tc>
        <w:tc>
          <w:tcPr>
            <w:tcW w:w="1620" w:type="dxa"/>
            <w:vAlign w:val="center"/>
            <w:hideMark/>
          </w:tcPr>
          <w:p w14:paraId="0C3A66F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Included in the IC</w:t>
            </w:r>
          </w:p>
        </w:tc>
        <w:tc>
          <w:tcPr>
            <w:tcW w:w="1710" w:type="dxa"/>
            <w:vAlign w:val="center"/>
            <w:hideMark/>
          </w:tcPr>
          <w:p w14:paraId="378C9A93"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2812BD84" w14:textId="0DD26F2D" w:rsidR="00607669" w:rsidRPr="004D5D6C" w:rsidRDefault="00521AF5" w:rsidP="001E6A9C">
            <w:pPr>
              <w:jc w:val="center"/>
              <w:rPr>
                <w:rFonts w:ascii="Times New Roman" w:hAnsi="Times New Roman" w:cs="Times New Roman"/>
              </w:rPr>
            </w:pPr>
            <w:r w:rsidRPr="004D5D6C">
              <w:rPr>
                <w:rFonts w:ascii="Times New Roman" w:hAnsi="Times New Roman" w:cs="Times New Roman"/>
              </w:rPr>
              <w:t>6,075</w:t>
            </w:r>
          </w:p>
        </w:tc>
        <w:tc>
          <w:tcPr>
            <w:tcW w:w="2070" w:type="dxa"/>
            <w:vAlign w:val="center"/>
            <w:hideMark/>
          </w:tcPr>
          <w:p w14:paraId="71FD28B2" w14:textId="0D0E580E" w:rsidR="00607669" w:rsidRPr="004D5D6C" w:rsidRDefault="00EF28A3" w:rsidP="001E6A9C">
            <w:pPr>
              <w:jc w:val="center"/>
              <w:rPr>
                <w:rFonts w:ascii="Times New Roman" w:hAnsi="Times New Roman" w:cs="Times New Roman"/>
              </w:rPr>
            </w:pPr>
            <w:r w:rsidRPr="004D5D6C">
              <w:rPr>
                <w:rFonts w:ascii="Times New Roman" w:hAnsi="Times New Roman" w:cs="Times New Roman"/>
              </w:rPr>
              <w:t>199,541</w:t>
            </w:r>
          </w:p>
        </w:tc>
      </w:tr>
      <w:tr w:rsidR="00A12787" w:rsidRPr="004D5D6C" w14:paraId="4C9A6226" w14:textId="77777777" w:rsidTr="005359D8">
        <w:trPr>
          <w:trHeight w:val="611"/>
        </w:trPr>
        <w:tc>
          <w:tcPr>
            <w:tcW w:w="436" w:type="dxa"/>
            <w:shd w:val="clear" w:color="auto" w:fill="DBE5F1"/>
            <w:noWrap/>
            <w:vAlign w:val="center"/>
            <w:hideMark/>
          </w:tcPr>
          <w:p w14:paraId="1B3AF116"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17</w:t>
            </w:r>
          </w:p>
        </w:tc>
        <w:tc>
          <w:tcPr>
            <w:tcW w:w="1629" w:type="dxa"/>
            <w:noWrap/>
            <w:vAlign w:val="center"/>
            <w:hideMark/>
          </w:tcPr>
          <w:p w14:paraId="3F3F9D2D" w14:textId="7BE9192A" w:rsidR="00607669" w:rsidRPr="004D5D6C" w:rsidRDefault="00607669" w:rsidP="001E6A9C">
            <w:pPr>
              <w:jc w:val="center"/>
              <w:rPr>
                <w:rFonts w:ascii="Times New Roman" w:hAnsi="Times New Roman" w:cs="Times New Roman"/>
              </w:rPr>
            </w:pPr>
            <w:r w:rsidRPr="004D5D6C">
              <w:rPr>
                <w:rFonts w:ascii="Times New Roman" w:hAnsi="Times New Roman" w:cs="Times New Roman"/>
              </w:rPr>
              <w:t>Jadhav and Mukherjee, 2018, INR</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{"citationItems":[{"id":"ITEM-1","itemData":{"DOI":"10.4103/jpgm.JPGM_701_16","ISSN":"0972-2823 (Electronic)","PMID":"29067924","abstract":"BACKGROUND: In India, the low public health priority given to rare disorders such as hemophilia hinders their management and optimal care, leading to relatively poor health outcomes. This study aims to profile the multidimensional health status of patients with severe hemophilia A, and its association with the use of healthcare resources and the cost of care in Mumbai region of India. SUBJECTS AND METHODS: A cross-sectional, single-center study was conducted during January-May 2011, among 160 patients diagnosed with severe hemophilia A in Mumbai region of India. Their health status was documented using the Hemophilia Utilization Group Study's validated instrument of Functional Health Status Measure (FHS) and a single item of Self-care Measure. RESULTS: Of 160 patients, 55% (n = 88) scored on the lower side on the FHS, with an average score of 6.65 ± 2.85. The use of healthcare resources and cost of treatment were considerable for patients with a lower mean rank score on the FHS and a higher mean rank score on the self-care measure. The consumption of clotting factor concentrates (CFCs), number of visits to a health facility and incidence of inpatient episodes were significantly associated with a relatively low score on the FHS. Similarly, a higher cost of treatment, in terms of the cost of CFCs, direct cost, emergency room cost, and indirect cost, were significantly associated with a lower score on the FHS. CONCLUSION: The health status of patients with severe hemophilia A is compromised and has a significant impact on the use of healthcare resources and the cost of treatment.","author":[{"dropping-particle":"","family":"Jadhav","given":"U","non-dropping-particle":"","parse-names":false,"suffix":""},{"dropping-particle":"","family":"Mukherjee","given":"K","non-dropping-particle":"","parse-names":false,"suffix":""}],"container-title":"Journal of postgraduate medicine","id":"ITEM-1","issue":"3","issued":{"date-parts":[["2018"]]},"language":"eng","page":"138-144","title":"Assessment of healthcare measures, healthcare resource use, and cost of care among severe hemophilia A patients in Mumbai region of India.","type":"article-journal","volume":"64"},"uris":["http://www.mendeley.com/documents/?uuid=75e46a0e-bf42-4c8e-b571-0943d5be5229"]}],"mendeley":{"formattedCitation":"[17]","plainTextFormattedCitation":"[17]","previouslyFormattedCitation":"[17]"},"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[17]</w:t>
            </w:r>
            <w:r w:rsidR="00A12787">
              <w:rPr>
                <w:rFonts w:ascii="Times New Roman" w:hAnsi="Times New Roman" w:cs="Times New Roman"/>
              </w:rPr>
              <w:fldChar w:fldCharType="end"/>
            </w:r>
          </w:p>
        </w:tc>
        <w:tc>
          <w:tcPr>
            <w:tcW w:w="2250" w:type="dxa"/>
            <w:vAlign w:val="center"/>
            <w:hideMark/>
          </w:tcPr>
          <w:p w14:paraId="067DAC6E"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5,950-12,750 for different HSᴹ</w:t>
            </w:r>
          </w:p>
        </w:tc>
        <w:tc>
          <w:tcPr>
            <w:tcW w:w="3780" w:type="dxa"/>
            <w:gridSpan w:val="2"/>
            <w:vAlign w:val="center"/>
            <w:hideMark/>
          </w:tcPr>
          <w:p w14:paraId="1E4CACB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17,551ᴵ</w:t>
            </w:r>
          </w:p>
        </w:tc>
        <w:tc>
          <w:tcPr>
            <w:tcW w:w="1710" w:type="dxa"/>
            <w:vAlign w:val="center"/>
            <w:hideMark/>
          </w:tcPr>
          <w:p w14:paraId="7E8A9728"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25D5DFF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3,000-4,000 for different HSᴹ</w:t>
            </w:r>
          </w:p>
        </w:tc>
        <w:tc>
          <w:tcPr>
            <w:tcW w:w="2070" w:type="dxa"/>
            <w:vAlign w:val="center"/>
            <w:hideMark/>
          </w:tcPr>
          <w:p w14:paraId="18FD6863" w14:textId="696D675D" w:rsidR="00607669" w:rsidRPr="004D5D6C" w:rsidRDefault="000A170A" w:rsidP="001E6A9C">
            <w:pPr>
              <w:jc w:val="center"/>
              <w:rPr>
                <w:rFonts w:ascii="Times New Roman" w:hAnsi="Times New Roman" w:cs="Times New Roman"/>
              </w:rPr>
            </w:pPr>
            <w:r w:rsidRPr="004D5D6C">
              <w:rPr>
                <w:rFonts w:ascii="Times New Roman" w:hAnsi="Times New Roman" w:cs="Times New Roman"/>
              </w:rPr>
              <w:t>20,551-21,551</w:t>
            </w:r>
            <w:r w:rsidR="00B537A3" w:rsidRPr="004D5D6C">
              <w:rPr>
                <w:rFonts w:ascii="Times New Roman" w:hAnsi="Times New Roman" w:cs="Times New Roman"/>
              </w:rPr>
              <w:t xml:space="preserve"> for different</w:t>
            </w:r>
            <w:r w:rsidR="00E9637F" w:rsidRPr="004D5D6C">
              <w:rPr>
                <w:rFonts w:ascii="Times New Roman" w:hAnsi="Times New Roman" w:cs="Times New Roman"/>
              </w:rPr>
              <w:t xml:space="preserve"> HS</w:t>
            </w:r>
            <w:r w:rsidR="00477320" w:rsidRPr="004D5D6C">
              <w:rPr>
                <w:rFonts w:asciiTheme="majorBidi" w:hAnsiTheme="majorBidi" w:cstheme="majorBidi"/>
                <w:sz w:val="20"/>
                <w:szCs w:val="20"/>
                <w:vertAlign w:val="superscript"/>
              </w:rPr>
              <w:t>ε</w:t>
            </w:r>
          </w:p>
        </w:tc>
      </w:tr>
      <w:tr w:rsidR="007C39B7" w:rsidRPr="004D5D6C" w14:paraId="784B91D9" w14:textId="77777777" w:rsidTr="005359D8">
        <w:trPr>
          <w:trHeight w:val="566"/>
        </w:trPr>
        <w:tc>
          <w:tcPr>
            <w:tcW w:w="436" w:type="dxa"/>
            <w:shd w:val="clear" w:color="auto" w:fill="DBE5F1"/>
            <w:noWrap/>
            <w:vAlign w:val="center"/>
            <w:hideMark/>
          </w:tcPr>
          <w:p w14:paraId="59B430E2"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18</w:t>
            </w:r>
          </w:p>
        </w:tc>
        <w:tc>
          <w:tcPr>
            <w:tcW w:w="1629" w:type="dxa"/>
            <w:noWrap/>
            <w:vAlign w:val="center"/>
            <w:hideMark/>
          </w:tcPr>
          <w:p w14:paraId="70C42936" w14:textId="209C9BE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Koeberlein</w:t>
            </w:r>
            <w:r w:rsidRPr="004D5D6C">
              <w:rPr>
                <w:rFonts w:ascii="Times New Roman" w:hAnsi="Times New Roman" w:cs="Times New Roman" w:hint="eastAsia"/>
              </w:rPr>
              <w:t>‐</w:t>
            </w:r>
            <w:r w:rsidRPr="004D5D6C">
              <w:rPr>
                <w:rFonts w:ascii="Times New Roman" w:hAnsi="Times New Roman" w:cs="Times New Roman"/>
              </w:rPr>
              <w:t>Neu et al., 2018,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hint="eastAsia"/>
              </w:rPr>
              <w:instrText>ADDIN CSL_CITATION {"citationItems":[{"id":"ITEM-1","itemData":{"ISSN":"1351-8216","author":[{"dropping-particle":"","family":"Koeberlein</w:instrText>
            </w:r>
            <w:r w:rsidR="00A12787">
              <w:rPr>
                <w:rFonts w:ascii="Times New Roman" w:hAnsi="Times New Roman" w:cs="Times New Roman" w:hint="eastAsia"/>
              </w:rPr>
              <w:instrText>‐</w:instrText>
            </w:r>
            <w:r w:rsidR="00A12787">
              <w:rPr>
                <w:rFonts w:ascii="Times New Roman" w:hAnsi="Times New Roman" w:cs="Times New Roman" w:hint="eastAsia"/>
              </w:rPr>
              <w:instrText>Neu","given":"J","non-dropping-particle":"","parse-names":false,"suffix":""},{"dropping-particle":"","family":"Runkel</w:instrText>
            </w:r>
            <w:r w:rsidR="00A12787">
              <w:rPr>
                <w:rFonts w:ascii="Times New Roman" w:hAnsi="Times New Roman" w:cs="Times New Roman"/>
              </w:rPr>
              <w:instrText>","given":"B","non-dropping-particle":"","parse-names":false,"suffix":""},{"dropping-particle":"","family":"Hilberg","given":"T","non-dropping-particle":"","parse-names":false,"suffix":""}],"container-title":"Haemophilia","id":"ITEM-1","issue":"3","issued</w:instrText>
            </w:r>
            <w:r w:rsidR="00A12787">
              <w:rPr>
                <w:rFonts w:ascii="Times New Roman" w:hAnsi="Times New Roman" w:cs="Times New Roman" w:hint="eastAsia"/>
              </w:rPr>
              <w:instrText>":{"date-parts":[["2018"]]},"page":"385-394","publisher":"Wiley Online Library","title":"Cost</w:instrText>
            </w:r>
            <w:r w:rsidR="00A12787">
              <w:rPr>
                <w:rFonts w:ascii="Times New Roman" w:hAnsi="Times New Roman" w:cs="Times New Roman" w:hint="eastAsia"/>
              </w:rPr>
              <w:instrText>‐</w:instrText>
            </w:r>
            <w:r w:rsidR="00A12787">
              <w:rPr>
                <w:rFonts w:ascii="Times New Roman" w:hAnsi="Times New Roman" w:cs="Times New Roman" w:hint="eastAsia"/>
              </w:rPr>
              <w:instrText>utility of a six</w:instrText>
            </w:r>
            <w:r w:rsidR="00A12787">
              <w:rPr>
                <w:rFonts w:ascii="Times New Roman" w:hAnsi="Times New Roman" w:cs="Times New Roman" w:hint="eastAsia"/>
              </w:rPr>
              <w:instrText>‐</w:instrText>
            </w:r>
            <w:r w:rsidR="00A12787">
              <w:rPr>
                <w:rFonts w:ascii="Times New Roman" w:hAnsi="Times New Roman" w:cs="Times New Roman" w:hint="eastAsia"/>
              </w:rPr>
              <w:instrText>month programmed sports therapy (PST) in patients with haemophilia","type":"article-journal","volume":"24"},"uris":["http://www.mendeley.com/doc</w:instrText>
            </w:r>
            <w:r w:rsidR="00A12787">
              <w:rPr>
                <w:rFonts w:ascii="Times New Roman" w:hAnsi="Times New Roman" w:cs="Times New Roman"/>
              </w:rPr>
              <w:instrText>uments/?uuid=7928add5-f369-4825-a235-8129b390b9d8"]}],"mendeley":{"formattedCitation":"[18]","plainTextFormattedCitation":"[18]","previouslyFormattedCitation":"[18]"},"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[18]</w:t>
            </w:r>
            <w:r w:rsidR="00A12787">
              <w:rPr>
                <w:rFonts w:ascii="Times New Roman" w:hAnsi="Times New Roman" w:cs="Times New Roman"/>
              </w:rPr>
              <w:fldChar w:fldCharType="end"/>
            </w:r>
          </w:p>
        </w:tc>
        <w:tc>
          <w:tcPr>
            <w:tcW w:w="2250" w:type="dxa"/>
            <w:vAlign w:val="center"/>
            <w:hideMark/>
          </w:tcPr>
          <w:p w14:paraId="306DF80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IG: 485,582; CG: 461,554ᵁ</w:t>
            </w:r>
            <w:r w:rsidRPr="004D5D6C">
              <w:rPr>
                <w:rFonts w:ascii="Times New Roman" w:hAnsi="Times New Roman" w:cs="Times New Roman"/>
                <w:rtl/>
                <w:lang w:val="en-US"/>
              </w:rPr>
              <w:t>٬</w:t>
            </w:r>
            <w:r w:rsidRPr="004D5D6C">
              <w:rPr>
                <w:rFonts w:ascii="Times New Roman" w:hAnsi="Times New Roman" w:cs="Times New Roman"/>
              </w:rPr>
              <w:t>ᴺ</w:t>
            </w:r>
          </w:p>
        </w:tc>
        <w:tc>
          <w:tcPr>
            <w:tcW w:w="2160" w:type="dxa"/>
            <w:vAlign w:val="center"/>
            <w:hideMark/>
          </w:tcPr>
          <w:p w14:paraId="05D0DE51"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IG: 7,376; CG: 2,730˟</w:t>
            </w:r>
            <w:r w:rsidRPr="004D5D6C">
              <w:rPr>
                <w:rFonts w:ascii="Times New Roman" w:hAnsi="Times New Roman" w:cs="Times New Roman"/>
                <w:rtl/>
                <w:lang w:val="en-US"/>
              </w:rPr>
              <w:t>٬</w:t>
            </w:r>
            <w:r w:rsidRPr="004D5D6C">
              <w:rPr>
                <w:rFonts w:ascii="Times New Roman" w:hAnsi="Times New Roman" w:cs="Times New Roman"/>
              </w:rPr>
              <w:t>ᴺ</w:t>
            </w:r>
          </w:p>
        </w:tc>
        <w:tc>
          <w:tcPr>
            <w:tcW w:w="1620" w:type="dxa"/>
            <w:vAlign w:val="center"/>
            <w:hideMark/>
          </w:tcPr>
          <w:p w14:paraId="38ED7EA0"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IG: 140; CG: 26ᵁ</w:t>
            </w:r>
            <w:r w:rsidRPr="004D5D6C">
              <w:rPr>
                <w:rFonts w:ascii="Times New Roman" w:hAnsi="Times New Roman" w:cs="Times New Roman"/>
                <w:rtl/>
                <w:lang w:val="en-US"/>
              </w:rPr>
              <w:t>٬</w:t>
            </w:r>
            <w:r w:rsidRPr="004D5D6C">
              <w:rPr>
                <w:rFonts w:ascii="Times New Roman" w:hAnsi="Times New Roman" w:cs="Times New Roman"/>
              </w:rPr>
              <w:t>ᴺ</w:t>
            </w:r>
          </w:p>
        </w:tc>
        <w:tc>
          <w:tcPr>
            <w:tcW w:w="1710" w:type="dxa"/>
            <w:vAlign w:val="center"/>
            <w:hideMark/>
          </w:tcPr>
          <w:p w14:paraId="0A1F989E" w14:textId="4F846CCD"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IG: 164</w:t>
            </w:r>
            <w:r w:rsidR="00DA30BC" w:rsidRPr="004D5D6C">
              <w:rPr>
                <w:rFonts w:ascii="Times New Roman" w:hAnsi="Times New Roman" w:cs="Times New Roman"/>
              </w:rPr>
              <w:t>;</w:t>
            </w:r>
            <w:r w:rsidRPr="004D5D6C">
              <w:rPr>
                <w:rFonts w:ascii="Times New Roman" w:hAnsi="Times New Roman" w:cs="Times New Roman"/>
              </w:rPr>
              <w:t xml:space="preserve"> CG: 18ᵁ</w:t>
            </w:r>
            <w:r w:rsidRPr="004D5D6C">
              <w:rPr>
                <w:rFonts w:ascii="Times New Roman" w:hAnsi="Times New Roman" w:cs="Times New Roman"/>
                <w:rtl/>
                <w:lang w:val="en-US"/>
              </w:rPr>
              <w:t>٬</w:t>
            </w:r>
            <w:r w:rsidRPr="004D5D6C">
              <w:rPr>
                <w:rFonts w:ascii="Times New Roman" w:hAnsi="Times New Roman" w:cs="Times New Roman"/>
              </w:rPr>
              <w:t>ᴺ</w:t>
            </w:r>
          </w:p>
        </w:tc>
        <w:tc>
          <w:tcPr>
            <w:tcW w:w="2070" w:type="dxa"/>
            <w:vAlign w:val="center"/>
            <w:hideMark/>
          </w:tcPr>
          <w:p w14:paraId="792EACBA"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IG: 422; CG: 466ᵁ</w:t>
            </w:r>
            <w:r w:rsidRPr="004D5D6C">
              <w:rPr>
                <w:rFonts w:ascii="Times New Roman" w:hAnsi="Times New Roman" w:cs="Times New Roman"/>
                <w:rtl/>
                <w:lang w:val="en-US"/>
              </w:rPr>
              <w:t>٬</w:t>
            </w:r>
            <w:r w:rsidRPr="004D5D6C">
              <w:rPr>
                <w:rFonts w:ascii="Times New Roman" w:hAnsi="Times New Roman" w:cs="Times New Roman"/>
              </w:rPr>
              <w:t>ᴺ</w:t>
            </w:r>
          </w:p>
        </w:tc>
        <w:tc>
          <w:tcPr>
            <w:tcW w:w="2070" w:type="dxa"/>
            <w:vAlign w:val="center"/>
            <w:hideMark/>
          </w:tcPr>
          <w:p w14:paraId="0EA558C7"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IG: 462,116; CG: 500,032ᴬ</w:t>
            </w:r>
            <w:r w:rsidRPr="004D5D6C">
              <w:rPr>
                <w:rFonts w:ascii="Times New Roman" w:hAnsi="Times New Roman" w:cs="Times New Roman"/>
                <w:rtl/>
                <w:lang w:val="en-US"/>
              </w:rPr>
              <w:t>٬</w:t>
            </w:r>
            <w:r w:rsidRPr="004D5D6C">
              <w:rPr>
                <w:rFonts w:ascii="Times New Roman" w:hAnsi="Times New Roman" w:cs="Times New Roman"/>
              </w:rPr>
              <w:t>ᴺ</w:t>
            </w:r>
          </w:p>
        </w:tc>
      </w:tr>
      <w:tr w:rsidR="00A12787" w:rsidRPr="004D5D6C" w14:paraId="1200E3B3" w14:textId="77777777" w:rsidTr="005359D8">
        <w:trPr>
          <w:trHeight w:val="512"/>
        </w:trPr>
        <w:tc>
          <w:tcPr>
            <w:tcW w:w="436" w:type="dxa"/>
            <w:shd w:val="clear" w:color="auto" w:fill="DBE5F1"/>
            <w:noWrap/>
            <w:vAlign w:val="center"/>
            <w:hideMark/>
          </w:tcPr>
          <w:p w14:paraId="06271D95"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19</w:t>
            </w:r>
          </w:p>
        </w:tc>
        <w:tc>
          <w:tcPr>
            <w:tcW w:w="1629" w:type="dxa"/>
            <w:noWrap/>
            <w:vAlign w:val="center"/>
            <w:hideMark/>
          </w:tcPr>
          <w:p w14:paraId="25A69866" w14:textId="470B6A99" w:rsidR="00607669" w:rsidRPr="004D5D6C" w:rsidRDefault="00607669" w:rsidP="001E6A9C">
            <w:pPr>
              <w:jc w:val="center"/>
              <w:rPr>
                <w:rFonts w:ascii="Times New Roman" w:hAnsi="Times New Roman" w:cs="Times New Roman"/>
              </w:rPr>
            </w:pPr>
            <w:r w:rsidRPr="004D5D6C">
              <w:rPr>
                <w:rFonts w:ascii="Times New Roman" w:hAnsi="Times New Roman" w:cs="Times New Roman"/>
              </w:rPr>
              <w:t>Gupta et al., 2019,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A12787">
              <w:rPr>
                <w:rFonts w:ascii="Times New Roman" w:hAnsi="Times New Roman" w:cs="Times New Roman"/>
              </w:rPr>
              <w:instrText>ADDIN CSL_CITATION {"citationItems":[{"id":"ITEM-1","itemData":{"ISSN":"2512-9465","author":[{"dropping-particle":"","family":"Gupta","given":"Naresh","non-dropping-particle":"","parse-names":false,"suffix":""},{"dropping-particle":"","family":"Benbouzid","given":"Abderrahmane","non-dropping-particle":"","parse-names":false,"suffix":""},{"dropping-particle":"","family":"Belhani","given":"Meriem","non-dropping-particle":"","parse-names":false,"suffix":""},{"dropping-particle":"","family":"Andaloussi","given":"Mohammed","non-dropping-particle":"El","parse-names":false,"suffix":""},{"dropping-particle":"","family":"Maani","given":"Khadija","non-dropping-particle":"","parse-names":false,"suffix":""},{"dropping-particle":"","family":"Wali","given":"Yasser","non-dropping-particle":"","parse-names":false,"suffix":""},{"dropping-particle":"","family":"Fegoun","given":"Soraya Benchikh","non-dropping-particle":"El","parse-names":false,"suffix":""},{"dropping-particle":"","family":"Saad","given":"Hossam Ali","non-dropping-particle":"","parse-names":false,"suffix":""},{"dropping-particle":"","family":"Mahlangu","given":"Johnny","non-dropping-particle":"","parse-names":false,"suffix":""}],"container-title":"TH Open","id":"ITEM-1","issue":"02","issued":{"date-parts":[["2019"]]},"page":"e190-e199","publisher":"Georg Thieme Verlag KG","title":"HAEMOcare: the first international epidemiological study measuring burden of hemophilia in developing countries","type":"article-journal","volume":"3"},"uris":["http://www.mendeley.com/documents/?uuid=8f6ea174-f8ff-4086-b499-44eee9542341"]}],"mendeley":{"formattedCitation":"[19]","plainTextFormattedCitation":"[19]","previouslyFormattedCitation":"[19]"},"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[19]</w:t>
            </w:r>
            <w:r w:rsidR="00A12787">
              <w:rPr>
                <w:rFonts w:ascii="Times New Roman" w:hAnsi="Times New Roman" w:cs="Times New Roman"/>
              </w:rPr>
              <w:fldChar w:fldCharType="end"/>
            </w:r>
          </w:p>
        </w:tc>
        <w:tc>
          <w:tcPr>
            <w:tcW w:w="2250" w:type="dxa"/>
            <w:vAlign w:val="center"/>
            <w:hideMark/>
          </w:tcPr>
          <w:p w14:paraId="03314E89" w14:textId="6C768422" w:rsidR="00607669" w:rsidRPr="004D5D6C" w:rsidRDefault="00607669" w:rsidP="001E6A9C">
            <w:pPr>
              <w:jc w:val="center"/>
              <w:rPr>
                <w:rFonts w:ascii="Times New Roman" w:hAnsi="Times New Roman" w:cs="Times New Roman"/>
              </w:rPr>
            </w:pPr>
            <w:r w:rsidRPr="004D5D6C">
              <w:rPr>
                <w:rFonts w:ascii="Times New Roman" w:hAnsi="Times New Roman" w:cs="Times New Roman"/>
              </w:rPr>
              <w:t xml:space="preserve">FVIII: </w:t>
            </w:r>
            <w:r w:rsidR="00856655" w:rsidRPr="004D5D6C">
              <w:rPr>
                <w:rFonts w:ascii="Times New Roman" w:hAnsi="Times New Roman" w:cs="Times New Roman"/>
              </w:rPr>
              <w:t>18,406</w:t>
            </w:r>
            <w:r w:rsidRPr="004D5D6C">
              <w:rPr>
                <w:rFonts w:ascii="Times New Roman" w:hAnsi="Times New Roman" w:cs="Times New Roman"/>
              </w:rPr>
              <w:t>; FIX: 11,432</w:t>
            </w:r>
            <w:r w:rsidR="00C64DEB" w:rsidRPr="004D5D6C">
              <w:rPr>
                <w:rFonts w:ascii="Times New Roman" w:hAnsi="Times New Roman" w:cs="Times New Roman"/>
              </w:rPr>
              <w:t>; aPCC</w:t>
            </w:r>
            <w:r w:rsidR="00347E3C" w:rsidRPr="004D5D6C">
              <w:rPr>
                <w:rFonts w:ascii="Times New Roman" w:hAnsi="Times New Roman" w:cs="Times New Roman"/>
              </w:rPr>
              <w:t xml:space="preserve">: </w:t>
            </w:r>
            <w:r w:rsidR="00904522" w:rsidRPr="004D5D6C">
              <w:rPr>
                <w:rFonts w:ascii="Times New Roman" w:hAnsi="Times New Roman" w:cs="Times New Roman"/>
              </w:rPr>
              <w:t xml:space="preserve">25,692; rFVIIa </w:t>
            </w:r>
            <w:r w:rsidR="00A2474F" w:rsidRPr="004D5D6C">
              <w:rPr>
                <w:rFonts w:ascii="Times New Roman" w:hAnsi="Times New Roman" w:cs="Times New Roman"/>
              </w:rPr>
              <w:t>72,613</w:t>
            </w:r>
            <w:r w:rsidRPr="004D5D6C">
              <w:rPr>
                <w:rFonts w:ascii="Times New Roman" w:hAnsi="Times New Roman" w:cs="Times New Roman"/>
              </w:rPr>
              <w:t>ᴺ</w:t>
            </w:r>
          </w:p>
        </w:tc>
        <w:tc>
          <w:tcPr>
            <w:tcW w:w="3780" w:type="dxa"/>
            <w:gridSpan w:val="2"/>
            <w:vAlign w:val="center"/>
            <w:hideMark/>
          </w:tcPr>
          <w:p w14:paraId="159E8A3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293˟</w:t>
            </w:r>
            <w:r w:rsidRPr="004D5D6C">
              <w:rPr>
                <w:rFonts w:ascii="Times New Roman" w:hAnsi="Times New Roman" w:cs="Times New Roman"/>
                <w:rtl/>
                <w:lang w:val="en-US"/>
              </w:rPr>
              <w:t>٬</w:t>
            </w:r>
            <w:r w:rsidRPr="004D5D6C">
              <w:rPr>
                <w:rFonts w:ascii="Times New Roman" w:hAnsi="Times New Roman" w:cs="Times New Roman"/>
              </w:rPr>
              <w:t>ᴺ</w:t>
            </w:r>
          </w:p>
        </w:tc>
        <w:tc>
          <w:tcPr>
            <w:tcW w:w="1710" w:type="dxa"/>
            <w:vAlign w:val="center"/>
            <w:hideMark/>
          </w:tcPr>
          <w:p w14:paraId="7E28BBB7"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7BB64F9E" w14:textId="226D1B94" w:rsidR="00607669" w:rsidRPr="004D5D6C" w:rsidRDefault="00E766B8" w:rsidP="0057583E">
            <w:pPr>
              <w:jc w:val="center"/>
              <w:rPr>
                <w:rFonts w:ascii="Times New Roman" w:hAnsi="Times New Roman" w:cs="Times New Roman"/>
                <w:lang w:val="es-ES"/>
              </w:rPr>
            </w:pPr>
            <w:r w:rsidRPr="004D5D6C">
              <w:rPr>
                <w:rFonts w:ascii="Times New Roman" w:hAnsi="Times New Roman" w:cs="Times New Roman"/>
                <w:lang w:val="es-ES"/>
              </w:rPr>
              <w:t xml:space="preserve">HA &amp; HB </w:t>
            </w:r>
            <w:r w:rsidR="00607669" w:rsidRPr="004D5D6C">
              <w:rPr>
                <w:rFonts w:ascii="Times New Roman" w:hAnsi="Times New Roman" w:cs="Times New Roman"/>
                <w:lang w:val="es-ES"/>
              </w:rPr>
              <w:t>w/o INHs: 785</w:t>
            </w:r>
            <w:r w:rsidR="0007758A" w:rsidRPr="004D5D6C">
              <w:rPr>
                <w:rFonts w:ascii="Times New Roman" w:hAnsi="Times New Roman" w:cs="Times New Roman"/>
                <w:lang w:val="es-ES"/>
              </w:rPr>
              <w:t xml:space="preserve">; </w:t>
            </w:r>
            <w:r w:rsidR="00B71587" w:rsidRPr="004D5D6C">
              <w:rPr>
                <w:rFonts w:ascii="Times New Roman" w:hAnsi="Times New Roman" w:cs="Times New Roman"/>
                <w:lang w:val="es-ES"/>
              </w:rPr>
              <w:t>HA &amp; HB w. INHs: 3,608</w:t>
            </w:r>
            <w:r w:rsidR="0057583E" w:rsidRPr="004D5D6C">
              <w:rPr>
                <w:rFonts w:ascii="Times New Roman" w:eastAsia="Calibri" w:hAnsi="Times New Roman" w:cs="Times New Roman"/>
                <w:color w:val="000000"/>
                <w:vertAlign w:val="superscript"/>
                <w:lang w:val="en-US"/>
              </w:rPr>
              <w:t>ε</w:t>
            </w:r>
          </w:p>
        </w:tc>
        <w:tc>
          <w:tcPr>
            <w:tcW w:w="2070" w:type="dxa"/>
            <w:vAlign w:val="center"/>
            <w:hideMark/>
          </w:tcPr>
          <w:p w14:paraId="1C194F38"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19,513</w:t>
            </w:r>
          </w:p>
        </w:tc>
      </w:tr>
      <w:tr w:rsidR="007C39B7" w:rsidRPr="004D5D6C" w14:paraId="08813B21" w14:textId="77777777" w:rsidTr="005359D8">
        <w:trPr>
          <w:trHeight w:val="395"/>
        </w:trPr>
        <w:tc>
          <w:tcPr>
            <w:tcW w:w="436" w:type="dxa"/>
            <w:shd w:val="clear" w:color="auto" w:fill="DBE5F1"/>
            <w:noWrap/>
            <w:vAlign w:val="center"/>
            <w:hideMark/>
          </w:tcPr>
          <w:p w14:paraId="472C0106"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20</w:t>
            </w:r>
          </w:p>
        </w:tc>
        <w:tc>
          <w:tcPr>
            <w:tcW w:w="1629" w:type="dxa"/>
            <w:noWrap/>
            <w:vAlign w:val="center"/>
            <w:hideMark/>
          </w:tcPr>
          <w:p w14:paraId="7E302974" w14:textId="467F7FE5" w:rsidR="00607669" w:rsidRPr="004D5D6C" w:rsidRDefault="00607669" w:rsidP="001E6A9C">
            <w:pPr>
              <w:jc w:val="center"/>
              <w:rPr>
                <w:rFonts w:ascii="Times New Roman" w:hAnsi="Times New Roman" w:cs="Times New Roman"/>
              </w:rPr>
            </w:pPr>
            <w:r w:rsidRPr="004D5D6C">
              <w:rPr>
                <w:rFonts w:ascii="Times New Roman" w:hAnsi="Times New Roman" w:cs="Times New Roman"/>
              </w:rPr>
              <w:t>Keshavarz et al., 2020, ($)</w:t>
            </w:r>
            <w:r w:rsidR="00A12787">
              <w:rPr>
                <w:rFonts w:ascii="Times New Roman" w:hAnsi="Times New Roman" w:cs="Times New Roman"/>
              </w:rPr>
              <w:t xml:space="preserve"> </w:t>
            </w:r>
            <w:r w:rsidR="00A12787">
              <w:rPr>
                <w:rFonts w:ascii="Times New Roman" w:hAnsi="Times New Roman" w:cs="Times New Roman"/>
              </w:rPr>
              <w:fldChar w:fldCharType="begin" w:fldLock="1"/>
            </w:r>
            <w:r w:rsidR="007C39B7">
              <w:rPr>
                <w:rFonts w:ascii="Times New Roman" w:hAnsi="Times New Roman" w:cs="Times New Roman"/>
              </w:rPr>
              <w:instrText>ADDIN CSL_CITATION {"citationItems":[{"id":"ITEM-1","itemData":{"DOI":"10.1080/16078454.2020.1741205","ISSN":"1607-8454 (Electronic)","PMID":"32249720","abstract":"Objective: To estimate the economic burden of hemophilia A and B in the patients referred to the related referral hospital in the south of Iran in 2017.Methods: This cross-sectional study was a partial economic evaluation and a cost of illness study, carried out in 2017. All the patients with hemophilia A and B referred to the related hospital affiliated to Shiraz University of Medical Sciences in the south of Iran were included in the study (N = n = 253). A data collection form was used to collect the required data, including patients' direct and indirect costs.Results: The mean annual cost was 36028 USD. The mean costs per patient with hemophilia A and B were 37661 USD and 30775 USD, respectively, in which the greatest part were related to direct medical costs (98.32% in hemophilia A, 98.18% in hemophilia B, and 98.29% of the total costs), and the cost of clotting factor concentrates accounted for the largest share of the patients' direct medical costs. Also, considering the number of hemophilia patients in Iran, the mean annual cost of the patients in 2017 was 414480325 USD, of which 381503701 USD was for hemophilia A and 32976624 USD was for hemophilia B patients.Conclusion: Considering the significant economic burden of hemophilia and in order to reduce the costs, the following suggestions can be offered: provision of clotting factor concentrates domestically in accordance with the world standards, and providing specialized services and care to hemophilia patients in towns.","author":[{"dropping-particle":"","family":"Keshavarz","given":"Khosro","non-dropping-particle":"","parse-names":false,"suffix":""},{"dropping-particle":"","family":"Bordbar","given":"Mohammadreza","non-dropping-particle":"","parse-names":false,"suffix":""},{"dropping-particle":"","family":"Hashemipoor","given":"Zeinab","non-dropping-particle":"","parse-names":false,"suffix":""},{"dropping-particle":"","family":"Jalali","given":"Farideh Sadat","non-dropping-particle":"","parse-names":false,"suffix":""},{"dropping-particle":"","family":"Ravangard","given":"Ramin","non-dropping-particle":"","parse-names":false,"suffix":""}],"container-title":"Hematology (Amsterdam, Netherlands)","id":"ITEM-1","issue":"1","issued":{"date-parts":[["2020","12"]]},"language":"eng","page":"149-155","publisher-place":"England","title":"Economic burden of hemophilia A and B: a case in Iran","type":"article-journal","volume":"25"},"uris":["http://www.mendeley.com/documents/?uuid=7f65e374-d3d0-46b8-88f1-618c80daf274"]}],"mendeley":{"formattedCitation":"[20]","plainTextFormattedCitation":"[20]","previouslyFormattedCitation":"[20]"},"properties":{"noteIndex":0},"schema":"https://github.com/citation-style-language/schema/raw/master/csl-citation.json"}</w:instrText>
            </w:r>
            <w:r w:rsidR="00A12787">
              <w:rPr>
                <w:rFonts w:ascii="Times New Roman" w:hAnsi="Times New Roman" w:cs="Times New Roman"/>
              </w:rPr>
              <w:fldChar w:fldCharType="separate"/>
            </w:r>
            <w:r w:rsidR="00A12787" w:rsidRPr="00A12787">
              <w:rPr>
                <w:rFonts w:ascii="Times New Roman" w:hAnsi="Times New Roman" w:cs="Times New Roman"/>
                <w:noProof/>
              </w:rPr>
              <w:t>[20]</w:t>
            </w:r>
            <w:r w:rsidR="00A12787">
              <w:rPr>
                <w:rFonts w:ascii="Times New Roman" w:hAnsi="Times New Roman" w:cs="Times New Roman"/>
              </w:rPr>
              <w:fldChar w:fldCharType="end"/>
            </w:r>
          </w:p>
        </w:tc>
        <w:tc>
          <w:tcPr>
            <w:tcW w:w="2250" w:type="dxa"/>
            <w:vAlign w:val="center"/>
            <w:hideMark/>
          </w:tcPr>
          <w:p w14:paraId="18B3450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HA: 35,961; HB: 29,815</w:t>
            </w:r>
          </w:p>
        </w:tc>
        <w:tc>
          <w:tcPr>
            <w:tcW w:w="2160" w:type="dxa"/>
            <w:vAlign w:val="center"/>
            <w:hideMark/>
          </w:tcPr>
          <w:p w14:paraId="306BB0A7" w14:textId="298E88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HA:</w:t>
            </w:r>
            <w:r w:rsidR="00654E55" w:rsidRPr="004D5D6C">
              <w:rPr>
                <w:rFonts w:ascii="Times New Roman" w:hAnsi="Times New Roman" w:cs="Times New Roman"/>
              </w:rPr>
              <w:t xml:space="preserve"> 1,066</w:t>
            </w:r>
            <w:r w:rsidRPr="004D5D6C">
              <w:rPr>
                <w:rFonts w:ascii="Times New Roman" w:hAnsi="Times New Roman" w:cs="Times New Roman"/>
              </w:rPr>
              <w:t xml:space="preserve">; HB: </w:t>
            </w:r>
            <w:r w:rsidR="00654E55" w:rsidRPr="004D5D6C">
              <w:rPr>
                <w:rFonts w:ascii="Times New Roman" w:hAnsi="Times New Roman" w:cs="Times New Roman"/>
              </w:rPr>
              <w:t>402</w:t>
            </w:r>
            <w:r w:rsidR="00344DF3" w:rsidRPr="004D5D6C">
              <w:rPr>
                <w:rFonts w:ascii="Times New Roman" w:hAnsi="Times New Roman" w:cs="Times New Roman"/>
              </w:rPr>
              <w:t>˟</w:t>
            </w:r>
            <w:r w:rsidR="00344DF3" w:rsidRPr="004D5D6C">
              <w:rPr>
                <w:rFonts w:ascii="Times New Roman" w:hAnsi="Times New Roman" w:cs="Times New Roman"/>
                <w:rtl/>
                <w:lang w:val="en-US"/>
              </w:rPr>
              <w:t>٬</w:t>
            </w:r>
            <w:r w:rsidR="00344DF3" w:rsidRPr="004D5D6C">
              <w:rPr>
                <w:rFonts w:asciiTheme="majorBidi" w:hAnsiTheme="majorBidi" w:cstheme="majorBidi"/>
                <w:sz w:val="20"/>
                <w:szCs w:val="20"/>
                <w:vertAlign w:val="superscript"/>
              </w:rPr>
              <w:t>ε</w:t>
            </w:r>
          </w:p>
        </w:tc>
        <w:tc>
          <w:tcPr>
            <w:tcW w:w="1620" w:type="dxa"/>
            <w:vAlign w:val="center"/>
            <w:hideMark/>
          </w:tcPr>
          <w:p w14:paraId="2E64B65C" w14:textId="67B493D3"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HA: 460; HB: 36</w:t>
            </w:r>
            <w:r w:rsidR="0065261F" w:rsidRPr="004D5D6C">
              <w:rPr>
                <w:rFonts w:ascii="Times New Roman" w:hAnsi="Times New Roman" w:cs="Times New Roman"/>
              </w:rPr>
              <w:t>7</w:t>
            </w:r>
          </w:p>
        </w:tc>
        <w:tc>
          <w:tcPr>
            <w:tcW w:w="1710" w:type="dxa"/>
            <w:vAlign w:val="center"/>
            <w:hideMark/>
          </w:tcPr>
          <w:p w14:paraId="68B4AA08"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75EBE11A"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HA: 175; HB: 191</w:t>
            </w:r>
          </w:p>
        </w:tc>
        <w:tc>
          <w:tcPr>
            <w:tcW w:w="2070" w:type="dxa"/>
            <w:vAlign w:val="center"/>
            <w:hideMark/>
          </w:tcPr>
          <w:p w14:paraId="7527875F"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HA: 37,661; HB: 30,775</w:t>
            </w:r>
          </w:p>
        </w:tc>
      </w:tr>
      <w:tr w:rsidR="007C39B7" w:rsidRPr="004D5D6C" w14:paraId="450EB6F6" w14:textId="77777777" w:rsidTr="005359D8">
        <w:trPr>
          <w:trHeight w:val="377"/>
        </w:trPr>
        <w:tc>
          <w:tcPr>
            <w:tcW w:w="436" w:type="dxa"/>
            <w:shd w:val="clear" w:color="auto" w:fill="DBE5F1"/>
            <w:noWrap/>
            <w:vAlign w:val="center"/>
            <w:hideMark/>
          </w:tcPr>
          <w:p w14:paraId="60C61EF4"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21</w:t>
            </w:r>
          </w:p>
        </w:tc>
        <w:tc>
          <w:tcPr>
            <w:tcW w:w="1629" w:type="dxa"/>
            <w:noWrap/>
            <w:vAlign w:val="center"/>
            <w:hideMark/>
          </w:tcPr>
          <w:p w14:paraId="2B9E58CC" w14:textId="0FB25538" w:rsidR="00607669" w:rsidRPr="004D5D6C" w:rsidRDefault="00607669" w:rsidP="001E6A9C">
            <w:pPr>
              <w:jc w:val="center"/>
              <w:rPr>
                <w:rFonts w:ascii="Times New Roman" w:hAnsi="Times New Roman" w:cs="Times New Roman"/>
              </w:rPr>
            </w:pPr>
            <w:r w:rsidRPr="004D5D6C">
              <w:rPr>
                <w:rFonts w:ascii="Times New Roman" w:hAnsi="Times New Roman" w:cs="Times New Roman"/>
              </w:rPr>
              <w:t>Burke et al., 2021a, (€)</w:t>
            </w:r>
            <w:r w:rsidR="007C39B7">
              <w:rPr>
                <w:rFonts w:ascii="Times New Roman" w:hAnsi="Times New Roman" w:cs="Times New Roman"/>
              </w:rPr>
              <w:t xml:space="preserve"> </w:t>
            </w:r>
            <w:r w:rsidR="007C39B7">
              <w:rPr>
                <w:rFonts w:ascii="Times New Roman" w:hAnsi="Times New Roman" w:cs="Times New Roman"/>
              </w:rPr>
              <w:fldChar w:fldCharType="begin" w:fldLock="1"/>
            </w:r>
            <w:r w:rsidR="007C39B7">
              <w:rPr>
                <w:rFonts w:ascii="Times New Roman" w:hAnsi="Times New Roman" w:cs="Times New Roman"/>
              </w:rPr>
              <w:instrText>ADDIN CSL_CITATION {"citationItems":[{"id":"ITEM-1","itemData":{"DOI":"10.1186/s13023-021-02152-1","ISSN":"1750-1172 (Electronic)","PMID":"34930388","abstract":"BACKGROUND: Real-world studies of the burden of severe haemophilia B in the context of recent therapeutic advances such as extended half-life (EHL) factor IX (FIX) products are limited. We analysed data from the recent CHESS II study to better understand the clinical, humanistic, and economic burden of severe haemophilia B in Europe. Data from male adults with severe haemophilia B receiving prophylaxis were analysed from the retrospective cross-sectional CHESS II study conducted in Germany, France, Italy, Spain and the United Kingdom. Inhibitors were exclusionary. Patients and physicians completed questionnaires on bleeding, joint status, quality of life, and haemophilia-related direct and indirect costs (2019-2020). All outcomes were summarised using descriptive statistics. RESULTS: A total of 75 CHESS II patients were eligible and included; 40 p</w:instrText>
            </w:r>
            <w:r w:rsidR="007C39B7">
              <w:rPr>
                <w:rFonts w:ascii="Times New Roman" w:hAnsi="Times New Roman" w:cs="Times New Roman" w:hint="eastAsia"/>
              </w:rPr>
              <w:instrText xml:space="preserve">atients (53%) provided self-reported outcomes. Mean age was 36.2 years. Approximately half the patients were receiving EHL versus standard half-life (SHL) prophylaxis (44% vs 56%). Most patients reported mild or moderate chronic pain (76%) and had </w:instrText>
            </w:r>
            <w:r w:rsidR="007C39B7">
              <w:rPr>
                <w:rFonts w:ascii="Times New Roman" w:hAnsi="Times New Roman" w:cs="Times New Roman" w:hint="eastAsia"/>
              </w:rPr>
              <w:instrText>≥</w:instrText>
            </w:r>
            <w:r w:rsidR="007C39B7">
              <w:rPr>
                <w:rFonts w:ascii="Times New Roman" w:hAnsi="Times New Roman" w:cs="Times New Roman" w:hint="eastAsia"/>
              </w:rPr>
              <w:instrText xml:space="preserve"> 2 ble</w:instrText>
            </w:r>
            <w:r w:rsidR="007C39B7">
              <w:rPr>
                <w:rFonts w:ascii="Times New Roman" w:hAnsi="Times New Roman" w:cs="Times New Roman"/>
              </w:rPr>
              <w:instrText>eding events per year (70%), with a mean annualised bleed rate of 2.4. Mean annual total haemophilia-related direct medical cost per patient was €235,723, driven by FIX costs (€232,328 overall, n = 40; €186,528 for SHL, €290,620 for EHL). Mean annual indirect costs (€8,973) were driven by early retirement or work stoppage due to haemophilia. Mean quality of life (EQ-5D) score was 0.67. CONCLUSIONS: These data document a substantial, persistent real-world burden of severe haemophilia B in Europe. Unmet needs persist for these patients, their caregivers, and society.","author":[{"dropping-particle":"","family":"Burke","given":"Tom","non-dropping-particle":"","parse-names":false,"suffix":""},{"dropping-particle":"","family":"Asghar","given":"Sohaib","non-dropping-particle":"","parse-names":false,"suffix":""},{"dropping-particle":"","family":"O'Hara","given":"Jamie","non-dropping-particle":"","parse-names":false,"suffix":""},{"dropping-particle":"","family":"Chuang","given":"Margaret","non-dropping-particle":"","parse-names":false,"suffix":""},{"dropping-particle":"","family":"Sawyer","given":"Eileen K","non-dropping-particle":"","parse-names":false,"suffix":""},{"dropping-particle":"","family":"Li","given":"Nanxin","non-dropping-particle":"","parse-names":false,"suffix":""}],"container-title":"Orphanet journal of rare diseases","id":"ITEM-1","issue":"1","issued":{"date-parts":[["2021","12"]]},"language":"eng","page":"521","title":"Clinical, humanistic, and economic burden of severe haemophilia B in adults receiving factor IX prophylaxis: findings from the CHESS II real-world burden of illness study in Europe","type":"article-journal","volume":"16"},"uris":["http://www.mendeley.com/documents/?uuid=259389fe-3c96-499e-b58b-3f89fd031c68"]}],"mendeley":{"formattedCitation":"[21]","plainTextFormattedCitation":"[21]","previouslyFormattedCitation":"[21]"},"properties":{"noteIndex":0},"schema":"https://github.com/citation-style-language/schema/raw/master/csl-citation.json"}</w:instrText>
            </w:r>
            <w:r w:rsidR="007C39B7">
              <w:rPr>
                <w:rFonts w:ascii="Times New Roman" w:hAnsi="Times New Roman" w:cs="Times New Roman"/>
              </w:rPr>
              <w:fldChar w:fldCharType="separate"/>
            </w:r>
            <w:r w:rsidR="007C39B7" w:rsidRPr="007C39B7">
              <w:rPr>
                <w:rFonts w:ascii="Times New Roman" w:hAnsi="Times New Roman" w:cs="Times New Roman"/>
                <w:noProof/>
              </w:rPr>
              <w:t>[21]</w:t>
            </w:r>
            <w:r w:rsidR="007C39B7">
              <w:rPr>
                <w:rFonts w:ascii="Times New Roman" w:hAnsi="Times New Roman" w:cs="Times New Roman"/>
              </w:rPr>
              <w:fldChar w:fldCharType="end"/>
            </w:r>
          </w:p>
        </w:tc>
        <w:tc>
          <w:tcPr>
            <w:tcW w:w="2250" w:type="dxa"/>
            <w:vAlign w:val="center"/>
            <w:hideMark/>
          </w:tcPr>
          <w:p w14:paraId="74C161FF" w14:textId="70B75042" w:rsidR="00607669" w:rsidRPr="004D5D6C" w:rsidRDefault="00BC3170" w:rsidP="001E6A9C">
            <w:pPr>
              <w:jc w:val="center"/>
              <w:rPr>
                <w:rFonts w:ascii="Times New Roman" w:hAnsi="Times New Roman" w:cs="Times New Roman"/>
              </w:rPr>
            </w:pPr>
            <w:r w:rsidRPr="004D5D6C">
              <w:rPr>
                <w:rFonts w:ascii="Times New Roman" w:hAnsi="Times New Roman" w:cs="Times New Roman"/>
              </w:rPr>
              <w:t>232,328</w:t>
            </w:r>
          </w:p>
        </w:tc>
        <w:tc>
          <w:tcPr>
            <w:tcW w:w="2160" w:type="dxa"/>
            <w:vAlign w:val="center"/>
            <w:hideMark/>
          </w:tcPr>
          <w:p w14:paraId="39D97650" w14:textId="2C3B0388" w:rsidR="00607669" w:rsidRPr="004D5D6C" w:rsidRDefault="00BC3170" w:rsidP="001E6A9C">
            <w:pPr>
              <w:jc w:val="center"/>
              <w:rPr>
                <w:rFonts w:ascii="Times New Roman" w:hAnsi="Times New Roman" w:cs="Times New Roman"/>
              </w:rPr>
            </w:pPr>
            <w:r w:rsidRPr="004D5D6C">
              <w:rPr>
                <w:rFonts w:ascii="Times New Roman" w:hAnsi="Times New Roman" w:cs="Times New Roman"/>
              </w:rPr>
              <w:t>3,395˟</w:t>
            </w:r>
            <w:r w:rsidRPr="004D5D6C">
              <w:rPr>
                <w:rFonts w:asciiTheme="majorBidi" w:hAnsiTheme="majorBidi" w:cstheme="majorBidi"/>
                <w:sz w:val="20"/>
                <w:szCs w:val="20"/>
                <w:vertAlign w:val="superscript"/>
              </w:rPr>
              <w:t>§</w:t>
            </w:r>
          </w:p>
        </w:tc>
        <w:tc>
          <w:tcPr>
            <w:tcW w:w="1620" w:type="dxa"/>
            <w:vAlign w:val="center"/>
            <w:hideMark/>
          </w:tcPr>
          <w:p w14:paraId="669CAC82"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1,997</w:t>
            </w:r>
          </w:p>
        </w:tc>
        <w:tc>
          <w:tcPr>
            <w:tcW w:w="1710" w:type="dxa"/>
            <w:vAlign w:val="center"/>
            <w:hideMark/>
          </w:tcPr>
          <w:p w14:paraId="2392E214"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NR</w:t>
            </w:r>
          </w:p>
        </w:tc>
        <w:tc>
          <w:tcPr>
            <w:tcW w:w="2070" w:type="dxa"/>
            <w:vAlign w:val="center"/>
            <w:hideMark/>
          </w:tcPr>
          <w:p w14:paraId="54F7CD7D" w14:textId="18A18E48" w:rsidR="00607669" w:rsidRPr="004D5D6C" w:rsidRDefault="00B56BBB" w:rsidP="00B56BBB">
            <w:pPr>
              <w:jc w:val="center"/>
              <w:rPr>
                <w:rFonts w:ascii="Times New Roman" w:hAnsi="Times New Roman" w:cs="Times New Roman"/>
              </w:rPr>
            </w:pPr>
            <w:r w:rsidRPr="004D5D6C">
              <w:rPr>
                <w:rFonts w:ascii="Times New Roman" w:hAnsi="Times New Roman" w:cs="Times New Roman"/>
              </w:rPr>
              <w:t>8,973</w:t>
            </w:r>
          </w:p>
        </w:tc>
        <w:tc>
          <w:tcPr>
            <w:tcW w:w="2070" w:type="dxa"/>
            <w:vAlign w:val="center"/>
            <w:hideMark/>
          </w:tcPr>
          <w:p w14:paraId="41932567" w14:textId="7A72576E" w:rsidR="00607669" w:rsidRPr="004D5D6C" w:rsidRDefault="005718FD" w:rsidP="001E6A9C">
            <w:pPr>
              <w:jc w:val="center"/>
              <w:rPr>
                <w:rFonts w:ascii="Times New Roman" w:hAnsi="Times New Roman" w:cs="Times New Roman"/>
              </w:rPr>
            </w:pPr>
            <w:r w:rsidRPr="004D5D6C">
              <w:rPr>
                <w:rFonts w:ascii="Times New Roman" w:hAnsi="Times New Roman" w:cs="Times New Roman"/>
              </w:rPr>
              <w:t>246,693</w:t>
            </w:r>
            <w:r w:rsidRPr="004D5D6C">
              <w:rPr>
                <w:rFonts w:asciiTheme="majorBidi" w:hAnsiTheme="majorBidi" w:cstheme="majorBidi"/>
                <w:sz w:val="20"/>
                <w:szCs w:val="20"/>
                <w:vertAlign w:val="superscript"/>
              </w:rPr>
              <w:t>ε</w:t>
            </w:r>
          </w:p>
        </w:tc>
      </w:tr>
      <w:tr w:rsidR="00A12787" w:rsidRPr="004D5D6C" w14:paraId="587018D4" w14:textId="77777777" w:rsidTr="005359D8">
        <w:trPr>
          <w:trHeight w:val="368"/>
        </w:trPr>
        <w:tc>
          <w:tcPr>
            <w:tcW w:w="436" w:type="dxa"/>
            <w:shd w:val="clear" w:color="auto" w:fill="DBE5F1"/>
            <w:noWrap/>
            <w:vAlign w:val="center"/>
            <w:hideMark/>
          </w:tcPr>
          <w:p w14:paraId="608DCD56"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22</w:t>
            </w:r>
          </w:p>
        </w:tc>
        <w:tc>
          <w:tcPr>
            <w:tcW w:w="1629" w:type="dxa"/>
            <w:noWrap/>
            <w:vAlign w:val="center"/>
            <w:hideMark/>
          </w:tcPr>
          <w:p w14:paraId="3B0B5181" w14:textId="7F711DEB" w:rsidR="00607669" w:rsidRPr="004D5D6C" w:rsidRDefault="00607669" w:rsidP="001E6A9C">
            <w:pPr>
              <w:jc w:val="center"/>
              <w:rPr>
                <w:rFonts w:ascii="Times New Roman" w:hAnsi="Times New Roman" w:cs="Times New Roman"/>
              </w:rPr>
            </w:pPr>
            <w:r w:rsidRPr="004D5D6C">
              <w:rPr>
                <w:rFonts w:ascii="Times New Roman" w:hAnsi="Times New Roman" w:cs="Times New Roman"/>
              </w:rPr>
              <w:t>Burke et al., 2021b, ($)</w:t>
            </w:r>
            <w:r w:rsidR="007C39B7">
              <w:rPr>
                <w:rFonts w:ascii="Times New Roman" w:hAnsi="Times New Roman" w:cs="Times New Roman"/>
              </w:rPr>
              <w:t xml:space="preserve"> </w:t>
            </w:r>
            <w:r w:rsidR="007C39B7">
              <w:rPr>
                <w:rFonts w:ascii="Times New Roman" w:hAnsi="Times New Roman" w:cs="Times New Roman"/>
              </w:rPr>
              <w:fldChar w:fldCharType="begin" w:fldLock="1"/>
            </w:r>
            <w:r w:rsidR="00EF73A0">
              <w:rPr>
                <w:rFonts w:ascii="Times New Roman" w:hAnsi="Times New Roman" w:cs="Times New Roman"/>
              </w:rPr>
              <w:instrText>ADDIN CSL_CITATION {"citationItems":[{"id":"ITEM-1","itemData":{"DOI":"10.1186/s13023-021-01774-9","ISSN":"1750-1172 (Electronic)","PMID":"33743752","abstract":"BACKGROUND: Hemophilia B is a rare congenital bleeding disorder that has a significant negative impact on patients' functionality and health-related quality of life. The standard of care for severe hemophilia B in the United States is prophylactic factor IX replacement therapy, which incurs substantial costs for this lifelong condition. Accurate estimates of the burden of hemophilia B are important for population health management and policy decisions, but have only recently accounted for current management strategies. The 'Cost of Severe Hemophilia across the US: a Socioeconomic Survey' (CHESS US) is a cross-sectional database of medical record abstractions and physician-reported information, completed by hematologists and care providers. CHESS US+ is a complementary database of completed questionnaires from patients with hemophilia. Together, CHESS US and CHESS US+ provide contemporary, comprehensive information on the burden of severe hemophilia from the provider and patient perspectives. We used the CHESS US and CHESS US+ data to analyze the clinical, humanistic, and economic burden of hemophilia B for patients treated with factor IX prophylaxis between 2017 and 2019 in the US. RESULTS: We conducted analysis to assess clinical burden and direct medical costs from 44 patient records in CHESS US, and of direct non-medical costs, indirect costs, and humanistic burden (using the EQ-5D-5L) from 57 patients in CHESS US+. The mean annual bleed rate was 1.73 (standard deviation, 1.39); approximately 9% of patients experienced a bleed-related hospitalization during the 12-month study period. Nearly all patients (85%) reported chronic pain, and the mean EQ-5D-5L utility value was 0.76 (0.24). The mean annual direct medical cost was $614,886, driven by factor IX treatment (mean annual cost, $611,971). Subgroup analyses showed mean annual costs of $397,491 and $788,491 for standard and extended half-life factor IX treatment, respectively. The mean annual non-medical direct costs and indirect costs of hemophilia B were $2,371 and $6,931. CONCLUSIONS: This analysis of patient records and patient-reported outcomes from CHESS US and CHESS US+ provides updated information on the considerable clinical, humanistic, and economic burden of hemophilia B in the US. Substantial unmet needs remain to improve patient care with sustainable population health strategies.","author":[{"dropping-particle":"","family":"Burke","given":"Tom","non-dropping-particle":"","parse-names":false,"suffix":""},{"dropping-particle":"","family":"Asghar","given":"Sohaib","non-dropping-particle":"","parse-names":false,"suffix":""},{"dropping-particle":"","family":"O'Hara","given":"Jamie","non-dropping-particle":"","parse-names":false,"suffix":""},{"dropping-particle":"","family":"Sawyer","given":"Eileen K","non-dropping-particle":"","parse-names":false,"suffix":""},{"dropping-particle":"","family":"Li","given":"Nanxin","non-dropping-particle":"","parse-names":false,"suffix":""}],"container-title":"Orphanet journal of rare diseases","id":"ITEM-1","issue":"1","issued":{"date-parts":[["2021","3"]]},"language":"eng","page":"143","title":"Clinical, humanistic, and economic burden of severe hemophilia B in the United States: Results from the CHESS US and CHESS US+ population surveys","type":"article-journal","volume":"16"},"uris":["http://www.mendeley.com/documents/?uuid=3eda6b0c-2e3d-4962-b08c-c03e23f784f2"]}],"mendeley":{"formattedCitation":"[22]","plainTextFormattedCitation":"[22]","previouslyFormattedCitation":"[22]"},"properties":{"noteIndex":0},"schema":"https://github.com/citation-style-language/schema/raw/master/csl-citation.json"}</w:instrText>
            </w:r>
            <w:r w:rsidR="007C39B7">
              <w:rPr>
                <w:rFonts w:ascii="Times New Roman" w:hAnsi="Times New Roman" w:cs="Times New Roman"/>
              </w:rPr>
              <w:fldChar w:fldCharType="separate"/>
            </w:r>
            <w:r w:rsidR="007C39B7" w:rsidRPr="007C39B7">
              <w:rPr>
                <w:rFonts w:ascii="Times New Roman" w:hAnsi="Times New Roman" w:cs="Times New Roman"/>
                <w:noProof/>
              </w:rPr>
              <w:t>[22]</w:t>
            </w:r>
            <w:r w:rsidR="007C39B7">
              <w:rPr>
                <w:rFonts w:ascii="Times New Roman" w:hAnsi="Times New Roman" w:cs="Times New Roman"/>
              </w:rPr>
              <w:fldChar w:fldCharType="end"/>
            </w:r>
          </w:p>
        </w:tc>
        <w:tc>
          <w:tcPr>
            <w:tcW w:w="2250" w:type="dxa"/>
            <w:vAlign w:val="center"/>
            <w:hideMark/>
          </w:tcPr>
          <w:p w14:paraId="3C42A5F8"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611,971</w:t>
            </w:r>
          </w:p>
        </w:tc>
        <w:tc>
          <w:tcPr>
            <w:tcW w:w="2160" w:type="dxa"/>
            <w:vAlign w:val="center"/>
            <w:hideMark/>
          </w:tcPr>
          <w:p w14:paraId="63E5E858" w14:textId="10E734A6" w:rsidR="00607669" w:rsidRPr="004D5D6C" w:rsidRDefault="00BC3170" w:rsidP="001E6A9C">
            <w:pPr>
              <w:jc w:val="center"/>
              <w:rPr>
                <w:rFonts w:ascii="Times New Roman" w:hAnsi="Times New Roman" w:cs="Times New Roman"/>
              </w:rPr>
            </w:pPr>
            <w:r w:rsidRPr="004D5D6C">
              <w:rPr>
                <w:rFonts w:ascii="Times New Roman" w:hAnsi="Times New Roman" w:cs="Times New Roman"/>
              </w:rPr>
              <w:t>2,915˟</w:t>
            </w:r>
            <w:r w:rsidRPr="004D5D6C">
              <w:rPr>
                <w:rFonts w:asciiTheme="majorBidi" w:hAnsiTheme="majorBidi" w:cstheme="majorBidi"/>
                <w:sz w:val="20"/>
                <w:szCs w:val="20"/>
                <w:vertAlign w:val="superscript"/>
              </w:rPr>
              <w:t>§</w:t>
            </w:r>
          </w:p>
        </w:tc>
        <w:tc>
          <w:tcPr>
            <w:tcW w:w="3330" w:type="dxa"/>
            <w:gridSpan w:val="2"/>
            <w:vAlign w:val="center"/>
            <w:hideMark/>
          </w:tcPr>
          <w:p w14:paraId="060F5C3A"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2,371</w:t>
            </w:r>
          </w:p>
        </w:tc>
        <w:tc>
          <w:tcPr>
            <w:tcW w:w="2070" w:type="dxa"/>
            <w:vAlign w:val="center"/>
            <w:hideMark/>
          </w:tcPr>
          <w:p w14:paraId="1651D1E6" w14:textId="77777777" w:rsidR="00607669" w:rsidRPr="004D5D6C" w:rsidRDefault="00607669" w:rsidP="001E6A9C">
            <w:pPr>
              <w:jc w:val="center"/>
              <w:rPr>
                <w:rFonts w:ascii="Times New Roman" w:hAnsi="Times New Roman" w:cs="Times New Roman"/>
              </w:rPr>
            </w:pPr>
            <w:r w:rsidRPr="004D5D6C">
              <w:rPr>
                <w:rFonts w:ascii="Times New Roman" w:hAnsi="Times New Roman" w:cs="Times New Roman"/>
              </w:rPr>
              <w:t>6,931</w:t>
            </w:r>
          </w:p>
        </w:tc>
        <w:tc>
          <w:tcPr>
            <w:tcW w:w="2070" w:type="dxa"/>
            <w:vAlign w:val="center"/>
            <w:hideMark/>
          </w:tcPr>
          <w:p w14:paraId="5BEE1A34" w14:textId="58A8158D" w:rsidR="00607669" w:rsidRPr="004D5D6C" w:rsidRDefault="0046500A" w:rsidP="001E6A9C">
            <w:pPr>
              <w:jc w:val="center"/>
              <w:rPr>
                <w:rFonts w:ascii="Times New Roman" w:hAnsi="Times New Roman" w:cs="Times New Roman"/>
              </w:rPr>
            </w:pPr>
            <w:r w:rsidRPr="004D5D6C">
              <w:rPr>
                <w:rFonts w:ascii="Times New Roman" w:hAnsi="Times New Roman" w:cs="Times New Roman"/>
              </w:rPr>
              <w:t>621,273</w:t>
            </w:r>
            <w:r w:rsidRPr="004D5D6C">
              <w:rPr>
                <w:rFonts w:asciiTheme="majorBidi" w:hAnsiTheme="majorBidi" w:cstheme="majorBidi"/>
                <w:sz w:val="20"/>
                <w:szCs w:val="20"/>
                <w:vertAlign w:val="superscript"/>
              </w:rPr>
              <w:t>ε</w:t>
            </w:r>
          </w:p>
        </w:tc>
      </w:tr>
      <w:tr w:rsidR="00EF73A0" w:rsidRPr="002A6BCB" w14:paraId="592F4A92" w14:textId="77777777" w:rsidTr="005359D8">
        <w:trPr>
          <w:trHeight w:val="521"/>
        </w:trPr>
        <w:tc>
          <w:tcPr>
            <w:tcW w:w="436" w:type="dxa"/>
            <w:shd w:val="clear" w:color="auto" w:fill="DBE5F1"/>
            <w:noWrap/>
            <w:vAlign w:val="center"/>
            <w:hideMark/>
          </w:tcPr>
          <w:p w14:paraId="5F7551FC" w14:textId="77777777" w:rsidR="00607669" w:rsidRPr="004D5D6C" w:rsidRDefault="00607669" w:rsidP="001E6A9C">
            <w:pPr>
              <w:jc w:val="center"/>
              <w:rPr>
                <w:rFonts w:ascii="Times New Roman" w:hAnsi="Times New Roman" w:cs="Times New Roman"/>
                <w:b/>
                <w:bCs/>
              </w:rPr>
            </w:pPr>
            <w:r w:rsidRPr="004D5D6C">
              <w:rPr>
                <w:rFonts w:ascii="Times New Roman" w:hAnsi="Times New Roman" w:cs="Times New Roman"/>
                <w:b/>
                <w:bCs/>
              </w:rPr>
              <w:t>23</w:t>
            </w:r>
          </w:p>
        </w:tc>
        <w:tc>
          <w:tcPr>
            <w:tcW w:w="1629" w:type="dxa"/>
            <w:noWrap/>
            <w:vAlign w:val="center"/>
            <w:hideMark/>
          </w:tcPr>
          <w:p w14:paraId="32D709A3" w14:textId="6BEE25EC" w:rsidR="00607669" w:rsidRPr="004D5D6C" w:rsidRDefault="00607669" w:rsidP="001E6A9C">
            <w:pPr>
              <w:jc w:val="center"/>
              <w:rPr>
                <w:rFonts w:ascii="Times New Roman" w:hAnsi="Times New Roman" w:cs="Times New Roman"/>
                <w:lang w:val="es-ES"/>
              </w:rPr>
            </w:pPr>
            <w:r w:rsidRPr="004D5D6C">
              <w:rPr>
                <w:rFonts w:ascii="Times New Roman" w:hAnsi="Times New Roman" w:cs="Times New Roman"/>
                <w:lang w:val="es-ES"/>
              </w:rPr>
              <w:t>Rodriguez-Santana et al., 2022a, (€)</w:t>
            </w:r>
            <w:r w:rsidR="00EF73A0">
              <w:rPr>
                <w:rFonts w:ascii="Times New Roman" w:hAnsi="Times New Roman" w:cs="Times New Roman"/>
                <w:lang w:val="es-ES"/>
              </w:rPr>
              <w:t xml:space="preserve"> </w:t>
            </w:r>
            <w:r w:rsidR="00EF73A0">
              <w:rPr>
                <w:rFonts w:ascii="Times New Roman" w:hAnsi="Times New Roman" w:cs="Times New Roman"/>
                <w:lang w:val="es-ES"/>
              </w:rPr>
              <w:fldChar w:fldCharType="begin" w:fldLock="1"/>
            </w:r>
            <w:r w:rsidR="00355DEC">
              <w:rPr>
                <w:rFonts w:ascii="Times New Roman" w:hAnsi="Times New Roman" w:cs="Times New Roman"/>
                <w:lang w:val="es-ES"/>
              </w:rPr>
              <w:instrText>ADDIN CSL_CITATION {"citationItems":[{"id":"ITEM-1","itemData":{"DOI":"10.1186/s13023-022-02300-1","ISSN":"1750-1172 (Electronic)","PMID":"35379282","abstract":"BACKGROUND: The lifelong nature of haemophilia makes patient-centred and societal assessments of its impact important to clinical and policy decisions. Quantifying the humanistic and economic burden by severity is key to assessing the impact on healthcare systems. We analysed the annual direct medical (excluding factor replacement therapy costs) and non-medical costs as well as societal costs and health-related quality of life (HRQoL) of mild, moderate and severe disease among adults with haemophilia A or B without inhibitors in Europe. Participants in the CHESS II study reported their HRQoL, non-medical costs, and work impairment; physicians provided costs and consultation history from the medical chart. Descriptive statistics summarized patient characteristics, costs, and HRQoL scores. Regression models estimated differences in outcomes for moderate and severe versus mild disease, adjusting for age, body mass index, country, comorbidities, weight-adjusted factor consumption and education. RESULTS: The analytic sample included 707 patients with a mean age of 38 years; the majority of patients had haemophilia A (81%), and 47% had severe disease, followed by moderate (37%) and mild disease (16%). Patients with severe or moderate disease had on average higher direct costs, €3105 and €2469 respectively, versus mild disease. Societal costs were higher for patients with severe and moderate disease by €11,115 and €2825, respectively (all P &lt; 0.01). HRQoL scores were also significantly worse for severe and moderate patients versus those with mild disease. CONCLUSION: Severity of haemophilia is predictive of increasing economic and humanistic burden. The burden of moderate disease, as measured by direct costs and HRQoL, did not appear to be substantially different than that observed among patients with severe haemophilia.","author":[{"dropping-particle":"","family":"Rodriguez-Santana","given":"Idaira","non-dropping-particle":"","parse-names":false,"suffix":""},{"dropping-particle":"","family":"DasMahapatra","given":"Pronabesh","non-dropping-particle":"","parse-names":false,"suffix":""},{"dropping-particle":"","family":"Burke","given":"Tom","non-dropping-particle":"","parse-names":false,"suffix":""},{"dropping-particle":"","family":"Hakimi","given":"Zalmai","non-dropping-particle":"","parse-names":false,"suffix":""},{"dropping-particle":"","family":"Bartelt-Hofer","given":"José","non-dropping-particle":"","parse-names":false,"suffix":""},{"dropping-particle":"","family":"Nazir","given":"Jameel","non-dropping-particle":"","parse-names":false,"suffix":""},{"dropping-particle":"","family":"O'Hara","given":"Jamie","non-dropping-particle":"","parse-names":false,"suffix":""}],"container-title":"Orphanet journal of rare diseases","id":"ITEM-1","issue":"1","issued":{"date-parts":[["2022","4"]]},"language":"eng","page":"148","title":"Differential humanistic and economic burden of mild, moderate and severe haemophilia in european adults: a regression analysis of the CHESS II study","type":"article-journal","volume":"17"},"uris":["http://www.mendeley.com/documents/?uuid=b975f36c-4c32-459b-b067-5bb1d8e077bb"]}],"mendeley":{"formattedCitation":"[23]","plainTextFormattedCitation":"[23]","previouslyFormattedCitation":"[23]"},"properties":{"noteIndex":0},"schema":"https://github.com/citation-style-language/schema/raw/master/csl-citation.json"}</w:instrText>
            </w:r>
            <w:r w:rsidR="00EF73A0">
              <w:rPr>
                <w:rFonts w:ascii="Times New Roman" w:hAnsi="Times New Roman" w:cs="Times New Roman"/>
                <w:lang w:val="es-ES"/>
              </w:rPr>
              <w:fldChar w:fldCharType="separate"/>
            </w:r>
            <w:r w:rsidR="00EF73A0" w:rsidRPr="00EF73A0">
              <w:rPr>
                <w:rFonts w:ascii="Times New Roman" w:hAnsi="Times New Roman" w:cs="Times New Roman"/>
                <w:noProof/>
                <w:lang w:val="es-ES"/>
              </w:rPr>
              <w:t>[23]</w:t>
            </w:r>
            <w:r w:rsidR="00EF73A0">
              <w:rPr>
                <w:rFonts w:ascii="Times New Roman" w:hAnsi="Times New Roman" w:cs="Times New Roman"/>
                <w:lang w:val="es-ES"/>
              </w:rPr>
              <w:fldChar w:fldCharType="end"/>
            </w:r>
          </w:p>
        </w:tc>
        <w:tc>
          <w:tcPr>
            <w:tcW w:w="2250" w:type="dxa"/>
            <w:vAlign w:val="center"/>
            <w:hideMark/>
          </w:tcPr>
          <w:p w14:paraId="7E998AED" w14:textId="77777777" w:rsidR="00607669" w:rsidRPr="002A6BCB" w:rsidRDefault="00607669" w:rsidP="001E6A9C">
            <w:pPr>
              <w:jc w:val="center"/>
              <w:rPr>
                <w:rFonts w:ascii="Times New Roman" w:hAnsi="Times New Roman" w:cs="Times New Roman"/>
                <w:lang w:val="es-ES"/>
              </w:rPr>
            </w:pPr>
            <w:r w:rsidRPr="002A6BCB">
              <w:rPr>
                <w:rFonts w:ascii="Times New Roman" w:hAnsi="Times New Roman" w:cs="Times New Roman"/>
                <w:lang w:val="es-ES"/>
              </w:rPr>
              <w:t>Not included</w:t>
            </w:r>
          </w:p>
        </w:tc>
        <w:tc>
          <w:tcPr>
            <w:tcW w:w="2160" w:type="dxa"/>
            <w:vAlign w:val="center"/>
            <w:hideMark/>
          </w:tcPr>
          <w:p w14:paraId="6373A8B2" w14:textId="597A3BA2" w:rsidR="00607669" w:rsidRPr="002A6BCB" w:rsidRDefault="005840F4" w:rsidP="00A50E53">
            <w:pPr>
              <w:jc w:val="center"/>
              <w:rPr>
                <w:rFonts w:ascii="Times New Roman" w:hAnsi="Times New Roman" w:cs="Times New Roman"/>
                <w:lang w:val="es-ES" w:eastAsia="en-US"/>
              </w:rPr>
            </w:pPr>
            <w:r w:rsidRPr="002A6BCB">
              <w:rPr>
                <w:rFonts w:ascii="Times New Roman" w:hAnsi="Times New Roman" w:cs="Times New Roman"/>
                <w:lang w:val="es-ES" w:eastAsia="en-US"/>
              </w:rPr>
              <w:t>SV: 3,949; Mod.: 3,313; Mild: 844˟</w:t>
            </w:r>
            <w:r w:rsidRPr="000C27B9">
              <w:rPr>
                <w:rFonts w:ascii="Times New Roman" w:hAnsi="Times New Roman" w:cs="Times New Roman"/>
                <w:rtl/>
                <w:lang w:eastAsia="en-US"/>
              </w:rPr>
              <w:t>٬</w:t>
            </w:r>
            <w:r w:rsidRPr="000C27B9">
              <w:rPr>
                <w:rFonts w:ascii="Times New Roman" w:hAnsi="Times New Roman" w:cs="Times New Roman"/>
                <w:lang w:eastAsia="en-US"/>
              </w:rPr>
              <w:t>ᴬ</w:t>
            </w:r>
            <w:r w:rsidR="00A50E53" w:rsidRPr="002A6BCB">
              <w:rPr>
                <w:rFonts w:ascii="Times New Roman" w:hAnsi="Times New Roman" w:cs="Times New Roman"/>
                <w:lang w:val="es-ES" w:eastAsia="en-US"/>
              </w:rPr>
              <w:t xml:space="preserve"> </w:t>
            </w:r>
            <w:r w:rsidRPr="002A6BCB">
              <w:rPr>
                <w:rFonts w:ascii="Times New Roman" w:hAnsi="Times New Roman" w:cs="Times New Roman"/>
                <w:lang w:val="es-ES" w:eastAsia="en-US"/>
              </w:rPr>
              <w:t>PPX: 3,864; ODT: 5,443˟</w:t>
            </w:r>
          </w:p>
        </w:tc>
        <w:tc>
          <w:tcPr>
            <w:tcW w:w="1620" w:type="dxa"/>
            <w:vAlign w:val="center"/>
            <w:hideMark/>
          </w:tcPr>
          <w:p w14:paraId="671BA594" w14:textId="77777777" w:rsidR="00607669" w:rsidRPr="002A6BCB" w:rsidRDefault="00607669" w:rsidP="001E6A9C">
            <w:pPr>
              <w:jc w:val="center"/>
              <w:rPr>
                <w:rFonts w:ascii="Times New Roman" w:hAnsi="Times New Roman" w:cs="Times New Roman"/>
                <w:lang w:val="es-ES"/>
              </w:rPr>
            </w:pPr>
            <w:r w:rsidRPr="002A6BCB">
              <w:rPr>
                <w:rFonts w:ascii="Times New Roman" w:hAnsi="Times New Roman" w:cs="Times New Roman"/>
                <w:lang w:val="es-ES"/>
              </w:rPr>
              <w:t>Reported under the total cost</w:t>
            </w:r>
          </w:p>
        </w:tc>
        <w:tc>
          <w:tcPr>
            <w:tcW w:w="3780" w:type="dxa"/>
            <w:gridSpan w:val="2"/>
            <w:vAlign w:val="center"/>
            <w:hideMark/>
          </w:tcPr>
          <w:p w14:paraId="2AAC14B4" w14:textId="77777777" w:rsidR="00607669" w:rsidRPr="002A6BCB" w:rsidRDefault="00607669" w:rsidP="001E6A9C">
            <w:pPr>
              <w:jc w:val="center"/>
              <w:rPr>
                <w:rFonts w:ascii="Times New Roman" w:hAnsi="Times New Roman" w:cs="Times New Roman"/>
                <w:lang w:val="es-ES"/>
              </w:rPr>
            </w:pPr>
            <w:r w:rsidRPr="002A6BCB">
              <w:rPr>
                <w:rFonts w:ascii="Times New Roman" w:hAnsi="Times New Roman" w:cs="Times New Roman"/>
                <w:lang w:val="es-ES"/>
              </w:rPr>
              <w:t>Reported under the total cost</w:t>
            </w:r>
          </w:p>
        </w:tc>
        <w:tc>
          <w:tcPr>
            <w:tcW w:w="2070" w:type="dxa"/>
            <w:vAlign w:val="center"/>
            <w:hideMark/>
          </w:tcPr>
          <w:p w14:paraId="26A3137C" w14:textId="45AC2982" w:rsidR="005840F4" w:rsidRPr="002A6BCB" w:rsidRDefault="00607669" w:rsidP="00A50E53">
            <w:pPr>
              <w:jc w:val="center"/>
              <w:rPr>
                <w:rFonts w:ascii="Times New Roman" w:hAnsi="Times New Roman" w:cs="Times New Roman"/>
                <w:lang w:val="es-ES"/>
              </w:rPr>
            </w:pPr>
            <w:r w:rsidRPr="002A6BCB">
              <w:rPr>
                <w:rFonts w:ascii="Times New Roman" w:hAnsi="Times New Roman" w:cs="Times New Roman"/>
                <w:lang w:val="es-ES"/>
              </w:rPr>
              <w:t>SV: 14,216; Mod.: 5,925; Mild: 3,101</w:t>
            </w:r>
            <w:r w:rsidR="00470385" w:rsidRPr="002A6BCB">
              <w:rPr>
                <w:rFonts w:ascii="Times New Roman" w:hAnsi="Times New Roman" w:cs="Times New Roman"/>
                <w:lang w:val="es-ES" w:eastAsia="en-US"/>
              </w:rPr>
              <w:t>˟</w:t>
            </w:r>
            <w:r w:rsidR="00470385" w:rsidRPr="000C27B9">
              <w:rPr>
                <w:rFonts w:ascii="Times New Roman" w:hAnsi="Times New Roman" w:cs="Times New Roman"/>
                <w:rtl/>
                <w:lang w:eastAsia="en-US"/>
              </w:rPr>
              <w:t>٬</w:t>
            </w:r>
            <w:r w:rsidR="00470385" w:rsidRPr="000C27B9">
              <w:rPr>
                <w:rFonts w:ascii="Times New Roman" w:hAnsi="Times New Roman" w:cs="Times New Roman"/>
                <w:lang w:eastAsia="en-US"/>
              </w:rPr>
              <w:t>ᴬ</w:t>
            </w:r>
            <w:r w:rsidR="00A50E53" w:rsidRPr="002A6BCB">
              <w:rPr>
                <w:rFonts w:ascii="Times New Roman" w:hAnsi="Times New Roman" w:cs="Times New Roman"/>
                <w:lang w:val="es-ES" w:eastAsia="en-US"/>
              </w:rPr>
              <w:t xml:space="preserve"> </w:t>
            </w:r>
            <w:r w:rsidR="00973FF1" w:rsidRPr="002A6BCB">
              <w:rPr>
                <w:rFonts w:ascii="Times New Roman" w:hAnsi="Times New Roman" w:cs="Times New Roman"/>
                <w:lang w:val="es-ES" w:eastAsia="en-US"/>
              </w:rPr>
              <w:br/>
            </w:r>
            <w:r w:rsidR="005840F4" w:rsidRPr="002A6BCB">
              <w:rPr>
                <w:rFonts w:ascii="Times New Roman" w:hAnsi="Times New Roman" w:cs="Times New Roman"/>
                <w:lang w:val="es-ES" w:eastAsia="en-US"/>
              </w:rPr>
              <w:t xml:space="preserve">PPX: </w:t>
            </w:r>
            <w:r w:rsidR="00214B10" w:rsidRPr="002A6BCB">
              <w:rPr>
                <w:rFonts w:ascii="Times New Roman" w:hAnsi="Times New Roman" w:cs="Times New Roman"/>
                <w:lang w:val="es-ES" w:eastAsia="en-US"/>
              </w:rPr>
              <w:t>15,269</w:t>
            </w:r>
            <w:r w:rsidR="005840F4" w:rsidRPr="002A6BCB">
              <w:rPr>
                <w:rFonts w:ascii="Times New Roman" w:hAnsi="Times New Roman" w:cs="Times New Roman"/>
                <w:lang w:val="es-ES" w:eastAsia="en-US"/>
              </w:rPr>
              <w:t xml:space="preserve">; ODT: </w:t>
            </w:r>
            <w:r w:rsidR="00086EE1" w:rsidRPr="002A6BCB">
              <w:rPr>
                <w:rFonts w:ascii="Times New Roman" w:hAnsi="Times New Roman" w:cs="Times New Roman"/>
                <w:lang w:val="es-ES" w:eastAsia="en-US"/>
              </w:rPr>
              <w:t>17,765</w:t>
            </w:r>
            <w:r w:rsidR="005840F4" w:rsidRPr="002A6BCB">
              <w:rPr>
                <w:rFonts w:ascii="Times New Roman" w:hAnsi="Times New Roman" w:cs="Times New Roman"/>
                <w:lang w:val="es-ES" w:eastAsia="en-US"/>
              </w:rPr>
              <w:t>˟</w:t>
            </w:r>
          </w:p>
        </w:tc>
      </w:tr>
      <w:tr w:rsidR="00EF73A0" w:rsidRPr="002A6BCB" w14:paraId="6F66D319" w14:textId="77777777" w:rsidTr="005359D8">
        <w:trPr>
          <w:trHeight w:val="512"/>
        </w:trPr>
        <w:tc>
          <w:tcPr>
            <w:tcW w:w="436" w:type="dxa"/>
            <w:shd w:val="clear" w:color="auto" w:fill="DBE5F1"/>
            <w:noWrap/>
            <w:vAlign w:val="center"/>
            <w:hideMark/>
          </w:tcPr>
          <w:p w14:paraId="064CAAAB" w14:textId="77777777" w:rsidR="00607669" w:rsidRPr="00EF73A0" w:rsidRDefault="00607669" w:rsidP="001E6A9C">
            <w:pPr>
              <w:jc w:val="center"/>
              <w:rPr>
                <w:rFonts w:ascii="Times New Roman" w:hAnsi="Times New Roman" w:cs="Times New Roman"/>
                <w:b/>
                <w:bCs/>
                <w:lang w:val="es-ES"/>
              </w:rPr>
            </w:pPr>
            <w:r w:rsidRPr="00EF73A0">
              <w:rPr>
                <w:rFonts w:ascii="Times New Roman" w:hAnsi="Times New Roman" w:cs="Times New Roman"/>
                <w:b/>
                <w:bCs/>
                <w:lang w:val="es-ES"/>
              </w:rPr>
              <w:t>24</w:t>
            </w:r>
          </w:p>
        </w:tc>
        <w:tc>
          <w:tcPr>
            <w:tcW w:w="1629" w:type="dxa"/>
            <w:noWrap/>
            <w:vAlign w:val="center"/>
            <w:hideMark/>
          </w:tcPr>
          <w:p w14:paraId="463C1D9D" w14:textId="46DCE19D" w:rsidR="00607669" w:rsidRPr="004D5D6C" w:rsidRDefault="00607669" w:rsidP="001E6A9C">
            <w:pPr>
              <w:jc w:val="center"/>
              <w:rPr>
                <w:rFonts w:ascii="Times New Roman" w:hAnsi="Times New Roman" w:cs="Times New Roman"/>
                <w:lang w:val="es-ES"/>
              </w:rPr>
            </w:pPr>
            <w:r w:rsidRPr="004D5D6C">
              <w:rPr>
                <w:rFonts w:ascii="Times New Roman" w:hAnsi="Times New Roman" w:cs="Times New Roman"/>
                <w:lang w:val="es-ES"/>
              </w:rPr>
              <w:t>Rodriguez-Santana et al., 2022b, (€)</w:t>
            </w:r>
            <w:r w:rsidR="00355DEC">
              <w:rPr>
                <w:rFonts w:ascii="Times New Roman" w:hAnsi="Times New Roman" w:cs="Times New Roman"/>
                <w:lang w:val="es-ES"/>
              </w:rPr>
              <w:t xml:space="preserve"> </w:t>
            </w:r>
            <w:r w:rsidR="00355DEC">
              <w:rPr>
                <w:rFonts w:ascii="Times New Roman" w:hAnsi="Times New Roman" w:cs="Times New Roman"/>
                <w:lang w:val="es-ES"/>
              </w:rPr>
              <w:fldChar w:fldCharType="begin" w:fldLock="1"/>
            </w:r>
            <w:r w:rsidR="00D22D21">
              <w:rPr>
                <w:rFonts w:ascii="Times New Roman" w:hAnsi="Times New Roman" w:cs="Times New Roman"/>
                <w:lang w:val="es-ES"/>
              </w:rPr>
              <w:instrText>ADDIN CSL_CITATION {"citationItems":[{"id":"ITEM-1","itemData":{"DOI":"10.1186/s13023-022-02301-0","ISSN":"1750-1172 (Electronic)","PMID":"35379284","abstract":"BACKGROUND: Haemophilia bears substantial humanistic and economic burden on children and their caregivers. Characterising the differential impact of severe versus moderate paediatric haemophilia is important for clinical and health policy decisions. We analysed health-related quality of life (HRQoL), annual direct medical (excluding factor treatme</w:instrText>
            </w:r>
            <w:r w:rsidR="00D22D21">
              <w:rPr>
                <w:rFonts w:ascii="Times New Roman" w:hAnsi="Times New Roman" w:cs="Times New Roman" w:hint="eastAsia"/>
                <w:lang w:val="es-ES"/>
              </w:rPr>
              <w:instrText xml:space="preserve">nt costs), non-medical and societal costs among children and adolescents with moderate and severe haemophilia A or B without inhibitors from the European CHESS-PAEDs study. Information was reported by physicians and caregivers; patients aged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 8 years sel</w:instrText>
            </w:r>
            <w:r w:rsidR="00D22D21">
              <w:rPr>
                <w:rFonts w:ascii="Times New Roman" w:hAnsi="Times New Roman" w:cs="Times New Roman"/>
                <w:lang w:val="es-ES"/>
              </w:rPr>
              <w:instrText>f-reported their HRQoL. Descriptive statistics summarised demographic and clinical characteristics, costs, and HRQoL scores (EQ-5D-Y). Regression models estimated differences in HRQoL and costs for moderate versus severe haemophilia adjusting for age, body mass index z-score, country, number of comorbidities, and weight-adjusted annual clotting factor consumption. RESULTS: The analytic sample comprised 794 patients with a mean age of 10.5 years; most had haemophilia A (79%) and 58% had severe haemophilia. Mean predicted direct medical costs in moderate patients were two-thirds of the predicted costs for severe disease (€3065 vs. €2047; p &lt; 0.001; N = 794), while societal costs were more than half of the predicted costs for children with severe haemophilia (€6950 vs. €3666; p &lt; 0.001; N = 220). Mean predicted HRQoL scores were 0.74 and 0.69 for moderate and severe disease, respectively (p &lt; 0.05; N = 185). CONCLUSION: Children with haemophilia and their caregivers displayed a significant economic and humanistic burden. While severe patients showed the highest direct medical and societal costs, and worse HRQoL, the burden of moderate haemophilia on its own was substantial and far from negligible.","author":[{"dropping-particle":"","family":"Rodriguez-Santana","given":"Idaira","non-dropping-particle":"","parse-names":false,"suffix":""},{"dropping-particle":"","family":"DasMahapatra","given":"Pronabesh","non-dropping-particle":"","parse-names":false,"suffix":""},{"dropping-particle":"","family":"Burke","given":"Tom","non-dropping-particle":"","parse-names":false,"suffix":""},{"dropping-particle":"","family":"Hakimi","given":"Zalmai","non-dropping-particle":"","parse-names":false,"suffix":""},{"dropping-particle":"","family":"Bartelt-Hofer","given":"José","non-dropping-particle":"","parse-names":false,"suffix":""},{"dropping-particle":"","family":"Nazir","given":"Jameel","non-dropping-particle":"","parse-names":false,"suffix":""},{"dropping-particle":"","family":"O'Hara","given":"Jamie","non-dropping-particle":"","parse-names":false,"suffix":""}],"container-title":"Orphanet journal of rare diseases","id":"ITEM-1","issue":"1","issued":{"date-parts":[["2022","4"]]},"language":"eng","page":"150","title":"Health-related quality of life, direct medical and societal costs among children with moderate or severe haemophilia in Europe: multivariable models of the CHESS-PAEDs study","type":"article-journal","volume":"17"},"uris":["http://www.mendeley.com/documents/?uuid=89e3bd93-b55c-4dc4-a108-568dded29b4f"]}],"mendeley":{"formattedCitation":"[24]","plainTextFormattedCitation":"[24]","previouslyFormattedCitation":"[24]"},"properties":{"noteIndex":0},"schema":"https://github.com/citation-style-language/schema/raw/master/csl-citation.json"}</w:instrText>
            </w:r>
            <w:r w:rsidR="00355DEC">
              <w:rPr>
                <w:rFonts w:ascii="Times New Roman" w:hAnsi="Times New Roman" w:cs="Times New Roman"/>
                <w:lang w:val="es-ES"/>
              </w:rPr>
              <w:fldChar w:fldCharType="separate"/>
            </w:r>
            <w:r w:rsidR="00355DEC" w:rsidRPr="00355DEC">
              <w:rPr>
                <w:rFonts w:ascii="Times New Roman" w:hAnsi="Times New Roman" w:cs="Times New Roman"/>
                <w:noProof/>
                <w:lang w:val="es-ES"/>
              </w:rPr>
              <w:t>[24]</w:t>
            </w:r>
            <w:r w:rsidR="00355DEC">
              <w:rPr>
                <w:rFonts w:ascii="Times New Roman" w:hAnsi="Times New Roman" w:cs="Times New Roman"/>
                <w:lang w:val="es-ES"/>
              </w:rPr>
              <w:fldChar w:fldCharType="end"/>
            </w:r>
          </w:p>
        </w:tc>
        <w:tc>
          <w:tcPr>
            <w:tcW w:w="2250" w:type="dxa"/>
            <w:vAlign w:val="center"/>
            <w:hideMark/>
          </w:tcPr>
          <w:p w14:paraId="0B48F26B" w14:textId="77777777" w:rsidR="00607669" w:rsidRPr="002A6BCB" w:rsidRDefault="00607669" w:rsidP="001E6A9C">
            <w:pPr>
              <w:jc w:val="center"/>
              <w:rPr>
                <w:rFonts w:ascii="Times New Roman" w:hAnsi="Times New Roman" w:cs="Times New Roman"/>
                <w:lang w:val="es-ES"/>
              </w:rPr>
            </w:pPr>
            <w:r w:rsidRPr="002A6BCB">
              <w:rPr>
                <w:rFonts w:ascii="Times New Roman" w:hAnsi="Times New Roman" w:cs="Times New Roman"/>
                <w:lang w:val="es-ES"/>
              </w:rPr>
              <w:t>Not included</w:t>
            </w:r>
          </w:p>
        </w:tc>
        <w:tc>
          <w:tcPr>
            <w:tcW w:w="2160" w:type="dxa"/>
            <w:vAlign w:val="center"/>
            <w:hideMark/>
          </w:tcPr>
          <w:p w14:paraId="0888B94F" w14:textId="2315917D" w:rsidR="00607669" w:rsidRPr="002A6BCB" w:rsidRDefault="00607669" w:rsidP="001E6A9C">
            <w:pPr>
              <w:jc w:val="center"/>
              <w:rPr>
                <w:rFonts w:ascii="Times New Roman" w:hAnsi="Times New Roman" w:cs="Times New Roman"/>
                <w:lang w:val="es-ES"/>
              </w:rPr>
            </w:pPr>
            <w:r w:rsidRPr="002A6BCB">
              <w:rPr>
                <w:rFonts w:ascii="Times New Roman" w:hAnsi="Times New Roman" w:cs="Times New Roman"/>
                <w:lang w:val="es-ES"/>
              </w:rPr>
              <w:t>SV: 3,065; Mod.: 2,047˟</w:t>
            </w:r>
            <w:r w:rsidRPr="000C27B9">
              <w:rPr>
                <w:rFonts w:ascii="Times New Roman" w:hAnsi="Times New Roman" w:cs="Times New Roman"/>
                <w:rtl/>
              </w:rPr>
              <w:t>٬</w:t>
            </w:r>
            <w:r w:rsidRPr="000C27B9">
              <w:rPr>
                <w:rFonts w:ascii="Times New Roman" w:hAnsi="Times New Roman" w:cs="Times New Roman"/>
              </w:rPr>
              <w:t>ᴬ</w:t>
            </w:r>
            <w:r w:rsidR="00CA2AF1" w:rsidRPr="002A6BCB">
              <w:rPr>
                <w:rFonts w:ascii="Times New Roman" w:hAnsi="Times New Roman" w:cs="Times New Roman"/>
                <w:lang w:val="es-ES"/>
              </w:rPr>
              <w:br/>
            </w:r>
            <w:r w:rsidR="00CA2AF1" w:rsidRPr="002A6BCB">
              <w:rPr>
                <w:rFonts w:ascii="Times New Roman" w:hAnsi="Times New Roman" w:cs="Times New Roman"/>
                <w:lang w:val="es-ES" w:eastAsia="en-US"/>
              </w:rPr>
              <w:t xml:space="preserve">PPX: </w:t>
            </w:r>
            <w:r w:rsidR="0004185A" w:rsidRPr="002A6BCB">
              <w:rPr>
                <w:rFonts w:ascii="Times New Roman" w:hAnsi="Times New Roman" w:cs="Times New Roman"/>
                <w:lang w:val="es-ES" w:eastAsia="en-US"/>
              </w:rPr>
              <w:t>2,821</w:t>
            </w:r>
            <w:r w:rsidR="00CA2AF1" w:rsidRPr="002A6BCB">
              <w:rPr>
                <w:rFonts w:ascii="Times New Roman" w:hAnsi="Times New Roman" w:cs="Times New Roman"/>
                <w:lang w:val="es-ES" w:eastAsia="en-US"/>
              </w:rPr>
              <w:t xml:space="preserve">; ODT: </w:t>
            </w:r>
            <w:r w:rsidR="00B96003" w:rsidRPr="002A6BCB">
              <w:rPr>
                <w:rFonts w:ascii="Times New Roman" w:hAnsi="Times New Roman" w:cs="Times New Roman"/>
                <w:lang w:val="es-ES" w:eastAsia="en-US"/>
              </w:rPr>
              <w:t>3,518</w:t>
            </w:r>
            <w:r w:rsidR="00CA2AF1" w:rsidRPr="002A6BCB">
              <w:rPr>
                <w:rFonts w:ascii="Times New Roman" w:hAnsi="Times New Roman" w:cs="Times New Roman"/>
                <w:lang w:val="es-ES" w:eastAsia="en-US"/>
              </w:rPr>
              <w:t>˟</w:t>
            </w:r>
          </w:p>
        </w:tc>
        <w:tc>
          <w:tcPr>
            <w:tcW w:w="1620" w:type="dxa"/>
            <w:vAlign w:val="center"/>
            <w:hideMark/>
          </w:tcPr>
          <w:p w14:paraId="0039B54A" w14:textId="77777777" w:rsidR="00607669" w:rsidRPr="002A6BCB" w:rsidRDefault="00607669" w:rsidP="001E6A9C">
            <w:pPr>
              <w:jc w:val="center"/>
              <w:rPr>
                <w:rFonts w:ascii="Times New Roman" w:hAnsi="Times New Roman" w:cs="Times New Roman"/>
                <w:lang w:val="es-ES"/>
              </w:rPr>
            </w:pPr>
            <w:r w:rsidRPr="002A6BCB">
              <w:rPr>
                <w:rFonts w:ascii="Times New Roman" w:hAnsi="Times New Roman" w:cs="Times New Roman"/>
                <w:lang w:val="es-ES"/>
              </w:rPr>
              <w:t>Reported under the total cost</w:t>
            </w:r>
          </w:p>
        </w:tc>
        <w:tc>
          <w:tcPr>
            <w:tcW w:w="3780" w:type="dxa"/>
            <w:gridSpan w:val="2"/>
            <w:vAlign w:val="center"/>
            <w:hideMark/>
          </w:tcPr>
          <w:p w14:paraId="40EC8417" w14:textId="77777777" w:rsidR="00607669" w:rsidRPr="002A6BCB" w:rsidRDefault="00607669" w:rsidP="001E6A9C">
            <w:pPr>
              <w:jc w:val="center"/>
              <w:rPr>
                <w:rFonts w:ascii="Times New Roman" w:hAnsi="Times New Roman" w:cs="Times New Roman"/>
                <w:lang w:val="es-ES"/>
              </w:rPr>
            </w:pPr>
            <w:r w:rsidRPr="002A6BCB">
              <w:rPr>
                <w:rFonts w:ascii="Times New Roman" w:hAnsi="Times New Roman" w:cs="Times New Roman"/>
                <w:lang w:val="es-ES"/>
              </w:rPr>
              <w:t>Reported under the total cost</w:t>
            </w:r>
          </w:p>
        </w:tc>
        <w:tc>
          <w:tcPr>
            <w:tcW w:w="2070" w:type="dxa"/>
            <w:vAlign w:val="center"/>
            <w:hideMark/>
          </w:tcPr>
          <w:p w14:paraId="4C9446A4" w14:textId="7CAF889A" w:rsidR="00607669" w:rsidRPr="002A6BCB" w:rsidRDefault="00FA65B7" w:rsidP="001E6A9C">
            <w:pPr>
              <w:jc w:val="center"/>
              <w:rPr>
                <w:rFonts w:ascii="Times New Roman" w:hAnsi="Times New Roman" w:cs="Times New Roman"/>
                <w:lang w:val="es-ES"/>
              </w:rPr>
            </w:pPr>
            <w:r w:rsidRPr="002A6BCB">
              <w:rPr>
                <w:rFonts w:ascii="Times New Roman" w:hAnsi="Times New Roman" w:cs="Times New Roman"/>
                <w:lang w:val="es-ES" w:eastAsia="en-US"/>
              </w:rPr>
              <w:t>SV: 6,950; Mod.: 3,666˟</w:t>
            </w:r>
            <w:r w:rsidRPr="000C27B9">
              <w:rPr>
                <w:rFonts w:ascii="Times New Roman" w:hAnsi="Times New Roman" w:cs="Times New Roman"/>
                <w:rtl/>
                <w:lang w:eastAsia="en-US"/>
              </w:rPr>
              <w:t>٬</w:t>
            </w:r>
            <w:r w:rsidRPr="000C27B9">
              <w:rPr>
                <w:rFonts w:ascii="Times New Roman" w:hAnsi="Times New Roman" w:cs="Times New Roman"/>
                <w:lang w:eastAsia="en-US"/>
              </w:rPr>
              <w:t>ᴬ</w:t>
            </w:r>
            <w:r w:rsidR="00F00E32" w:rsidRPr="002A6BCB">
              <w:rPr>
                <w:rFonts w:ascii="Times New Roman" w:hAnsi="Times New Roman" w:cs="Times New Roman"/>
                <w:lang w:val="es-ES" w:eastAsia="en-US"/>
              </w:rPr>
              <w:br/>
              <w:t xml:space="preserve">PPX: </w:t>
            </w:r>
            <w:r w:rsidR="0024708B" w:rsidRPr="002A6BCB">
              <w:rPr>
                <w:rFonts w:ascii="Times New Roman" w:hAnsi="Times New Roman" w:cs="Times New Roman"/>
                <w:lang w:val="es-ES" w:eastAsia="en-US"/>
              </w:rPr>
              <w:t>5,840</w:t>
            </w:r>
            <w:r w:rsidR="00F00E32" w:rsidRPr="002A6BCB">
              <w:rPr>
                <w:rFonts w:ascii="Times New Roman" w:hAnsi="Times New Roman" w:cs="Times New Roman"/>
                <w:lang w:val="es-ES" w:eastAsia="en-US"/>
              </w:rPr>
              <w:t xml:space="preserve">; ODT: </w:t>
            </w:r>
            <w:r w:rsidR="00A22ACE" w:rsidRPr="002A6BCB">
              <w:rPr>
                <w:rFonts w:ascii="Times New Roman" w:hAnsi="Times New Roman" w:cs="Times New Roman"/>
                <w:lang w:val="es-ES" w:eastAsia="en-US"/>
              </w:rPr>
              <w:t>8,066</w:t>
            </w:r>
            <w:r w:rsidR="00F00E32" w:rsidRPr="002A6BCB">
              <w:rPr>
                <w:rFonts w:ascii="Times New Roman" w:hAnsi="Times New Roman" w:cs="Times New Roman"/>
                <w:lang w:val="es-ES" w:eastAsia="en-US"/>
              </w:rPr>
              <w:t>˟</w:t>
            </w:r>
          </w:p>
        </w:tc>
      </w:tr>
      <w:tr w:rsidR="007C39B7" w:rsidRPr="00EF73A0" w14:paraId="23806DF8" w14:textId="77777777" w:rsidTr="005359D8">
        <w:trPr>
          <w:trHeight w:val="692"/>
        </w:trPr>
        <w:tc>
          <w:tcPr>
            <w:tcW w:w="436" w:type="dxa"/>
            <w:shd w:val="clear" w:color="auto" w:fill="DBE5F1"/>
            <w:noWrap/>
            <w:vAlign w:val="center"/>
            <w:hideMark/>
          </w:tcPr>
          <w:p w14:paraId="56BD57E6" w14:textId="77777777" w:rsidR="00607669" w:rsidRPr="00EF73A0" w:rsidRDefault="00607669" w:rsidP="001E6A9C">
            <w:pPr>
              <w:jc w:val="center"/>
              <w:rPr>
                <w:rFonts w:ascii="Times New Roman" w:hAnsi="Times New Roman" w:cs="Times New Roman"/>
                <w:b/>
                <w:bCs/>
                <w:lang w:val="es-ES"/>
              </w:rPr>
            </w:pPr>
            <w:r w:rsidRPr="00EF73A0">
              <w:rPr>
                <w:rFonts w:ascii="Times New Roman" w:hAnsi="Times New Roman" w:cs="Times New Roman"/>
                <w:b/>
                <w:bCs/>
                <w:lang w:val="es-ES"/>
              </w:rPr>
              <w:lastRenderedPageBreak/>
              <w:t>25</w:t>
            </w:r>
          </w:p>
        </w:tc>
        <w:tc>
          <w:tcPr>
            <w:tcW w:w="1629" w:type="dxa"/>
            <w:noWrap/>
            <w:vAlign w:val="center"/>
            <w:hideMark/>
          </w:tcPr>
          <w:p w14:paraId="38E1E919" w14:textId="7F789548" w:rsidR="00607669" w:rsidRPr="002A6BCB" w:rsidRDefault="00607669" w:rsidP="001E6A9C">
            <w:pPr>
              <w:jc w:val="center"/>
              <w:rPr>
                <w:rFonts w:ascii="Times New Roman" w:hAnsi="Times New Roman" w:cs="Times New Roman"/>
              </w:rPr>
            </w:pPr>
            <w:r w:rsidRPr="00EF73A0">
              <w:rPr>
                <w:rFonts w:ascii="Times New Roman" w:hAnsi="Times New Roman" w:cs="Times New Roman"/>
                <w:lang w:val="es-ES"/>
              </w:rPr>
              <w:t>Chowdary et al., 2023, (€)</w:t>
            </w:r>
            <w:r w:rsidR="00355DEC">
              <w:rPr>
                <w:rFonts w:ascii="Times New Roman" w:hAnsi="Times New Roman" w:cs="Times New Roman"/>
                <w:lang w:val="es-ES"/>
              </w:rPr>
              <w:t xml:space="preserve"> </w:t>
            </w:r>
            <w:r w:rsidR="00D22D21">
              <w:rPr>
                <w:rFonts w:ascii="Times New Roman" w:hAnsi="Times New Roman" w:cs="Times New Roman"/>
                <w:lang w:val="es-ES"/>
              </w:rPr>
              <w:fldChar w:fldCharType="begin" w:fldLock="1"/>
            </w:r>
            <w:r w:rsidR="00D22D21">
              <w:rPr>
                <w:rFonts w:ascii="Times New Roman" w:hAnsi="Times New Roman" w:cs="Times New Roman"/>
                <w:lang w:val="es-ES"/>
              </w:rPr>
              <w:instrText>ADDIN CSL_CITATION {"citationItems":[{"id":"ITEM-1","itemData":{"DOI":"10.1111/hae.14766","ISSN":"1365-2516 (Electronic)","PMID":"36897517","abstract":"INTRODUCTION: Adequate prophylactic treatment and physical activity improve joint health and clinical outcomes for people with haemophilia A (HA). However, non-clinical joint-related burden of moderate (MHA) and severe (SHA) HA has not been well characterised. AIM: To quantify the joint health-related humanistic and economic burden of MHA and SHA in Europe. METHODS: A retrospective analysis of the cross-sectional CHESS population studies using a patient-centric measure of joint health (problem joints, PJs: chronic joint pain and/or limited range of movement due to compromised joint integrity with or withou</w:instrText>
            </w:r>
            <w:r w:rsidR="00D22D21">
              <w:rPr>
                <w:rFonts w:ascii="Times New Roman" w:hAnsi="Times New Roman" w:cs="Times New Roman" w:hint="eastAsia"/>
                <w:lang w:val="es-ES"/>
              </w:rPr>
              <w:instrText xml:space="preserve">t persistent bleeding) was conducted. Descriptive statistics summarised health-related quality of life (HRQoL), work productivity/activity impairment and costs by number of PJs (0, 1 or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2) and HA severity. RESULTS: A total of 1171 patients were included from CHESS-II (n = 468) and CHESS-PAEDs (n = 703). In both studies, 41 and 59% of patients had MHA and SHA, respectively. Prevalence of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2 PJs was similar with MHA and SHA (CHESS-II: 23 and 26%; CHESS-PAEDs: 4 and 3%, respectively). HRQoL was worse with an increasing number of PJs (CHESS-II: .81 vs. .66 with 0 and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2 PJs, respectively, for MHA; .79 vs. .51 for SHA; CHESS-PAEDs: .64 vs. .26 and .72 vs. .14). Total costs increased with increasing PJs regardless of severity in CHESS-II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2923 vs.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22,536 with 0 and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2 PJs, respectively, for MHA;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11,022 vs.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27,098 for SHA) and CHESS-PAEDs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6222 vs.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11,043 for MHA;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 xml:space="preserve">4457 vs. </w:instrText>
            </w:r>
            <w:r w:rsidR="00D22D21">
              <w:rPr>
                <w:rFonts w:ascii="Times New Roman" w:hAnsi="Times New Roman" w:cs="Times New Roman" w:hint="eastAsia"/>
                <w:lang w:val="es-ES"/>
              </w:rPr>
              <w:instrText>€</w:instrText>
            </w:r>
            <w:r w:rsidR="00D22D21">
              <w:rPr>
                <w:rFonts w:ascii="Times New Roman" w:hAnsi="Times New Roman" w:cs="Times New Roman" w:hint="eastAsia"/>
                <w:lang w:val="es-ES"/>
              </w:rPr>
              <w:instrText>14,039 for SHA). CONCLUSION: Presence of PJs was associated with a substantial humanistic and economic burden on patients with MHA o</w:instrText>
            </w:r>
            <w:r w:rsidR="00D22D21">
              <w:rPr>
                <w:rFonts w:ascii="Times New Roman" w:hAnsi="Times New Roman" w:cs="Times New Roman"/>
                <w:lang w:val="es-ES"/>
              </w:rPr>
              <w:instrText>r SHA across the lifespan.","author":[{"dropping-particle":"","family":"Chowdary","given":"Prat</w:instrText>
            </w:r>
            <w:r w:rsidR="00D22D21" w:rsidRPr="002A6BCB">
              <w:rPr>
                <w:rFonts w:ascii="Times New Roman" w:hAnsi="Times New Roman" w:cs="Times New Roman"/>
              </w:rPr>
              <w:instrText>ima","non-dropping-particle":"","parse-names":false,"suffix":""},{"dropping-particle":"","family":"Nissen","given":"Francis","non-dropping-particle":"","parse-names":false,"suffix":""},{"dropping-particle":"","family":"Burke","given":"Tom","non-dropping-particle":"","parse-names":false,"suffix":""},{"dropping-particle":"","family":"Aizenas","given":"Martynas","non-dropping-particle":"","parse-names":false,"suffix":""},{"dropping-particle":"","family":"Czirok","given":"Tünde","non-dropping-particle":"","parse-names":false,"suffix":""},{"dropping-particle":"","family":"Dhillon","given":"Harpal","non-dropping-particle":"","parse-names":false,"suffix":""},{"dropping-particle":"","family":"O'Hara","given":"Jamie","non-dropping-particle":"","parse-names":false,"suffix":""}],"container-title":"Haemophilia : the official journal of the World Federation of Hemophilia","id":"ITEM-1","issued":{"date-parts":[["2023","3"]]},"language":"eng","page":"1-8","publisher-place":"England","title":"The humanistic and economic burden of problem joints for children and adults with moderate or severe haemophilia A: Analysis of the CHESS population studies.","type":"article-journal"},"uris":["http://www.mendeley.com/documents/?uuid=bd5f501f-c658-4f4d-bf7d-42b9f3e8586a"]}],"mendeley":{"formattedCitation":"[25]","plainTextFormattedCitation":"[25]","previouslyFormattedCitation":"[25]"},"properties":{"noteIndex":0},"schema":"https://github.com/citation-style-language/schema/raw/master/csl-citation.json"}</w:instrText>
            </w:r>
            <w:r w:rsidR="00D22D21">
              <w:rPr>
                <w:rFonts w:ascii="Times New Roman" w:hAnsi="Times New Roman" w:cs="Times New Roman"/>
                <w:lang w:val="es-ES"/>
              </w:rPr>
              <w:fldChar w:fldCharType="separate"/>
            </w:r>
            <w:r w:rsidR="00D22D21" w:rsidRPr="002A6BCB">
              <w:rPr>
                <w:rFonts w:ascii="Times New Roman" w:hAnsi="Times New Roman" w:cs="Times New Roman"/>
                <w:noProof/>
              </w:rPr>
              <w:t>[25]</w:t>
            </w:r>
            <w:r w:rsidR="00D22D21">
              <w:rPr>
                <w:rFonts w:ascii="Times New Roman" w:hAnsi="Times New Roman" w:cs="Times New Roman"/>
                <w:lang w:val="es-ES"/>
              </w:rPr>
              <w:fldChar w:fldCharType="end"/>
            </w:r>
          </w:p>
        </w:tc>
        <w:tc>
          <w:tcPr>
            <w:tcW w:w="2250" w:type="dxa"/>
            <w:vAlign w:val="center"/>
            <w:hideMark/>
          </w:tcPr>
          <w:p w14:paraId="4DB8360E" w14:textId="77777777" w:rsidR="00607669" w:rsidRPr="000C27B9" w:rsidRDefault="00607669" w:rsidP="001E6A9C">
            <w:pPr>
              <w:jc w:val="center"/>
              <w:rPr>
                <w:rFonts w:ascii="Times New Roman" w:hAnsi="Times New Roman" w:cs="Times New Roman"/>
              </w:rPr>
            </w:pPr>
            <w:r w:rsidRPr="000C27B9">
              <w:rPr>
                <w:rFonts w:ascii="Times New Roman" w:hAnsi="Times New Roman" w:cs="Times New Roman"/>
              </w:rPr>
              <w:t>Not included</w:t>
            </w:r>
          </w:p>
        </w:tc>
        <w:tc>
          <w:tcPr>
            <w:tcW w:w="2160" w:type="dxa"/>
            <w:vAlign w:val="center"/>
            <w:hideMark/>
          </w:tcPr>
          <w:p w14:paraId="2EFE85FD" w14:textId="5D4D1D82" w:rsidR="00607669" w:rsidRPr="000C27B9" w:rsidRDefault="00607669" w:rsidP="001E6A9C">
            <w:pPr>
              <w:jc w:val="center"/>
              <w:rPr>
                <w:rFonts w:ascii="Times New Roman" w:hAnsi="Times New Roman" w:cs="Times New Roman"/>
              </w:rPr>
            </w:pPr>
            <w:r w:rsidRPr="000C27B9">
              <w:rPr>
                <w:rFonts w:ascii="Times New Roman" w:hAnsi="Times New Roman" w:cs="Times New Roman"/>
              </w:rPr>
              <w:t xml:space="preserve">SV </w:t>
            </w:r>
            <w:r w:rsidR="002351FA" w:rsidRPr="000C27B9">
              <w:rPr>
                <w:rFonts w:ascii="Times New Roman" w:hAnsi="Times New Roman" w:cs="Times New Roman"/>
              </w:rPr>
              <w:t xml:space="preserve">ADs </w:t>
            </w:r>
            <w:r w:rsidRPr="000C27B9">
              <w:rPr>
                <w:rFonts w:ascii="Times New Roman" w:hAnsi="Times New Roman" w:cs="Times New Roman"/>
              </w:rPr>
              <w:t>w. 0 PJs: 3,749; w. ≥2 PJs: 9,467˟</w:t>
            </w:r>
          </w:p>
        </w:tc>
        <w:tc>
          <w:tcPr>
            <w:tcW w:w="1620" w:type="dxa"/>
            <w:vAlign w:val="center"/>
            <w:hideMark/>
          </w:tcPr>
          <w:p w14:paraId="7566F8A6" w14:textId="57970B68" w:rsidR="00607669" w:rsidRPr="000C27B9" w:rsidRDefault="00607669" w:rsidP="001E6A9C">
            <w:pPr>
              <w:jc w:val="center"/>
              <w:rPr>
                <w:rFonts w:ascii="Times New Roman" w:hAnsi="Times New Roman" w:cs="Times New Roman"/>
              </w:rPr>
            </w:pPr>
            <w:r w:rsidRPr="000C27B9">
              <w:rPr>
                <w:rFonts w:ascii="Times New Roman" w:hAnsi="Times New Roman" w:cs="Times New Roman"/>
              </w:rPr>
              <w:t xml:space="preserve">SV </w:t>
            </w:r>
            <w:r w:rsidR="002351FA" w:rsidRPr="000C27B9">
              <w:rPr>
                <w:rFonts w:ascii="Times New Roman" w:hAnsi="Times New Roman" w:cs="Times New Roman"/>
              </w:rPr>
              <w:t xml:space="preserve">ADs </w:t>
            </w:r>
            <w:r w:rsidRPr="000C27B9">
              <w:rPr>
                <w:rFonts w:ascii="Times New Roman" w:hAnsi="Times New Roman" w:cs="Times New Roman"/>
              </w:rPr>
              <w:t>w. 0 PJs: 1,152; w. ≥2 PJs: 4,925</w:t>
            </w:r>
          </w:p>
        </w:tc>
        <w:tc>
          <w:tcPr>
            <w:tcW w:w="1710" w:type="dxa"/>
            <w:vAlign w:val="center"/>
            <w:hideMark/>
          </w:tcPr>
          <w:p w14:paraId="0A5DEBEC" w14:textId="77777777" w:rsidR="00607669" w:rsidRPr="000C27B9" w:rsidRDefault="00607669" w:rsidP="001E6A9C">
            <w:pPr>
              <w:jc w:val="center"/>
              <w:rPr>
                <w:rFonts w:ascii="Times New Roman" w:hAnsi="Times New Roman" w:cs="Times New Roman"/>
              </w:rPr>
            </w:pPr>
            <w:r w:rsidRPr="000C27B9">
              <w:rPr>
                <w:rFonts w:ascii="Times New Roman" w:hAnsi="Times New Roman" w:cs="Times New Roman"/>
              </w:rPr>
              <w:t>Reported under the total cost</w:t>
            </w:r>
          </w:p>
        </w:tc>
        <w:tc>
          <w:tcPr>
            <w:tcW w:w="2070" w:type="dxa"/>
            <w:vAlign w:val="center"/>
            <w:hideMark/>
          </w:tcPr>
          <w:p w14:paraId="50307AB3" w14:textId="20976D05" w:rsidR="00607669" w:rsidRPr="000C27B9" w:rsidRDefault="0061364E" w:rsidP="001E6A9C">
            <w:pPr>
              <w:jc w:val="center"/>
              <w:rPr>
                <w:rFonts w:ascii="Times New Roman" w:hAnsi="Times New Roman" w:cs="Times New Roman"/>
              </w:rPr>
            </w:pPr>
            <w:r w:rsidRPr="000C27B9">
              <w:rPr>
                <w:rFonts w:ascii="Times New Roman" w:hAnsi="Times New Roman" w:cs="Times New Roman"/>
              </w:rPr>
              <w:t xml:space="preserve">SV ADs w. 0 PJs: </w:t>
            </w:r>
            <w:r w:rsidR="001B3D0E" w:rsidRPr="000C27B9">
              <w:rPr>
                <w:rFonts w:ascii="Times New Roman" w:hAnsi="Times New Roman" w:cs="Times New Roman"/>
              </w:rPr>
              <w:t>6,121</w:t>
            </w:r>
            <w:r w:rsidRPr="000C27B9">
              <w:rPr>
                <w:rFonts w:ascii="Times New Roman" w:hAnsi="Times New Roman" w:cs="Times New Roman"/>
              </w:rPr>
              <w:t xml:space="preserve">; w. ≥2 PJs: </w:t>
            </w:r>
            <w:r w:rsidR="003208C9" w:rsidRPr="000C27B9">
              <w:rPr>
                <w:rFonts w:ascii="Times New Roman" w:hAnsi="Times New Roman" w:cs="Times New Roman"/>
              </w:rPr>
              <w:t>12,706</w:t>
            </w:r>
          </w:p>
        </w:tc>
        <w:tc>
          <w:tcPr>
            <w:tcW w:w="2070" w:type="dxa"/>
            <w:vAlign w:val="center"/>
            <w:hideMark/>
          </w:tcPr>
          <w:p w14:paraId="6EE0072E" w14:textId="271112AD" w:rsidR="00607669" w:rsidRPr="000C27B9" w:rsidRDefault="00607669" w:rsidP="001E6A9C">
            <w:pPr>
              <w:jc w:val="center"/>
              <w:rPr>
                <w:rFonts w:ascii="Times New Roman" w:hAnsi="Times New Roman" w:cs="Times New Roman"/>
              </w:rPr>
            </w:pPr>
            <w:r w:rsidRPr="000C27B9">
              <w:rPr>
                <w:rFonts w:ascii="Times New Roman" w:hAnsi="Times New Roman" w:cs="Times New Roman"/>
              </w:rPr>
              <w:t xml:space="preserve">SV </w:t>
            </w:r>
            <w:r w:rsidR="002351FA" w:rsidRPr="000C27B9">
              <w:rPr>
                <w:rFonts w:ascii="Times New Roman" w:hAnsi="Times New Roman" w:cs="Times New Roman"/>
              </w:rPr>
              <w:t xml:space="preserve">ADs </w:t>
            </w:r>
            <w:r w:rsidRPr="000C27B9">
              <w:rPr>
                <w:rFonts w:ascii="Times New Roman" w:hAnsi="Times New Roman" w:cs="Times New Roman"/>
              </w:rPr>
              <w:t xml:space="preserve">w. 0 PJs: </w:t>
            </w:r>
            <w:r w:rsidR="0028731F" w:rsidRPr="000C27B9">
              <w:rPr>
                <w:rFonts w:ascii="Times New Roman" w:hAnsi="Times New Roman" w:cs="Times New Roman"/>
              </w:rPr>
              <w:t>11,022</w:t>
            </w:r>
            <w:r w:rsidRPr="000C27B9">
              <w:rPr>
                <w:rFonts w:ascii="Times New Roman" w:hAnsi="Times New Roman" w:cs="Times New Roman"/>
              </w:rPr>
              <w:t xml:space="preserve">; w. ≥2 PJs: </w:t>
            </w:r>
            <w:r w:rsidR="005931E9" w:rsidRPr="000C27B9">
              <w:rPr>
                <w:rFonts w:ascii="Times New Roman" w:hAnsi="Times New Roman" w:cs="Times New Roman"/>
              </w:rPr>
              <w:t>27,098</w:t>
            </w:r>
          </w:p>
        </w:tc>
      </w:tr>
    </w:tbl>
    <w:p w14:paraId="5E9C44AD" w14:textId="77777777" w:rsidR="00E5105F" w:rsidRPr="002A6BCB" w:rsidRDefault="00E5105F" w:rsidP="00E5105F">
      <w:pPr>
        <w:rPr>
          <w:rFonts w:ascii="Times New Roman" w:eastAsia="DengXian" w:hAnsi="Times New Roman" w:cs="Times New Roman"/>
          <w:b/>
          <w:bCs/>
          <w:sz w:val="20"/>
          <w:szCs w:val="20"/>
        </w:rPr>
      </w:pPr>
    </w:p>
    <w:bookmarkEnd w:id="12"/>
    <w:p w14:paraId="12B6185B" w14:textId="7995E6EE" w:rsidR="004C41A8" w:rsidRPr="000C27B9" w:rsidRDefault="004C41A8" w:rsidP="004C41A8">
      <w:pPr>
        <w:rPr>
          <w:rFonts w:ascii="Times New Roman" w:eastAsia="DengXian" w:hAnsi="Times New Roman" w:cs="Times New Roman"/>
          <w:sz w:val="20"/>
          <w:szCs w:val="20"/>
        </w:rPr>
      </w:pPr>
      <w:r w:rsidRPr="000C27B9">
        <w:rPr>
          <w:rFonts w:ascii="Times New Roman" w:eastAsia="DengXian" w:hAnsi="Times New Roman" w:cs="Times New Roman"/>
          <w:b/>
          <w:bCs/>
          <w:sz w:val="20"/>
          <w:szCs w:val="20"/>
        </w:rPr>
        <w:t xml:space="preserve">Note: </w:t>
      </w:r>
      <w:r w:rsidRPr="000C27B9">
        <w:rPr>
          <w:rFonts w:ascii="Times New Roman" w:eastAsia="DengXian" w:hAnsi="Times New Roman" w:cs="Times New Roman"/>
          <w:sz w:val="20"/>
          <w:szCs w:val="20"/>
        </w:rPr>
        <w:t>All values are reported as mean annual costs unless otherwise indicated.</w:t>
      </w:r>
      <w:r w:rsidR="00BE24DD" w:rsidRPr="000C27B9">
        <w:rPr>
          <w:rFonts w:ascii="Times New Roman" w:eastAsia="DengXian" w:hAnsi="Times New Roman" w:cs="Times New Roman"/>
          <w:sz w:val="20"/>
          <w:szCs w:val="20"/>
        </w:rPr>
        <w:t xml:space="preserve"> </w:t>
      </w:r>
      <w:r w:rsidR="00CF097E" w:rsidRPr="000C27B9">
        <w:rPr>
          <w:rFonts w:ascii="Times New Roman" w:eastAsia="DengXian" w:hAnsi="Times New Roman" w:cs="Times New Roman"/>
          <w:sz w:val="20"/>
          <w:szCs w:val="20"/>
        </w:rPr>
        <w:t xml:space="preserve">The negative cost value </w:t>
      </w:r>
      <w:r w:rsidR="00BE24DD" w:rsidRPr="000C27B9">
        <w:rPr>
          <w:rFonts w:ascii="Times New Roman" w:eastAsia="DengXian" w:hAnsi="Times New Roman" w:cs="Times New Roman"/>
          <w:sz w:val="20"/>
          <w:szCs w:val="20"/>
        </w:rPr>
        <w:t>in study no. 2 denotes the cost of productivity gain, which offset</w:t>
      </w:r>
      <w:r w:rsidR="006F004A" w:rsidRPr="000C27B9">
        <w:rPr>
          <w:rFonts w:ascii="Times New Roman" w:eastAsia="DengXian" w:hAnsi="Times New Roman" w:cs="Times New Roman"/>
          <w:sz w:val="20"/>
          <w:szCs w:val="20"/>
        </w:rPr>
        <w:t>s</w:t>
      </w:r>
      <w:r w:rsidR="00BE24DD" w:rsidRPr="000C27B9">
        <w:rPr>
          <w:rFonts w:ascii="Times New Roman" w:eastAsia="DengXian" w:hAnsi="Times New Roman" w:cs="Times New Roman"/>
          <w:sz w:val="20"/>
          <w:szCs w:val="20"/>
        </w:rPr>
        <w:t xml:space="preserve"> app</w:t>
      </w:r>
      <w:r w:rsidR="006F004A" w:rsidRPr="000C27B9">
        <w:rPr>
          <w:rFonts w:ascii="Times New Roman" w:eastAsia="DengXian" w:hAnsi="Times New Roman" w:cs="Times New Roman"/>
          <w:sz w:val="20"/>
          <w:szCs w:val="20"/>
        </w:rPr>
        <w:t>roximately</w:t>
      </w:r>
      <w:r w:rsidR="00BE24DD" w:rsidRPr="000C27B9">
        <w:rPr>
          <w:rFonts w:ascii="Times New Roman" w:eastAsia="DengXian" w:hAnsi="Times New Roman" w:cs="Times New Roman"/>
          <w:sz w:val="20"/>
          <w:szCs w:val="20"/>
        </w:rPr>
        <w:t xml:space="preserve"> 70% of the direct costs.</w:t>
      </w:r>
    </w:p>
    <w:p w14:paraId="6ED105B1" w14:textId="77777777" w:rsidR="004C41A8" w:rsidRPr="000C27B9" w:rsidRDefault="004C41A8" w:rsidP="004C41A8">
      <w:pPr>
        <w:tabs>
          <w:tab w:val="left" w:pos="1066"/>
        </w:tabs>
        <w:spacing w:line="256" w:lineRule="auto"/>
        <w:rPr>
          <w:rFonts w:ascii="Times New Roman" w:eastAsia="DengXian" w:hAnsi="Times New Roman" w:cs="Times New Roman"/>
          <w:b/>
          <w:bCs/>
          <w:sz w:val="20"/>
          <w:szCs w:val="20"/>
        </w:rPr>
      </w:pPr>
      <w:r w:rsidRPr="000C27B9">
        <w:rPr>
          <w:rFonts w:ascii="Times New Roman" w:eastAsia="DengXian" w:hAnsi="Times New Roman" w:cs="Times New Roman"/>
          <w:b/>
          <w:bCs/>
          <w:sz w:val="20"/>
          <w:szCs w:val="20"/>
        </w:rPr>
        <w:t>*See reference list for full citations</w:t>
      </w:r>
    </w:p>
    <w:p w14:paraId="1E0E6738" w14:textId="1F2ACF8E" w:rsidR="003B091E" w:rsidRPr="000C27B9" w:rsidRDefault="004C41A8" w:rsidP="004C41A8">
      <w:pPr>
        <w:rPr>
          <w:rFonts w:ascii="Times New Roman" w:eastAsia="DengXian" w:hAnsi="Times New Roman" w:cs="Times New Roman"/>
          <w:b/>
          <w:bCs/>
          <w:sz w:val="20"/>
          <w:szCs w:val="20"/>
        </w:rPr>
      </w:pPr>
      <w:r w:rsidRPr="000C27B9">
        <w:rPr>
          <w:rFonts w:ascii="Times New Roman" w:eastAsia="DengXian" w:hAnsi="Times New Roman" w:cs="Times New Roman"/>
          <w:b/>
          <w:bCs/>
          <w:sz w:val="20"/>
          <w:szCs w:val="20"/>
        </w:rPr>
        <w:t xml:space="preserve">Abbreviations: </w:t>
      </w:r>
      <w:bookmarkStart w:id="16" w:name="_Hlk146890844"/>
      <w:r w:rsidRPr="000C27B9">
        <w:rPr>
          <w:rFonts w:ascii="Times New Roman" w:eastAsia="DengXian" w:hAnsi="Times New Roman" w:cs="Times New Roman"/>
          <w:sz w:val="20"/>
          <w:szCs w:val="20"/>
        </w:rPr>
        <w:t>AC: acute care; AUD: Australia dollar; CAD: Canadian dollar; CG: control group; DM: Deutsche Mark; HA: haemophilia A; HB: haemophilia B; HD: high-dose; HS: health states; IC: indirect cost; IG: intervention group; IMD: intermediate-dose; INHs: inhibitors; INR: Indian rupee; INT: intervention; Mod.: moderate; NR: not reported; ODT: on-demand treatment; PJs: problem joints; PPX: prophylaxis;  QALYs: quality-adjusted life years; RC routine care; yrs: years; SV: severe;</w:t>
      </w:r>
      <w:r w:rsidRPr="000C27B9">
        <w:rPr>
          <w:rFonts w:ascii="Calibri" w:eastAsia="DengXian" w:hAnsi="Calibri" w:cs="Arial"/>
          <w:sz w:val="18"/>
          <w:szCs w:val="18"/>
        </w:rPr>
        <w:t xml:space="preserve"> </w:t>
      </w:r>
      <w:r w:rsidRPr="000C27B9">
        <w:rPr>
          <w:rFonts w:ascii="Times New Roman" w:eastAsia="DengXian" w:hAnsi="Times New Roman" w:cs="Times New Roman"/>
          <w:sz w:val="20"/>
          <w:szCs w:val="20"/>
        </w:rPr>
        <w:t>w. with; w/o</w:t>
      </w:r>
      <w:r w:rsidR="00020FAE" w:rsidRPr="000C27B9">
        <w:rPr>
          <w:rFonts w:ascii="Times New Roman" w:eastAsia="DengXian" w:hAnsi="Times New Roman" w:cs="Times New Roman"/>
          <w:sz w:val="20"/>
          <w:szCs w:val="20"/>
        </w:rPr>
        <w:t>:</w:t>
      </w:r>
      <w:r w:rsidRPr="000C27B9">
        <w:rPr>
          <w:rFonts w:ascii="Times New Roman" w:eastAsia="DengXian" w:hAnsi="Times New Roman" w:cs="Times New Roman"/>
          <w:sz w:val="20"/>
          <w:szCs w:val="20"/>
        </w:rPr>
        <w:t xml:space="preserve"> without; ±: with or without; ᴵIncluding </w:t>
      </w:r>
      <w:r w:rsidR="00FD1ACC" w:rsidRPr="000C27B9">
        <w:rPr>
          <w:rFonts w:ascii="Times New Roman" w:eastAsia="DengXian" w:hAnsi="Times New Roman" w:cs="Times New Roman"/>
          <w:sz w:val="20"/>
          <w:szCs w:val="20"/>
        </w:rPr>
        <w:t>the cost of haemostatic therapies</w:t>
      </w:r>
      <w:r w:rsidRPr="000C27B9">
        <w:rPr>
          <w:rFonts w:ascii="Times New Roman" w:eastAsia="DengXian" w:hAnsi="Times New Roman" w:cs="Times New Roman"/>
          <w:sz w:val="20"/>
          <w:szCs w:val="20"/>
        </w:rPr>
        <w:t xml:space="preserve">; ˟Excluding </w:t>
      </w:r>
      <w:r w:rsidR="00FD1ACC" w:rsidRPr="000C27B9">
        <w:rPr>
          <w:rFonts w:ascii="Times New Roman" w:eastAsia="DengXian" w:hAnsi="Times New Roman" w:cs="Times New Roman"/>
          <w:sz w:val="20"/>
          <w:szCs w:val="20"/>
        </w:rPr>
        <w:t>the cost of haemostatic therapies</w:t>
      </w:r>
      <w:r w:rsidRPr="000C27B9">
        <w:rPr>
          <w:rFonts w:ascii="Times New Roman" w:eastAsia="DengXian" w:hAnsi="Times New Roman" w:cs="Times New Roman"/>
          <w:sz w:val="20"/>
          <w:szCs w:val="20"/>
        </w:rPr>
        <w:t xml:space="preserve">; ᴬAdjusted mean; ᴰAll drugs; ᴹMedian; ᴺValues are annualised; ᵁUnadjusted mean; </w:t>
      </w:r>
      <w:r w:rsidRPr="000C27B9">
        <w:rPr>
          <w:rFonts w:ascii="Times New Roman" w:eastAsia="DengXian" w:hAnsi="Times New Roman" w:cs="Times New Roman"/>
          <w:sz w:val="20"/>
          <w:szCs w:val="20"/>
          <w:vertAlign w:val="superscript"/>
        </w:rPr>
        <w:t>ε</w:t>
      </w:r>
      <w:r w:rsidRPr="000C27B9">
        <w:rPr>
          <w:rFonts w:ascii="Times New Roman" w:eastAsia="DengXian" w:hAnsi="Times New Roman" w:cs="Times New Roman"/>
          <w:sz w:val="20"/>
          <w:szCs w:val="20"/>
        </w:rPr>
        <w:t>Cost values are summed or multiplied manually;</w:t>
      </w:r>
      <w:r w:rsidRPr="000C27B9">
        <w:rPr>
          <w:rFonts w:ascii="Times New Roman" w:eastAsia="DengXian" w:hAnsi="Times New Roman" w:cs="Times New Roman"/>
          <w:sz w:val="20"/>
          <w:szCs w:val="20"/>
          <w:vertAlign w:val="superscript"/>
        </w:rPr>
        <w:t xml:space="preserve"> §</w:t>
      </w:r>
      <w:r w:rsidRPr="000C27B9">
        <w:rPr>
          <w:rFonts w:ascii="Times New Roman" w:eastAsia="DengXian" w:hAnsi="Times New Roman" w:cs="Times New Roman"/>
          <w:sz w:val="20"/>
          <w:szCs w:val="20"/>
        </w:rPr>
        <w:t>Cost values are subtracted or divided manually; €: Euro; £: British pound; $: US dollar.</w:t>
      </w:r>
    </w:p>
    <w:bookmarkEnd w:id="16"/>
    <w:p w14:paraId="27D02181" w14:textId="77777777" w:rsidR="003B091E" w:rsidRPr="000C27B9" w:rsidRDefault="003B091E" w:rsidP="00CB3614">
      <w:pPr>
        <w:rPr>
          <w:rFonts w:asciiTheme="majorBidi" w:hAnsiTheme="majorBidi" w:cstheme="majorBidi"/>
          <w:b/>
          <w:bCs/>
          <w:sz w:val="28"/>
          <w:szCs w:val="28"/>
        </w:rPr>
      </w:pPr>
    </w:p>
    <w:p w14:paraId="4625CD8E" w14:textId="77777777" w:rsidR="003B091E" w:rsidRPr="004D5D6C" w:rsidRDefault="003B091E" w:rsidP="00CB3614">
      <w:pPr>
        <w:rPr>
          <w:rFonts w:asciiTheme="majorBidi" w:hAnsiTheme="majorBidi" w:cstheme="majorBidi"/>
          <w:b/>
          <w:bCs/>
          <w:sz w:val="28"/>
          <w:szCs w:val="28"/>
        </w:rPr>
      </w:pPr>
    </w:p>
    <w:p w14:paraId="75CF2082" w14:textId="77777777" w:rsidR="003B091E" w:rsidRPr="004D5D6C" w:rsidRDefault="003B091E" w:rsidP="00CB3614">
      <w:pPr>
        <w:rPr>
          <w:rFonts w:asciiTheme="majorBidi" w:hAnsiTheme="majorBidi" w:cstheme="majorBidi"/>
          <w:b/>
          <w:bCs/>
          <w:sz w:val="28"/>
          <w:szCs w:val="28"/>
        </w:rPr>
      </w:pPr>
    </w:p>
    <w:p w14:paraId="1271DC74" w14:textId="77777777" w:rsidR="003B091E" w:rsidRPr="004D5D6C" w:rsidRDefault="003B091E" w:rsidP="00CB3614">
      <w:pPr>
        <w:rPr>
          <w:rFonts w:asciiTheme="majorBidi" w:hAnsiTheme="majorBidi" w:cstheme="majorBidi"/>
          <w:b/>
          <w:bCs/>
          <w:sz w:val="28"/>
          <w:szCs w:val="28"/>
        </w:rPr>
      </w:pPr>
    </w:p>
    <w:p w14:paraId="1ABFBF0C" w14:textId="77777777" w:rsidR="003B091E" w:rsidRPr="004D5D6C" w:rsidRDefault="003B091E" w:rsidP="00CB3614">
      <w:pPr>
        <w:rPr>
          <w:rFonts w:asciiTheme="majorBidi" w:hAnsiTheme="majorBidi" w:cstheme="majorBidi"/>
          <w:b/>
          <w:bCs/>
          <w:sz w:val="28"/>
          <w:szCs w:val="28"/>
        </w:rPr>
      </w:pPr>
    </w:p>
    <w:p w14:paraId="2A7E7F06" w14:textId="77777777" w:rsidR="003B091E" w:rsidRPr="004D5D6C" w:rsidRDefault="003B091E" w:rsidP="00CB3614">
      <w:pPr>
        <w:rPr>
          <w:rFonts w:asciiTheme="majorBidi" w:hAnsiTheme="majorBidi" w:cstheme="majorBidi"/>
          <w:b/>
          <w:bCs/>
          <w:sz w:val="28"/>
          <w:szCs w:val="28"/>
        </w:rPr>
      </w:pPr>
    </w:p>
    <w:p w14:paraId="7A28796D" w14:textId="77777777" w:rsidR="003B091E" w:rsidRPr="004D5D6C" w:rsidRDefault="003B091E" w:rsidP="00CB3614">
      <w:pPr>
        <w:rPr>
          <w:rFonts w:asciiTheme="majorBidi" w:hAnsiTheme="majorBidi" w:cstheme="majorBidi"/>
          <w:b/>
          <w:bCs/>
          <w:sz w:val="28"/>
          <w:szCs w:val="28"/>
        </w:rPr>
      </w:pPr>
    </w:p>
    <w:p w14:paraId="61E68849" w14:textId="77777777" w:rsidR="003B091E" w:rsidRPr="004D5D6C" w:rsidRDefault="003B091E" w:rsidP="00CB3614">
      <w:pPr>
        <w:rPr>
          <w:rFonts w:asciiTheme="majorBidi" w:hAnsiTheme="majorBidi" w:cstheme="majorBidi"/>
          <w:b/>
          <w:bCs/>
          <w:sz w:val="28"/>
          <w:szCs w:val="28"/>
        </w:rPr>
      </w:pPr>
    </w:p>
    <w:p w14:paraId="0346438C" w14:textId="77F6FB33" w:rsidR="003B091E" w:rsidRPr="004D5D6C" w:rsidRDefault="003B091E" w:rsidP="00CB3614">
      <w:pPr>
        <w:rPr>
          <w:rFonts w:asciiTheme="majorBidi" w:hAnsiTheme="majorBidi" w:cstheme="majorBidi"/>
          <w:b/>
          <w:bCs/>
          <w:sz w:val="28"/>
          <w:szCs w:val="28"/>
        </w:rPr>
      </w:pPr>
    </w:p>
    <w:p w14:paraId="6310D9D5" w14:textId="399AAC46" w:rsidR="003B091E" w:rsidRPr="004D5D6C" w:rsidRDefault="003B091E" w:rsidP="00CB3614">
      <w:pPr>
        <w:rPr>
          <w:rFonts w:asciiTheme="majorBidi" w:hAnsiTheme="majorBidi" w:cstheme="majorBidi"/>
          <w:b/>
          <w:bCs/>
          <w:sz w:val="28"/>
          <w:szCs w:val="28"/>
        </w:rPr>
      </w:pPr>
    </w:p>
    <w:p w14:paraId="3A74155F" w14:textId="1E190F95" w:rsidR="00237F79" w:rsidRPr="004D5D6C" w:rsidRDefault="00F40403" w:rsidP="00AE7874">
      <w:pPr>
        <w:jc w:val="center"/>
        <w:rPr>
          <w:rFonts w:asciiTheme="majorBidi" w:hAnsiTheme="majorBidi" w:cstheme="majorBidi"/>
          <w:sz w:val="28"/>
          <w:szCs w:val="28"/>
        </w:rPr>
      </w:pPr>
      <w:bookmarkStart w:id="17" w:name="_Hlk146891945"/>
      <w:bookmarkStart w:id="18" w:name="_Hlk146892695"/>
      <w:bookmarkStart w:id="19" w:name="_Hlk134290966"/>
      <w:r w:rsidRPr="004D5D6C">
        <w:rPr>
          <w:rFonts w:asciiTheme="majorBidi" w:hAnsiTheme="majorBidi" w:cstheme="majorBidi"/>
          <w:b/>
          <w:bCs/>
          <w:sz w:val="28"/>
          <w:szCs w:val="28"/>
        </w:rPr>
        <w:lastRenderedPageBreak/>
        <w:t xml:space="preserve">Supplementary </w:t>
      </w:r>
      <w:r w:rsidR="003B091E" w:rsidRPr="004D5D6C">
        <w:rPr>
          <w:rFonts w:asciiTheme="majorBidi" w:hAnsiTheme="majorBidi" w:cstheme="majorBidi"/>
          <w:b/>
          <w:bCs/>
          <w:sz w:val="28"/>
          <w:szCs w:val="28"/>
        </w:rPr>
        <w:t xml:space="preserve">Table </w:t>
      </w:r>
      <w:r w:rsidR="002C60A1" w:rsidRPr="004D5D6C">
        <w:rPr>
          <w:rFonts w:asciiTheme="majorBidi" w:hAnsiTheme="majorBidi" w:cstheme="majorBidi"/>
          <w:b/>
          <w:bCs/>
          <w:sz w:val="28"/>
          <w:szCs w:val="28"/>
        </w:rPr>
        <w:t>4</w:t>
      </w:r>
      <w:r w:rsidR="00631822" w:rsidRPr="004D5D6C">
        <w:rPr>
          <w:rFonts w:asciiTheme="majorBidi" w:hAnsiTheme="majorBidi" w:cstheme="majorBidi"/>
          <w:b/>
          <w:bCs/>
          <w:sz w:val="28"/>
          <w:szCs w:val="28"/>
        </w:rPr>
        <w:t>.</w:t>
      </w:r>
      <w:r w:rsidR="003B091E" w:rsidRPr="004D5D6C">
        <w:rPr>
          <w:rFonts w:asciiTheme="majorBidi" w:hAnsiTheme="majorBidi" w:cstheme="majorBidi"/>
          <w:b/>
          <w:bCs/>
          <w:sz w:val="28"/>
          <w:szCs w:val="28"/>
        </w:rPr>
        <w:t xml:space="preserve"> </w:t>
      </w:r>
      <w:bookmarkStart w:id="20" w:name="_Hlk134305075"/>
      <w:r w:rsidR="00631822" w:rsidRPr="004D5D6C">
        <w:rPr>
          <w:rFonts w:asciiTheme="majorBidi" w:hAnsiTheme="majorBidi" w:cstheme="majorBidi"/>
          <w:sz w:val="28"/>
          <w:szCs w:val="28"/>
        </w:rPr>
        <w:t>Original</w:t>
      </w:r>
      <w:r w:rsidR="00631822" w:rsidRPr="004D5D6C">
        <w:rPr>
          <w:rFonts w:asciiTheme="majorBidi" w:hAnsiTheme="majorBidi" w:cstheme="majorBidi"/>
          <w:b/>
          <w:bCs/>
          <w:sz w:val="28"/>
          <w:szCs w:val="28"/>
        </w:rPr>
        <w:t xml:space="preserve"> </w:t>
      </w:r>
      <w:r w:rsidR="00631822" w:rsidRPr="004D5D6C">
        <w:rPr>
          <w:rFonts w:asciiTheme="majorBidi" w:hAnsiTheme="majorBidi" w:cstheme="majorBidi"/>
          <w:sz w:val="28"/>
          <w:szCs w:val="28"/>
        </w:rPr>
        <w:t>t</w:t>
      </w:r>
      <w:r w:rsidR="00237F79" w:rsidRPr="004D5D6C">
        <w:rPr>
          <w:rFonts w:asciiTheme="majorBidi" w:hAnsiTheme="majorBidi" w:cstheme="majorBidi"/>
          <w:sz w:val="28"/>
          <w:szCs w:val="28"/>
        </w:rPr>
        <w:t xml:space="preserve">otal cost per </w:t>
      </w:r>
      <w:r w:rsidR="00523716" w:rsidRPr="004D5D6C">
        <w:rPr>
          <w:rFonts w:asciiTheme="majorBidi" w:hAnsiTheme="majorBidi" w:cstheme="majorBidi"/>
          <w:sz w:val="28"/>
          <w:szCs w:val="28"/>
        </w:rPr>
        <w:t>person</w:t>
      </w:r>
      <w:r w:rsidR="00237F79" w:rsidRPr="004D5D6C">
        <w:rPr>
          <w:rFonts w:asciiTheme="majorBidi" w:hAnsiTheme="majorBidi" w:cstheme="majorBidi"/>
          <w:sz w:val="28"/>
          <w:szCs w:val="28"/>
        </w:rPr>
        <w:t xml:space="preserve"> </w:t>
      </w:r>
      <w:r w:rsidR="00371A8C" w:rsidRPr="004D5D6C">
        <w:rPr>
          <w:rFonts w:asciiTheme="majorBidi" w:hAnsiTheme="majorBidi" w:cstheme="majorBidi"/>
          <w:sz w:val="28"/>
          <w:szCs w:val="28"/>
        </w:rPr>
        <w:t xml:space="preserve">per year per country </w:t>
      </w:r>
      <w:r w:rsidR="00237F79" w:rsidRPr="004D5D6C">
        <w:rPr>
          <w:rFonts w:asciiTheme="majorBidi" w:hAnsiTheme="majorBidi" w:cstheme="majorBidi"/>
          <w:sz w:val="28"/>
          <w:szCs w:val="28"/>
        </w:rPr>
        <w:t xml:space="preserve">from studies that included the cost of </w:t>
      </w:r>
      <w:bookmarkEnd w:id="20"/>
      <w:r w:rsidR="00FD1ACC" w:rsidRPr="004D5D6C">
        <w:rPr>
          <w:rFonts w:asciiTheme="majorBidi" w:hAnsiTheme="majorBidi" w:cstheme="majorBidi"/>
          <w:sz w:val="28"/>
          <w:szCs w:val="28"/>
        </w:rPr>
        <w:t>haemostatic therapies</w:t>
      </w:r>
      <w:r w:rsidR="00B708AE" w:rsidRPr="004D5D6C">
        <w:rPr>
          <w:rFonts w:asciiTheme="majorBidi" w:hAnsiTheme="majorBidi" w:cstheme="majorBidi"/>
          <w:sz w:val="28"/>
          <w:szCs w:val="28"/>
        </w:rPr>
        <w:t xml:space="preserve"> (n=15)</w:t>
      </w:r>
      <w:r w:rsidR="001421F6">
        <w:rPr>
          <w:rFonts w:asciiTheme="majorBidi" w:hAnsiTheme="majorBidi" w:cstheme="majorBidi"/>
          <w:sz w:val="28"/>
          <w:szCs w:val="28"/>
        </w:rPr>
        <w:t>.</w:t>
      </w:r>
    </w:p>
    <w:tbl>
      <w:tblPr>
        <w:tblStyle w:val="TableGrid15"/>
        <w:tblW w:w="14215" w:type="dxa"/>
        <w:tblLayout w:type="fixed"/>
        <w:tblLook w:val="04A0" w:firstRow="1" w:lastRow="0" w:firstColumn="1" w:lastColumn="0" w:noHBand="0" w:noVBand="1"/>
      </w:tblPr>
      <w:tblGrid>
        <w:gridCol w:w="441"/>
        <w:gridCol w:w="1444"/>
        <w:gridCol w:w="1170"/>
        <w:gridCol w:w="1260"/>
        <w:gridCol w:w="1080"/>
        <w:gridCol w:w="990"/>
        <w:gridCol w:w="1170"/>
        <w:gridCol w:w="900"/>
        <w:gridCol w:w="1080"/>
        <w:gridCol w:w="1170"/>
        <w:gridCol w:w="1170"/>
        <w:gridCol w:w="1170"/>
        <w:gridCol w:w="1170"/>
      </w:tblGrid>
      <w:tr w:rsidR="00B9572A" w:rsidRPr="004D5D6C" w14:paraId="6ED0FBD7" w14:textId="77777777" w:rsidTr="00A3580F">
        <w:trPr>
          <w:trHeight w:val="451"/>
        </w:trPr>
        <w:tc>
          <w:tcPr>
            <w:tcW w:w="441" w:type="dxa"/>
            <w:tcBorders>
              <w:top w:val="single" w:sz="4" w:space="0" w:color="001965"/>
              <w:left w:val="single" w:sz="4" w:space="0" w:color="001965"/>
              <w:bottom w:val="single" w:sz="4" w:space="0" w:color="001965"/>
            </w:tcBorders>
            <w:shd w:val="solid" w:color="001965" w:fill="000000"/>
            <w:noWrap/>
            <w:vAlign w:val="center"/>
            <w:hideMark/>
          </w:tcPr>
          <w:p w14:paraId="0C75D2D7"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w:t>
            </w:r>
          </w:p>
        </w:tc>
        <w:tc>
          <w:tcPr>
            <w:tcW w:w="1444" w:type="dxa"/>
            <w:tcBorders>
              <w:top w:val="single" w:sz="4" w:space="0" w:color="001965"/>
              <w:bottom w:val="single" w:sz="4" w:space="0" w:color="001965"/>
            </w:tcBorders>
            <w:shd w:val="solid" w:color="001965" w:fill="000000"/>
            <w:noWrap/>
            <w:vAlign w:val="center"/>
            <w:hideMark/>
          </w:tcPr>
          <w:p w14:paraId="1F262E04" w14:textId="56141376" w:rsidR="00B9572A" w:rsidRPr="004D5D6C" w:rsidRDefault="006E4B3F"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 xml:space="preserve">Study* </w:t>
            </w:r>
            <w:r w:rsidR="00B9572A" w:rsidRPr="004D5D6C">
              <w:rPr>
                <w:rFonts w:ascii="Times New Roman" w:hAnsi="Times New Roman" w:cs="Times New Roman"/>
                <w:b/>
                <w:bCs/>
                <w:color w:val="FFFFFF"/>
                <w:sz w:val="24"/>
                <w:szCs w:val="24"/>
              </w:rPr>
              <w:t>&amp; currency</w:t>
            </w:r>
          </w:p>
        </w:tc>
        <w:tc>
          <w:tcPr>
            <w:tcW w:w="1170" w:type="dxa"/>
            <w:tcBorders>
              <w:top w:val="single" w:sz="4" w:space="0" w:color="001965"/>
              <w:bottom w:val="single" w:sz="4" w:space="0" w:color="001965"/>
            </w:tcBorders>
            <w:shd w:val="solid" w:color="001965" w:fill="D9E1F2"/>
            <w:vAlign w:val="center"/>
          </w:tcPr>
          <w:p w14:paraId="16C013DE"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eastAsia="Calibri" w:hAnsi="Times New Roman" w:cs="Times New Roman"/>
                <w:b/>
                <w:bCs/>
                <w:color w:val="FFFFFF"/>
                <w:sz w:val="24"/>
                <w:szCs w:val="24"/>
                <w:lang w:val="en-US"/>
              </w:rPr>
              <w:t>France</w:t>
            </w:r>
          </w:p>
        </w:tc>
        <w:tc>
          <w:tcPr>
            <w:tcW w:w="1260" w:type="dxa"/>
            <w:tcBorders>
              <w:top w:val="single" w:sz="4" w:space="0" w:color="001965"/>
              <w:bottom w:val="single" w:sz="4" w:space="0" w:color="001965"/>
            </w:tcBorders>
            <w:shd w:val="solid" w:color="001965" w:fill="D9E1F2"/>
            <w:vAlign w:val="center"/>
          </w:tcPr>
          <w:p w14:paraId="61C6D8E7"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eastAsia="Calibri" w:hAnsi="Times New Roman" w:cs="Times New Roman"/>
                <w:b/>
                <w:bCs/>
                <w:color w:val="FFFFFF"/>
                <w:sz w:val="24"/>
                <w:szCs w:val="24"/>
                <w:lang w:val="en-US"/>
              </w:rPr>
              <w:t>Germany</w:t>
            </w:r>
          </w:p>
        </w:tc>
        <w:tc>
          <w:tcPr>
            <w:tcW w:w="1080" w:type="dxa"/>
            <w:tcBorders>
              <w:top w:val="single" w:sz="4" w:space="0" w:color="001965"/>
              <w:bottom w:val="single" w:sz="4" w:space="0" w:color="001965"/>
            </w:tcBorders>
            <w:shd w:val="solid" w:color="001965" w:fill="D9E1F2"/>
            <w:vAlign w:val="center"/>
          </w:tcPr>
          <w:p w14:paraId="247C0B08" w14:textId="5AB997E8" w:rsidR="00B9572A" w:rsidRPr="004D5D6C" w:rsidRDefault="00AF4BD6"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India</w:t>
            </w:r>
          </w:p>
        </w:tc>
        <w:tc>
          <w:tcPr>
            <w:tcW w:w="990" w:type="dxa"/>
            <w:tcBorders>
              <w:top w:val="single" w:sz="4" w:space="0" w:color="001965"/>
              <w:bottom w:val="single" w:sz="4" w:space="0" w:color="001965"/>
            </w:tcBorders>
            <w:shd w:val="solid" w:color="001965" w:fill="D9E1F2"/>
            <w:vAlign w:val="center"/>
          </w:tcPr>
          <w:p w14:paraId="45C00813"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eastAsia="Calibri" w:hAnsi="Times New Roman" w:cs="Times New Roman"/>
                <w:b/>
                <w:bCs/>
                <w:color w:val="FFFFFF"/>
                <w:sz w:val="24"/>
                <w:szCs w:val="24"/>
                <w:lang w:val="en-US"/>
              </w:rPr>
              <w:t>Iran</w:t>
            </w:r>
          </w:p>
        </w:tc>
        <w:tc>
          <w:tcPr>
            <w:tcW w:w="1170" w:type="dxa"/>
            <w:tcBorders>
              <w:top w:val="single" w:sz="4" w:space="0" w:color="001965"/>
              <w:bottom w:val="single" w:sz="4" w:space="0" w:color="001965"/>
            </w:tcBorders>
            <w:shd w:val="solid" w:color="001965" w:fill="D9E1F2"/>
            <w:vAlign w:val="center"/>
          </w:tcPr>
          <w:p w14:paraId="73029665"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eastAsia="Calibri" w:hAnsi="Times New Roman" w:cs="Times New Roman"/>
                <w:b/>
                <w:bCs/>
                <w:color w:val="FFFFFF"/>
                <w:sz w:val="24"/>
                <w:szCs w:val="24"/>
                <w:lang w:val="en-US"/>
              </w:rPr>
              <w:t>Italy</w:t>
            </w:r>
          </w:p>
        </w:tc>
        <w:tc>
          <w:tcPr>
            <w:tcW w:w="900" w:type="dxa"/>
            <w:tcBorders>
              <w:top w:val="single" w:sz="4" w:space="0" w:color="001965"/>
              <w:bottom w:val="single" w:sz="4" w:space="0" w:color="001965"/>
            </w:tcBorders>
            <w:shd w:val="solid" w:color="001965" w:fill="D9E1F2"/>
            <w:vAlign w:val="center"/>
          </w:tcPr>
          <w:p w14:paraId="3133BDAC" w14:textId="0438AA9E" w:rsidR="00B9572A" w:rsidRPr="004D5D6C" w:rsidRDefault="00AF4BD6"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LMICs</w:t>
            </w:r>
          </w:p>
        </w:tc>
        <w:tc>
          <w:tcPr>
            <w:tcW w:w="1080" w:type="dxa"/>
            <w:tcBorders>
              <w:top w:val="single" w:sz="4" w:space="0" w:color="001965"/>
              <w:bottom w:val="single" w:sz="4" w:space="0" w:color="001965"/>
            </w:tcBorders>
            <w:shd w:val="solid" w:color="001965" w:fill="D9E1F2"/>
            <w:vAlign w:val="center"/>
          </w:tcPr>
          <w:p w14:paraId="45508432" w14:textId="79CC6460"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Netherlands</w:t>
            </w:r>
          </w:p>
        </w:tc>
        <w:tc>
          <w:tcPr>
            <w:tcW w:w="1170" w:type="dxa"/>
            <w:tcBorders>
              <w:top w:val="single" w:sz="4" w:space="0" w:color="001965"/>
              <w:bottom w:val="single" w:sz="4" w:space="0" w:color="001965"/>
            </w:tcBorders>
            <w:shd w:val="solid" w:color="001965" w:fill="D9E1F2"/>
            <w:vAlign w:val="center"/>
          </w:tcPr>
          <w:p w14:paraId="3CEC5465"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Spain</w:t>
            </w:r>
          </w:p>
        </w:tc>
        <w:tc>
          <w:tcPr>
            <w:tcW w:w="1170" w:type="dxa"/>
            <w:tcBorders>
              <w:top w:val="single" w:sz="4" w:space="0" w:color="001965"/>
              <w:bottom w:val="single" w:sz="4" w:space="0" w:color="001965"/>
            </w:tcBorders>
            <w:shd w:val="solid" w:color="001965" w:fill="D9E1F2"/>
            <w:vAlign w:val="center"/>
          </w:tcPr>
          <w:p w14:paraId="516E858D"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Sweden</w:t>
            </w:r>
          </w:p>
        </w:tc>
        <w:tc>
          <w:tcPr>
            <w:tcW w:w="1170" w:type="dxa"/>
            <w:tcBorders>
              <w:top w:val="single" w:sz="4" w:space="0" w:color="001965"/>
              <w:bottom w:val="single" w:sz="4" w:space="0" w:color="001965"/>
            </w:tcBorders>
            <w:shd w:val="solid" w:color="001965" w:fill="D9E1F2"/>
            <w:vAlign w:val="center"/>
          </w:tcPr>
          <w:p w14:paraId="18064A6B"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UK</w:t>
            </w:r>
          </w:p>
        </w:tc>
        <w:tc>
          <w:tcPr>
            <w:tcW w:w="1170" w:type="dxa"/>
            <w:tcBorders>
              <w:top w:val="single" w:sz="4" w:space="0" w:color="001965"/>
              <w:bottom w:val="single" w:sz="4" w:space="0" w:color="001965"/>
              <w:right w:val="single" w:sz="4" w:space="0" w:color="001965"/>
            </w:tcBorders>
            <w:shd w:val="solid" w:color="001965" w:fill="D9E1F2"/>
            <w:vAlign w:val="center"/>
          </w:tcPr>
          <w:p w14:paraId="44619654" w14:textId="77777777" w:rsidR="00B9572A" w:rsidRPr="004D5D6C" w:rsidRDefault="00B9572A" w:rsidP="00CC7141">
            <w:pPr>
              <w:jc w:val="center"/>
              <w:rPr>
                <w:rFonts w:ascii="Times New Roman" w:hAnsi="Times New Roman" w:cs="Times New Roman"/>
                <w:b/>
                <w:bCs/>
                <w:color w:val="FFFFFF"/>
                <w:sz w:val="24"/>
                <w:szCs w:val="24"/>
              </w:rPr>
            </w:pPr>
            <w:r w:rsidRPr="004D5D6C">
              <w:rPr>
                <w:rFonts w:ascii="Times New Roman" w:hAnsi="Times New Roman" w:cs="Times New Roman"/>
                <w:b/>
                <w:bCs/>
                <w:color w:val="FFFFFF"/>
                <w:sz w:val="24"/>
                <w:szCs w:val="24"/>
              </w:rPr>
              <w:t>US</w:t>
            </w:r>
          </w:p>
        </w:tc>
      </w:tr>
      <w:tr w:rsidR="00B9572A" w:rsidRPr="004D5D6C" w14:paraId="2BC2D8EF" w14:textId="77777777" w:rsidTr="00A3580F">
        <w:trPr>
          <w:trHeight w:val="359"/>
        </w:trPr>
        <w:tc>
          <w:tcPr>
            <w:tcW w:w="441" w:type="dxa"/>
            <w:tcBorders>
              <w:top w:val="single" w:sz="4" w:space="0" w:color="001965"/>
            </w:tcBorders>
            <w:shd w:val="clear" w:color="auto" w:fill="DBE5F1"/>
            <w:noWrap/>
            <w:vAlign w:val="center"/>
            <w:hideMark/>
          </w:tcPr>
          <w:p w14:paraId="625A5373"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1</w:t>
            </w:r>
          </w:p>
        </w:tc>
        <w:tc>
          <w:tcPr>
            <w:tcW w:w="1444" w:type="dxa"/>
            <w:tcBorders>
              <w:top w:val="single" w:sz="4" w:space="0" w:color="001965"/>
            </w:tcBorders>
            <w:noWrap/>
            <w:vAlign w:val="center"/>
            <w:hideMark/>
          </w:tcPr>
          <w:p w14:paraId="3E4055CB" w14:textId="15592F2F" w:rsidR="00B9572A" w:rsidRPr="004D5D6C" w:rsidRDefault="00B9572A" w:rsidP="00CC7141">
            <w:pPr>
              <w:jc w:val="center"/>
              <w:rPr>
                <w:rFonts w:ascii="Times New Roman" w:hAnsi="Times New Roman" w:cs="Times New Roman"/>
              </w:rPr>
            </w:pPr>
            <w:r w:rsidRPr="004D5D6C">
              <w:rPr>
                <w:rFonts w:ascii="Times New Roman" w:hAnsi="Times New Roman" w:cs="Times New Roman"/>
              </w:rPr>
              <w:t>Szucs et al., 1996, ($)</w:t>
            </w:r>
            <w:r w:rsidR="00D22D21">
              <w:rPr>
                <w:rFonts w:ascii="Times New Roman" w:hAnsi="Times New Roman" w:cs="Times New Roman"/>
              </w:rPr>
              <w:t xml:space="preserve"> </w:t>
            </w:r>
            <w:r w:rsidR="00D22D21">
              <w:rPr>
                <w:rFonts w:ascii="Times New Roman" w:hAnsi="Times New Roman" w:cs="Times New Roman"/>
              </w:rPr>
              <w:fldChar w:fldCharType="begin" w:fldLock="1"/>
            </w:r>
            <w:r w:rsidR="000B5DCD">
              <w:rPr>
                <w:rFonts w:ascii="Times New Roman" w:hAnsi="Times New Roman" w:cs="Times New Roman"/>
              </w:rPr>
              <w:instrText>ADDIN CSL_CITATION {"citationItems":[{"id":"ITEM-1","itemData":{"ISSN":"1351-8216","author":[{"dropping-particle":"","family":"Szucs","given":"T D","non-dropping-particle":"","parse-names":false,"suffix":""},{"dropping-particle":"","family":"Öffner","given":"A","non-dropping-particle":"","parse-names":false,"suffix":""},{"dropping-particle":"","family":"Schramm","given":"W","non-dropping-particle":"","parse-names":false,"suffix":""}],"container-title":"Haemophilia","id":"ITEM-1","issue":"4","issued":{"date-parts":[["1996"]]},"page":"211-217","publisher":"Wiley Online Library","title":"Socioeconomic impact of haemophilia care: results of a pilot study","type":"article-journal","volume":"2"},"uris":["http://www.mendeley.com/documents/?uuid=269a0487-f367-4e48-affc-6aaa5f550a14"]}],"mendeley":{"formattedCitation":"[3]","plainTextFormattedCitation":"[3]","previouslyFormattedCitation":"[3]"},"properties":{"noteIndex":0},"schema":"https://github.com/citation-style-language/schema/raw/master/csl-citation.json"}</w:instrText>
            </w:r>
            <w:r w:rsidR="00D22D21">
              <w:rPr>
                <w:rFonts w:ascii="Times New Roman" w:hAnsi="Times New Roman" w:cs="Times New Roman"/>
              </w:rPr>
              <w:fldChar w:fldCharType="separate"/>
            </w:r>
            <w:r w:rsidR="00D22D21" w:rsidRPr="00D22D21">
              <w:rPr>
                <w:rFonts w:ascii="Times New Roman" w:hAnsi="Times New Roman" w:cs="Times New Roman"/>
                <w:noProof/>
              </w:rPr>
              <w:t>[3]</w:t>
            </w:r>
            <w:r w:rsidR="00D22D21">
              <w:rPr>
                <w:rFonts w:ascii="Times New Roman" w:hAnsi="Times New Roman" w:cs="Times New Roman"/>
              </w:rPr>
              <w:fldChar w:fldCharType="end"/>
            </w:r>
          </w:p>
        </w:tc>
        <w:tc>
          <w:tcPr>
            <w:tcW w:w="1170" w:type="dxa"/>
            <w:tcBorders>
              <w:top w:val="single" w:sz="4" w:space="0" w:color="001965"/>
            </w:tcBorders>
            <w:shd w:val="clear" w:color="auto" w:fill="auto"/>
            <w:vAlign w:val="center"/>
          </w:tcPr>
          <w:p w14:paraId="45281F9E"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260" w:type="dxa"/>
            <w:tcBorders>
              <w:top w:val="single" w:sz="4" w:space="0" w:color="001965"/>
            </w:tcBorders>
            <w:shd w:val="clear" w:color="auto" w:fill="auto"/>
            <w:vAlign w:val="center"/>
          </w:tcPr>
          <w:p w14:paraId="2F51C631" w14:textId="68DE59EB"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32,868ᴾ</w:t>
            </w:r>
            <w:r w:rsidRPr="004D5D6C">
              <w:rPr>
                <w:rFonts w:ascii="Times New Roman" w:eastAsia="Calibri" w:hAnsi="Times New Roman" w:cs="Times New Roman"/>
                <w:color w:val="000000"/>
                <w:vertAlign w:val="superscript"/>
                <w:lang w:val="en-US"/>
              </w:rPr>
              <w:t>⁑</w:t>
            </w:r>
          </w:p>
        </w:tc>
        <w:tc>
          <w:tcPr>
            <w:tcW w:w="1080" w:type="dxa"/>
            <w:tcBorders>
              <w:top w:val="single" w:sz="4" w:space="0" w:color="001965"/>
            </w:tcBorders>
            <w:shd w:val="clear" w:color="auto" w:fill="auto"/>
            <w:vAlign w:val="center"/>
          </w:tcPr>
          <w:p w14:paraId="6F2D1ED0"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90" w:type="dxa"/>
            <w:tcBorders>
              <w:top w:val="single" w:sz="4" w:space="0" w:color="001965"/>
            </w:tcBorders>
            <w:shd w:val="clear" w:color="auto" w:fill="auto"/>
            <w:vAlign w:val="center"/>
          </w:tcPr>
          <w:p w14:paraId="310409AC"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170" w:type="dxa"/>
            <w:tcBorders>
              <w:top w:val="single" w:sz="4" w:space="0" w:color="001965"/>
            </w:tcBorders>
            <w:shd w:val="clear" w:color="auto" w:fill="auto"/>
            <w:vAlign w:val="center"/>
          </w:tcPr>
          <w:p w14:paraId="02F3EBEC"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00" w:type="dxa"/>
            <w:tcBorders>
              <w:top w:val="single" w:sz="4" w:space="0" w:color="001965"/>
            </w:tcBorders>
            <w:vAlign w:val="center"/>
          </w:tcPr>
          <w:p w14:paraId="09BC55D4" w14:textId="77777777" w:rsidR="00B9572A" w:rsidRPr="004D5D6C" w:rsidRDefault="00B9572A" w:rsidP="00CC7141">
            <w:pPr>
              <w:jc w:val="center"/>
              <w:rPr>
                <w:rFonts w:ascii="Times New Roman" w:hAnsi="Times New Roman" w:cs="Times New Roman"/>
                <w:color w:val="000000"/>
              </w:rPr>
            </w:pPr>
          </w:p>
        </w:tc>
        <w:tc>
          <w:tcPr>
            <w:tcW w:w="1080" w:type="dxa"/>
            <w:tcBorders>
              <w:top w:val="single" w:sz="4" w:space="0" w:color="001965"/>
            </w:tcBorders>
            <w:shd w:val="clear" w:color="auto" w:fill="auto"/>
            <w:vAlign w:val="center"/>
          </w:tcPr>
          <w:p w14:paraId="62AE6771" w14:textId="290040A2"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tcBorders>
              <w:top w:val="single" w:sz="4" w:space="0" w:color="001965"/>
            </w:tcBorders>
            <w:shd w:val="clear" w:color="auto" w:fill="auto"/>
            <w:vAlign w:val="center"/>
          </w:tcPr>
          <w:p w14:paraId="57C3486C"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tcBorders>
              <w:top w:val="single" w:sz="4" w:space="0" w:color="001965"/>
            </w:tcBorders>
            <w:shd w:val="clear" w:color="auto" w:fill="auto"/>
            <w:vAlign w:val="center"/>
          </w:tcPr>
          <w:p w14:paraId="79BE3711"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tcBorders>
              <w:top w:val="single" w:sz="4" w:space="0" w:color="001965"/>
            </w:tcBorders>
            <w:shd w:val="clear" w:color="auto" w:fill="auto"/>
            <w:vAlign w:val="center"/>
          </w:tcPr>
          <w:p w14:paraId="11536D3B"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tcBorders>
              <w:top w:val="single" w:sz="4" w:space="0" w:color="001965"/>
            </w:tcBorders>
            <w:shd w:val="clear" w:color="auto" w:fill="auto"/>
            <w:vAlign w:val="center"/>
          </w:tcPr>
          <w:p w14:paraId="48923332"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r>
      <w:tr w:rsidR="00B9572A" w:rsidRPr="004D5D6C" w14:paraId="4587D5BB" w14:textId="77777777" w:rsidTr="00A3580F">
        <w:trPr>
          <w:trHeight w:val="307"/>
        </w:trPr>
        <w:tc>
          <w:tcPr>
            <w:tcW w:w="441" w:type="dxa"/>
            <w:shd w:val="clear" w:color="auto" w:fill="DBE5F1"/>
            <w:noWrap/>
            <w:vAlign w:val="center"/>
            <w:hideMark/>
          </w:tcPr>
          <w:p w14:paraId="6D092582"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2</w:t>
            </w:r>
          </w:p>
        </w:tc>
        <w:tc>
          <w:tcPr>
            <w:tcW w:w="1444" w:type="dxa"/>
            <w:noWrap/>
            <w:vAlign w:val="center"/>
            <w:hideMark/>
          </w:tcPr>
          <w:p w14:paraId="12F0E085" w14:textId="150158D3" w:rsidR="00B9572A" w:rsidRPr="004D5D6C" w:rsidRDefault="00B9572A" w:rsidP="00CC7141">
            <w:pPr>
              <w:jc w:val="center"/>
              <w:rPr>
                <w:rFonts w:ascii="Times New Roman" w:hAnsi="Times New Roman" w:cs="Times New Roman"/>
              </w:rPr>
            </w:pPr>
            <w:r w:rsidRPr="004D5D6C">
              <w:rPr>
                <w:rFonts w:ascii="Times New Roman" w:hAnsi="Times New Roman" w:cs="Times New Roman"/>
              </w:rPr>
              <w:t>Molho et al., 2000, ($)</w:t>
            </w:r>
            <w:r w:rsidR="00D22D21">
              <w:rPr>
                <w:rFonts w:ascii="Times New Roman" w:hAnsi="Times New Roman" w:cs="Times New Roman"/>
              </w:rPr>
              <w:t xml:space="preserve"> </w:t>
            </w:r>
            <w:r w:rsidR="000B5DCD">
              <w:rPr>
                <w:rFonts w:ascii="Times New Roman" w:hAnsi="Times New Roman" w:cs="Times New Roman"/>
              </w:rPr>
              <w:fldChar w:fldCharType="begin" w:fldLock="1"/>
            </w:r>
            <w:r w:rsidR="000B5DCD">
              <w:rPr>
                <w:rFonts w:ascii="Times New Roman" w:hAnsi="Times New Roman" w:cs="Times New Roman"/>
              </w:rPr>
              <w:instrText>ADDIN CSL_CITATION {"citationItems":[{"id":"ITEM-1","itemData":{"DOI":"10.1046/j.1365-2516.2000.00358.x","ISSN":"1351-8216 (Print)","PMID":"10632738","abstract":"One hundred and 16 patients contributed to an analysis of the impact of the  consequences of severe haemophilia A or B (factor levels &lt; 2%) on orthopaedic status, resources consumed in relation to this status and resultant cost, and quality of life as perceived by the patient, using the MOS 36-Item-Short-Form Health Survey (SF-36). This French cross-sectional study involved outpatients regularly attending a haemophilia treatment centre. Data were collected retrospectively over a period of 1 year by the physician of the haemophilia treatment centre. Patients had a mean age of 23, and consisted of 50% students, 25% salaried workers, 17.2% with no professional activity and 7.8% physically impaired; 82.8% of them had type A haemophilia. Mean pain score was 2.5 per patient for the six main joints; 7.7 for the clinical score and 18.8 for the radiological score, with a mean number of bleeds of 16.3 per year per patient. During the year prior to inclusion, and because of their orthopaedic status, 22.4% of patients were hospitalized, 76.7% attended for an outpatient visit and 76.7% required at least one special investigation; 97.4% received replacement therapy, 41.4% required treatment for joint pain and 42.2% orthopaedic equipment. The less affected dimensions were the physical function (76.8 +/- 22. 2) and the social relations (76.1 +/- 23.1). Least good quality of life scores concerned the pain (60.2 +/- 25.2), perception of general health (59.3 +/- 23.1) and vitality (57.8 +/- 19.5) dimensions. The age was a discriminant criterion since quality of life was better in patients of the 18-23 age group for five dimensions. Mean annual treatment costs of a patient with severe haemophilia were determined as 425 762 French francs ($73 029). Loss of production was estimated at a mean of 4609 French francs ($791) per active patient over the course of the year. Results showed indirect evidence of the usefulness of early home treatment.","author":[{"dropping-particle":"","family":"Molho","given":"P","non-dropping-particle":"","parse-names":false,"suffix":""},{"dropping-particle":"","family":"Rolland","given":"N","non-dropping-particle":"","parse-names":false,"suffix":""},{"dropping-particle":"","family":"Lebrun","given":"T","non-dropping-particle":"","parse-names":false,"suffix":""},{"dropping-particle":"","family":"Dirat","given":"G","non-dropping-particle":"","parse-names":false,"suffix":""},{"dropping-particle":"","family":"Courpied","given":"J P","non-dropping-particle":"","parse-names":false,"suffix":""},{"dropping-particle":"","family":"Croughs","given":"T","non-dropping-particle":"","parse-names":false,"suffix":""},{"dropping-particle":"","family":"Duprat","given":"I","non-dropping-particle":"","parse-names":false,"suffix":""},{"dropping-particle":"","family":"Sultan","given":"Y","non-dropping-particle":"","parse-names":false,"suffix":""}],"container-title":"Haemophilia : the official journal of the World Federation of Hemophilia","id":"ITEM-1","issue":"1","issued":{"date-parts":[["2000","1"]]},"language":"eng","page":"23-32","publisher-place":"England","title":"Epidemiological survey of the orthopaedic status of severe haemophilia A and B  patients in France. The French Study Group. secretariat.haemophiles@cch.ap-hop-paris.fr.","type":"article-journal","volume":"6"},"uris":["http://www.mendeley.com/documents/?uuid=36ff0566-98a2-4f85-bb5d-b4dbf0a836d3"]}],"mendeley":{"formattedCitation":"[5]","plainTextFormattedCitation":"[5]","previouslyFormattedCitation":"[5]"},"properties":{"noteIndex":0},"schema":"https://github.com/citation-style-language/schema/raw/master/csl-citation.json"}</w:instrText>
            </w:r>
            <w:r w:rsidR="000B5DCD">
              <w:rPr>
                <w:rFonts w:ascii="Times New Roman" w:hAnsi="Times New Roman" w:cs="Times New Roman"/>
              </w:rPr>
              <w:fldChar w:fldCharType="separate"/>
            </w:r>
            <w:r w:rsidR="000B5DCD" w:rsidRPr="000B5DCD">
              <w:rPr>
                <w:rFonts w:ascii="Times New Roman" w:hAnsi="Times New Roman" w:cs="Times New Roman"/>
                <w:noProof/>
              </w:rPr>
              <w:t>[5]</w:t>
            </w:r>
            <w:r w:rsidR="000B5DCD">
              <w:rPr>
                <w:rFonts w:ascii="Times New Roman" w:hAnsi="Times New Roman" w:cs="Times New Roman"/>
              </w:rPr>
              <w:fldChar w:fldCharType="end"/>
            </w:r>
          </w:p>
        </w:tc>
        <w:tc>
          <w:tcPr>
            <w:tcW w:w="1170" w:type="dxa"/>
            <w:shd w:val="clear" w:color="auto" w:fill="auto"/>
            <w:vAlign w:val="center"/>
          </w:tcPr>
          <w:p w14:paraId="3DE1FE32"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73,820</w:t>
            </w:r>
          </w:p>
        </w:tc>
        <w:tc>
          <w:tcPr>
            <w:tcW w:w="1260" w:type="dxa"/>
            <w:shd w:val="clear" w:color="auto" w:fill="auto"/>
            <w:vAlign w:val="center"/>
          </w:tcPr>
          <w:p w14:paraId="21E1A0A1"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080" w:type="dxa"/>
            <w:shd w:val="clear" w:color="auto" w:fill="auto"/>
            <w:vAlign w:val="center"/>
          </w:tcPr>
          <w:p w14:paraId="67DBF982" w14:textId="7392CA65" w:rsidR="00B9572A" w:rsidRPr="004D5D6C" w:rsidRDefault="00B9572A" w:rsidP="00CC7141">
            <w:pPr>
              <w:jc w:val="center"/>
              <w:rPr>
                <w:rFonts w:ascii="Times New Roman" w:hAnsi="Times New Roman" w:cs="Times New Roman"/>
              </w:rPr>
            </w:pPr>
          </w:p>
        </w:tc>
        <w:tc>
          <w:tcPr>
            <w:tcW w:w="990" w:type="dxa"/>
            <w:shd w:val="clear" w:color="auto" w:fill="auto"/>
            <w:vAlign w:val="center"/>
          </w:tcPr>
          <w:p w14:paraId="7CFFD2D4"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170" w:type="dxa"/>
            <w:shd w:val="clear" w:color="auto" w:fill="auto"/>
            <w:vAlign w:val="center"/>
          </w:tcPr>
          <w:p w14:paraId="7D4810B7"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00" w:type="dxa"/>
            <w:vAlign w:val="center"/>
          </w:tcPr>
          <w:p w14:paraId="314C2AB4"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50B62681" w14:textId="19356ABA"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76EFFD99"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6FE0D582"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1F6BD10B"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063F4D5E"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r>
      <w:tr w:rsidR="00B9572A" w:rsidRPr="004D5D6C" w14:paraId="00C12743" w14:textId="77777777" w:rsidTr="00A3580F">
        <w:trPr>
          <w:trHeight w:val="435"/>
        </w:trPr>
        <w:tc>
          <w:tcPr>
            <w:tcW w:w="441" w:type="dxa"/>
            <w:shd w:val="clear" w:color="auto" w:fill="DBE5F1"/>
            <w:noWrap/>
            <w:vAlign w:val="center"/>
            <w:hideMark/>
          </w:tcPr>
          <w:p w14:paraId="071F44D3"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3</w:t>
            </w:r>
          </w:p>
        </w:tc>
        <w:tc>
          <w:tcPr>
            <w:tcW w:w="1444" w:type="dxa"/>
            <w:noWrap/>
            <w:vAlign w:val="center"/>
            <w:hideMark/>
          </w:tcPr>
          <w:p w14:paraId="559FF69E" w14:textId="4BD8EE3B" w:rsidR="00B9572A" w:rsidRPr="004D5D6C" w:rsidRDefault="00B9572A" w:rsidP="00CC7141">
            <w:pPr>
              <w:jc w:val="center"/>
              <w:rPr>
                <w:rFonts w:ascii="Times New Roman" w:hAnsi="Times New Roman" w:cs="Times New Roman"/>
              </w:rPr>
            </w:pPr>
            <w:r w:rsidRPr="004D5D6C">
              <w:rPr>
                <w:rFonts w:ascii="Times New Roman" w:hAnsi="Times New Roman" w:cs="Times New Roman"/>
              </w:rPr>
              <w:t>Schramm et al., 2002, (€)</w:t>
            </w:r>
            <w:r w:rsidR="000B5DCD">
              <w:rPr>
                <w:rFonts w:ascii="Times New Roman" w:hAnsi="Times New Roman" w:cs="Times New Roman"/>
              </w:rPr>
              <w:t xml:space="preserve"> </w:t>
            </w:r>
            <w:r w:rsidR="000B5DCD">
              <w:rPr>
                <w:rFonts w:ascii="Times New Roman" w:hAnsi="Times New Roman" w:cs="Times New Roman"/>
              </w:rPr>
              <w:fldChar w:fldCharType="begin" w:fldLock="1"/>
            </w:r>
            <w:r w:rsidR="000B5DCD">
              <w:rPr>
                <w:rFonts w:ascii="Times New Roman" w:hAnsi="Times New Roman" w:cs="Times New Roman"/>
              </w:rPr>
              <w:instrText>ADDIN CSL_CITATION {"citationItems":[{"id":"ITEM-1","itemData":{"DOI":"10.1046/j.1365-2516.2002.00580.x","ISSN":"1351-8216 (Print)","PMID":"11886463","abstract":"We conducted a multicentre, cross- sectional study of 1042 haemophilia subjects  across Europe to compare various health outcomes associated with on-demand vs. prophylactic factor-substitution therapy. Demographic, medical history, and healthcare resource utilization data were analysed along with the number of bleeding events over the past 6 months. Treatment-cost data were also examined to provide preliminary information for future economic studies. A logistic regression analysis, controlling for other statistically significant covariates, showed that patients treated on demand were 3.4 times more likely to have had a joint bleed over the previous 6 months than those treated with prophylaxis. Multiple regression analyses further confirmed these findings, because on-demand subjects had, on average, 5.15 more joint bleeds over the reporting period than patients treated with prophylaxis. Notably, these findings were even more dramatic for younger haemophilia patients when our study sample was stratified by age. Due to the high cost of factor replacement, healthcare costs were significantly higher for subjects treated prophylactically. While hospital costs for prophylaxis subjects were, on average, lower, statistically significant cost savings for prophylactic subjects were not noted. These results suggest that clinicians and health policy decision-makers should consider the advantages of prophylactic therapy for haemophilia patients in formulating treatment protocols and allocating health resources.","author":[{"dropping-particle":"","family":"Schramm","given":"W","non-dropping-particle":"","parse-names":false,"suffix":""},{"dropping-particle":"","family":"Royal","given":"S","non-dropping-particle":"","parse-names":false,"suffix":""},{"dropping-particle":"","family":"Kroner","given":"B","non-dropping-particle":"","parse-names":false,"suffix":""},{"dropping-particle":"","family":"Berntorp","given":"E","non-dropping-particle":"","parse-names":false,"suffix":""},{"dropping-particle":"","family":"Giangrande","given":"P","non-dropping-particle":"","parse-names":false,"suffix":""},{"dropping-particle":"","family":"Ludlam","given":"C","non-dropping-particle":"","parse-names":false,"suffix":""},{"dropping-particle":"","family":"Gringeri","given":"A","non-dropping-particle":"","parse-names":false,"suffix":""},{"dropping-particle":"","family":"Berger","given":"K","non-dropping-particle":"","parse-names":false,"suffix":""},{"dropping-particle":"","family":"Szucs","given":"T","non-dropping-particle":"","parse-names":false,"suffix":""}],"container-title":"Haemophilia : the official journal of the World Federation of Hemophilia","id":"ITEM-1","issue":"1","issued":{"date-parts":[["2002","1"]]},"language":"eng","page":"33-43","publisher-place":"England","title":"Clinical outcomes and resource utilization associated with haemophilia care in  Europe.","type":"article-journal","volume":"8"},"uris":["http://www.mendeley.com/documents/?uuid=aa1b6845-64c6-4a9e-b4f1-e37ffb541190"]}],"mendeley":{"formattedCitation":"[7]","plainTextFormattedCitation":"[7]","previouslyFormattedCitation":"[7]"},"properties":{"noteIndex":0},"schema":"https://github.com/citation-style-language/schema/raw/master/csl-citation.json"}</w:instrText>
            </w:r>
            <w:r w:rsidR="000B5DCD">
              <w:rPr>
                <w:rFonts w:ascii="Times New Roman" w:hAnsi="Times New Roman" w:cs="Times New Roman"/>
              </w:rPr>
              <w:fldChar w:fldCharType="separate"/>
            </w:r>
            <w:r w:rsidR="000B5DCD" w:rsidRPr="000B5DCD">
              <w:rPr>
                <w:rFonts w:ascii="Times New Roman" w:hAnsi="Times New Roman" w:cs="Times New Roman"/>
                <w:noProof/>
              </w:rPr>
              <w:t>[7]</w:t>
            </w:r>
            <w:r w:rsidR="000B5DCD">
              <w:rPr>
                <w:rFonts w:ascii="Times New Roman" w:hAnsi="Times New Roman" w:cs="Times New Roman"/>
              </w:rPr>
              <w:fldChar w:fldCharType="end"/>
            </w:r>
          </w:p>
        </w:tc>
        <w:tc>
          <w:tcPr>
            <w:tcW w:w="1170" w:type="dxa"/>
            <w:shd w:val="clear" w:color="auto" w:fill="auto"/>
            <w:vAlign w:val="center"/>
          </w:tcPr>
          <w:p w14:paraId="74C4EC6D"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13,768ᴾ</w:t>
            </w:r>
            <w:r w:rsidRPr="004D5D6C">
              <w:rPr>
                <w:rFonts w:ascii="Times New Roman" w:eastAsia="Calibri" w:hAnsi="Times New Roman" w:cs="Times New Roman"/>
                <w:color w:val="000000"/>
                <w:vertAlign w:val="superscript"/>
                <w:lang w:val="en-US"/>
              </w:rPr>
              <w:t>,ε</w:t>
            </w:r>
          </w:p>
        </w:tc>
        <w:tc>
          <w:tcPr>
            <w:tcW w:w="1260" w:type="dxa"/>
            <w:shd w:val="clear" w:color="auto" w:fill="auto"/>
            <w:vAlign w:val="center"/>
          </w:tcPr>
          <w:p w14:paraId="41AF1A6B"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2,661ᴾ</w:t>
            </w:r>
            <w:r w:rsidRPr="004D5D6C">
              <w:rPr>
                <w:rFonts w:ascii="Times New Roman" w:eastAsia="Calibri" w:hAnsi="Times New Roman" w:cs="Times New Roman"/>
                <w:color w:val="000000"/>
                <w:vertAlign w:val="superscript"/>
                <w:lang w:val="en-US"/>
              </w:rPr>
              <w:t>,ε</w:t>
            </w:r>
          </w:p>
        </w:tc>
        <w:tc>
          <w:tcPr>
            <w:tcW w:w="1080" w:type="dxa"/>
            <w:shd w:val="clear" w:color="auto" w:fill="auto"/>
            <w:vAlign w:val="center"/>
          </w:tcPr>
          <w:p w14:paraId="7595486B"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90" w:type="dxa"/>
            <w:shd w:val="clear" w:color="auto" w:fill="auto"/>
            <w:vAlign w:val="center"/>
          </w:tcPr>
          <w:p w14:paraId="7B0830FF"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170" w:type="dxa"/>
            <w:shd w:val="clear" w:color="auto" w:fill="auto"/>
            <w:vAlign w:val="center"/>
          </w:tcPr>
          <w:p w14:paraId="044C97DB"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11,347ᴾ</w:t>
            </w:r>
            <w:r w:rsidRPr="004D5D6C">
              <w:rPr>
                <w:rFonts w:ascii="Times New Roman" w:eastAsia="Calibri" w:hAnsi="Times New Roman" w:cs="Times New Roman"/>
                <w:color w:val="000000"/>
                <w:vertAlign w:val="superscript"/>
                <w:lang w:val="en-US"/>
              </w:rPr>
              <w:t>,ε</w:t>
            </w:r>
          </w:p>
        </w:tc>
        <w:tc>
          <w:tcPr>
            <w:tcW w:w="900" w:type="dxa"/>
            <w:vAlign w:val="center"/>
          </w:tcPr>
          <w:p w14:paraId="238C79B3"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096A71B9" w14:textId="520EF9A8"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1,067ᴾ</w:t>
            </w:r>
            <w:r w:rsidRPr="004D5D6C">
              <w:rPr>
                <w:rFonts w:ascii="Times New Roman" w:hAnsi="Times New Roman" w:cs="Times New Roman"/>
                <w:color w:val="000000"/>
                <w:vertAlign w:val="superscript"/>
              </w:rPr>
              <w:t>,ε</w:t>
            </w:r>
          </w:p>
        </w:tc>
        <w:tc>
          <w:tcPr>
            <w:tcW w:w="1170" w:type="dxa"/>
            <w:shd w:val="clear" w:color="auto" w:fill="auto"/>
            <w:vAlign w:val="center"/>
          </w:tcPr>
          <w:p w14:paraId="53996C6B"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3FE13723"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3,729ᴾ</w:t>
            </w:r>
            <w:r w:rsidRPr="004D5D6C">
              <w:rPr>
                <w:rFonts w:ascii="Times New Roman" w:hAnsi="Times New Roman" w:cs="Times New Roman"/>
                <w:color w:val="000000"/>
                <w:vertAlign w:val="superscript"/>
              </w:rPr>
              <w:t>,ε</w:t>
            </w:r>
          </w:p>
        </w:tc>
        <w:tc>
          <w:tcPr>
            <w:tcW w:w="1170" w:type="dxa"/>
            <w:shd w:val="clear" w:color="auto" w:fill="auto"/>
            <w:vAlign w:val="center"/>
          </w:tcPr>
          <w:p w14:paraId="3E0D13A1"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3,593ᴾ</w:t>
            </w:r>
            <w:r w:rsidRPr="004D5D6C">
              <w:rPr>
                <w:rFonts w:ascii="Times New Roman" w:hAnsi="Times New Roman" w:cs="Times New Roman"/>
                <w:color w:val="000000"/>
                <w:vertAlign w:val="superscript"/>
              </w:rPr>
              <w:t>,ε</w:t>
            </w:r>
          </w:p>
        </w:tc>
        <w:tc>
          <w:tcPr>
            <w:tcW w:w="1170" w:type="dxa"/>
            <w:shd w:val="clear" w:color="auto" w:fill="auto"/>
            <w:vAlign w:val="center"/>
          </w:tcPr>
          <w:p w14:paraId="16B6E022"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r>
      <w:tr w:rsidR="00B9572A" w:rsidRPr="004D5D6C" w14:paraId="097A3AEF" w14:textId="77777777" w:rsidTr="00A3580F">
        <w:trPr>
          <w:trHeight w:val="434"/>
        </w:trPr>
        <w:tc>
          <w:tcPr>
            <w:tcW w:w="441" w:type="dxa"/>
            <w:shd w:val="clear" w:color="auto" w:fill="DBE5F1"/>
            <w:noWrap/>
            <w:vAlign w:val="center"/>
            <w:hideMark/>
          </w:tcPr>
          <w:p w14:paraId="0D0BDD94"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4</w:t>
            </w:r>
          </w:p>
        </w:tc>
        <w:tc>
          <w:tcPr>
            <w:tcW w:w="1444" w:type="dxa"/>
            <w:noWrap/>
            <w:vAlign w:val="center"/>
            <w:hideMark/>
          </w:tcPr>
          <w:p w14:paraId="1B403F00" w14:textId="6E43634C" w:rsidR="00B9572A" w:rsidRPr="004D5D6C" w:rsidRDefault="00B9572A" w:rsidP="00CC7141">
            <w:pPr>
              <w:jc w:val="center"/>
              <w:rPr>
                <w:rFonts w:ascii="Times New Roman" w:hAnsi="Times New Roman" w:cs="Times New Roman"/>
              </w:rPr>
            </w:pPr>
            <w:r w:rsidRPr="004D5D6C">
              <w:rPr>
                <w:rFonts w:ascii="Times New Roman" w:hAnsi="Times New Roman" w:cs="Times New Roman"/>
              </w:rPr>
              <w:t>Carlsson et al., 2004, (€)</w:t>
            </w:r>
            <w:r w:rsidR="000B5DCD">
              <w:rPr>
                <w:rFonts w:ascii="Times New Roman" w:hAnsi="Times New Roman" w:cs="Times New Roman"/>
              </w:rPr>
              <w:t xml:space="preserve"> </w:t>
            </w:r>
            <w:r w:rsidR="000B5DCD">
              <w:rPr>
                <w:rFonts w:ascii="Times New Roman" w:hAnsi="Times New Roman" w:cs="Times New Roman"/>
              </w:rPr>
              <w:fldChar w:fldCharType="begin" w:fldLock="1"/>
            </w:r>
            <w:r w:rsidR="000B5DCD">
              <w:rPr>
                <w:rFonts w:ascii="Times New Roman" w:hAnsi="Times New Roman" w:cs="Times New Roman"/>
              </w:rPr>
              <w:instrText>ADDIN CSL_CITATION {"citationItems":[{"id":"ITEM-1","itemData":{"DOI":"10.1111/j.1365-2516.2004.00952.x","ISSN":"1351-8216 (Print)","PMID":"15357779","abstract":"The expected annual cost (in the year 2000 prices) for a 30-year-old patient with average individual and treatment characteristics for on-demand EUR 51,832 (95% CI: 44,324-59,341) and for prophylaxis EUR 146,118 (95% CI: 129,965-162,271), was obtained from panel-data analysis of an 11-year retrospective panel of 156 patients with severe haemophilia in Norway and Sweden. Costs included haemophilia-related treatment costs within the health-care sector (factor concentrate, doctors' visits, diagnostic procedures, hospitalisation, invasive procedures, etc.) and cost for haemophilia-related resource use in other sectors (lost production, use of special equipment, adaptation of workplace and domicile, etc). Although costs of lost production, reconstructive surgery and hospitalisation were higher for on-demand, they did not balance out the higher costs of factor-concentrate consumption in prophylaxis. The cut-off risk of premature death, where on-demand and prophylaxis would have been equally costly, was 3.7 percentage units higher for on-demand than for prophylaxis. Such a great risk difference has not been reported elsewhere to our knowledge. Estimated cost-elasticities indicated that annual costs of prophylaxis would increase by approximately the same proportion as a potential increase in the price of factor concentrate and decrease less than proportionately with a reduction in prescribed dose kg(-1). For on-demand, the annual costs would increase by approximately the same proportion as an increase in the prescribed dose kg(-1).","author":[{"dropping-particle":"","family":"Carlsson","given":"K Steen","non-dropping-particle":"","parse-names":false,"suffix":""},{"dropping-particle":"","family":"Höjgård","given":"S","non-dropping-particle":"","parse-names":false,"suffix":""},{"dropping-particle":"","family":"Lindgren","given":"A","non-dropping-particle":"","parse-names":false,"suffix":""},{"dropping-particle":"","family":"Lethagen","given":"S","non-dropping-particle":"","parse-names":false,"suffix":""},{"dropping-particle":"","family":"Schulman","given":"S","non-dropping-particle":"","parse-names":false,"suffix":""},{"dropping-particle":"","family":"Glomstein","given":"A","non-dropping-particle":"","parse-names":false,"suffix":""},{"dropping-particle":"","family":"Tengborn","given":"L","non-dropping-particle":"","parse-names":false,"suffix":""},{"dropping-particle":"","family":"Berntorp","given":"E","non-dropping-particle":"","parse-names":false,"suffix":""},{"dropping-particle":"","family":"Lindgren","given":"B","non-dropping-particle":"","parse-names":false,"suffix":""}],"container-title":"Haemophilia : the official journal of the World Federation of Hemophilia","id":"ITEM-1","issue":"5","issued":{"date-parts":[["2004","9"]]},"language":"eng","page":"515-526","publisher-place":"England","title":"Costs of on-demand and prophylactic treatment for severe haemophilia in Norway and Sweden","type":"article-journal","volume":"10"},"uris":["http://www.mendeley.com/documents/?uuid=afc9823a-fbdb-4b96-9764-6dd3b10f7b0e"]}],"mendeley":{"formattedCitation":"[8]","plainTextFormattedCitation":"[8]","previouslyFormattedCitation":"[8]"},"properties":{"noteIndex":0},"schema":"https://github.com/citation-style-language/schema/raw/master/csl-citation.json"}</w:instrText>
            </w:r>
            <w:r w:rsidR="000B5DCD">
              <w:rPr>
                <w:rFonts w:ascii="Times New Roman" w:hAnsi="Times New Roman" w:cs="Times New Roman"/>
              </w:rPr>
              <w:fldChar w:fldCharType="separate"/>
            </w:r>
            <w:r w:rsidR="000B5DCD" w:rsidRPr="000B5DCD">
              <w:rPr>
                <w:rFonts w:ascii="Times New Roman" w:hAnsi="Times New Roman" w:cs="Times New Roman"/>
                <w:noProof/>
              </w:rPr>
              <w:t>[8]</w:t>
            </w:r>
            <w:r w:rsidR="000B5DCD">
              <w:rPr>
                <w:rFonts w:ascii="Times New Roman" w:hAnsi="Times New Roman" w:cs="Times New Roman"/>
              </w:rPr>
              <w:fldChar w:fldCharType="end"/>
            </w:r>
          </w:p>
        </w:tc>
        <w:tc>
          <w:tcPr>
            <w:tcW w:w="1170" w:type="dxa"/>
            <w:shd w:val="clear" w:color="auto" w:fill="auto"/>
            <w:vAlign w:val="center"/>
          </w:tcPr>
          <w:p w14:paraId="0ABDA5E1"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260" w:type="dxa"/>
            <w:shd w:val="clear" w:color="auto" w:fill="auto"/>
            <w:vAlign w:val="center"/>
          </w:tcPr>
          <w:p w14:paraId="28914D6B"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080" w:type="dxa"/>
            <w:shd w:val="clear" w:color="auto" w:fill="auto"/>
            <w:vAlign w:val="center"/>
          </w:tcPr>
          <w:p w14:paraId="6953C531"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90" w:type="dxa"/>
            <w:shd w:val="clear" w:color="auto" w:fill="auto"/>
            <w:vAlign w:val="center"/>
          </w:tcPr>
          <w:p w14:paraId="4DC0DDA7"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170" w:type="dxa"/>
            <w:shd w:val="clear" w:color="auto" w:fill="auto"/>
            <w:vAlign w:val="center"/>
          </w:tcPr>
          <w:p w14:paraId="7B042096"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00" w:type="dxa"/>
            <w:vAlign w:val="center"/>
          </w:tcPr>
          <w:p w14:paraId="3EFC7323"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68632149" w14:textId="5F258F6F"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3E00E508"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435F32E1"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147,939ᴾ</w:t>
            </w:r>
          </w:p>
        </w:tc>
        <w:tc>
          <w:tcPr>
            <w:tcW w:w="1170" w:type="dxa"/>
            <w:shd w:val="clear" w:color="auto" w:fill="auto"/>
            <w:vAlign w:val="center"/>
          </w:tcPr>
          <w:p w14:paraId="362FCCD0"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62D110B1"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r>
      <w:tr w:rsidR="00B9572A" w:rsidRPr="004D5D6C" w14:paraId="1170351A" w14:textId="77777777" w:rsidTr="00A3580F">
        <w:trPr>
          <w:trHeight w:val="341"/>
        </w:trPr>
        <w:tc>
          <w:tcPr>
            <w:tcW w:w="441" w:type="dxa"/>
            <w:shd w:val="clear" w:color="auto" w:fill="DBE5F1"/>
            <w:noWrap/>
            <w:vAlign w:val="center"/>
            <w:hideMark/>
          </w:tcPr>
          <w:p w14:paraId="31339421"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5</w:t>
            </w:r>
          </w:p>
        </w:tc>
        <w:tc>
          <w:tcPr>
            <w:tcW w:w="1444" w:type="dxa"/>
            <w:noWrap/>
            <w:vAlign w:val="center"/>
            <w:hideMark/>
          </w:tcPr>
          <w:p w14:paraId="22C67D66" w14:textId="0817288D" w:rsidR="00B9572A" w:rsidRPr="004D5D6C" w:rsidRDefault="00B9572A" w:rsidP="00CC7141">
            <w:pPr>
              <w:jc w:val="center"/>
              <w:rPr>
                <w:rFonts w:ascii="Times New Roman" w:hAnsi="Times New Roman" w:cs="Times New Roman"/>
              </w:rPr>
            </w:pPr>
            <w:r w:rsidRPr="004D5D6C">
              <w:rPr>
                <w:rFonts w:ascii="Times New Roman" w:hAnsi="Times New Roman" w:cs="Times New Roman"/>
              </w:rPr>
              <w:t>Fischer et al., 2013, ($)</w:t>
            </w:r>
            <w:r w:rsidR="000B5DCD">
              <w:rPr>
                <w:rFonts w:ascii="Times New Roman" w:hAnsi="Times New Roman" w:cs="Times New Roman"/>
              </w:rPr>
              <w:t xml:space="preserve"> </w:t>
            </w:r>
            <w:r w:rsidR="000B5DCD">
              <w:rPr>
                <w:rFonts w:ascii="Times New Roman" w:hAnsi="Times New Roman" w:cs="Times New Roman"/>
              </w:rPr>
              <w:fldChar w:fldCharType="begin" w:fldLock="1"/>
            </w:r>
            <w:r w:rsidR="000B5DCD">
              <w:rPr>
                <w:rFonts w:ascii="Times New Roman" w:hAnsi="Times New Roman" w:cs="Times New Roman"/>
              </w:rPr>
              <w:instrText>ADDIN CSL_CITATION {"citationItems":[{"id":"ITEM-1","itemData":{"DOI":"10.1182/blood-2012-12-470898","ISSN":"1528-0020 (Electronic)","PMID":"23777770","abstract":"Prophylactic treatment in severe hemophilia is very effective but is limited by cost issues. The implementation of 2 different prophylactic regimens in The Netherlands and Sweden since the 1970s may be considered a natural experiment. We compared the costs and outcomes of Dutch intermediate- and Swedish high-dose prophylactic regimens for patients with severe hemophilia (factor VIII/IX &lt; 1 IU/dL) born between 1970 and 1994, using prospective standardized outcome assessment and retrospective collection of cost data. Seventy-eight Dutch and 50 Swedish patients, median age 24 years (range, 14-37 years), were included. Intermediate-dose prophylaxis used less factor concentrate (median: Netherlands, 2100 IU/kg per year [interquartile range (IQR), 1400-2900 IU/kg per year] vs Sweden, 4000 IU/kg per year [IQR, 3000-4900 IU/kg per year]); (P &lt; .01). Clinical outcome was slightly inferior for the intermediate-dose regimen (P &lt; .01) for 5-year bleeding (median, 1.3 [IQR, 0.8-2.7] vs 0 [IQR, 0.0-2.0] joint bleeds/y) and joint health (Haemophilia Joint Health Score &gt;10 of 144 points in 46% vs 11% of participants), although social participation and quality of life were similar. Annual total costs were 66% higher for high-dose prophylaxis (mean, 180 [95% confidence interval, 163 - 196] × US$1000 for Dutch vs 298 [95% confidence interval, 271-325]) × US$1000 for Swedish patients; (P &lt; .01). At group level, the incremental benefits of high-dose prophylaxis appear limited. At the patient level, prophylaxis should be tailored individually, and many patients may do well receiving lower doses of concentrate without compromising safety.","author":[{"dropping-particle":"","family":"Fischer","given":"Kathelijn","non-dropping-particle":"","parse-names":false,"suffix":""},{"dropping-particle":"","family":"Steen Carlsson","given":"Katarina","non-dropping-particle":"","parse-names":false,"suffix":""},{"dropping-particle":"","family":"Petrini","given":"Pia","non-dropping-particle":"","parse-names":false,"suffix":""},{"dropping-particle":"","family":"Holmström","given":"Margareta","non-dropping-particle":"","parse-names":false,"suffix":""},{"dropping-particle":"","family":"Ljung","given":"Rolf","non-dropping-particle":"","parse-names":false,"suffix":""},{"dropping-particle":"","family":"Berg","given":"H Marijke","non-dropping-particle":"van den","parse-names":false,"suffix":""},{"dropping-particle":"","family":"Berntorp","given":"Erik","non-dropping-particle":"","parse-names":false,"suffix":""}],"container-title":"Blood","id":"ITEM-1","issue":"7","issued":{"date-parts":[["2013","8"]]},"language":"eng","page":"1129-1136","title":"Intermediate-dose versus high-dose prophylaxis for severe hemophilia: comparing outcome and costs since the 1970s","type":"article-journal","volume":"122"},"uris":["http://www.mendeley.com/documents/?uuid=58c99f2d-e289-44f9-81f1-822a03c04866"]}],"mendeley":{"formattedCitation":"[10]","plainTextFormattedCitation":"[10]","previouslyFormattedCitation":"[10]"},"properties":{"noteIndex":0},"schema":"https://github.com/citation-style-language/schema/raw/master/csl-citation.json"}</w:instrText>
            </w:r>
            <w:r w:rsidR="000B5DCD">
              <w:rPr>
                <w:rFonts w:ascii="Times New Roman" w:hAnsi="Times New Roman" w:cs="Times New Roman"/>
              </w:rPr>
              <w:fldChar w:fldCharType="separate"/>
            </w:r>
            <w:r w:rsidR="000B5DCD" w:rsidRPr="000B5DCD">
              <w:rPr>
                <w:rFonts w:ascii="Times New Roman" w:hAnsi="Times New Roman" w:cs="Times New Roman"/>
                <w:noProof/>
              </w:rPr>
              <w:t>[10]</w:t>
            </w:r>
            <w:r w:rsidR="000B5DCD">
              <w:rPr>
                <w:rFonts w:ascii="Times New Roman" w:hAnsi="Times New Roman" w:cs="Times New Roman"/>
              </w:rPr>
              <w:fldChar w:fldCharType="end"/>
            </w:r>
          </w:p>
        </w:tc>
        <w:tc>
          <w:tcPr>
            <w:tcW w:w="1170" w:type="dxa"/>
            <w:shd w:val="clear" w:color="auto" w:fill="auto"/>
            <w:vAlign w:val="center"/>
          </w:tcPr>
          <w:p w14:paraId="33C56981"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260" w:type="dxa"/>
            <w:shd w:val="clear" w:color="auto" w:fill="auto"/>
            <w:vAlign w:val="center"/>
          </w:tcPr>
          <w:p w14:paraId="376D3D3A"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080" w:type="dxa"/>
            <w:shd w:val="clear" w:color="auto" w:fill="auto"/>
            <w:vAlign w:val="center"/>
          </w:tcPr>
          <w:p w14:paraId="74D298DB"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90" w:type="dxa"/>
            <w:shd w:val="clear" w:color="auto" w:fill="auto"/>
            <w:vAlign w:val="center"/>
          </w:tcPr>
          <w:p w14:paraId="4E3F1201"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170" w:type="dxa"/>
            <w:shd w:val="clear" w:color="auto" w:fill="auto"/>
            <w:vAlign w:val="center"/>
          </w:tcPr>
          <w:p w14:paraId="64A2815C"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00" w:type="dxa"/>
            <w:vAlign w:val="center"/>
          </w:tcPr>
          <w:p w14:paraId="3F03C30E"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49498DD3" w14:textId="75D9C913"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177,200ᴾ</w:t>
            </w:r>
            <w:r w:rsidRPr="004D5D6C">
              <w:rPr>
                <w:rFonts w:asciiTheme="majorBidi" w:hAnsiTheme="majorBidi" w:cstheme="majorBidi"/>
                <w:sz w:val="20"/>
                <w:szCs w:val="20"/>
                <w:vertAlign w:val="superscript"/>
              </w:rPr>
              <w:t>§</w:t>
            </w:r>
          </w:p>
        </w:tc>
        <w:tc>
          <w:tcPr>
            <w:tcW w:w="1170" w:type="dxa"/>
            <w:shd w:val="clear" w:color="auto" w:fill="auto"/>
            <w:vAlign w:val="center"/>
          </w:tcPr>
          <w:p w14:paraId="25D2A49B"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1D0196B1" w14:textId="12E1595F"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291,400ᴾ</w:t>
            </w:r>
            <w:r w:rsidRPr="004D5D6C">
              <w:rPr>
                <w:rFonts w:asciiTheme="majorBidi" w:hAnsiTheme="majorBidi" w:cstheme="majorBidi"/>
                <w:sz w:val="20"/>
                <w:szCs w:val="20"/>
                <w:vertAlign w:val="superscript"/>
              </w:rPr>
              <w:t>§</w:t>
            </w:r>
          </w:p>
        </w:tc>
        <w:tc>
          <w:tcPr>
            <w:tcW w:w="1170" w:type="dxa"/>
            <w:shd w:val="clear" w:color="auto" w:fill="auto"/>
            <w:vAlign w:val="center"/>
          </w:tcPr>
          <w:p w14:paraId="60FEC99C"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29894030"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r>
      <w:tr w:rsidR="00B9572A" w:rsidRPr="004D5D6C" w14:paraId="256678D9" w14:textId="77777777" w:rsidTr="00A3580F">
        <w:trPr>
          <w:trHeight w:val="334"/>
        </w:trPr>
        <w:tc>
          <w:tcPr>
            <w:tcW w:w="441" w:type="dxa"/>
            <w:shd w:val="clear" w:color="auto" w:fill="DBE5F1"/>
            <w:noWrap/>
            <w:vAlign w:val="center"/>
            <w:hideMark/>
          </w:tcPr>
          <w:p w14:paraId="18B1DABF"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6</w:t>
            </w:r>
          </w:p>
        </w:tc>
        <w:tc>
          <w:tcPr>
            <w:tcW w:w="1444" w:type="dxa"/>
            <w:noWrap/>
            <w:vAlign w:val="center"/>
            <w:hideMark/>
          </w:tcPr>
          <w:p w14:paraId="7A21A2FB" w14:textId="57DDC11F" w:rsidR="00B9572A" w:rsidRPr="004D5D6C" w:rsidRDefault="00B9572A" w:rsidP="00CC7141">
            <w:pPr>
              <w:jc w:val="center"/>
              <w:rPr>
                <w:rFonts w:ascii="Times New Roman" w:hAnsi="Times New Roman" w:cs="Times New Roman"/>
              </w:rPr>
            </w:pPr>
            <w:r w:rsidRPr="004D5D6C">
              <w:rPr>
                <w:rFonts w:ascii="Times New Roman" w:hAnsi="Times New Roman" w:cs="Times New Roman"/>
              </w:rPr>
              <w:t>Kodra et al., 2014, (€)</w:t>
            </w:r>
            <w:r w:rsidR="000B5DCD">
              <w:rPr>
                <w:rFonts w:ascii="Times New Roman" w:hAnsi="Times New Roman" w:cs="Times New Roman"/>
              </w:rPr>
              <w:t xml:space="preserve"> </w:t>
            </w:r>
            <w:r w:rsidR="000B5DCD">
              <w:rPr>
                <w:rFonts w:ascii="Times New Roman" w:hAnsi="Times New Roman" w:cs="Times New Roman"/>
              </w:rPr>
              <w:fldChar w:fldCharType="begin" w:fldLock="1"/>
            </w:r>
            <w:r w:rsidR="000B5DCD">
              <w:rPr>
                <w:rFonts w:ascii="Times New Roman" w:hAnsi="Times New Roman" w:cs="Times New Roman"/>
              </w:rPr>
              <w:instrText>ADDIN CSL_CITATION {"citationItems":[{"id":"ITEM-1","itemData":{"DOI":"10.2450/2014.0042-14s","ISSN":"2385-2070 (Electronic)","PMID":"24922297","abstract":"BACKGROUND: In Italy, the project on the social burden and quality of life (QoL) of patients with haemophilia investigates costs from a society perspective and provides an overview of their quality of life. Moreover, as life expectancy increased in recent years along with new treatment strategies implemented in the last decades, it analyses trends of costs other than drugs simulating impacts during patient whole life. MATERIAL AND METHODS: We ran a web-based cross-sectional survey supported by the Italian Federation of Haemophilia Societies in recruiting patients with haemophilia and their caregivers. We developed a questionnaire to collect information on demographic characteristics, healthcare and social services consumption, formal and informal care utilisation, productivity loss and quality of life. In particular, quality of life was assessed through the EuroQoL tool. Last, we applied the illness cost method from a society perspective. RESULTS: On average, quality of life is worse in adult patients compared to child and caregivers: more than 75% of adult patients declare physical problems, 43% of adult patients and 54% of their parents have anxiety problems. Assuming a society perspective, the estimated mean annual total cost per patient in 2012 is 117,732 €. Drugs represent 92% of total costs. Focusing on costs other than drugs, each additional point of EuroQoL tool implies a costs' reduction of 279 €. The impact of age varies across age groups: each added year implies a total decrease of costs up to 46.6 years old. Afterwards, every additional year increases costs. DISCUSSION: Quality of life of patients with haemophilia and their caregivers improved and it influences positively on consumed resources and on their contribution to the social-economic system. Costs other than drugs for patients with haemophilia follow the same trends of general population.","author":[{"dropping-particle":"","family":"Kodra","given":"Yllka","non-dropping-particle":"","parse-names":false,"suffix":""},{"dropping-particle":"","family":"Cavazza","given":"Marianna","non-dropping-particle":"","parse-names":false,"suffix":""},{"dropping-particle":"","family":"Schieppati","given":"Arrigo","non-dropping-particle":"","parse-names":false,"suffix":""},{"dropping-particle":"","family":"Santis","given":"Marta","non-dropping-particle":"De","parse-names":false,"suffix":""},{"dropping-particle":"","family":"Armeni","given":"Patrizio","non-dropping-particle":"","parse-names":false,"suffix":""},{"dropping-particle":"","family":"Arcieri","given":"Romano","non-dropping-particle":"","parse-names":false,"suffix":""},{"dropping-particle":"","family":"Calizzani","given":"Gabriele","non-dropping-particle":"","parse-names":false,"suffix":""},{"dropping-particle":"","family":"Fattore","given":"Giovanni","non-dropping-particle":"","parse-names":false,"suffix":""},{"dropping-particle":"","family":"Manzoli","given":"Lamberto","non-dropping-particle":"","parse-names":false,"suffix":""},{"dropping-particle":"","family":"Mantovani","given":"Lorenzo","non-dropping-particle":"","parse-names":false,"suffix":""},{"dropping-particle":"","family":"Taruscio","given":"Domenica","non-dropping-particle":"","parse-names":false,"suffix":""}],"container-title":"Blood transfusion = Trasfusione del sangue","id":"ITEM-1","issue":"Suppl 3","issued":{"date-parts":[["2014","4"]]},"language":"eng","page":"s567-75","title":"The social burden and quality of life of patients with haemophilia in Italy","type":"article-journal","volume":"12 Suppl 3"},"uris":["http://www.mendeley.com/documents/?uuid=e569975d-1413-40d0-89d3-06e5985b7d48"]}],"mendeley":{"formattedCitation":"[11]","plainTextFormattedCitation":"[11]","previouslyFormattedCitation":"[11]"},"properties":{"noteIndex":0},"schema":"https://github.com/citation-style-language/schema/raw/master/csl-citation.json"}</w:instrText>
            </w:r>
            <w:r w:rsidR="000B5DCD">
              <w:rPr>
                <w:rFonts w:ascii="Times New Roman" w:hAnsi="Times New Roman" w:cs="Times New Roman"/>
              </w:rPr>
              <w:fldChar w:fldCharType="separate"/>
            </w:r>
            <w:r w:rsidR="000B5DCD" w:rsidRPr="000B5DCD">
              <w:rPr>
                <w:rFonts w:ascii="Times New Roman" w:hAnsi="Times New Roman" w:cs="Times New Roman"/>
                <w:noProof/>
              </w:rPr>
              <w:t>[11]</w:t>
            </w:r>
            <w:r w:rsidR="000B5DCD">
              <w:rPr>
                <w:rFonts w:ascii="Times New Roman" w:hAnsi="Times New Roman" w:cs="Times New Roman"/>
              </w:rPr>
              <w:fldChar w:fldCharType="end"/>
            </w:r>
          </w:p>
        </w:tc>
        <w:tc>
          <w:tcPr>
            <w:tcW w:w="1170" w:type="dxa"/>
            <w:shd w:val="clear" w:color="auto" w:fill="auto"/>
            <w:vAlign w:val="center"/>
          </w:tcPr>
          <w:p w14:paraId="77766FF7"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260" w:type="dxa"/>
            <w:shd w:val="clear" w:color="auto" w:fill="auto"/>
            <w:vAlign w:val="center"/>
          </w:tcPr>
          <w:p w14:paraId="15B24F71"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080" w:type="dxa"/>
            <w:shd w:val="clear" w:color="auto" w:fill="auto"/>
            <w:vAlign w:val="center"/>
          </w:tcPr>
          <w:p w14:paraId="749E6D80"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90" w:type="dxa"/>
            <w:shd w:val="clear" w:color="auto" w:fill="auto"/>
            <w:vAlign w:val="center"/>
          </w:tcPr>
          <w:p w14:paraId="7CDBC454"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170" w:type="dxa"/>
            <w:shd w:val="clear" w:color="auto" w:fill="auto"/>
            <w:vAlign w:val="center"/>
          </w:tcPr>
          <w:p w14:paraId="1607BC09"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117,732</w:t>
            </w:r>
          </w:p>
        </w:tc>
        <w:tc>
          <w:tcPr>
            <w:tcW w:w="900" w:type="dxa"/>
            <w:vAlign w:val="center"/>
          </w:tcPr>
          <w:p w14:paraId="66B74C48"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41C55FF0" w14:textId="0E5ED252"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4BFE5CA5"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7834F357"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226842CC"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14D75F0F"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r>
      <w:tr w:rsidR="00B9572A" w:rsidRPr="004D5D6C" w14:paraId="1948D25A" w14:textId="77777777" w:rsidTr="00A3580F">
        <w:trPr>
          <w:trHeight w:val="391"/>
        </w:trPr>
        <w:tc>
          <w:tcPr>
            <w:tcW w:w="441" w:type="dxa"/>
            <w:shd w:val="clear" w:color="auto" w:fill="DBE5F1"/>
            <w:noWrap/>
            <w:vAlign w:val="center"/>
            <w:hideMark/>
          </w:tcPr>
          <w:p w14:paraId="6736F1B9"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7</w:t>
            </w:r>
          </w:p>
        </w:tc>
        <w:tc>
          <w:tcPr>
            <w:tcW w:w="1444" w:type="dxa"/>
            <w:noWrap/>
            <w:vAlign w:val="center"/>
            <w:hideMark/>
          </w:tcPr>
          <w:p w14:paraId="41E43EB1" w14:textId="0F1C3C99" w:rsidR="00B9572A" w:rsidRPr="004D5D6C" w:rsidRDefault="00B9572A" w:rsidP="00CC7141">
            <w:pPr>
              <w:jc w:val="center"/>
              <w:rPr>
                <w:rFonts w:ascii="Times New Roman" w:hAnsi="Times New Roman" w:cs="Times New Roman"/>
              </w:rPr>
            </w:pPr>
            <w:r w:rsidRPr="004D5D6C">
              <w:rPr>
                <w:rFonts w:ascii="Times New Roman" w:hAnsi="Times New Roman" w:cs="Times New Roman"/>
              </w:rPr>
              <w:t>Zhou et al., 2015, ($)</w:t>
            </w:r>
            <w:r w:rsidR="000B5DCD">
              <w:rPr>
                <w:rFonts w:ascii="Times New Roman" w:hAnsi="Times New Roman" w:cs="Times New Roman"/>
              </w:rPr>
              <w:t xml:space="preserve"> </w:t>
            </w:r>
            <w:r w:rsidR="000B5DCD">
              <w:rPr>
                <w:rFonts w:ascii="Times New Roman" w:hAnsi="Times New Roman" w:cs="Times New Roman"/>
              </w:rPr>
              <w:fldChar w:fldCharType="begin" w:fldLock="1"/>
            </w:r>
            <w:r w:rsidR="000B5DCD">
              <w:rPr>
                <w:rFonts w:ascii="Times New Roman" w:hAnsi="Times New Roman" w:cs="Times New Roman"/>
              </w:rPr>
              <w:instrText>ADDIN CSL_CITATION {"citationItems":[{"id":"ITEM-1","itemData":{"DOI":"10.3111/13696998.2015.1016228","ISSN":"1941-837X (Electronic)","PMID":"25660324","abstract":"OBJECTIVE: To examine the direct and indirect costs of hemophilia care among persons with hemophilia A in the US. METHODS: Observational data were obtained from HUGS-Va, a multi-center study from six federally supported hemophilia treatment centers (HTCs). Eligible individuals completed a standardized initial questionnaire and were followed regularly for 2 years to obtain information on work or school absenteeism, time spent arranging hemophilia care, and unpaid hemophilia-related support from caregivers. Data from 1-year healthcare utilization records and 2-year clotting factor dispensing records measured direct medical costs. Indirect costs were imputed using the human capital approach, which uses wages as a proxy measure of work time output. RESULTS: A total of 222 patients with complete data were included in the analysis. Two-thirds had severe hemophilia and the mean age was 21.1 years. The use of prophylaxis in severe hemophilia patients is associated with statistically significant reduction in the numbers of emergency department (ED) visits and bleeding episodes compared with those who were treated episodically. From the societal perspective, mild hemophilia costs $59,101 (median: $7519) annually per person, $84,363 (median: $61,837) for moderate hemophilia, $201,471 (median: $143,431) for severe hemophilia using episodic treatment, and $301,392 (median: $286,198) for severe hemophilia receiving prophylaxis. Clotting factor contributed from 54% of total costs in mild hemophilia to a maximum of 94% for patients with severe hemophilia receiving prophylaxis. CONCLUSION: Hemophilia is a costly disorder not only because of its high medical expenses, but also due to the high indirect costs incurred.","author":[{"dropping-particle":"","family":"Zhou","given":"Zheng-Yi","non-dropping-particle":"","parse-names":false,"suffix":""},{"dropping-particle":"","family":"Koerper","given":"Marion A","non-dropping-particle":"","parse-names":false,"suffix":""},{"dropping-particle":"","family":"Johnson","given":"Kathleen A","non-dropping-particle":"","parse-names":false,"suffix":""},{"dropping-particle":"","family":"Riske","given":"Brenda","non-dropping-particle":"","parse-names":false,"suffix":""},{"dropping-particle":"","family":"Baker","given":"Judith R","non-dropping-particle":"","parse-names":false,"suffix":""},{"dropping-particle":"","family":"Ullman","given":"Megan","non-dropping-particle":"","parse-names":false,"suffix":""},{"dropping-particle":"","family":"Curtis","given":"Randall G","non-dropping-particle":"","parse-names":false,"suffix":""},{"dropping-particle":"","family":"Poon","given":"Jiat-Ling","non-dropping-particle":"","parse-names":false,"suffix":""},{"dropping-particle":"","family":"Lou","given":"Mimi","non-dropping-particle":"","parse-names":false,"suffix":""},{"dropping-particle":"","family":"Nichol","given":"Michael B","non-dropping-particle":"","parse-names":false,"suffix":""}],"container-title":"Journal of medical economics","id":"ITEM-1","issue":"6","issued":{"date-parts":[["2015","6"]]},"language":"eng","page":"457-465","publisher-place":"England","title":"Burden of illness: direct and indirect costs among persons with hemophilia A in the United States","type":"article-journal","volume":"18"},"uris":["http://www.mendeley.com/documents/?uuid=8157c333-d419-4292-a7ed-e2a6e15144ac"]}],"mendeley":{"formattedCitation":"[13]","plainTextFormattedCitation":"[13]","previouslyFormattedCitation":"[13]"},"properties":{"noteIndex":0},"schema":"https://github.com/citation-style-language/schema/raw/master/csl-citation.json"}</w:instrText>
            </w:r>
            <w:r w:rsidR="000B5DCD">
              <w:rPr>
                <w:rFonts w:ascii="Times New Roman" w:hAnsi="Times New Roman" w:cs="Times New Roman"/>
              </w:rPr>
              <w:fldChar w:fldCharType="separate"/>
            </w:r>
            <w:r w:rsidR="000B5DCD" w:rsidRPr="000B5DCD">
              <w:rPr>
                <w:rFonts w:ascii="Times New Roman" w:hAnsi="Times New Roman" w:cs="Times New Roman"/>
                <w:noProof/>
              </w:rPr>
              <w:t>[13]</w:t>
            </w:r>
            <w:r w:rsidR="000B5DCD">
              <w:rPr>
                <w:rFonts w:ascii="Times New Roman" w:hAnsi="Times New Roman" w:cs="Times New Roman"/>
              </w:rPr>
              <w:fldChar w:fldCharType="end"/>
            </w:r>
          </w:p>
        </w:tc>
        <w:tc>
          <w:tcPr>
            <w:tcW w:w="1170" w:type="dxa"/>
            <w:shd w:val="clear" w:color="auto" w:fill="auto"/>
            <w:vAlign w:val="center"/>
          </w:tcPr>
          <w:p w14:paraId="6C45E922"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260" w:type="dxa"/>
            <w:shd w:val="clear" w:color="auto" w:fill="auto"/>
            <w:vAlign w:val="center"/>
          </w:tcPr>
          <w:p w14:paraId="510DBF94"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080" w:type="dxa"/>
            <w:shd w:val="clear" w:color="auto" w:fill="auto"/>
            <w:vAlign w:val="center"/>
          </w:tcPr>
          <w:p w14:paraId="177B5EEB"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90" w:type="dxa"/>
            <w:shd w:val="clear" w:color="auto" w:fill="auto"/>
            <w:vAlign w:val="center"/>
          </w:tcPr>
          <w:p w14:paraId="72F52227"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1170" w:type="dxa"/>
            <w:shd w:val="clear" w:color="auto" w:fill="auto"/>
            <w:vAlign w:val="center"/>
          </w:tcPr>
          <w:p w14:paraId="412C28A1"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 </w:t>
            </w:r>
          </w:p>
        </w:tc>
        <w:tc>
          <w:tcPr>
            <w:tcW w:w="900" w:type="dxa"/>
            <w:vAlign w:val="center"/>
          </w:tcPr>
          <w:p w14:paraId="27826BF1"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561F8912" w14:textId="20F664B6"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12DA568D"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5D371EFC"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26AC997E"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4689387C"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301,392ᴾ</w:t>
            </w:r>
          </w:p>
        </w:tc>
      </w:tr>
      <w:tr w:rsidR="00B9572A" w:rsidRPr="00C9255F" w14:paraId="64683C97" w14:textId="77777777" w:rsidTr="00A3580F">
        <w:trPr>
          <w:trHeight w:val="298"/>
        </w:trPr>
        <w:tc>
          <w:tcPr>
            <w:tcW w:w="441" w:type="dxa"/>
            <w:shd w:val="clear" w:color="auto" w:fill="DBE5F1"/>
            <w:noWrap/>
            <w:vAlign w:val="center"/>
            <w:hideMark/>
          </w:tcPr>
          <w:p w14:paraId="19BA905A" w14:textId="77777777"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8</w:t>
            </w:r>
          </w:p>
        </w:tc>
        <w:tc>
          <w:tcPr>
            <w:tcW w:w="1444" w:type="dxa"/>
            <w:noWrap/>
            <w:vAlign w:val="center"/>
            <w:hideMark/>
          </w:tcPr>
          <w:p w14:paraId="25409561" w14:textId="11E40E87" w:rsidR="00B9572A" w:rsidRPr="00C9255F" w:rsidRDefault="00B9572A" w:rsidP="00CC7141">
            <w:pPr>
              <w:jc w:val="center"/>
              <w:rPr>
                <w:rFonts w:ascii="Times New Roman" w:hAnsi="Times New Roman" w:cs="Times New Roman"/>
                <w:lang w:val="da-DK"/>
              </w:rPr>
            </w:pPr>
            <w:r w:rsidRPr="004D5D6C">
              <w:rPr>
                <w:rFonts w:ascii="Times New Roman" w:hAnsi="Times New Roman" w:cs="Times New Roman"/>
              </w:rPr>
              <w:t>Cavazza et al., 2016, (€)</w:t>
            </w:r>
            <w:r w:rsidR="000B5DCD">
              <w:rPr>
                <w:rFonts w:ascii="Times New Roman" w:hAnsi="Times New Roman" w:cs="Times New Roman"/>
              </w:rPr>
              <w:t xml:space="preserve"> </w:t>
            </w:r>
            <w:r w:rsidR="000B5DCD">
              <w:rPr>
                <w:rFonts w:ascii="Times New Roman" w:hAnsi="Times New Roman" w:cs="Times New Roman"/>
              </w:rPr>
              <w:fldChar w:fldCharType="begin" w:fldLock="1"/>
            </w:r>
            <w:r w:rsidR="00C9255F">
              <w:rPr>
                <w:rFonts w:ascii="Times New Roman" w:hAnsi="Times New Roman" w:cs="Times New Roman"/>
              </w:rPr>
              <w:instrText>ADDIN CSL_CITATION {"citationItems":[{"id":"ITEM-1","itemData":{"DOI":"10.1007/s10198-016-0785-2","ISSN":"1618-7601 (Electronic)","PMID":"27048374","abstract":"OBJECTIVE: The aim of this study was to determine the economic burden from a societal perspective and the health-related quality of life (HRQOL) of patients with haemophilia in Europe. METHODS: We conducted a cross-sectional study of patients with haemophilia from Bulgaria, France, Germany, Hungary, Italy, Spain Sweden and the UK. Data on demographic characteristics, health resource utilisation, informal care, loss of labour productivity and HRQOL were collected from the questionnaires completed by patients or their caregivers. HRQOL was measured with the EuroQol 5-domain (EQ-5D) questionnaire. The costs have been estimated from a societal perspective adopting a bottom-up approach. RESULTS: A total of 401 questionnaires were included in the study, of which 339 were collected from patients with haemophilia and 62 from caregivers. The lowest average annual cost per person was reported in Bulgaria (€6,660) and the highest in Germany (€194,490). Our results demonstrate both a large difference from country to country in the average annual cost per patient in 2012 and the driving role of drugs in costs. Drugs represent nearly 90 % of direct healthcare costs in a majority of the countries analysed (Hungary, Italy, Spain and Germany). In Bulgaria, France and Sweden, however, healthcare services (visits, tests and hospitalisations) prevail. Costs are also shown to differ between children and adults. The mean EQ-5D index score for adult patients was 0.69 and mean EQ-5D VAS was 66.6. The mean EQ-5D index score for carers was 0.87 and mean EQ-5D VAS was 75.5. In the disability score, 60 % showed no disability and measuring caregiver burden with the Zarit Index produced an overall mean score of 25.3. CONCLUSION: We have shown that haemophilia is associated with a substantial economic burden and impaired HRQOL. Studies on cost of illness and HRQOL are important for haemophilia as the future of this disease is likely to change with the development of new innovative treatments. The introduction of these treatments will most likely impact future costs related to haemophilia.","author":[{"dropping-particle":"","family":"Cavazza","given":"Marianna","non-dropping-particle":"","parse-names":false,"suffix":""},{"dropping-particle":"","family":"Kodra","given":"Yllka","non-dropping-particle":"","parse-names":false,"suffix":""},{"dropping-particle":"","family":"Armeni","given":"Patrizio","non-dropping-particle":"","parse-names":false,"suffix":""},{"dropping-particle":"","family":"Santis","given":"Marta","non-dropping-particle":"De","parse-names":false,"suffix":""},{"dropping-particle":"","family":"López-Bastida","given":"Julio","non-dropping-particle":"","parse-names":false,"suffix":""},{"dropping-particle":"","family":"Linertová","given":"Renata","non-dropping-particle":"","parse-names":false,"suffix":""},{"dropping-particle":"","family":"Oliva-Moreno","given":"Juan","non-dropping-particle":"","parse-names":false,"suffix":""},{"dropping-particle":"","family":"Serrano-Aguilar","given":"Pedro","non-dropping-particle":"","parse-names":false,"suffix":""},{"dropping-particle":"","family":"Posada-de-la-Paz","given":"Manuel","non-dropping-particle":"","parse-names":false,"suffix":""},{"dropping-particle":"","family":"Taruscio","given":"Domenica","non-dropping-particle":"","parse-names":false,"suffix":""},{"dropping-particle":"","family":"Schieppati","given":"Arrigo","non-dropping-particle":"","parse-names":false,"suffix":""},{"dropping-particle":"","family":"Iskrov","given":</w:instrText>
            </w:r>
            <w:r w:rsidR="00C9255F" w:rsidRPr="00C9255F">
              <w:rPr>
                <w:rFonts w:ascii="Times New Roman" w:hAnsi="Times New Roman" w:cs="Times New Roman"/>
                <w:lang w:val="da-DK"/>
              </w:rPr>
              <w:instrText>"Georgi","non-dropping-particle":"","parse-names":false,"suffix":""},{"dropping-particle":"","family":"Gulácsi","given":"László","non-dropping-particle":"","parse-names":false,"suffix":""},{"dropping-particle":"","family":"Schulenburg","given":"Johann Matthias Graf","non-dropping-particle":"von der","parse-names":false,"suffix":""},{"dropping-particle":"","family":"Kanavos","given":"Panos","non-dropping-particle":"","parse-names":false,"suffix":""},{"dropping-particle":"","family":"Chevreul","given":"Karine","non-dropping-particle":"","parse-names":false,"suffix":""},{"dropping-particle":"","family":"Persson","given":"Ulf","non-dropping-particle":"","parse-names":false,"suffix":""},{"dropping-particle":"","family":"Fattore","given":"Giovanni","non-dropping-particle":"","parse-names":false,"suffix":""}],"container-title":"The European journal of health economics : HEPAC : health economics in prevention and care","id":"ITEM-1","issued":{"date-parts":[["2016","4"]]},"language":"eng","page":"53-65","publisher-place":"Germany","title":"Social/economic costs and quality of life in patients with haemophilia in Europe","type":"article-journal","volume":"17 Suppl 1"},"uris":["http://www.mendeley.com/documents/?uuid=77796f99-b216-4b47-98ca-703de2eb5eec"]}],"mendeley":{"formattedCitation":"[14]","plainTextFormattedCitation":"[14]","previouslyFormattedCitation":"[14]"},"properties":{"noteIndex":0},"schema":"https://github.com/citation-style-language/schema/raw/master/csl-citation.json"}</w:instrText>
            </w:r>
            <w:r w:rsidR="000B5DCD">
              <w:rPr>
                <w:rFonts w:ascii="Times New Roman" w:hAnsi="Times New Roman" w:cs="Times New Roman"/>
              </w:rPr>
              <w:fldChar w:fldCharType="separate"/>
            </w:r>
            <w:r w:rsidR="000B5DCD" w:rsidRPr="00C9255F">
              <w:rPr>
                <w:rFonts w:ascii="Times New Roman" w:hAnsi="Times New Roman" w:cs="Times New Roman"/>
                <w:noProof/>
                <w:lang w:val="da-DK"/>
              </w:rPr>
              <w:t>[14]</w:t>
            </w:r>
            <w:r w:rsidR="000B5DCD">
              <w:rPr>
                <w:rFonts w:ascii="Times New Roman" w:hAnsi="Times New Roman" w:cs="Times New Roman"/>
              </w:rPr>
              <w:fldChar w:fldCharType="end"/>
            </w:r>
          </w:p>
        </w:tc>
        <w:tc>
          <w:tcPr>
            <w:tcW w:w="1170" w:type="dxa"/>
            <w:shd w:val="clear" w:color="auto" w:fill="auto"/>
            <w:vAlign w:val="center"/>
          </w:tcPr>
          <w:p w14:paraId="39AF650F"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21,046</w:t>
            </w:r>
          </w:p>
        </w:tc>
        <w:tc>
          <w:tcPr>
            <w:tcW w:w="1260" w:type="dxa"/>
            <w:shd w:val="clear" w:color="auto" w:fill="auto"/>
            <w:vAlign w:val="center"/>
          </w:tcPr>
          <w:p w14:paraId="18C4BA7B"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194,491</w:t>
            </w:r>
          </w:p>
        </w:tc>
        <w:tc>
          <w:tcPr>
            <w:tcW w:w="1080" w:type="dxa"/>
            <w:shd w:val="clear" w:color="auto" w:fill="auto"/>
            <w:vAlign w:val="center"/>
          </w:tcPr>
          <w:p w14:paraId="4E32C5D8"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990" w:type="dxa"/>
            <w:shd w:val="clear" w:color="auto" w:fill="auto"/>
            <w:vAlign w:val="center"/>
          </w:tcPr>
          <w:p w14:paraId="0CDCBC0D"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170" w:type="dxa"/>
            <w:shd w:val="clear" w:color="auto" w:fill="auto"/>
            <w:vAlign w:val="center"/>
          </w:tcPr>
          <w:p w14:paraId="0B26E444"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99,877</w:t>
            </w:r>
          </w:p>
        </w:tc>
        <w:tc>
          <w:tcPr>
            <w:tcW w:w="900" w:type="dxa"/>
            <w:vAlign w:val="center"/>
          </w:tcPr>
          <w:p w14:paraId="603A36EF" w14:textId="77777777" w:rsidR="00B9572A" w:rsidRPr="00C9255F" w:rsidRDefault="00B9572A" w:rsidP="00CC7141">
            <w:pPr>
              <w:jc w:val="center"/>
              <w:rPr>
                <w:rFonts w:ascii="Times New Roman" w:hAnsi="Times New Roman" w:cs="Times New Roman"/>
                <w:color w:val="000000"/>
                <w:lang w:val="da-DK"/>
              </w:rPr>
            </w:pPr>
          </w:p>
        </w:tc>
        <w:tc>
          <w:tcPr>
            <w:tcW w:w="1080" w:type="dxa"/>
            <w:shd w:val="clear" w:color="auto" w:fill="auto"/>
            <w:vAlign w:val="center"/>
          </w:tcPr>
          <w:p w14:paraId="6E0FB840" w14:textId="5173BD83"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6C1C6E40"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62,955</w:t>
            </w:r>
          </w:p>
        </w:tc>
        <w:tc>
          <w:tcPr>
            <w:tcW w:w="1170" w:type="dxa"/>
            <w:shd w:val="clear" w:color="auto" w:fill="auto"/>
            <w:vAlign w:val="center"/>
          </w:tcPr>
          <w:p w14:paraId="19BE88F6"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8,228</w:t>
            </w:r>
          </w:p>
        </w:tc>
        <w:tc>
          <w:tcPr>
            <w:tcW w:w="1170" w:type="dxa"/>
            <w:shd w:val="clear" w:color="auto" w:fill="auto"/>
            <w:vAlign w:val="center"/>
          </w:tcPr>
          <w:p w14:paraId="3D98F4A6"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56,257</w:t>
            </w:r>
          </w:p>
        </w:tc>
        <w:tc>
          <w:tcPr>
            <w:tcW w:w="1170" w:type="dxa"/>
            <w:shd w:val="clear" w:color="auto" w:fill="auto"/>
            <w:vAlign w:val="center"/>
          </w:tcPr>
          <w:p w14:paraId="2FEE4F62"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r>
      <w:tr w:rsidR="00B9572A" w:rsidRPr="00C9255F" w14:paraId="657153E9" w14:textId="77777777" w:rsidTr="00A3580F">
        <w:trPr>
          <w:trHeight w:val="506"/>
        </w:trPr>
        <w:tc>
          <w:tcPr>
            <w:tcW w:w="441" w:type="dxa"/>
            <w:shd w:val="clear" w:color="auto" w:fill="DBE5F1"/>
            <w:noWrap/>
            <w:vAlign w:val="center"/>
            <w:hideMark/>
          </w:tcPr>
          <w:p w14:paraId="0DE94C78" w14:textId="77777777" w:rsidR="00B9572A" w:rsidRPr="00C9255F" w:rsidRDefault="00B9572A" w:rsidP="00CC7141">
            <w:pPr>
              <w:jc w:val="center"/>
              <w:rPr>
                <w:rFonts w:ascii="Times New Roman" w:hAnsi="Times New Roman" w:cs="Times New Roman"/>
                <w:b/>
                <w:bCs/>
                <w:lang w:val="da-DK"/>
              </w:rPr>
            </w:pPr>
            <w:r w:rsidRPr="00C9255F">
              <w:rPr>
                <w:rFonts w:ascii="Times New Roman" w:hAnsi="Times New Roman" w:cs="Times New Roman"/>
                <w:b/>
                <w:bCs/>
                <w:lang w:val="da-DK"/>
              </w:rPr>
              <w:t>9</w:t>
            </w:r>
          </w:p>
        </w:tc>
        <w:tc>
          <w:tcPr>
            <w:tcW w:w="1444" w:type="dxa"/>
            <w:noWrap/>
            <w:vAlign w:val="center"/>
            <w:hideMark/>
          </w:tcPr>
          <w:p w14:paraId="4A274261" w14:textId="0C1F4C78"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lang w:val="da-DK"/>
              </w:rPr>
              <w:t>Chen et al., 2017, ($)</w:t>
            </w:r>
            <w:r w:rsidR="000B5DCD" w:rsidRPr="00C9255F">
              <w:rPr>
                <w:rFonts w:ascii="Times New Roman" w:hAnsi="Times New Roman" w:cs="Times New Roman"/>
                <w:lang w:val="da-DK"/>
              </w:rPr>
              <w:t xml:space="preserve"> </w:t>
            </w:r>
            <w:r w:rsidR="00C9255F">
              <w:rPr>
                <w:rFonts w:ascii="Times New Roman" w:hAnsi="Times New Roman" w:cs="Times New Roman"/>
              </w:rPr>
              <w:fldChar w:fldCharType="begin" w:fldLock="1"/>
            </w:r>
            <w:r w:rsidR="00005897">
              <w:rPr>
                <w:rFonts w:ascii="Times New Roman" w:hAnsi="Times New Roman" w:cs="Times New Roman"/>
                <w:lang w:val="da-DK"/>
              </w:rPr>
              <w:instrText>ADDIN CSL_CITATION {"citationItems":[{"id":"ITEM-1","itemData":{"ISSN":"1098-3015","author":[{"dropping-particle":"","family":"Chen","given":"Christina X","non-dropping-particle":"","parse-names":false,"suffix":""},{"dropping-particle":"","family":"Baker","given":"Judith R","non-dropping-particle":"","parse-names":false,"suffix":""},{"dropping-particle":"","family":"Nichol","given":"Michael B","non-dropping-particle":"","parse-names":false,"suffix":""}],"container-title":"Value in Health","id":"ITEM-1","issue":"8","issued":{"date-parts":[["2017"]]},"page":"1074-1082","publisher":"Elsevier","title":"Economic burden of illness among persons with hemophilia B from HUGS Vb: examining the association of severity and treatment regimens with costs and annual bleed rates","type":"article-journal","volume":"20"},"uris":["http://www.mendeley.com/documents/?uuid=5ee151aa-c171-49cc-9f71-de8c4e4e6700"]}],"mendeley":{"formattedCitation":"[15]","plainTextFormattedCitation":"[15]","previouslyFormattedCitation":"[15]"},"properties":{"noteIndex":0},"schema":"https://github.com/citation-style-language/schema/raw/master/csl-citation.json"}</w:instrText>
            </w:r>
            <w:r w:rsidR="00C9255F">
              <w:rPr>
                <w:rFonts w:ascii="Times New Roman" w:hAnsi="Times New Roman" w:cs="Times New Roman"/>
              </w:rPr>
              <w:fldChar w:fldCharType="separate"/>
            </w:r>
            <w:r w:rsidR="00C9255F" w:rsidRPr="00C9255F">
              <w:rPr>
                <w:rFonts w:ascii="Times New Roman" w:hAnsi="Times New Roman" w:cs="Times New Roman"/>
                <w:noProof/>
                <w:lang w:val="da-DK"/>
              </w:rPr>
              <w:t>[15]</w:t>
            </w:r>
            <w:r w:rsidR="00C9255F">
              <w:rPr>
                <w:rFonts w:ascii="Times New Roman" w:hAnsi="Times New Roman" w:cs="Times New Roman"/>
              </w:rPr>
              <w:fldChar w:fldCharType="end"/>
            </w:r>
          </w:p>
        </w:tc>
        <w:tc>
          <w:tcPr>
            <w:tcW w:w="1170" w:type="dxa"/>
            <w:shd w:val="clear" w:color="auto" w:fill="auto"/>
            <w:vAlign w:val="center"/>
          </w:tcPr>
          <w:p w14:paraId="5F2A5236"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260" w:type="dxa"/>
            <w:shd w:val="clear" w:color="auto" w:fill="auto"/>
            <w:vAlign w:val="center"/>
          </w:tcPr>
          <w:p w14:paraId="75A0CCB0"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080" w:type="dxa"/>
            <w:shd w:val="clear" w:color="auto" w:fill="auto"/>
            <w:vAlign w:val="center"/>
          </w:tcPr>
          <w:p w14:paraId="34D96B6F"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990" w:type="dxa"/>
            <w:shd w:val="clear" w:color="auto" w:fill="auto"/>
            <w:vAlign w:val="center"/>
          </w:tcPr>
          <w:p w14:paraId="13FB3F98"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170" w:type="dxa"/>
            <w:shd w:val="clear" w:color="auto" w:fill="auto"/>
            <w:vAlign w:val="center"/>
          </w:tcPr>
          <w:p w14:paraId="28C35B86"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900" w:type="dxa"/>
            <w:vAlign w:val="center"/>
          </w:tcPr>
          <w:p w14:paraId="0A62883D" w14:textId="77777777" w:rsidR="00B9572A" w:rsidRPr="00C9255F" w:rsidRDefault="00B9572A" w:rsidP="00CC7141">
            <w:pPr>
              <w:jc w:val="center"/>
              <w:rPr>
                <w:rFonts w:ascii="Times New Roman" w:hAnsi="Times New Roman" w:cs="Times New Roman"/>
                <w:color w:val="000000"/>
                <w:lang w:val="da-DK"/>
              </w:rPr>
            </w:pPr>
          </w:p>
        </w:tc>
        <w:tc>
          <w:tcPr>
            <w:tcW w:w="1080" w:type="dxa"/>
            <w:shd w:val="clear" w:color="auto" w:fill="auto"/>
            <w:vAlign w:val="center"/>
          </w:tcPr>
          <w:p w14:paraId="699AEB16" w14:textId="345A61B1"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773988CD"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75420A32"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018E0565"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4071B674"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263,253</w:t>
            </w:r>
            <w:r w:rsidRPr="004D5D6C">
              <w:rPr>
                <w:rFonts w:ascii="Times New Roman" w:hAnsi="Times New Roman" w:cs="Times New Roman"/>
                <w:color w:val="000000"/>
              </w:rPr>
              <w:t>ᴾ</w:t>
            </w:r>
          </w:p>
        </w:tc>
      </w:tr>
      <w:tr w:rsidR="00B9572A" w:rsidRPr="00C9255F" w14:paraId="77C5D11A" w14:textId="77777777" w:rsidTr="00A3580F">
        <w:trPr>
          <w:trHeight w:val="412"/>
        </w:trPr>
        <w:tc>
          <w:tcPr>
            <w:tcW w:w="441" w:type="dxa"/>
            <w:shd w:val="clear" w:color="auto" w:fill="DBE5F1"/>
            <w:noWrap/>
            <w:vAlign w:val="center"/>
            <w:hideMark/>
          </w:tcPr>
          <w:p w14:paraId="47ACF9CB" w14:textId="77777777" w:rsidR="00B9572A" w:rsidRPr="00C9255F" w:rsidRDefault="00B9572A" w:rsidP="00CC7141">
            <w:pPr>
              <w:jc w:val="center"/>
              <w:rPr>
                <w:rFonts w:ascii="Times New Roman" w:hAnsi="Times New Roman" w:cs="Times New Roman"/>
                <w:b/>
                <w:bCs/>
                <w:lang w:val="da-DK"/>
              </w:rPr>
            </w:pPr>
            <w:r w:rsidRPr="00C9255F">
              <w:rPr>
                <w:rFonts w:ascii="Times New Roman" w:hAnsi="Times New Roman" w:cs="Times New Roman"/>
                <w:b/>
                <w:bCs/>
                <w:lang w:val="da-DK"/>
              </w:rPr>
              <w:t>10</w:t>
            </w:r>
          </w:p>
        </w:tc>
        <w:tc>
          <w:tcPr>
            <w:tcW w:w="1444" w:type="dxa"/>
            <w:noWrap/>
            <w:vAlign w:val="center"/>
            <w:hideMark/>
          </w:tcPr>
          <w:p w14:paraId="51F7CD04" w14:textId="7C302533"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lang w:val="da-DK"/>
              </w:rPr>
              <w:t>O’Hara et al., 2017, (€)</w:t>
            </w:r>
            <w:r w:rsidR="00005897">
              <w:rPr>
                <w:rFonts w:ascii="Times New Roman" w:hAnsi="Times New Roman" w:cs="Times New Roman"/>
                <w:lang w:val="da-DK"/>
              </w:rPr>
              <w:t xml:space="preserve"> </w:t>
            </w:r>
            <w:r w:rsidR="00005897">
              <w:rPr>
                <w:rFonts w:ascii="Times New Roman" w:hAnsi="Times New Roman" w:cs="Times New Roman"/>
                <w:lang w:val="da-DK"/>
              </w:rPr>
              <w:fldChar w:fldCharType="begin" w:fldLock="1"/>
            </w:r>
            <w:r w:rsidR="00005897">
              <w:rPr>
                <w:rFonts w:ascii="Times New Roman" w:hAnsi="Times New Roman" w:cs="Times New Roman"/>
                <w:lang w:val="da-DK"/>
              </w:rPr>
              <w:instrText>ADDIN CSL_CITATION {"citationItems":[{"id":"ITEM-1","itemData":{"ISSN":"1750-1172","author":[{"dropping-particle":"","family":"O’Hara","given":"Jamie","non-dropping-particle":"","parse-names":false,"suffix":""},{"dropping-particle":"","family":"Hughes","given":"David","non-dropping-particle":"","parse-names":false,"suffix":""},{"dropping-particle":"","family":"Camp","given":"Charlotte","non-dropping-particle":"","parse-names":false,"suffix":""},{"dropping-particle":"","family":"Burke","given":"Tom","non-dropping-particle":"","parse-names":false,"suffix":""},{"dropping-particle":"","family":"Carroll","given":"Liz","non-dropping-particle":"","parse-names":false,"suffix":""},{"dropping-particle":"","family":"Diego","given":"Daniel-Anibal Garcia","non-dropping-particle":"","parse-names":false,"suffix":""}],"container-title":"Orphanet journal of rare diseases","id":"ITEM-1","issue":"1","issued":{"date-parts":[["2017"]]},"page":"1-8","publisher":"Springer","title":"The cost of severe haemophilia in Europe: the CHESS study","type":"article-journal","volume":"12"},"uris":["http://www.mendeley.com/documents/?uuid=11345695-9419-4546-971f-013f2a165210"]}],"mendeley":{"formattedCitation":"[16]","plainTextFormattedCitation":"[16]","previouslyFormattedCitation":"[16]"},"properties":{"noteIndex":0},"schema":"https://github.com/citation-style-language/schema/raw/master/csl-citation.json"}</w:instrText>
            </w:r>
            <w:r w:rsidR="00005897">
              <w:rPr>
                <w:rFonts w:ascii="Times New Roman" w:hAnsi="Times New Roman" w:cs="Times New Roman"/>
                <w:lang w:val="da-DK"/>
              </w:rPr>
              <w:fldChar w:fldCharType="separate"/>
            </w:r>
            <w:r w:rsidR="00005897" w:rsidRPr="00005897">
              <w:rPr>
                <w:rFonts w:ascii="Times New Roman" w:hAnsi="Times New Roman" w:cs="Times New Roman"/>
                <w:noProof/>
                <w:lang w:val="da-DK"/>
              </w:rPr>
              <w:t>[16]</w:t>
            </w:r>
            <w:r w:rsidR="00005897">
              <w:rPr>
                <w:rFonts w:ascii="Times New Roman" w:hAnsi="Times New Roman" w:cs="Times New Roman"/>
                <w:lang w:val="da-DK"/>
              </w:rPr>
              <w:fldChar w:fldCharType="end"/>
            </w:r>
          </w:p>
        </w:tc>
        <w:tc>
          <w:tcPr>
            <w:tcW w:w="1170" w:type="dxa"/>
            <w:shd w:val="clear" w:color="auto" w:fill="auto"/>
            <w:vAlign w:val="center"/>
          </w:tcPr>
          <w:p w14:paraId="2A80FE5A"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196,117</w:t>
            </w:r>
          </w:p>
        </w:tc>
        <w:tc>
          <w:tcPr>
            <w:tcW w:w="1260" w:type="dxa"/>
            <w:shd w:val="clear" w:color="auto" w:fill="auto"/>
            <w:vAlign w:val="center"/>
          </w:tcPr>
          <w:p w14:paraId="31AA8BC0"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319,024</w:t>
            </w:r>
          </w:p>
        </w:tc>
        <w:tc>
          <w:tcPr>
            <w:tcW w:w="1080" w:type="dxa"/>
            <w:shd w:val="clear" w:color="auto" w:fill="auto"/>
            <w:vAlign w:val="center"/>
          </w:tcPr>
          <w:p w14:paraId="76C02268"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990" w:type="dxa"/>
            <w:shd w:val="clear" w:color="auto" w:fill="auto"/>
            <w:vAlign w:val="center"/>
          </w:tcPr>
          <w:p w14:paraId="43F4F1EF"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170" w:type="dxa"/>
            <w:shd w:val="clear" w:color="auto" w:fill="auto"/>
            <w:vAlign w:val="center"/>
          </w:tcPr>
          <w:p w14:paraId="26F224EF"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220,344</w:t>
            </w:r>
          </w:p>
        </w:tc>
        <w:tc>
          <w:tcPr>
            <w:tcW w:w="900" w:type="dxa"/>
            <w:vAlign w:val="center"/>
          </w:tcPr>
          <w:p w14:paraId="0E641AA6" w14:textId="77777777" w:rsidR="00B9572A" w:rsidRPr="00C9255F" w:rsidRDefault="00B9572A" w:rsidP="00CC7141">
            <w:pPr>
              <w:jc w:val="center"/>
              <w:rPr>
                <w:rFonts w:ascii="Times New Roman" w:hAnsi="Times New Roman" w:cs="Times New Roman"/>
                <w:color w:val="000000"/>
                <w:lang w:val="da-DK"/>
              </w:rPr>
            </w:pPr>
          </w:p>
        </w:tc>
        <w:tc>
          <w:tcPr>
            <w:tcW w:w="1080" w:type="dxa"/>
            <w:shd w:val="clear" w:color="auto" w:fill="auto"/>
            <w:vAlign w:val="center"/>
          </w:tcPr>
          <w:p w14:paraId="327FA6C3" w14:textId="011143D6"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662D5AAF"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173,771</w:t>
            </w:r>
          </w:p>
        </w:tc>
        <w:tc>
          <w:tcPr>
            <w:tcW w:w="1170" w:type="dxa"/>
            <w:shd w:val="clear" w:color="auto" w:fill="auto"/>
            <w:vAlign w:val="center"/>
          </w:tcPr>
          <w:p w14:paraId="74FCCF3A"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21A6D43D"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129,365</w:t>
            </w:r>
          </w:p>
        </w:tc>
        <w:tc>
          <w:tcPr>
            <w:tcW w:w="1170" w:type="dxa"/>
            <w:shd w:val="clear" w:color="auto" w:fill="auto"/>
            <w:vAlign w:val="center"/>
          </w:tcPr>
          <w:p w14:paraId="1828FEDB"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r>
      <w:tr w:rsidR="00B9572A" w:rsidRPr="00C9255F" w14:paraId="13220C81" w14:textId="77777777" w:rsidTr="00A3580F">
        <w:trPr>
          <w:trHeight w:val="435"/>
        </w:trPr>
        <w:tc>
          <w:tcPr>
            <w:tcW w:w="441" w:type="dxa"/>
            <w:shd w:val="clear" w:color="auto" w:fill="DBE5F1"/>
            <w:noWrap/>
            <w:vAlign w:val="center"/>
          </w:tcPr>
          <w:p w14:paraId="4A2EE3AD" w14:textId="2F09D75B" w:rsidR="00B9572A" w:rsidRPr="00C9255F" w:rsidRDefault="00B9572A" w:rsidP="00CC7141">
            <w:pPr>
              <w:jc w:val="center"/>
              <w:rPr>
                <w:rFonts w:ascii="Times New Roman" w:hAnsi="Times New Roman" w:cs="Times New Roman"/>
                <w:b/>
                <w:bCs/>
                <w:lang w:val="da-DK"/>
              </w:rPr>
            </w:pPr>
            <w:r w:rsidRPr="00C9255F">
              <w:rPr>
                <w:rFonts w:ascii="Times New Roman" w:hAnsi="Times New Roman" w:cs="Times New Roman"/>
                <w:b/>
                <w:bCs/>
                <w:lang w:val="da-DK"/>
              </w:rPr>
              <w:lastRenderedPageBreak/>
              <w:t>11</w:t>
            </w:r>
          </w:p>
        </w:tc>
        <w:tc>
          <w:tcPr>
            <w:tcW w:w="1444" w:type="dxa"/>
            <w:noWrap/>
            <w:vAlign w:val="center"/>
          </w:tcPr>
          <w:p w14:paraId="03E14E40" w14:textId="6918B02D"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lang w:val="da-DK"/>
              </w:rPr>
              <w:t>Jadhav and Mukherjee, 2018, (</w:t>
            </w:r>
            <w:r w:rsidR="00AF4BD6" w:rsidRPr="00C9255F">
              <w:rPr>
                <w:rFonts w:ascii="Times New Roman" w:hAnsi="Times New Roman" w:cs="Times New Roman"/>
                <w:lang w:val="da-DK"/>
              </w:rPr>
              <w:t>$</w:t>
            </w:r>
            <w:r w:rsidRPr="00C9255F">
              <w:rPr>
                <w:rFonts w:ascii="Times New Roman" w:hAnsi="Times New Roman" w:cs="Times New Roman"/>
                <w:lang w:val="da-DK"/>
              </w:rPr>
              <w:t>)</w:t>
            </w:r>
            <w:r w:rsidR="00005897">
              <w:rPr>
                <w:rFonts w:ascii="Times New Roman" w:hAnsi="Times New Roman" w:cs="Times New Roman"/>
                <w:lang w:val="da-DK"/>
              </w:rPr>
              <w:t xml:space="preserve"> </w:t>
            </w:r>
            <w:r w:rsidR="00005897">
              <w:rPr>
                <w:rFonts w:ascii="Times New Roman" w:hAnsi="Times New Roman" w:cs="Times New Roman"/>
                <w:lang w:val="da-DK"/>
              </w:rPr>
              <w:fldChar w:fldCharType="begin" w:fldLock="1"/>
            </w:r>
            <w:r w:rsidR="004B1E6C">
              <w:rPr>
                <w:rFonts w:ascii="Times New Roman" w:hAnsi="Times New Roman" w:cs="Times New Roman"/>
                <w:lang w:val="da-DK"/>
              </w:rPr>
              <w:instrText>ADDIN CSL_CITATION {"citationItems":[{"id":"ITEM-1","itemData":{"DOI":"10.4103/jpgm.JPGM_701_16","ISSN":"0972-2823 (Electronic)","PMID":"29067924","abstract":"BACKGROUND: In India, the low public health priority given to rare disorders such as hemophilia hinders their management and optimal care, leading to relatively poor health outcomes. This study aims to profile the multidimensional health status of patients with severe hemophilia A, and its association with the use of healthcare resources and the cost of care in Mumbai region of India. SUBJECTS AND METHODS: A cross-sectional, single-center study was conducted during January-May 2011, among 160 patients diagnosed with severe hemophilia A in Mumbai region of India. Their health status was documented using the Hemophilia Utilization Group Study's validated instrument of Functional Health Status Measure (FHS) and a single item of Self-care Measure. RESULTS: Of 160 patients, 55% (n = 88) scored on the lower side on the FHS, with an average score of 6.65 ± 2.85. The use of healthcare resources and cost of treatment were considerable for patients with a lower mean rank score on the FHS and a higher mean rank score on the self-care measure. The consumption of clotting factor concentrates (CFCs), number of visits to a health facility and incidence of inpatient episodes were significantly associated with a relatively low score on the FHS. Similarly, a higher cost of treatment, in terms of the cost of CFCs, direct cost, emergency room cost, and indirect cost, were significantly associated with a lower score on the FHS. CONCLUSION: The health status of patients with severe hemophilia A is compromised and has a significant impact on the use of healthcare resources and the cost of treatment.","author":[{"dropping-particle":"","family":"Jadhav","given":"U","non-dropping-particle":"","parse-names":false,"suffix":""},{"dropping-particle":"","family":"Mukherjee","given":"K","non-dropping-particle":"","parse-names":false,"suffix":""}],"container-title":"Journal of postgraduate medicine","id":"ITEM-1","issue":"3","issued":{"date-parts":[["2018"]]},"language":"eng","page":"138-144","title":"Assessment of healthcare measures, healthcare resource use, and cost of care among severe hemophilia A patients in Mumbai region of India.","type":"article-journal","volume":"64"},"uris":["http://www.mendeley.com/documents/?uuid=75e46a0e-bf42-4c8e-b571-0943d5be5229"]}],"mendeley":{"formattedCitation":"[17]","plainTextFormattedCitation":"[17]","previouslyFormattedCitation":"[17]"},"properties":{"noteIndex":0},"schema":"https://github.com/citation-style-language/schema/raw/master/csl-citation.json"}</w:instrText>
            </w:r>
            <w:r w:rsidR="00005897">
              <w:rPr>
                <w:rFonts w:ascii="Times New Roman" w:hAnsi="Times New Roman" w:cs="Times New Roman"/>
                <w:lang w:val="da-DK"/>
              </w:rPr>
              <w:fldChar w:fldCharType="separate"/>
            </w:r>
            <w:r w:rsidR="00005897" w:rsidRPr="00005897">
              <w:rPr>
                <w:rFonts w:ascii="Times New Roman" w:hAnsi="Times New Roman" w:cs="Times New Roman"/>
                <w:noProof/>
                <w:lang w:val="da-DK"/>
              </w:rPr>
              <w:t>[17]</w:t>
            </w:r>
            <w:r w:rsidR="00005897">
              <w:rPr>
                <w:rFonts w:ascii="Times New Roman" w:hAnsi="Times New Roman" w:cs="Times New Roman"/>
                <w:lang w:val="da-DK"/>
              </w:rPr>
              <w:fldChar w:fldCharType="end"/>
            </w:r>
          </w:p>
        </w:tc>
        <w:tc>
          <w:tcPr>
            <w:tcW w:w="1170" w:type="dxa"/>
            <w:shd w:val="clear" w:color="auto" w:fill="auto"/>
            <w:vAlign w:val="center"/>
          </w:tcPr>
          <w:p w14:paraId="75839E06" w14:textId="77777777" w:rsidR="00B9572A" w:rsidRPr="00C9255F" w:rsidRDefault="00B9572A" w:rsidP="00CC7141">
            <w:pPr>
              <w:jc w:val="center"/>
              <w:rPr>
                <w:rFonts w:ascii="Times New Roman" w:eastAsia="Calibri" w:hAnsi="Times New Roman" w:cs="Times New Roman"/>
                <w:color w:val="000000"/>
                <w:lang w:val="da-DK"/>
              </w:rPr>
            </w:pPr>
          </w:p>
        </w:tc>
        <w:tc>
          <w:tcPr>
            <w:tcW w:w="1260" w:type="dxa"/>
            <w:shd w:val="clear" w:color="auto" w:fill="auto"/>
            <w:vAlign w:val="center"/>
          </w:tcPr>
          <w:p w14:paraId="555255E6" w14:textId="77777777" w:rsidR="00B9572A" w:rsidRPr="00C9255F" w:rsidRDefault="00B9572A" w:rsidP="00CC7141">
            <w:pPr>
              <w:jc w:val="center"/>
              <w:rPr>
                <w:rFonts w:ascii="Times New Roman" w:eastAsia="Calibri" w:hAnsi="Times New Roman" w:cs="Times New Roman"/>
                <w:color w:val="000000"/>
                <w:lang w:val="da-DK"/>
              </w:rPr>
            </w:pPr>
          </w:p>
        </w:tc>
        <w:tc>
          <w:tcPr>
            <w:tcW w:w="1080" w:type="dxa"/>
            <w:shd w:val="clear" w:color="auto" w:fill="auto"/>
            <w:vAlign w:val="center"/>
          </w:tcPr>
          <w:p w14:paraId="52B62D00" w14:textId="38631F3F" w:rsidR="00B9572A" w:rsidRPr="00C9255F" w:rsidRDefault="00AF4BD6" w:rsidP="00CC7141">
            <w:pPr>
              <w:jc w:val="center"/>
              <w:rPr>
                <w:rFonts w:ascii="Times New Roman" w:eastAsia="Calibri" w:hAnsi="Times New Roman" w:cs="Times New Roman"/>
                <w:color w:val="000000"/>
                <w:lang w:val="da-DK"/>
              </w:rPr>
            </w:pPr>
            <w:r w:rsidRPr="00C9255F">
              <w:rPr>
                <w:rFonts w:ascii="Times New Roman" w:eastAsia="Calibri" w:hAnsi="Times New Roman" w:cs="Times New Roman"/>
                <w:color w:val="000000"/>
                <w:lang w:val="da-DK" w:eastAsia="en-US"/>
              </w:rPr>
              <w:t>442-463</w:t>
            </w:r>
            <w:r w:rsidRPr="004D5D6C">
              <w:rPr>
                <w:rFonts w:ascii="Times New Roman" w:eastAsia="Calibri" w:hAnsi="Times New Roman" w:cs="Times New Roman"/>
                <w:color w:val="000000"/>
                <w:vertAlign w:val="superscript"/>
                <w:lang w:val="en-US" w:eastAsia="en-US"/>
              </w:rPr>
              <w:t>ε</w:t>
            </w:r>
            <w:r w:rsidRPr="00C9255F">
              <w:rPr>
                <w:rFonts w:ascii="Times New Roman" w:eastAsia="Calibri" w:hAnsi="Times New Roman" w:cs="Times New Roman"/>
                <w:color w:val="000000"/>
                <w:vertAlign w:val="superscript"/>
                <w:lang w:val="da-DK" w:eastAsia="en-US"/>
              </w:rPr>
              <w:t>⁑</w:t>
            </w:r>
          </w:p>
        </w:tc>
        <w:tc>
          <w:tcPr>
            <w:tcW w:w="990" w:type="dxa"/>
            <w:shd w:val="clear" w:color="auto" w:fill="auto"/>
            <w:vAlign w:val="center"/>
          </w:tcPr>
          <w:p w14:paraId="31E927AD" w14:textId="77777777" w:rsidR="00B9572A" w:rsidRPr="00C9255F" w:rsidRDefault="00B9572A" w:rsidP="00CC7141">
            <w:pPr>
              <w:jc w:val="center"/>
              <w:rPr>
                <w:rFonts w:ascii="Times New Roman" w:eastAsia="Calibri" w:hAnsi="Times New Roman" w:cs="Times New Roman"/>
                <w:color w:val="000000"/>
                <w:lang w:val="da-DK"/>
              </w:rPr>
            </w:pPr>
          </w:p>
        </w:tc>
        <w:tc>
          <w:tcPr>
            <w:tcW w:w="1170" w:type="dxa"/>
            <w:shd w:val="clear" w:color="auto" w:fill="auto"/>
            <w:vAlign w:val="center"/>
          </w:tcPr>
          <w:p w14:paraId="58A3E70C" w14:textId="77777777" w:rsidR="00B9572A" w:rsidRPr="00C9255F" w:rsidRDefault="00B9572A" w:rsidP="00CC7141">
            <w:pPr>
              <w:jc w:val="center"/>
              <w:rPr>
                <w:rFonts w:ascii="Times New Roman" w:eastAsia="Calibri" w:hAnsi="Times New Roman" w:cs="Times New Roman"/>
                <w:color w:val="000000"/>
                <w:lang w:val="da-DK"/>
              </w:rPr>
            </w:pPr>
          </w:p>
        </w:tc>
        <w:tc>
          <w:tcPr>
            <w:tcW w:w="900" w:type="dxa"/>
            <w:vAlign w:val="center"/>
          </w:tcPr>
          <w:p w14:paraId="254568A4" w14:textId="77777777" w:rsidR="00B9572A" w:rsidRPr="00C9255F" w:rsidRDefault="00B9572A" w:rsidP="00CC7141">
            <w:pPr>
              <w:jc w:val="center"/>
              <w:rPr>
                <w:rFonts w:ascii="Times New Roman" w:hAnsi="Times New Roman" w:cs="Times New Roman"/>
                <w:color w:val="000000"/>
                <w:lang w:val="da-DK"/>
              </w:rPr>
            </w:pPr>
          </w:p>
        </w:tc>
        <w:tc>
          <w:tcPr>
            <w:tcW w:w="1080" w:type="dxa"/>
            <w:shd w:val="clear" w:color="auto" w:fill="auto"/>
            <w:vAlign w:val="center"/>
          </w:tcPr>
          <w:p w14:paraId="22E390FA" w14:textId="315F04BC" w:rsidR="00B9572A" w:rsidRPr="00C9255F" w:rsidRDefault="00B9572A" w:rsidP="00CC7141">
            <w:pPr>
              <w:jc w:val="center"/>
              <w:rPr>
                <w:rFonts w:ascii="Times New Roman" w:hAnsi="Times New Roman" w:cs="Times New Roman"/>
                <w:color w:val="000000"/>
                <w:lang w:val="da-DK"/>
              </w:rPr>
            </w:pPr>
          </w:p>
        </w:tc>
        <w:tc>
          <w:tcPr>
            <w:tcW w:w="1170" w:type="dxa"/>
            <w:shd w:val="clear" w:color="auto" w:fill="auto"/>
            <w:vAlign w:val="center"/>
          </w:tcPr>
          <w:p w14:paraId="0F3D8397" w14:textId="77777777" w:rsidR="00B9572A" w:rsidRPr="00C9255F" w:rsidRDefault="00B9572A" w:rsidP="00CC7141">
            <w:pPr>
              <w:jc w:val="center"/>
              <w:rPr>
                <w:rFonts w:ascii="Times New Roman" w:hAnsi="Times New Roman" w:cs="Times New Roman"/>
                <w:color w:val="000000"/>
                <w:lang w:val="da-DK"/>
              </w:rPr>
            </w:pPr>
          </w:p>
        </w:tc>
        <w:tc>
          <w:tcPr>
            <w:tcW w:w="1170" w:type="dxa"/>
            <w:shd w:val="clear" w:color="auto" w:fill="auto"/>
            <w:vAlign w:val="center"/>
          </w:tcPr>
          <w:p w14:paraId="45EDF73F" w14:textId="77777777" w:rsidR="00B9572A" w:rsidRPr="00C9255F" w:rsidRDefault="00B9572A" w:rsidP="00CC7141">
            <w:pPr>
              <w:jc w:val="center"/>
              <w:rPr>
                <w:rFonts w:ascii="Times New Roman" w:hAnsi="Times New Roman" w:cs="Times New Roman"/>
                <w:color w:val="000000"/>
                <w:lang w:val="da-DK"/>
              </w:rPr>
            </w:pPr>
          </w:p>
        </w:tc>
        <w:tc>
          <w:tcPr>
            <w:tcW w:w="1170" w:type="dxa"/>
            <w:shd w:val="clear" w:color="auto" w:fill="auto"/>
            <w:vAlign w:val="center"/>
          </w:tcPr>
          <w:p w14:paraId="5532F8FD" w14:textId="77777777" w:rsidR="00B9572A" w:rsidRPr="00C9255F" w:rsidRDefault="00B9572A" w:rsidP="00CC7141">
            <w:pPr>
              <w:jc w:val="center"/>
              <w:rPr>
                <w:rFonts w:ascii="Times New Roman" w:hAnsi="Times New Roman" w:cs="Times New Roman"/>
                <w:color w:val="000000"/>
                <w:lang w:val="da-DK"/>
              </w:rPr>
            </w:pPr>
          </w:p>
        </w:tc>
        <w:tc>
          <w:tcPr>
            <w:tcW w:w="1170" w:type="dxa"/>
            <w:shd w:val="clear" w:color="auto" w:fill="auto"/>
            <w:vAlign w:val="center"/>
          </w:tcPr>
          <w:p w14:paraId="1F86D83B" w14:textId="77777777" w:rsidR="00B9572A" w:rsidRPr="00C9255F" w:rsidRDefault="00B9572A" w:rsidP="00CC7141">
            <w:pPr>
              <w:jc w:val="center"/>
              <w:rPr>
                <w:rFonts w:ascii="Times New Roman" w:hAnsi="Times New Roman" w:cs="Times New Roman"/>
                <w:color w:val="000000"/>
                <w:lang w:val="da-DK"/>
              </w:rPr>
            </w:pPr>
          </w:p>
        </w:tc>
      </w:tr>
      <w:tr w:rsidR="00B9572A" w:rsidRPr="00C9255F" w14:paraId="0EE70DA8" w14:textId="77777777" w:rsidTr="00A3580F">
        <w:trPr>
          <w:trHeight w:val="435"/>
        </w:trPr>
        <w:tc>
          <w:tcPr>
            <w:tcW w:w="441" w:type="dxa"/>
            <w:shd w:val="clear" w:color="auto" w:fill="DBE5F1"/>
            <w:noWrap/>
            <w:vAlign w:val="center"/>
            <w:hideMark/>
          </w:tcPr>
          <w:p w14:paraId="7AF3BF76" w14:textId="7D2F89C9" w:rsidR="00B9572A" w:rsidRPr="00C9255F" w:rsidRDefault="00B9572A" w:rsidP="00CC7141">
            <w:pPr>
              <w:jc w:val="center"/>
              <w:rPr>
                <w:rFonts w:ascii="Times New Roman" w:hAnsi="Times New Roman" w:cs="Times New Roman"/>
                <w:b/>
                <w:bCs/>
                <w:lang w:val="da-DK"/>
              </w:rPr>
            </w:pPr>
            <w:r w:rsidRPr="00C9255F">
              <w:rPr>
                <w:rFonts w:ascii="Times New Roman" w:hAnsi="Times New Roman" w:cs="Times New Roman"/>
                <w:b/>
                <w:bCs/>
                <w:lang w:val="da-DK"/>
              </w:rPr>
              <w:t>12</w:t>
            </w:r>
          </w:p>
        </w:tc>
        <w:tc>
          <w:tcPr>
            <w:tcW w:w="1444" w:type="dxa"/>
            <w:noWrap/>
            <w:vAlign w:val="center"/>
            <w:hideMark/>
          </w:tcPr>
          <w:p w14:paraId="74051D28" w14:textId="3DA078E3"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lang w:val="da-DK"/>
              </w:rPr>
              <w:t>Gupta et al., 2019, ($)</w:t>
            </w:r>
            <w:r w:rsidR="00005897">
              <w:rPr>
                <w:rFonts w:ascii="Times New Roman" w:hAnsi="Times New Roman" w:cs="Times New Roman"/>
                <w:lang w:val="da-DK"/>
              </w:rPr>
              <w:t xml:space="preserve"> </w:t>
            </w:r>
            <w:r w:rsidR="004B1E6C">
              <w:rPr>
                <w:rFonts w:ascii="Times New Roman" w:hAnsi="Times New Roman" w:cs="Times New Roman"/>
                <w:lang w:val="da-DK"/>
              </w:rPr>
              <w:fldChar w:fldCharType="begin" w:fldLock="1"/>
            </w:r>
            <w:r w:rsidR="004B1E6C">
              <w:rPr>
                <w:rFonts w:ascii="Times New Roman" w:hAnsi="Times New Roman" w:cs="Times New Roman"/>
                <w:lang w:val="da-DK"/>
              </w:rPr>
              <w:instrText>ADDIN CSL_CITATION {"citationItems":[{"id":"ITEM-1","itemData":{"ISSN":"2512-9465","author":[{"dropping-particle":"","family":"Gupta","given":"Naresh","non-dropping-particle":"","parse-names":false,"suffix":""},{"dropping-particle":"","family":"Benbouzid","given":"Abderrahmane","non-dropping-particle":"","parse-names":false,"suffix":""},{"dropping-particle":"","family":"Belhani","given":"Meriem","non-dropping-particle":"","parse-names":false,"suffix":""},{"dropping-particle":"","family":"Andaloussi","given":"Mohammed","non-dropping-particle":"El","parse-names":false,"suffix":""},{"dropping-particle":"","family":"Maani","given":"Khadija","non-dropping-particle":"","parse-names":false,"suffix":""},{"dropping-particle":"","family":"Wali","given":"Yasser","non-dropping-particle":"","parse-names":false,"suffix":""},{"dropping-particle":"","family":"Fegoun","given":"Soraya Benchikh","non-dropping-particle":"El","parse-names":false,"suffix":""},{"dropping-particle":"","family":"Saad","given":"Hossam Ali","non-dropping-particle":"","parse-names":false,"suffix":""},{"dropping-particle":"","family":"Mahlangu","given":"Johnny","non-dropping-particle":"","parse-names":false,"suffix":""}],"container-title":"TH Open","id":"ITEM-1","issue":"02","issued":{"date-parts":[["2019"]]},"page":"e190-e199","publisher":"Georg Thieme Verlag KG","title":"HAEMOcare: the first international epidemiological study measuring burden of hemophilia in developing countries","type":"article-journal","volume":"3"},"uris":["http://www.mendeley.com/documents/?uuid=8f6ea174-f8ff-4086-b499-44eee9542341"]}],"mendeley":{"formattedCitation":"[19]","plainTextFormattedCitation":"[19]","previouslyFormattedCitation":"[19]"},"properties":{"noteIndex":0},"schema":"https://github.com/citation-style-language/schema/raw/master/csl-citation.json"}</w:instrText>
            </w:r>
            <w:r w:rsidR="004B1E6C">
              <w:rPr>
                <w:rFonts w:ascii="Times New Roman" w:hAnsi="Times New Roman" w:cs="Times New Roman"/>
                <w:lang w:val="da-DK"/>
              </w:rPr>
              <w:fldChar w:fldCharType="separate"/>
            </w:r>
            <w:r w:rsidR="004B1E6C" w:rsidRPr="004B1E6C">
              <w:rPr>
                <w:rFonts w:ascii="Times New Roman" w:hAnsi="Times New Roman" w:cs="Times New Roman"/>
                <w:noProof/>
                <w:lang w:val="da-DK"/>
              </w:rPr>
              <w:t>[19]</w:t>
            </w:r>
            <w:r w:rsidR="004B1E6C">
              <w:rPr>
                <w:rFonts w:ascii="Times New Roman" w:hAnsi="Times New Roman" w:cs="Times New Roman"/>
                <w:lang w:val="da-DK"/>
              </w:rPr>
              <w:fldChar w:fldCharType="end"/>
            </w:r>
          </w:p>
        </w:tc>
        <w:tc>
          <w:tcPr>
            <w:tcW w:w="1170" w:type="dxa"/>
            <w:shd w:val="clear" w:color="auto" w:fill="auto"/>
            <w:vAlign w:val="center"/>
          </w:tcPr>
          <w:p w14:paraId="033C7B26"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260" w:type="dxa"/>
            <w:shd w:val="clear" w:color="auto" w:fill="auto"/>
            <w:vAlign w:val="center"/>
          </w:tcPr>
          <w:p w14:paraId="424D1EC5"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080" w:type="dxa"/>
            <w:shd w:val="clear" w:color="auto" w:fill="auto"/>
            <w:vAlign w:val="center"/>
          </w:tcPr>
          <w:p w14:paraId="23A24DBA" w14:textId="41DEEE39" w:rsidR="00B9572A" w:rsidRPr="00C9255F" w:rsidRDefault="00B9572A" w:rsidP="00CC7141">
            <w:pPr>
              <w:jc w:val="center"/>
              <w:rPr>
                <w:rFonts w:ascii="Times New Roman" w:hAnsi="Times New Roman" w:cs="Times New Roman"/>
                <w:lang w:val="da-DK"/>
              </w:rPr>
            </w:pPr>
          </w:p>
        </w:tc>
        <w:tc>
          <w:tcPr>
            <w:tcW w:w="990" w:type="dxa"/>
            <w:shd w:val="clear" w:color="auto" w:fill="auto"/>
            <w:vAlign w:val="center"/>
          </w:tcPr>
          <w:p w14:paraId="248CA11A"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170" w:type="dxa"/>
            <w:shd w:val="clear" w:color="auto" w:fill="auto"/>
            <w:vAlign w:val="center"/>
          </w:tcPr>
          <w:p w14:paraId="420D35B1"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900" w:type="dxa"/>
            <w:vAlign w:val="center"/>
          </w:tcPr>
          <w:p w14:paraId="1E70B3E3" w14:textId="5449FB79" w:rsidR="00B9572A" w:rsidRPr="00C9255F" w:rsidRDefault="00AF4BD6" w:rsidP="00CC7141">
            <w:pPr>
              <w:jc w:val="center"/>
              <w:rPr>
                <w:rFonts w:ascii="Times New Roman" w:hAnsi="Times New Roman" w:cs="Times New Roman"/>
                <w:color w:val="000000"/>
                <w:lang w:val="da-DK"/>
              </w:rPr>
            </w:pPr>
            <w:r w:rsidRPr="00C9255F">
              <w:rPr>
                <w:rFonts w:ascii="Times New Roman" w:hAnsi="Times New Roman" w:cs="Times New Roman"/>
                <w:color w:val="000000"/>
                <w:lang w:val="da-DK"/>
              </w:rPr>
              <w:t>19,513</w:t>
            </w:r>
          </w:p>
        </w:tc>
        <w:tc>
          <w:tcPr>
            <w:tcW w:w="1080" w:type="dxa"/>
            <w:shd w:val="clear" w:color="auto" w:fill="auto"/>
            <w:vAlign w:val="center"/>
          </w:tcPr>
          <w:p w14:paraId="0FD19993" w14:textId="72CC3095"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76FD60CF"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7177DF2E"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1EB9DCD4"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5B5960E5"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r>
      <w:tr w:rsidR="00B9572A" w:rsidRPr="00C9255F" w14:paraId="5AE05C05" w14:textId="77777777" w:rsidTr="00A3580F">
        <w:trPr>
          <w:trHeight w:val="348"/>
        </w:trPr>
        <w:tc>
          <w:tcPr>
            <w:tcW w:w="441" w:type="dxa"/>
            <w:shd w:val="clear" w:color="auto" w:fill="DBE5F1"/>
            <w:noWrap/>
            <w:vAlign w:val="center"/>
            <w:hideMark/>
          </w:tcPr>
          <w:p w14:paraId="51039F0D" w14:textId="778F6A85" w:rsidR="00B9572A" w:rsidRPr="00C9255F" w:rsidRDefault="00B9572A" w:rsidP="00CC7141">
            <w:pPr>
              <w:jc w:val="center"/>
              <w:rPr>
                <w:rFonts w:ascii="Times New Roman" w:hAnsi="Times New Roman" w:cs="Times New Roman"/>
                <w:b/>
                <w:bCs/>
                <w:lang w:val="da-DK"/>
              </w:rPr>
            </w:pPr>
            <w:r w:rsidRPr="00C9255F">
              <w:rPr>
                <w:rFonts w:ascii="Times New Roman" w:hAnsi="Times New Roman" w:cs="Times New Roman"/>
                <w:b/>
                <w:bCs/>
                <w:lang w:val="da-DK"/>
              </w:rPr>
              <w:t>13</w:t>
            </w:r>
          </w:p>
        </w:tc>
        <w:tc>
          <w:tcPr>
            <w:tcW w:w="1444" w:type="dxa"/>
            <w:noWrap/>
            <w:vAlign w:val="center"/>
            <w:hideMark/>
          </w:tcPr>
          <w:p w14:paraId="12F99855" w14:textId="3001FA2E"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lang w:val="da-DK"/>
              </w:rPr>
              <w:t>Keshavarz et al., 2020, ($)</w:t>
            </w:r>
            <w:r w:rsidR="00005897">
              <w:rPr>
                <w:rFonts w:ascii="Times New Roman" w:hAnsi="Times New Roman" w:cs="Times New Roman"/>
                <w:lang w:val="da-DK"/>
              </w:rPr>
              <w:t xml:space="preserve"> </w:t>
            </w:r>
            <w:r w:rsidR="004B1E6C">
              <w:rPr>
                <w:rFonts w:ascii="Times New Roman" w:hAnsi="Times New Roman" w:cs="Times New Roman"/>
                <w:lang w:val="da-DK"/>
              </w:rPr>
              <w:fldChar w:fldCharType="begin" w:fldLock="1"/>
            </w:r>
            <w:r w:rsidR="004B1E6C">
              <w:rPr>
                <w:rFonts w:ascii="Times New Roman" w:hAnsi="Times New Roman" w:cs="Times New Roman"/>
                <w:lang w:val="da-DK"/>
              </w:rPr>
              <w:instrText>ADDIN CSL_CITATION {"citationItems":[{"id":"ITEM-1","itemData":{"DOI":"10.1080/16078454.2020.1741205","ISSN":"1607-8454 (Electronic)","PMID":"32249720","abstract":"Objective: To estimate the economic burden of hemophilia A and B in the patients referred to the related referral hospital in the south of Iran in 2017.Methods: This cross-sectional study was a partial economic evaluation and a cost of illness study, carried out in 2017. All the patients with hemophilia A and B referred to the related hospital affiliated to Shiraz University of Medical Sciences in the south of Iran were included in the study (N = n = 253). A data collection form was used to collect the required data, including patients' direct and indirect costs.Results: The mean annual cost was 36028 USD. The mean costs per patient with hemophilia A and B were 37661 USD and 30775 USD, respectively, in which the greatest part were related to direct medical costs (98.32% in hemophilia A, 98.18% in hemophilia B, and 98.29% of the total costs), and the cost of clotting factor concentrates accounted for the largest share of the patients' direct medical costs. Also, considering the number of hemophilia patients in Iran, the mean annual cost of the patients in 2017 was 414480325 USD, of which 381503701 USD was for hemophilia A and 32976624 USD was for hemophilia B patients.Conclusion: Considering the significant economic burden of hemophilia and in order to reduce the costs, the following suggestions can be offered: provision of clotting factor concentrates domestically in accordance with the world standards, and providing specialized services and care to hemophilia patients in towns.","author":[{"dropping-particle":"","family":"Keshavarz","given":"Khosro","non-dropping-particle":"","parse-names":false,"suffix":""},{"dropping-particle":"","family":"Bordbar","given":"Mohammadreza","non-dropping-particle":"","parse-names":false,"suffix":""},{"dropping-particle":"","family":"Hashemipoor","given":"Zeinab","non-dropping-particle":"","parse-names":false,"suffix":""},{"dropping-particle":"","family":"Jalali","given":"Farideh Sadat","non-dropping-particle":"","parse-names":false,"suffix":""},{"dropping-particle":"","family":"Ravangard","given":"Ramin","non-dropping-particle":"","parse-names":false,"suffix":""}],"container-title":"Hematology (Amsterdam, Netherlands)","id":"ITEM-1","issue":"1","issued":{"date-parts":[["2020","12"]]},"language":"eng","page":"149-155","publisher-place":"England","title":"Economic burden of hemophilia A and B: a case in Iran","type":"article-journal","volume":"25"},"uris":["http://www.mendeley.com/documents/?uuid=7f65e374-d3d0-46b8-88f1-618c80daf274"]}],"mendeley":{"formattedCitation":"[20]","plainTextFormattedCitation":"[20]","previouslyFormattedCitation":"[20]"},"properties":{"noteIndex":0},"schema":"https://github.com/citation-style-language/schema/raw/master/csl-citation.json"}</w:instrText>
            </w:r>
            <w:r w:rsidR="004B1E6C">
              <w:rPr>
                <w:rFonts w:ascii="Times New Roman" w:hAnsi="Times New Roman" w:cs="Times New Roman"/>
                <w:lang w:val="da-DK"/>
              </w:rPr>
              <w:fldChar w:fldCharType="separate"/>
            </w:r>
            <w:r w:rsidR="004B1E6C" w:rsidRPr="004B1E6C">
              <w:rPr>
                <w:rFonts w:ascii="Times New Roman" w:hAnsi="Times New Roman" w:cs="Times New Roman"/>
                <w:noProof/>
                <w:lang w:val="da-DK"/>
              </w:rPr>
              <w:t>[20]</w:t>
            </w:r>
            <w:r w:rsidR="004B1E6C">
              <w:rPr>
                <w:rFonts w:ascii="Times New Roman" w:hAnsi="Times New Roman" w:cs="Times New Roman"/>
                <w:lang w:val="da-DK"/>
              </w:rPr>
              <w:fldChar w:fldCharType="end"/>
            </w:r>
          </w:p>
        </w:tc>
        <w:tc>
          <w:tcPr>
            <w:tcW w:w="1170" w:type="dxa"/>
            <w:shd w:val="clear" w:color="auto" w:fill="auto"/>
            <w:vAlign w:val="center"/>
          </w:tcPr>
          <w:p w14:paraId="0C55A9DB"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260" w:type="dxa"/>
            <w:shd w:val="clear" w:color="auto" w:fill="auto"/>
            <w:vAlign w:val="center"/>
          </w:tcPr>
          <w:p w14:paraId="4D61FA25"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1080" w:type="dxa"/>
            <w:shd w:val="clear" w:color="auto" w:fill="auto"/>
            <w:vAlign w:val="center"/>
          </w:tcPr>
          <w:p w14:paraId="42C63123"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990" w:type="dxa"/>
            <w:shd w:val="clear" w:color="auto" w:fill="auto"/>
            <w:vAlign w:val="center"/>
          </w:tcPr>
          <w:p w14:paraId="4857E16F" w14:textId="42265B32"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36,028</w:t>
            </w:r>
          </w:p>
        </w:tc>
        <w:tc>
          <w:tcPr>
            <w:tcW w:w="1170" w:type="dxa"/>
            <w:shd w:val="clear" w:color="auto" w:fill="auto"/>
            <w:vAlign w:val="center"/>
          </w:tcPr>
          <w:p w14:paraId="6E70315E" w14:textId="77777777" w:rsidR="00B9572A" w:rsidRPr="00C9255F" w:rsidRDefault="00B9572A" w:rsidP="00CC7141">
            <w:pPr>
              <w:jc w:val="center"/>
              <w:rPr>
                <w:rFonts w:ascii="Times New Roman" w:hAnsi="Times New Roman" w:cs="Times New Roman"/>
                <w:lang w:val="da-DK"/>
              </w:rPr>
            </w:pPr>
            <w:r w:rsidRPr="00C9255F">
              <w:rPr>
                <w:rFonts w:ascii="Times New Roman" w:eastAsia="Calibri" w:hAnsi="Times New Roman" w:cs="Times New Roman"/>
                <w:color w:val="000000"/>
                <w:lang w:val="da-DK"/>
              </w:rPr>
              <w:t> </w:t>
            </w:r>
          </w:p>
        </w:tc>
        <w:tc>
          <w:tcPr>
            <w:tcW w:w="900" w:type="dxa"/>
            <w:vAlign w:val="center"/>
          </w:tcPr>
          <w:p w14:paraId="145E198D" w14:textId="77777777" w:rsidR="00B9572A" w:rsidRPr="00C9255F" w:rsidRDefault="00B9572A" w:rsidP="00CC7141">
            <w:pPr>
              <w:jc w:val="center"/>
              <w:rPr>
                <w:rFonts w:ascii="Times New Roman" w:hAnsi="Times New Roman" w:cs="Times New Roman"/>
                <w:color w:val="000000"/>
                <w:lang w:val="da-DK"/>
              </w:rPr>
            </w:pPr>
          </w:p>
        </w:tc>
        <w:tc>
          <w:tcPr>
            <w:tcW w:w="1080" w:type="dxa"/>
            <w:shd w:val="clear" w:color="auto" w:fill="auto"/>
            <w:vAlign w:val="center"/>
          </w:tcPr>
          <w:p w14:paraId="6122DF61" w14:textId="64B1CEF9"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11E06C60"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69AA5412"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46683565"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c>
          <w:tcPr>
            <w:tcW w:w="1170" w:type="dxa"/>
            <w:shd w:val="clear" w:color="auto" w:fill="auto"/>
            <w:vAlign w:val="center"/>
          </w:tcPr>
          <w:p w14:paraId="26D52B06" w14:textId="77777777"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color w:val="000000"/>
                <w:lang w:val="da-DK"/>
              </w:rPr>
              <w:t> </w:t>
            </w:r>
          </w:p>
        </w:tc>
      </w:tr>
      <w:tr w:rsidR="00B9572A" w:rsidRPr="004D5D6C" w14:paraId="52CA92B0" w14:textId="77777777" w:rsidTr="00A3580F">
        <w:trPr>
          <w:trHeight w:val="412"/>
        </w:trPr>
        <w:tc>
          <w:tcPr>
            <w:tcW w:w="441" w:type="dxa"/>
            <w:shd w:val="clear" w:color="auto" w:fill="DBE5F1"/>
            <w:noWrap/>
            <w:vAlign w:val="center"/>
            <w:hideMark/>
          </w:tcPr>
          <w:p w14:paraId="6C3719A9" w14:textId="2FF413E4" w:rsidR="00B9572A" w:rsidRPr="00C9255F" w:rsidRDefault="00B9572A" w:rsidP="00CC7141">
            <w:pPr>
              <w:jc w:val="center"/>
              <w:rPr>
                <w:rFonts w:ascii="Times New Roman" w:hAnsi="Times New Roman" w:cs="Times New Roman"/>
                <w:b/>
                <w:bCs/>
                <w:lang w:val="da-DK"/>
              </w:rPr>
            </w:pPr>
            <w:r w:rsidRPr="00C9255F">
              <w:rPr>
                <w:rFonts w:ascii="Times New Roman" w:hAnsi="Times New Roman" w:cs="Times New Roman"/>
                <w:b/>
                <w:bCs/>
                <w:lang w:val="da-DK"/>
              </w:rPr>
              <w:t>14</w:t>
            </w:r>
          </w:p>
        </w:tc>
        <w:tc>
          <w:tcPr>
            <w:tcW w:w="1444" w:type="dxa"/>
            <w:noWrap/>
            <w:vAlign w:val="center"/>
            <w:hideMark/>
          </w:tcPr>
          <w:p w14:paraId="18E04D2D" w14:textId="61F79972" w:rsidR="00B9572A" w:rsidRPr="00C9255F" w:rsidRDefault="00B9572A" w:rsidP="00CC7141">
            <w:pPr>
              <w:jc w:val="center"/>
              <w:rPr>
                <w:rFonts w:ascii="Times New Roman" w:hAnsi="Times New Roman" w:cs="Times New Roman"/>
                <w:lang w:val="da-DK"/>
              </w:rPr>
            </w:pPr>
            <w:r w:rsidRPr="00C9255F">
              <w:rPr>
                <w:rFonts w:ascii="Times New Roman" w:hAnsi="Times New Roman" w:cs="Times New Roman"/>
                <w:lang w:val="da-DK"/>
              </w:rPr>
              <w:t>Burke et al., 2021a, (€)</w:t>
            </w:r>
            <w:r w:rsidR="00005897">
              <w:rPr>
                <w:rFonts w:ascii="Times New Roman" w:hAnsi="Times New Roman" w:cs="Times New Roman"/>
                <w:lang w:val="da-DK"/>
              </w:rPr>
              <w:t xml:space="preserve"> </w:t>
            </w:r>
            <w:r w:rsidR="004B1E6C">
              <w:rPr>
                <w:rFonts w:ascii="Times New Roman" w:hAnsi="Times New Roman" w:cs="Times New Roman"/>
                <w:lang w:val="da-DK"/>
              </w:rPr>
              <w:fldChar w:fldCharType="begin" w:fldLock="1"/>
            </w:r>
            <w:r w:rsidR="004B1E6C">
              <w:rPr>
                <w:rFonts w:ascii="Times New Roman" w:hAnsi="Times New Roman" w:cs="Times New Roman"/>
                <w:lang w:val="da-DK"/>
              </w:rPr>
              <w:instrText>ADDIN CSL_CITATION {"citationItems":[{"id":"ITEM-1","itemData":{"DOI":"10.1186/s13023-021-02152-1","ISSN":"1750-1172 (Electronic)","PMID":"34930388","abstract":"BACKGROUND: Real-world studies of the burden of severe haemophilia B in the context of recent therapeutic advances such as extended half-life (EHL) factor IX (FIX) products are limited. We analysed data from the recent CHESS II study to better understand the clinical, humanistic, and economic burden of severe haemophilia B in Europe. Data from male adults with severe haemophilia B receiving prophylaxis were analysed from the retrospective cross-sectional CHESS II study conducted in Germany, France, Italy, Spain and the United Kingdom. Inhibitors were exclusionary. Patients and physicians completed questionnaires on bleeding, joint status, quality of life, and haemophilia-related direct and indirect costs (2019-2020). All outcomes were summarised using descriptive statistics. RESULTS: A total of 75 CHESS II patients were eligible and included; 40 p</w:instrText>
            </w:r>
            <w:r w:rsidR="004B1E6C">
              <w:rPr>
                <w:rFonts w:ascii="Times New Roman" w:hAnsi="Times New Roman" w:cs="Times New Roman" w:hint="eastAsia"/>
                <w:lang w:val="da-DK"/>
              </w:rPr>
              <w:instrText xml:space="preserve">atients (53%) provided self-reported outcomes. Mean age was 36.2 years. Approximately half the patients were receiving EHL versus standard half-life (SHL) prophylaxis (44% vs 56%). Most patients reported mild or moderate chronic pain (76%) and had </w:instrText>
            </w:r>
            <w:r w:rsidR="004B1E6C">
              <w:rPr>
                <w:rFonts w:ascii="Times New Roman" w:hAnsi="Times New Roman" w:cs="Times New Roman" w:hint="eastAsia"/>
                <w:lang w:val="da-DK"/>
              </w:rPr>
              <w:instrText>≥</w:instrText>
            </w:r>
            <w:r w:rsidR="004B1E6C">
              <w:rPr>
                <w:rFonts w:ascii="Times New Roman" w:hAnsi="Times New Roman" w:cs="Times New Roman" w:hint="eastAsia"/>
                <w:lang w:val="da-DK"/>
              </w:rPr>
              <w:instrText xml:space="preserve"> 2 ble</w:instrText>
            </w:r>
            <w:r w:rsidR="004B1E6C">
              <w:rPr>
                <w:rFonts w:ascii="Times New Roman" w:hAnsi="Times New Roman" w:cs="Times New Roman"/>
                <w:lang w:val="da-DK"/>
              </w:rPr>
              <w:instrText>eding events per year (70%), with a mean annualised bleed rate of 2.4. Mean annual total haemophilia-related direct medical cost per patient was €235,723, driven by FIX costs (€232,328 overall, n = 40; €186,528 for SHL, €290,620 for EHL). Mean annual indirect costs (€8,973) were driven by early retirement or work stoppage due to haemophilia. Mean quality of life (EQ-5D) score was 0.67. CONCLUSIONS: These data document a substantial, persistent real-world burden of severe haemophilia B in Europe. Unmet needs persist for these patients, their caregivers, and society.","author":[{"dropping-particle":"","family":"Burke","given":"Tom","non-dropping-particle":"","parse-names":false,"suffix":""},{"dropping-particle":"","family":"Asghar","given":"Sohaib","non-dropping-particle":"","parse-names":false,"suffix":""},{"dropping-particle":"","family":"O'Hara","given":"Jamie","non-dropping-particle":"","parse-names":false,"suffix":""},{"dropping-particle":"","family":"Chuang","given":"Margaret","non-dropping-particle":"","parse-names":false,"suffix":""},{"dropping-particle":"","family":"Sawyer","given":"Eileen K","non-dropping-particle":"","parse-names":false,"suffix":""},{"dropping-particle":"","family":"Li","given":"Nanxin","non-dropping-particle":"","parse-names":false,"suffix":""}],"container-title":"Orphanet journal of rare diseases","id":"ITEM-1","issue":"1","issued":{"date-parts":[["2021","12"]]},"language":"eng","page":"521","title":"Clinical, humanistic, and economic burden of severe haemophilia B in adults receiving factor IX prophylaxis: findings from the CHESS II real-world burden of illness study in Europe","type":"article-journal","volume":"16"},"uris":["http://www.mendeley.com/documents/?uuid=259389fe-3c96-499e-b58b-3f89fd031c68"]}],"mendeley":{"formattedCitation":"[21]","plainTextFormattedCitation":"[21]","previouslyFormattedCitation":"[21]"},"properties":{"noteIndex":0},"schema":"https://github.com/citation-style-language/schema/raw/master/csl-citation.json"}</w:instrText>
            </w:r>
            <w:r w:rsidR="004B1E6C">
              <w:rPr>
                <w:rFonts w:ascii="Times New Roman" w:hAnsi="Times New Roman" w:cs="Times New Roman"/>
                <w:lang w:val="da-DK"/>
              </w:rPr>
              <w:fldChar w:fldCharType="separate"/>
            </w:r>
            <w:r w:rsidR="004B1E6C" w:rsidRPr="004B1E6C">
              <w:rPr>
                <w:rFonts w:ascii="Times New Roman" w:hAnsi="Times New Roman" w:cs="Times New Roman"/>
                <w:noProof/>
                <w:lang w:val="da-DK"/>
              </w:rPr>
              <w:t>[21]</w:t>
            </w:r>
            <w:r w:rsidR="004B1E6C">
              <w:rPr>
                <w:rFonts w:ascii="Times New Roman" w:hAnsi="Times New Roman" w:cs="Times New Roman"/>
                <w:lang w:val="da-DK"/>
              </w:rPr>
              <w:fldChar w:fldCharType="end"/>
            </w:r>
          </w:p>
        </w:tc>
        <w:tc>
          <w:tcPr>
            <w:tcW w:w="1170" w:type="dxa"/>
            <w:shd w:val="clear" w:color="auto" w:fill="auto"/>
            <w:vAlign w:val="center"/>
          </w:tcPr>
          <w:p w14:paraId="6FFD76A9" w14:textId="77777777" w:rsidR="00B9572A" w:rsidRPr="004D5D6C" w:rsidRDefault="00B9572A" w:rsidP="00CC7141">
            <w:pPr>
              <w:jc w:val="center"/>
              <w:rPr>
                <w:rFonts w:ascii="Times New Roman" w:hAnsi="Times New Roman" w:cs="Times New Roman"/>
              </w:rPr>
            </w:pPr>
            <w:r w:rsidRPr="00C9255F">
              <w:rPr>
                <w:rFonts w:ascii="Times New Roman" w:eastAsia="Calibri" w:hAnsi="Times New Roman" w:cs="Times New Roman"/>
                <w:color w:val="000000"/>
                <w:lang w:val="da-DK"/>
              </w:rPr>
              <w:t>238,</w:t>
            </w:r>
            <w:r w:rsidRPr="004D5D6C">
              <w:rPr>
                <w:rFonts w:ascii="Times New Roman" w:eastAsia="Calibri" w:hAnsi="Times New Roman" w:cs="Times New Roman"/>
                <w:color w:val="000000"/>
                <w:lang w:val="en-US"/>
              </w:rPr>
              <w:t>556</w:t>
            </w:r>
            <w:r w:rsidRPr="004D5D6C">
              <w:rPr>
                <w:rFonts w:ascii="Times New Roman" w:eastAsia="Calibri" w:hAnsi="Times New Roman" w:cs="Times New Roman"/>
                <w:color w:val="000000"/>
                <w:vertAlign w:val="superscript"/>
                <w:lang w:val="en-US"/>
              </w:rPr>
              <w:t>ε</w:t>
            </w:r>
            <w:r w:rsidRPr="004D5D6C">
              <w:rPr>
                <w:rFonts w:ascii="Times New Roman" w:eastAsia="Calibri" w:hAnsi="Times New Roman" w:cs="Times New Roman"/>
                <w:color w:val="000000"/>
                <w:lang w:val="en-US"/>
              </w:rPr>
              <w:t>*</w:t>
            </w:r>
          </w:p>
        </w:tc>
        <w:tc>
          <w:tcPr>
            <w:tcW w:w="1260" w:type="dxa"/>
            <w:shd w:val="clear" w:color="auto" w:fill="auto"/>
            <w:vAlign w:val="center"/>
          </w:tcPr>
          <w:p w14:paraId="69BE1DE3"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399,105</w:t>
            </w:r>
            <w:r w:rsidRPr="004D5D6C">
              <w:rPr>
                <w:rFonts w:ascii="Times New Roman" w:eastAsia="Calibri" w:hAnsi="Times New Roman" w:cs="Times New Roman"/>
                <w:color w:val="000000"/>
                <w:vertAlign w:val="superscript"/>
                <w:lang w:val="en-US"/>
              </w:rPr>
              <w:t>ε</w:t>
            </w:r>
            <w:r w:rsidRPr="004D5D6C">
              <w:rPr>
                <w:rFonts w:ascii="Times New Roman" w:eastAsia="Calibri" w:hAnsi="Times New Roman" w:cs="Times New Roman"/>
                <w:color w:val="000000"/>
                <w:lang w:val="en-US"/>
              </w:rPr>
              <w:t>*</w:t>
            </w:r>
          </w:p>
        </w:tc>
        <w:tc>
          <w:tcPr>
            <w:tcW w:w="1080" w:type="dxa"/>
            <w:shd w:val="clear" w:color="auto" w:fill="auto"/>
            <w:vAlign w:val="center"/>
          </w:tcPr>
          <w:p w14:paraId="3D8D8E44" w14:textId="77777777" w:rsidR="00B9572A" w:rsidRPr="004D5D6C" w:rsidRDefault="00B9572A" w:rsidP="00CC7141">
            <w:pPr>
              <w:jc w:val="center"/>
              <w:rPr>
                <w:rFonts w:ascii="Times New Roman" w:hAnsi="Times New Roman" w:cs="Times New Roman"/>
              </w:rPr>
            </w:pPr>
          </w:p>
        </w:tc>
        <w:tc>
          <w:tcPr>
            <w:tcW w:w="990" w:type="dxa"/>
            <w:shd w:val="clear" w:color="auto" w:fill="auto"/>
            <w:vAlign w:val="center"/>
          </w:tcPr>
          <w:p w14:paraId="7A97A9C1"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27585643" w14:textId="77777777" w:rsidR="00B9572A" w:rsidRPr="004D5D6C" w:rsidRDefault="00B9572A" w:rsidP="00CC7141">
            <w:pPr>
              <w:jc w:val="center"/>
              <w:rPr>
                <w:rFonts w:ascii="Times New Roman" w:hAnsi="Times New Roman" w:cs="Times New Roman"/>
              </w:rPr>
            </w:pPr>
            <w:r w:rsidRPr="004D5D6C">
              <w:rPr>
                <w:rFonts w:ascii="Times New Roman" w:eastAsia="Calibri" w:hAnsi="Times New Roman" w:cs="Times New Roman"/>
                <w:color w:val="000000"/>
                <w:lang w:val="en-US"/>
              </w:rPr>
              <w:t>272,835</w:t>
            </w:r>
            <w:r w:rsidRPr="004D5D6C">
              <w:rPr>
                <w:rFonts w:ascii="Times New Roman" w:eastAsia="Calibri" w:hAnsi="Times New Roman" w:cs="Times New Roman"/>
                <w:color w:val="000000"/>
                <w:vertAlign w:val="superscript"/>
                <w:lang w:val="en-US"/>
              </w:rPr>
              <w:t>ε</w:t>
            </w:r>
            <w:r w:rsidRPr="004D5D6C">
              <w:rPr>
                <w:rFonts w:ascii="Times New Roman" w:eastAsia="Calibri" w:hAnsi="Times New Roman" w:cs="Times New Roman"/>
                <w:color w:val="000000"/>
                <w:lang w:val="en-US"/>
              </w:rPr>
              <w:t>*</w:t>
            </w:r>
          </w:p>
        </w:tc>
        <w:tc>
          <w:tcPr>
            <w:tcW w:w="900" w:type="dxa"/>
            <w:vAlign w:val="center"/>
          </w:tcPr>
          <w:p w14:paraId="194049B4"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02F219A4" w14:textId="7906E9B2"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1CCE5F21"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205,703</w:t>
            </w:r>
            <w:r w:rsidRPr="004D5D6C">
              <w:rPr>
                <w:rFonts w:ascii="Times New Roman" w:hAnsi="Times New Roman" w:cs="Times New Roman"/>
                <w:color w:val="000000"/>
                <w:vertAlign w:val="superscript"/>
              </w:rPr>
              <w:t>ε</w:t>
            </w:r>
            <w:r w:rsidRPr="004D5D6C">
              <w:rPr>
                <w:rFonts w:ascii="Times New Roman" w:hAnsi="Times New Roman" w:cs="Times New Roman"/>
                <w:color w:val="000000"/>
              </w:rPr>
              <w:t>*</w:t>
            </w:r>
          </w:p>
        </w:tc>
        <w:tc>
          <w:tcPr>
            <w:tcW w:w="1170" w:type="dxa"/>
            <w:shd w:val="clear" w:color="auto" w:fill="auto"/>
            <w:vAlign w:val="center"/>
          </w:tcPr>
          <w:p w14:paraId="34243175"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6B8A3662"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189,166</w:t>
            </w:r>
            <w:r w:rsidRPr="004D5D6C">
              <w:rPr>
                <w:rFonts w:ascii="Times New Roman" w:hAnsi="Times New Roman" w:cs="Times New Roman"/>
                <w:color w:val="000000"/>
                <w:vertAlign w:val="superscript"/>
              </w:rPr>
              <w:t>ε</w:t>
            </w:r>
            <w:r w:rsidRPr="004D5D6C">
              <w:rPr>
                <w:rFonts w:ascii="Times New Roman" w:hAnsi="Times New Roman" w:cs="Times New Roman"/>
                <w:color w:val="000000"/>
              </w:rPr>
              <w:t>*</w:t>
            </w:r>
          </w:p>
        </w:tc>
        <w:tc>
          <w:tcPr>
            <w:tcW w:w="1170" w:type="dxa"/>
            <w:shd w:val="clear" w:color="auto" w:fill="auto"/>
            <w:vAlign w:val="center"/>
          </w:tcPr>
          <w:p w14:paraId="3055487C"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r>
      <w:tr w:rsidR="00B9572A" w:rsidRPr="004D5D6C" w14:paraId="28910E45" w14:textId="77777777" w:rsidTr="00A3580F">
        <w:trPr>
          <w:trHeight w:val="312"/>
        </w:trPr>
        <w:tc>
          <w:tcPr>
            <w:tcW w:w="441" w:type="dxa"/>
            <w:shd w:val="clear" w:color="auto" w:fill="DBE5F1"/>
            <w:noWrap/>
            <w:vAlign w:val="center"/>
            <w:hideMark/>
          </w:tcPr>
          <w:p w14:paraId="406A5B61" w14:textId="786C1419" w:rsidR="00B9572A" w:rsidRPr="004D5D6C" w:rsidRDefault="00B9572A" w:rsidP="00CC7141">
            <w:pPr>
              <w:jc w:val="center"/>
              <w:rPr>
                <w:rFonts w:ascii="Times New Roman" w:hAnsi="Times New Roman" w:cs="Times New Roman"/>
                <w:b/>
                <w:bCs/>
              </w:rPr>
            </w:pPr>
            <w:r w:rsidRPr="004D5D6C">
              <w:rPr>
                <w:rFonts w:ascii="Times New Roman" w:hAnsi="Times New Roman" w:cs="Times New Roman"/>
                <w:b/>
                <w:bCs/>
              </w:rPr>
              <w:t>15</w:t>
            </w:r>
          </w:p>
        </w:tc>
        <w:tc>
          <w:tcPr>
            <w:tcW w:w="1444" w:type="dxa"/>
            <w:noWrap/>
            <w:vAlign w:val="center"/>
            <w:hideMark/>
          </w:tcPr>
          <w:p w14:paraId="4B40723A" w14:textId="7545A9A5" w:rsidR="00B9572A" w:rsidRPr="004D5D6C" w:rsidRDefault="00B9572A" w:rsidP="00CC7141">
            <w:pPr>
              <w:jc w:val="center"/>
              <w:rPr>
                <w:rFonts w:ascii="Times New Roman" w:hAnsi="Times New Roman" w:cs="Times New Roman"/>
              </w:rPr>
            </w:pPr>
            <w:r w:rsidRPr="004D5D6C">
              <w:rPr>
                <w:rFonts w:ascii="Times New Roman" w:hAnsi="Times New Roman" w:cs="Times New Roman"/>
              </w:rPr>
              <w:t>Burke et al., 2021b, ($)</w:t>
            </w:r>
            <w:r w:rsidR="00005897">
              <w:rPr>
                <w:rFonts w:ascii="Times New Roman" w:hAnsi="Times New Roman" w:cs="Times New Roman"/>
              </w:rPr>
              <w:t xml:space="preserve"> </w:t>
            </w:r>
            <w:r w:rsidR="004B1E6C">
              <w:rPr>
                <w:rFonts w:ascii="Times New Roman" w:hAnsi="Times New Roman" w:cs="Times New Roman"/>
              </w:rPr>
              <w:fldChar w:fldCharType="begin" w:fldLock="1"/>
            </w:r>
            <w:r w:rsidR="008C2605">
              <w:rPr>
                <w:rFonts w:ascii="Times New Roman" w:hAnsi="Times New Roman" w:cs="Times New Roman"/>
              </w:rPr>
              <w:instrText>ADDIN CSL_CITATION {"citationItems":[{"id":"ITEM-1","itemData":{"DOI":"10.1186/s13023-021-01774-9","ISSN":"1750-1172 (Electronic)","PMID":"33743752","abstract":"BACKGROUND: Hemophilia B is a rare congenital bleeding disorder that has a significant negative impact on patients' functionality and health-related quality of life. The standard of care for severe hemophilia B in the United States is prophylactic factor IX replacement therapy, which incurs substantial costs for this lifelong condition. Accurate estimates of the burden of hemophilia B are important for population health management and policy decisions, but have only recently accounted for current management strategies. The 'Cost of Severe Hemophilia across the US: a Socioeconomic Survey' (CHESS US) is a cross-sectional database of medical record abstractions and physician-reported information, completed by hematologists and care providers. CHESS US+ is a complementary database of completed questionnaires from patients with hemophilia. Together, CHESS US and CHESS US+ provide contemporary, comprehensive information on the burden of severe hemophilia from the provider and patient perspectives. We used the CHESS US and CHESS US+ data to analyze the clinical, humanistic, and economic burden of hemophilia B for patients treated with factor IX prophylaxis between 2017 and 2019 in the US. RESULTS: We conducted analysis to assess clinical burden and direct medical costs from 44 patient records in CHESS US, and of direct non-medical costs, indirect costs, and humanistic burden (using the EQ-5D-5L) from 57 patients in CHESS US+. The mean annual bleed rate was 1.73 (standard deviation, 1.39); approximately 9% of patients experienced a bleed-related hospitalization during the 12-month study period. Nearly all patients (85%) reported chronic pain, and the mean EQ-5D-5L utility value was 0.76 (0.24). The mean annual direct medical cost was $614,886, driven by factor IX treatment (mean annual cost, $611,971). Subgroup analyses showed mean annual costs of $397,491 and $788,491 for standard and extended half-life factor IX treatment, respectively. The mean annual non-medical direct costs and indirect costs of hemophilia B were $2,371 and $6,931. CONCLUSIONS: This analysis of patient records and patient-reported outcomes from CHESS US and CHESS US+ provides updated information on the considerable clinical, humanistic, and economic burden of hemophilia B in the US. Substantial unmet needs remain to improve patient care with sustainable population health strategies.","author":[{"dropping-particle":"","family":"Burke","given":"Tom","non-dropping-particle":"","parse-names":false,"suffix":""},{"dropping-particle":"","family":"Asghar","given":"Sohaib","non-dropping-particle":"","parse-names":false,"suffix":""},{"dropping-particle":"","family":"O'Hara","given":"Jamie","non-dropping-particle":"","parse-names":false,"suffix":""},{"dropping-particle":"","family":"Sawyer","given":"Eileen K","non-dropping-particle":"","parse-names":false,"suffix":""},{"dropping-particle":"","family":"Li","given":"Nanxin","non-dropping-particle":"","parse-names":false,"suffix":""}],"container-title":"Orphanet journal of rare diseases","id":"ITEM-1","issue":"1","issued":{"date-parts":[["2021","3"]]},"language":"eng","page":"143","title":"Clinical, humanistic, and economic burden of severe hemophilia B in the United States: Results from the CHESS US and CHESS US+ population surveys","type":"article-journal","volume":"16"},"uris":["http://www.mendeley.com/documents/?uuid=3eda6b0c-2e3d-4962-b08c-c03e23f784f2"]}],"mendeley":{"formattedCitation":"[22]","plainTextFormattedCitation":"[22]","previouslyFormattedCitation":"[22]"},"properties":{"noteIndex":0},"schema":"https://github.com/citation-style-language/schema/raw/master/csl-citation.json"}</w:instrText>
            </w:r>
            <w:r w:rsidR="004B1E6C">
              <w:rPr>
                <w:rFonts w:ascii="Times New Roman" w:hAnsi="Times New Roman" w:cs="Times New Roman"/>
              </w:rPr>
              <w:fldChar w:fldCharType="separate"/>
            </w:r>
            <w:r w:rsidR="004B1E6C" w:rsidRPr="004B1E6C">
              <w:rPr>
                <w:rFonts w:ascii="Times New Roman" w:hAnsi="Times New Roman" w:cs="Times New Roman"/>
                <w:noProof/>
              </w:rPr>
              <w:t>[22]</w:t>
            </w:r>
            <w:r w:rsidR="004B1E6C">
              <w:rPr>
                <w:rFonts w:ascii="Times New Roman" w:hAnsi="Times New Roman" w:cs="Times New Roman"/>
              </w:rPr>
              <w:fldChar w:fldCharType="end"/>
            </w:r>
          </w:p>
        </w:tc>
        <w:tc>
          <w:tcPr>
            <w:tcW w:w="1170" w:type="dxa"/>
            <w:shd w:val="clear" w:color="auto" w:fill="auto"/>
            <w:vAlign w:val="center"/>
          </w:tcPr>
          <w:p w14:paraId="026AFAAF"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260" w:type="dxa"/>
            <w:shd w:val="clear" w:color="auto" w:fill="auto"/>
            <w:vAlign w:val="center"/>
          </w:tcPr>
          <w:p w14:paraId="5D1FB65B"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080" w:type="dxa"/>
            <w:shd w:val="clear" w:color="auto" w:fill="auto"/>
            <w:vAlign w:val="center"/>
          </w:tcPr>
          <w:p w14:paraId="24A3B667"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990" w:type="dxa"/>
            <w:shd w:val="clear" w:color="auto" w:fill="auto"/>
            <w:vAlign w:val="center"/>
          </w:tcPr>
          <w:p w14:paraId="379942C5"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0DA33FA2"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900" w:type="dxa"/>
          </w:tcPr>
          <w:p w14:paraId="1C7263D7" w14:textId="77777777" w:rsidR="00B9572A" w:rsidRPr="004D5D6C" w:rsidRDefault="00B9572A" w:rsidP="00CC7141">
            <w:pPr>
              <w:jc w:val="center"/>
              <w:rPr>
                <w:rFonts w:ascii="Times New Roman" w:hAnsi="Times New Roman" w:cs="Times New Roman"/>
                <w:color w:val="000000"/>
              </w:rPr>
            </w:pPr>
          </w:p>
        </w:tc>
        <w:tc>
          <w:tcPr>
            <w:tcW w:w="1080" w:type="dxa"/>
            <w:shd w:val="clear" w:color="auto" w:fill="auto"/>
            <w:vAlign w:val="center"/>
          </w:tcPr>
          <w:p w14:paraId="4ACCE8F1" w14:textId="52583191"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32113D25"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5A6374E1"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3487BDAC"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 </w:t>
            </w:r>
          </w:p>
        </w:tc>
        <w:tc>
          <w:tcPr>
            <w:tcW w:w="1170" w:type="dxa"/>
            <w:shd w:val="clear" w:color="auto" w:fill="auto"/>
            <w:vAlign w:val="center"/>
          </w:tcPr>
          <w:p w14:paraId="56843278" w14:textId="77777777" w:rsidR="00B9572A" w:rsidRPr="004D5D6C" w:rsidRDefault="00B9572A" w:rsidP="00CC7141">
            <w:pPr>
              <w:jc w:val="center"/>
              <w:rPr>
                <w:rFonts w:ascii="Times New Roman" w:hAnsi="Times New Roman" w:cs="Times New Roman"/>
              </w:rPr>
            </w:pPr>
            <w:r w:rsidRPr="004D5D6C">
              <w:rPr>
                <w:rFonts w:ascii="Times New Roman" w:hAnsi="Times New Roman" w:cs="Times New Roman"/>
                <w:color w:val="000000"/>
              </w:rPr>
              <w:t>624,188ᴾ</w:t>
            </w:r>
            <w:r w:rsidRPr="004D5D6C">
              <w:rPr>
                <w:rFonts w:ascii="Times New Roman" w:hAnsi="Times New Roman" w:cs="Times New Roman"/>
                <w:color w:val="000000"/>
                <w:vertAlign w:val="superscript"/>
              </w:rPr>
              <w:t>,ε</w:t>
            </w:r>
          </w:p>
        </w:tc>
      </w:tr>
      <w:bookmarkEnd w:id="17"/>
    </w:tbl>
    <w:p w14:paraId="63125520" w14:textId="77777777" w:rsidR="00474936" w:rsidRPr="004D5D6C" w:rsidRDefault="00474936" w:rsidP="00CB3614">
      <w:pPr>
        <w:rPr>
          <w:rFonts w:ascii="Times New Roman" w:eastAsia="DengXian" w:hAnsi="Times New Roman" w:cs="Times New Roman"/>
          <w:b/>
          <w:bCs/>
          <w:sz w:val="28"/>
          <w:szCs w:val="28"/>
        </w:rPr>
      </w:pPr>
    </w:p>
    <w:p w14:paraId="5A7F6F1D" w14:textId="77777777" w:rsidR="006E4B3F" w:rsidRPr="004D5D6C" w:rsidRDefault="006E4B3F" w:rsidP="006E4B3F">
      <w:pPr>
        <w:rPr>
          <w:rFonts w:ascii="Times New Roman" w:eastAsia="DengXian" w:hAnsi="Times New Roman" w:cs="Times New Roman"/>
          <w:b/>
          <w:bCs/>
          <w:sz w:val="20"/>
          <w:szCs w:val="20"/>
        </w:rPr>
      </w:pPr>
      <w:bookmarkStart w:id="21" w:name="_Hlk146892049"/>
      <w:bookmarkStart w:id="22" w:name="_Hlk134305747"/>
      <w:r w:rsidRPr="004D5D6C">
        <w:rPr>
          <w:rFonts w:ascii="Times New Roman" w:eastAsia="DengXian" w:hAnsi="Times New Roman" w:cs="Times New Roman"/>
          <w:b/>
          <w:bCs/>
          <w:sz w:val="20"/>
          <w:szCs w:val="20"/>
        </w:rPr>
        <w:t>*See reference list for full citations</w:t>
      </w:r>
    </w:p>
    <w:p w14:paraId="22A95F5F" w14:textId="34F8434D" w:rsidR="00B42276" w:rsidRPr="008C2605" w:rsidRDefault="006E4B3F" w:rsidP="008C2605">
      <w:pPr>
        <w:rPr>
          <w:rFonts w:ascii="Times New Roman" w:eastAsia="DengXian" w:hAnsi="Times New Roman" w:cs="Times New Roman"/>
          <w:sz w:val="20"/>
          <w:szCs w:val="20"/>
        </w:rPr>
      </w:pPr>
      <w:bookmarkStart w:id="23" w:name="_Hlk146892119"/>
      <w:bookmarkStart w:id="24" w:name="_Hlk146891985"/>
      <w:bookmarkEnd w:id="21"/>
      <w:r w:rsidRPr="004D5D6C">
        <w:rPr>
          <w:rFonts w:ascii="Times New Roman" w:eastAsia="DengXian" w:hAnsi="Times New Roman" w:cs="Times New Roman"/>
          <w:b/>
          <w:bCs/>
          <w:sz w:val="20"/>
          <w:szCs w:val="20"/>
        </w:rPr>
        <w:t>Abbreviations</w:t>
      </w:r>
      <w:bookmarkEnd w:id="23"/>
      <w:r w:rsidRPr="004D5D6C">
        <w:rPr>
          <w:rFonts w:ascii="Times New Roman" w:eastAsia="DengXian" w:hAnsi="Times New Roman" w:cs="Times New Roman"/>
          <w:b/>
          <w:bCs/>
          <w:sz w:val="20"/>
          <w:szCs w:val="20"/>
        </w:rPr>
        <w:t>:</w:t>
      </w:r>
      <w:bookmarkEnd w:id="22"/>
      <w:r w:rsidR="00474936" w:rsidRPr="004D5D6C">
        <w:rPr>
          <w:rFonts w:ascii="Times New Roman" w:eastAsia="DengXian" w:hAnsi="Times New Roman" w:cs="Times New Roman"/>
          <w:b/>
          <w:bCs/>
          <w:sz w:val="20"/>
          <w:szCs w:val="20"/>
        </w:rPr>
        <w:t xml:space="preserve"> </w:t>
      </w:r>
      <w:r w:rsidR="00474936" w:rsidRPr="004D5D6C">
        <w:rPr>
          <w:rFonts w:ascii="Times New Roman" w:eastAsia="DengXian" w:hAnsi="Times New Roman" w:cs="Times New Roman"/>
          <w:sz w:val="20"/>
          <w:szCs w:val="20"/>
        </w:rPr>
        <w:t>H: haemophilia; HA: haemophilia A; HB: haemophilia B; INHs: inhibitors;</w:t>
      </w:r>
      <w:r w:rsidR="00BC7ABB" w:rsidRPr="004D5D6C">
        <w:t xml:space="preserve"> </w:t>
      </w:r>
      <w:r w:rsidR="00BC7ABB" w:rsidRPr="004D5D6C">
        <w:rPr>
          <w:rFonts w:ascii="Times New Roman" w:eastAsia="DengXian" w:hAnsi="Times New Roman" w:cs="Times New Roman"/>
          <w:sz w:val="20"/>
          <w:szCs w:val="20"/>
        </w:rPr>
        <w:t>INR: Indian rupee;</w:t>
      </w:r>
      <w:r w:rsidR="00474936" w:rsidRPr="004D5D6C">
        <w:rPr>
          <w:rFonts w:ascii="Times New Roman" w:eastAsia="DengXian" w:hAnsi="Times New Roman" w:cs="Times New Roman"/>
          <w:sz w:val="20"/>
          <w:szCs w:val="20"/>
        </w:rPr>
        <w:t xml:space="preserve"> </w:t>
      </w:r>
      <w:bookmarkStart w:id="25" w:name="_Hlk146845653"/>
      <w:r w:rsidR="008163D6" w:rsidRPr="004D5D6C">
        <w:rPr>
          <w:rFonts w:ascii="Times New Roman" w:eastAsia="DengXian" w:hAnsi="Times New Roman" w:cs="Times New Roman"/>
          <w:sz w:val="20"/>
          <w:szCs w:val="20"/>
        </w:rPr>
        <w:t xml:space="preserve">LMICs: </w:t>
      </w:r>
      <w:bookmarkStart w:id="26" w:name="_Hlk146845611"/>
      <w:r w:rsidR="008163D6" w:rsidRPr="004D5D6C">
        <w:rPr>
          <w:rFonts w:ascii="Times New Roman" w:eastAsia="DengXian" w:hAnsi="Times New Roman" w:cs="Times New Roman"/>
          <w:sz w:val="20"/>
          <w:szCs w:val="20"/>
        </w:rPr>
        <w:t>low- and middle-income countries;</w:t>
      </w:r>
      <w:bookmarkEnd w:id="26"/>
      <w:r w:rsidR="008163D6" w:rsidRPr="004D5D6C">
        <w:rPr>
          <w:rFonts w:ascii="Times New Roman" w:eastAsia="DengXian" w:hAnsi="Times New Roman" w:cs="Times New Roman"/>
          <w:sz w:val="20"/>
          <w:szCs w:val="20"/>
        </w:rPr>
        <w:t xml:space="preserve"> </w:t>
      </w:r>
      <w:bookmarkEnd w:id="25"/>
      <w:r w:rsidR="00474936" w:rsidRPr="004D5D6C">
        <w:rPr>
          <w:rFonts w:ascii="Times New Roman" w:eastAsia="DengXian" w:hAnsi="Times New Roman" w:cs="Times New Roman"/>
          <w:sz w:val="20"/>
          <w:szCs w:val="20"/>
        </w:rPr>
        <w:t xml:space="preserve">mod.: moderate; ±: with or without; w. with; w/o: without; €: Euro; $: US dollar. ᴾCost for PPX only; </w:t>
      </w:r>
      <w:r w:rsidR="00D66DF1" w:rsidRPr="004D5D6C">
        <w:rPr>
          <w:rFonts w:asciiTheme="majorBidi" w:hAnsiTheme="majorBidi" w:cstheme="majorBidi"/>
          <w:sz w:val="20"/>
          <w:szCs w:val="20"/>
          <w:vertAlign w:val="superscript"/>
        </w:rPr>
        <w:t>ε</w:t>
      </w:r>
      <w:r w:rsidR="00D66DF1" w:rsidRPr="004D5D6C">
        <w:rPr>
          <w:rFonts w:asciiTheme="majorBidi" w:hAnsiTheme="majorBidi" w:cstheme="majorBidi"/>
          <w:sz w:val="20"/>
          <w:szCs w:val="20"/>
        </w:rPr>
        <w:t>Cost values are summed or multiplied manually;</w:t>
      </w:r>
      <w:r w:rsidR="00D66DF1" w:rsidRPr="004D5D6C">
        <w:rPr>
          <w:rFonts w:asciiTheme="majorBidi" w:hAnsiTheme="majorBidi" w:cstheme="majorBidi"/>
          <w:sz w:val="20"/>
          <w:szCs w:val="20"/>
          <w:vertAlign w:val="superscript"/>
        </w:rPr>
        <w:t xml:space="preserve"> §</w:t>
      </w:r>
      <w:r w:rsidR="00D66DF1" w:rsidRPr="004D5D6C">
        <w:rPr>
          <w:rFonts w:asciiTheme="majorBidi" w:hAnsiTheme="majorBidi" w:cstheme="majorBidi"/>
          <w:sz w:val="20"/>
          <w:szCs w:val="20"/>
        </w:rPr>
        <w:t>Cost values are subtracted or divided manually;</w:t>
      </w:r>
      <w:r w:rsidR="00474936" w:rsidRPr="004D5D6C">
        <w:rPr>
          <w:rFonts w:ascii="Times New Roman" w:eastAsia="DengXian" w:hAnsi="Times New Roman" w:cs="Times New Roman"/>
          <w:sz w:val="20"/>
          <w:szCs w:val="20"/>
        </w:rPr>
        <w:t xml:space="preserve"> *Direct medical cost is added as an average for all countries; </w:t>
      </w:r>
      <w:r w:rsidR="00551AD4" w:rsidRPr="004D5D6C">
        <w:rPr>
          <w:rFonts w:ascii="Times New Roman" w:eastAsia="DengXian" w:hAnsi="Times New Roman" w:cs="Times New Roman"/>
          <w:sz w:val="20"/>
          <w:szCs w:val="20"/>
          <w:vertAlign w:val="superscript"/>
          <w:lang w:val="en-US"/>
        </w:rPr>
        <w:t>⁑</w:t>
      </w:r>
      <w:r w:rsidR="00474936" w:rsidRPr="004D5D6C">
        <w:rPr>
          <w:rFonts w:ascii="Times New Roman" w:eastAsia="DengXian" w:hAnsi="Times New Roman" w:cs="Times New Roman"/>
          <w:sz w:val="20"/>
          <w:szCs w:val="20"/>
        </w:rPr>
        <w:t>Exchange rate from local currency to US dollar is applied.</w:t>
      </w:r>
      <w:bookmarkStart w:id="27" w:name="_Hlk137824867"/>
      <w:bookmarkStart w:id="28" w:name="_Hlk126872163"/>
      <w:bookmarkEnd w:id="18"/>
      <w:bookmarkEnd w:id="24"/>
    </w:p>
    <w:p w14:paraId="17493D70" w14:textId="77777777" w:rsidR="00B42276" w:rsidRPr="004D5D6C" w:rsidRDefault="00B42276" w:rsidP="00B42276">
      <w:pPr>
        <w:jc w:val="center"/>
        <w:rPr>
          <w:rFonts w:ascii="Times New Roman" w:eastAsia="DengXian" w:hAnsi="Times New Roman" w:cs="Times New Roman"/>
          <w:b/>
          <w:bCs/>
          <w:sz w:val="28"/>
          <w:szCs w:val="28"/>
          <w:shd w:val="clear" w:color="auto" w:fill="FFFFFF"/>
        </w:rPr>
      </w:pPr>
    </w:p>
    <w:p w14:paraId="33FFDF51" w14:textId="77777777" w:rsidR="00B42276" w:rsidRPr="004D5D6C" w:rsidRDefault="00B42276" w:rsidP="00B42276">
      <w:pPr>
        <w:jc w:val="center"/>
        <w:rPr>
          <w:rFonts w:ascii="Times New Roman" w:eastAsia="DengXian" w:hAnsi="Times New Roman" w:cs="Times New Roman"/>
          <w:b/>
          <w:bCs/>
          <w:sz w:val="28"/>
          <w:szCs w:val="28"/>
          <w:shd w:val="clear" w:color="auto" w:fill="FFFFFF"/>
        </w:rPr>
      </w:pPr>
    </w:p>
    <w:p w14:paraId="44678C34" w14:textId="77777777" w:rsidR="00B42276" w:rsidRPr="004D5D6C" w:rsidRDefault="00B42276" w:rsidP="00B42276">
      <w:pPr>
        <w:jc w:val="center"/>
        <w:rPr>
          <w:rFonts w:ascii="Times New Roman" w:eastAsia="DengXian" w:hAnsi="Times New Roman" w:cs="Times New Roman"/>
          <w:b/>
          <w:bCs/>
          <w:sz w:val="28"/>
          <w:szCs w:val="28"/>
          <w:shd w:val="clear" w:color="auto" w:fill="FFFFFF"/>
        </w:rPr>
      </w:pPr>
    </w:p>
    <w:p w14:paraId="1E8F4D43" w14:textId="77777777" w:rsidR="00B42276" w:rsidRPr="004D5D6C" w:rsidRDefault="00B42276" w:rsidP="00B42276">
      <w:pPr>
        <w:jc w:val="center"/>
        <w:rPr>
          <w:rFonts w:ascii="Times New Roman" w:eastAsia="DengXian" w:hAnsi="Times New Roman" w:cs="Times New Roman"/>
          <w:b/>
          <w:bCs/>
          <w:sz w:val="28"/>
          <w:szCs w:val="28"/>
          <w:shd w:val="clear" w:color="auto" w:fill="FFFFFF"/>
        </w:rPr>
      </w:pPr>
    </w:p>
    <w:p w14:paraId="121DE77A" w14:textId="77777777" w:rsidR="00B42276" w:rsidRPr="004D5D6C" w:rsidRDefault="00B42276" w:rsidP="00B42276">
      <w:pPr>
        <w:jc w:val="center"/>
        <w:rPr>
          <w:rFonts w:ascii="Times New Roman" w:eastAsia="DengXian" w:hAnsi="Times New Roman" w:cs="Times New Roman"/>
          <w:b/>
          <w:bCs/>
          <w:sz w:val="28"/>
          <w:szCs w:val="28"/>
          <w:shd w:val="clear" w:color="auto" w:fill="FFFFFF"/>
        </w:rPr>
      </w:pPr>
    </w:p>
    <w:p w14:paraId="7B0152C7" w14:textId="77777777" w:rsidR="00B42276" w:rsidRPr="004D5D6C" w:rsidRDefault="00B42276" w:rsidP="003F1110">
      <w:pPr>
        <w:rPr>
          <w:rFonts w:ascii="Times New Roman" w:eastAsia="DengXian" w:hAnsi="Times New Roman" w:cs="Times New Roman"/>
          <w:sz w:val="28"/>
          <w:szCs w:val="28"/>
        </w:rPr>
      </w:pPr>
    </w:p>
    <w:bookmarkEnd w:id="27"/>
    <w:bookmarkEnd w:id="28"/>
    <w:p w14:paraId="529476BC" w14:textId="77777777" w:rsidR="00B42276" w:rsidRPr="004D5D6C" w:rsidRDefault="00B42276" w:rsidP="00B42276">
      <w:pPr>
        <w:spacing w:after="0" w:line="240" w:lineRule="auto"/>
        <w:jc w:val="center"/>
        <w:rPr>
          <w:rFonts w:ascii="Times New Roman" w:eastAsia="DengXian" w:hAnsi="Times New Roman" w:cs="Times New Roman"/>
          <w:b/>
          <w:bCs/>
          <w:color w:val="000000"/>
          <w:sz w:val="28"/>
          <w:szCs w:val="28"/>
          <w:lang w:val="en-US" w:eastAsia="en-US"/>
          <w14:textFill>
            <w14:solidFill>
              <w14:srgbClr w14:val="000000">
                <w14:lumMod w14:val="95000"/>
                <w14:lumOff w14:val="5000"/>
              </w14:srgbClr>
            </w14:solidFill>
          </w14:textFill>
        </w:rPr>
      </w:pPr>
      <w:r w:rsidRPr="004D5D6C">
        <w:rPr>
          <w:noProof/>
          <w:lang w:val="en-IN" w:eastAsia="en-IN"/>
        </w:rPr>
        <w:lastRenderedPageBreak/>
        <w:drawing>
          <wp:inline distT="0" distB="0" distL="0" distR="0" wp14:anchorId="54C5BF04" wp14:editId="0B21F9BF">
            <wp:extent cx="8686800" cy="4940300"/>
            <wp:effectExtent l="0" t="0" r="0" b="12700"/>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61670784-D375-1038-8EC4-621C2B9D55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32E2A2" w14:textId="77777777" w:rsidR="00F62048" w:rsidRPr="004D5D6C" w:rsidRDefault="00F62048" w:rsidP="003F1110">
      <w:pPr>
        <w:rPr>
          <w:rFonts w:ascii="Times New Roman" w:eastAsia="DengXian" w:hAnsi="Times New Roman" w:cs="Times New Roman"/>
          <w:b/>
          <w:bCs/>
          <w:sz w:val="28"/>
          <w:szCs w:val="28"/>
          <w:shd w:val="clear" w:color="auto" w:fill="FFFFFF"/>
        </w:rPr>
      </w:pPr>
    </w:p>
    <w:p w14:paraId="0EC1FF67" w14:textId="67C86C1E" w:rsidR="00B42276" w:rsidRDefault="003F1110" w:rsidP="00F62048">
      <w:pPr>
        <w:rPr>
          <w:rFonts w:ascii="Times New Roman" w:eastAsia="DengXian" w:hAnsi="Times New Roman" w:cs="Times New Roman"/>
          <w:sz w:val="28"/>
          <w:szCs w:val="28"/>
        </w:rPr>
      </w:pPr>
      <w:r w:rsidRPr="004D5D6C">
        <w:rPr>
          <w:rFonts w:ascii="Times New Roman" w:eastAsia="DengXian" w:hAnsi="Times New Roman" w:cs="Times New Roman"/>
          <w:b/>
          <w:bCs/>
          <w:sz w:val="28"/>
          <w:szCs w:val="28"/>
          <w:shd w:val="clear" w:color="auto" w:fill="FFFFFF"/>
        </w:rPr>
        <w:t xml:space="preserve">Supplementary </w:t>
      </w:r>
      <w:bookmarkStart w:id="29" w:name="_Hlk147227533"/>
      <w:r w:rsidRPr="004D5D6C">
        <w:rPr>
          <w:rFonts w:ascii="Times New Roman" w:eastAsia="DengXian" w:hAnsi="Times New Roman" w:cs="Times New Roman"/>
          <w:b/>
          <w:bCs/>
          <w:sz w:val="28"/>
          <w:szCs w:val="28"/>
          <w:shd w:val="clear" w:color="auto" w:fill="FFFFFF"/>
        </w:rPr>
        <w:t xml:space="preserve">Figure </w:t>
      </w:r>
      <w:bookmarkEnd w:id="29"/>
      <w:r w:rsidR="008A405D">
        <w:rPr>
          <w:rFonts w:ascii="Times New Roman" w:eastAsia="DengXian" w:hAnsi="Times New Roman" w:cs="Times New Roman"/>
          <w:b/>
          <w:bCs/>
          <w:sz w:val="28"/>
          <w:szCs w:val="28"/>
          <w:shd w:val="clear" w:color="auto" w:fill="FFFFFF"/>
        </w:rPr>
        <w:t>1</w:t>
      </w:r>
      <w:r w:rsidRPr="004D5D6C">
        <w:rPr>
          <w:rFonts w:ascii="Times New Roman" w:eastAsia="DengXian" w:hAnsi="Times New Roman" w:cs="Times New Roman"/>
          <w:b/>
          <w:bCs/>
          <w:sz w:val="28"/>
          <w:szCs w:val="28"/>
          <w:shd w:val="clear" w:color="auto" w:fill="FFFFFF"/>
        </w:rPr>
        <w:t xml:space="preserve">. </w:t>
      </w:r>
      <w:r w:rsidR="00592D71" w:rsidRPr="00592D71">
        <w:rPr>
          <w:rFonts w:ascii="Times New Roman" w:eastAsia="DengXian" w:hAnsi="Times New Roman" w:cs="Times New Roman"/>
          <w:sz w:val="28"/>
          <w:szCs w:val="28"/>
        </w:rPr>
        <w:t>Proportion</w:t>
      </w:r>
      <w:r w:rsidR="00247AA2">
        <w:rPr>
          <w:rFonts w:ascii="Times New Roman" w:eastAsia="DengXian" w:hAnsi="Times New Roman" w:cs="Times New Roman"/>
          <w:sz w:val="28"/>
          <w:szCs w:val="28"/>
        </w:rPr>
        <w:t>s</w:t>
      </w:r>
      <w:r w:rsidR="00592D71" w:rsidRPr="00592D71">
        <w:rPr>
          <w:rFonts w:ascii="Times New Roman" w:eastAsia="DengXian" w:hAnsi="Times New Roman" w:cs="Times New Roman"/>
          <w:sz w:val="28"/>
          <w:szCs w:val="28"/>
        </w:rPr>
        <w:t xml:space="preserve"> of different types of the economic studies included in this review</w:t>
      </w:r>
      <w:r w:rsidR="00F62048" w:rsidRPr="004D5D6C">
        <w:rPr>
          <w:rFonts w:ascii="Times New Roman" w:eastAsia="DengXian" w:hAnsi="Times New Roman" w:cs="Times New Roman"/>
          <w:sz w:val="28"/>
          <w:szCs w:val="28"/>
        </w:rPr>
        <w:t>.</w:t>
      </w:r>
    </w:p>
    <w:p w14:paraId="3664491B" w14:textId="77777777" w:rsidR="003454D0" w:rsidRPr="004D5D6C" w:rsidRDefault="003454D0" w:rsidP="003454D0">
      <w:pPr>
        <w:spacing w:after="0" w:line="240" w:lineRule="auto"/>
        <w:rPr>
          <w:rFonts w:ascii="Times New Roman" w:eastAsia="DengXian" w:hAnsi="Times New Roman" w:cs="Times New Roman"/>
          <w:sz w:val="28"/>
          <w:szCs w:val="28"/>
          <w:lang w:val="en-US" w:eastAsia="en-US"/>
        </w:rPr>
      </w:pPr>
      <w:r w:rsidRPr="004D5D6C">
        <w:rPr>
          <w:noProof/>
          <w:lang w:val="en-IN" w:eastAsia="en-IN"/>
        </w:rPr>
        <w:lastRenderedPageBreak/>
        <w:drawing>
          <wp:inline distT="0" distB="0" distL="0" distR="0" wp14:anchorId="2AC83EE9" wp14:editId="5F2229E3">
            <wp:extent cx="8788400" cy="4749800"/>
            <wp:effectExtent l="0" t="0" r="12700" b="12700"/>
            <wp:docPr id="1879108952" name="Chart 187910895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F2D34FC-847C-4535-98FA-70A86419B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5571B1" w14:textId="77777777" w:rsidR="003454D0" w:rsidRPr="004D5D6C" w:rsidRDefault="003454D0" w:rsidP="003454D0">
      <w:pPr>
        <w:spacing w:after="0" w:line="240" w:lineRule="auto"/>
        <w:rPr>
          <w:rFonts w:ascii="Times New Roman" w:eastAsia="DengXian" w:hAnsi="Times New Roman" w:cs="Times New Roman"/>
          <w:b/>
          <w:bCs/>
          <w:color w:val="000000"/>
          <w:sz w:val="28"/>
          <w:szCs w:val="28"/>
          <w:lang w:val="en-US" w:eastAsia="en-US"/>
          <w14:textFill>
            <w14:solidFill>
              <w14:srgbClr w14:val="000000">
                <w14:lumMod w14:val="95000"/>
                <w14:lumOff w14:val="5000"/>
              </w14:srgbClr>
            </w14:solidFill>
          </w14:textFill>
        </w:rPr>
      </w:pPr>
    </w:p>
    <w:p w14:paraId="28F767D2" w14:textId="77777777" w:rsidR="003454D0" w:rsidRPr="004D5D6C" w:rsidRDefault="003454D0" w:rsidP="003454D0">
      <w:pPr>
        <w:spacing w:after="0" w:line="240" w:lineRule="auto"/>
        <w:rPr>
          <w:rFonts w:ascii="Times New Roman" w:eastAsia="DengXian" w:hAnsi="Times New Roman" w:cs="Times New Roman"/>
          <w:sz w:val="20"/>
          <w:szCs w:val="20"/>
        </w:rPr>
      </w:pPr>
      <w:r w:rsidRPr="004D5D6C">
        <w:rPr>
          <w:rFonts w:ascii="Times New Roman" w:eastAsia="DengXian" w:hAnsi="Times New Roman" w:cs="Times New Roman"/>
          <w:b/>
          <w:bCs/>
          <w:sz w:val="20"/>
          <w:szCs w:val="20"/>
        </w:rPr>
        <w:t xml:space="preserve">Note: </w:t>
      </w:r>
      <w:r w:rsidRPr="00655DF2">
        <w:rPr>
          <w:rFonts w:ascii="Times New Roman" w:eastAsia="DengXian" w:hAnsi="Times New Roman" w:cs="Times New Roman"/>
          <w:sz w:val="20"/>
          <w:szCs w:val="20"/>
        </w:rPr>
        <w:t>No study reported the ideal number (7) of cost categories.</w:t>
      </w:r>
    </w:p>
    <w:p w14:paraId="3656B8EF" w14:textId="77777777" w:rsidR="003454D0" w:rsidRPr="004D5D6C" w:rsidRDefault="003454D0" w:rsidP="003454D0">
      <w:pPr>
        <w:spacing w:after="0" w:line="240" w:lineRule="auto"/>
        <w:rPr>
          <w:rFonts w:ascii="Times New Roman" w:eastAsia="DengXian" w:hAnsi="Times New Roman" w:cs="Times New Roman"/>
          <w:b/>
          <w:bCs/>
          <w:color w:val="000000"/>
          <w:sz w:val="28"/>
          <w:szCs w:val="28"/>
          <w:lang w:val="en-US" w:eastAsia="en-US"/>
          <w14:textFill>
            <w14:solidFill>
              <w14:srgbClr w14:val="000000">
                <w14:lumMod w14:val="95000"/>
                <w14:lumOff w14:val="5000"/>
              </w14:srgbClr>
            </w14:solidFill>
          </w14:textFill>
        </w:rPr>
      </w:pPr>
    </w:p>
    <w:p w14:paraId="380173E7" w14:textId="14FF0899" w:rsidR="003454D0" w:rsidRPr="003F1110" w:rsidRDefault="003454D0" w:rsidP="003454D0">
      <w:pPr>
        <w:spacing w:after="0" w:line="240" w:lineRule="auto"/>
        <w:rPr>
          <w:rFonts w:ascii="Times New Roman" w:eastAsia="DengXian" w:hAnsi="Times New Roman" w:cs="Times New Roman"/>
          <w:color w:val="000000"/>
          <w:sz w:val="28"/>
          <w:szCs w:val="28"/>
          <w:lang w:val="en-US" w:eastAsia="en-US"/>
          <w14:textFill>
            <w14:solidFill>
              <w14:srgbClr w14:val="000000">
                <w14:lumMod w14:val="95000"/>
                <w14:lumOff w14:val="5000"/>
              </w14:srgbClr>
            </w14:solidFill>
          </w14:textFill>
        </w:rPr>
      </w:pPr>
      <w:r w:rsidRPr="004D5D6C">
        <w:rPr>
          <w:rFonts w:ascii="Times New Roman" w:eastAsia="DengXian" w:hAnsi="Times New Roman" w:cs="Times New Roman"/>
          <w:b/>
          <w:bCs/>
          <w:color w:val="000000"/>
          <w:sz w:val="28"/>
          <w:szCs w:val="28"/>
          <w:lang w:val="en-US" w:eastAsia="en-US"/>
          <w14:textFill>
            <w14:solidFill>
              <w14:srgbClr w14:val="000000">
                <w14:lumMod w14:val="95000"/>
                <w14:lumOff w14:val="5000"/>
              </w14:srgbClr>
            </w14:solidFill>
          </w14:textFill>
        </w:rPr>
        <w:t xml:space="preserve">Supplementary Figure </w:t>
      </w:r>
      <w:r>
        <w:rPr>
          <w:rFonts w:ascii="Times New Roman" w:eastAsia="DengXian" w:hAnsi="Times New Roman" w:cs="Times New Roman"/>
          <w:b/>
          <w:bCs/>
          <w:color w:val="000000"/>
          <w:sz w:val="28"/>
          <w:szCs w:val="28"/>
          <w:lang w:val="en-US" w:eastAsia="en-US"/>
          <w14:textFill>
            <w14:solidFill>
              <w14:srgbClr w14:val="000000">
                <w14:lumMod w14:val="95000"/>
                <w14:lumOff w14:val="5000"/>
              </w14:srgbClr>
            </w14:solidFill>
          </w14:textFill>
        </w:rPr>
        <w:t>2</w:t>
      </w:r>
      <w:r w:rsidRPr="004D5D6C">
        <w:rPr>
          <w:rFonts w:ascii="Times New Roman" w:eastAsia="DengXian" w:hAnsi="Times New Roman" w:cs="Times New Roman"/>
          <w:b/>
          <w:bCs/>
          <w:color w:val="000000"/>
          <w:sz w:val="28"/>
          <w:szCs w:val="28"/>
          <w:lang w:val="en-US" w:eastAsia="en-US"/>
          <w14:textFill>
            <w14:solidFill>
              <w14:srgbClr w14:val="000000">
                <w14:lumMod w14:val="95000"/>
                <w14:lumOff w14:val="5000"/>
              </w14:srgbClr>
            </w14:solidFill>
          </w14:textFill>
        </w:rPr>
        <w:t xml:space="preserve">. </w:t>
      </w:r>
      <w:r w:rsidRPr="004D5D6C">
        <w:rPr>
          <w:rFonts w:ascii="Times New Roman" w:eastAsia="DengXian" w:hAnsi="Times New Roman" w:cs="Times New Roman"/>
          <w:color w:val="000000"/>
          <w:sz w:val="28"/>
          <w:szCs w:val="28"/>
          <w:lang w:val="en-US" w:eastAsia="en-US"/>
          <w14:textFill>
            <w14:solidFill>
              <w14:srgbClr w14:val="000000">
                <w14:lumMod w14:val="95000"/>
                <w14:lumOff w14:val="5000"/>
              </w14:srgbClr>
            </w14:solidFill>
          </w14:textFill>
        </w:rPr>
        <w:t xml:space="preserve">Classification of the included studies according to the number of </w:t>
      </w:r>
      <w:r>
        <w:rPr>
          <w:rFonts w:ascii="Times New Roman" w:eastAsia="DengXian" w:hAnsi="Times New Roman" w:cs="Times New Roman"/>
          <w:color w:val="000000"/>
          <w:sz w:val="28"/>
          <w:szCs w:val="28"/>
          <w:lang w:val="en-US" w:eastAsia="en-US"/>
          <w14:textFill>
            <w14:solidFill>
              <w14:srgbClr w14:val="000000">
                <w14:lumMod w14:val="95000"/>
                <w14:lumOff w14:val="5000"/>
              </w14:srgbClr>
            </w14:solidFill>
          </w14:textFill>
        </w:rPr>
        <w:t xml:space="preserve">the </w:t>
      </w:r>
      <w:r w:rsidRPr="004D5D6C">
        <w:rPr>
          <w:rFonts w:ascii="Times New Roman" w:eastAsia="DengXian" w:hAnsi="Times New Roman" w:cs="Times New Roman"/>
          <w:color w:val="000000"/>
          <w:sz w:val="28"/>
          <w:szCs w:val="28"/>
          <w:lang w:val="en-US" w:eastAsia="en-US"/>
          <w14:textFill>
            <w14:solidFill>
              <w14:srgbClr w14:val="000000">
                <w14:lumMod w14:val="95000"/>
                <w14:lumOff w14:val="5000"/>
              </w14:srgbClr>
            </w14:solidFill>
          </w14:textFill>
        </w:rPr>
        <w:t>reported cost categories.</w:t>
      </w:r>
    </w:p>
    <w:p w14:paraId="39FA694D" w14:textId="77777777" w:rsidR="003454D0" w:rsidRPr="003454D0" w:rsidRDefault="003454D0" w:rsidP="00F62048">
      <w:pPr>
        <w:rPr>
          <w:rFonts w:ascii="Times New Roman" w:eastAsia="DengXian" w:hAnsi="Times New Roman" w:cs="Times New Roman"/>
          <w:sz w:val="28"/>
          <w:szCs w:val="28"/>
          <w:lang w:val="en-US"/>
        </w:rPr>
      </w:pPr>
    </w:p>
    <w:p w14:paraId="436FD016" w14:textId="77777777" w:rsidR="00B42276" w:rsidRPr="004D5D6C" w:rsidRDefault="00B42276" w:rsidP="00B42276">
      <w:pPr>
        <w:rPr>
          <w:rFonts w:ascii="Times New Roman" w:eastAsia="DengXian" w:hAnsi="Times New Roman" w:cs="Times New Roman"/>
          <w:b/>
          <w:bCs/>
          <w:sz w:val="28"/>
          <w:szCs w:val="28"/>
          <w:lang w:val="en-US"/>
        </w:rPr>
      </w:pPr>
      <w:r w:rsidRPr="004D5D6C">
        <w:rPr>
          <w:noProof/>
          <w:lang w:val="en-IN" w:eastAsia="en-IN"/>
        </w:rPr>
        <w:lastRenderedPageBreak/>
        <w:drawing>
          <wp:inline distT="0" distB="0" distL="0" distR="0" wp14:anchorId="7BA654AD" wp14:editId="6BCAFD34">
            <wp:extent cx="8902700" cy="4241800"/>
            <wp:effectExtent l="0" t="0" r="12700" b="635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AC75DBBB-7ADC-4826-3FAC-47A342629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8EA247" w14:textId="77777777" w:rsidR="00B42276" w:rsidRPr="004D5D6C" w:rsidRDefault="00B42276" w:rsidP="00B42276">
      <w:pPr>
        <w:spacing w:after="0" w:line="240" w:lineRule="auto"/>
        <w:rPr>
          <w:rFonts w:ascii="Times New Roman" w:eastAsia="DengXian" w:hAnsi="Times New Roman" w:cs="Times New Roman"/>
          <w:sz w:val="20"/>
          <w:szCs w:val="20"/>
        </w:rPr>
      </w:pPr>
      <w:r w:rsidRPr="004D5D6C">
        <w:rPr>
          <w:rFonts w:ascii="Times New Roman" w:eastAsia="DengXian" w:hAnsi="Times New Roman" w:cs="Times New Roman"/>
          <w:b/>
          <w:bCs/>
          <w:sz w:val="20"/>
          <w:szCs w:val="20"/>
        </w:rPr>
        <w:t xml:space="preserve">Note: </w:t>
      </w:r>
      <w:r w:rsidRPr="004D5D6C">
        <w:rPr>
          <w:rFonts w:ascii="Times New Roman" w:eastAsia="DengXian" w:hAnsi="Times New Roman" w:cs="Times New Roman"/>
          <w:sz w:val="20"/>
          <w:szCs w:val="20"/>
        </w:rPr>
        <w:t>The median no. of cost categories reported by each study is 4.</w:t>
      </w:r>
    </w:p>
    <w:p w14:paraId="01F43FCF" w14:textId="77777777" w:rsidR="00B42276" w:rsidRPr="004D5D6C" w:rsidRDefault="00B42276" w:rsidP="00B42276">
      <w:pPr>
        <w:rPr>
          <w:rFonts w:ascii="Times New Roman" w:eastAsia="DengXian" w:hAnsi="Times New Roman" w:cs="Times New Roman"/>
          <w:b/>
          <w:bCs/>
          <w:sz w:val="28"/>
          <w:szCs w:val="28"/>
        </w:rPr>
      </w:pPr>
    </w:p>
    <w:p w14:paraId="12409CA7" w14:textId="0F302C0D" w:rsidR="00B42276" w:rsidRPr="004D5D6C" w:rsidRDefault="003F1110" w:rsidP="003F1110">
      <w:pPr>
        <w:rPr>
          <w:rFonts w:ascii="Times New Roman" w:eastAsia="DengXian" w:hAnsi="Times New Roman" w:cs="Times New Roman"/>
          <w:color w:val="000000"/>
          <w:sz w:val="28"/>
          <w:szCs w:val="28"/>
          <w:lang w:val="en-US"/>
          <w14:textFill>
            <w14:solidFill>
              <w14:srgbClr w14:val="000000">
                <w14:lumMod w14:val="95000"/>
                <w14:lumOff w14:val="5000"/>
              </w14:srgbClr>
            </w14:solidFill>
          </w14:textFill>
        </w:rPr>
      </w:pPr>
      <w:r w:rsidRPr="004D5D6C">
        <w:rPr>
          <w:rFonts w:ascii="Times New Roman" w:eastAsia="DengXian" w:hAnsi="Times New Roman" w:cs="Times New Roman"/>
          <w:b/>
          <w:bCs/>
          <w:color w:val="000000"/>
          <w:sz w:val="28"/>
          <w:szCs w:val="28"/>
          <w14:textFill>
            <w14:solidFill>
              <w14:srgbClr w14:val="000000">
                <w14:lumMod w14:val="95000"/>
                <w14:lumOff w14:val="5000"/>
              </w14:srgbClr>
            </w14:solidFill>
          </w14:textFill>
        </w:rPr>
        <w:t xml:space="preserve">Supplementary Figure 3. </w:t>
      </w:r>
      <w:r w:rsidRPr="004D5D6C">
        <w:rPr>
          <w:rFonts w:ascii="Times New Roman" w:eastAsia="DengXian" w:hAnsi="Times New Roman" w:cs="Times New Roman"/>
          <w:color w:val="000000"/>
          <w:sz w:val="28"/>
          <w:szCs w:val="28"/>
          <w:lang w:val="en-US"/>
          <w14:textFill>
            <w14:solidFill>
              <w14:srgbClr w14:val="000000">
                <w14:lumMod w14:val="95000"/>
                <w14:lumOff w14:val="5000"/>
              </w14:srgbClr>
            </w14:solidFill>
          </w14:textFill>
        </w:rPr>
        <w:t xml:space="preserve">No. of cost categories reported </w:t>
      </w:r>
      <w:r w:rsidR="00D276DC">
        <w:rPr>
          <w:rFonts w:ascii="Times New Roman" w:eastAsia="DengXian" w:hAnsi="Times New Roman" w:cs="Times New Roman"/>
          <w:color w:val="000000"/>
          <w:sz w:val="28"/>
          <w:szCs w:val="28"/>
          <w:lang w:val="en-US"/>
          <w14:textFill>
            <w14:solidFill>
              <w14:srgbClr w14:val="000000">
                <w14:lumMod w14:val="95000"/>
                <w14:lumOff w14:val="5000"/>
              </w14:srgbClr>
            </w14:solidFill>
          </w14:textFill>
        </w:rPr>
        <w:t>by</w:t>
      </w:r>
      <w:r w:rsidRPr="004D5D6C">
        <w:rPr>
          <w:rFonts w:ascii="Times New Roman" w:eastAsia="DengXian" w:hAnsi="Times New Roman" w:cs="Times New Roman"/>
          <w:color w:val="000000"/>
          <w:sz w:val="28"/>
          <w:szCs w:val="28"/>
          <w:lang w:val="en-US"/>
          <w14:textFill>
            <w14:solidFill>
              <w14:srgbClr w14:val="000000">
                <w14:lumMod w14:val="95000"/>
                <w14:lumOff w14:val="5000"/>
              </w14:srgbClr>
            </w14:solidFill>
          </w14:textFill>
        </w:rPr>
        <w:t xml:space="preserve"> </w:t>
      </w:r>
      <w:r w:rsidR="00307B87">
        <w:rPr>
          <w:rFonts w:ascii="Times New Roman" w:eastAsia="DengXian" w:hAnsi="Times New Roman" w:cs="Times New Roman"/>
          <w:color w:val="000000"/>
          <w:sz w:val="28"/>
          <w:szCs w:val="28"/>
          <w:lang w:val="en-US"/>
          <w14:textFill>
            <w14:solidFill>
              <w14:srgbClr w14:val="000000">
                <w14:lumMod w14:val="95000"/>
                <w14:lumOff w14:val="5000"/>
              </w14:srgbClr>
            </w14:solidFill>
          </w14:textFill>
        </w:rPr>
        <w:t xml:space="preserve">each </w:t>
      </w:r>
      <w:r w:rsidRPr="004D5D6C">
        <w:rPr>
          <w:rFonts w:ascii="Times New Roman" w:eastAsia="DengXian" w:hAnsi="Times New Roman" w:cs="Times New Roman"/>
          <w:color w:val="000000"/>
          <w:sz w:val="28"/>
          <w:szCs w:val="28"/>
          <w:lang w:val="en-US"/>
          <w14:textFill>
            <w14:solidFill>
              <w14:srgbClr w14:val="000000">
                <w14:lumMod w14:val="95000"/>
                <w14:lumOff w14:val="5000"/>
              </w14:srgbClr>
            </w14:solidFill>
          </w14:textFill>
        </w:rPr>
        <w:t>study.</w:t>
      </w:r>
    </w:p>
    <w:p w14:paraId="7E23F849" w14:textId="77777777" w:rsidR="00B42276" w:rsidRPr="004D5D6C" w:rsidRDefault="00B42276" w:rsidP="00B42276">
      <w:pPr>
        <w:spacing w:after="0" w:line="240" w:lineRule="auto"/>
        <w:jc w:val="center"/>
        <w:rPr>
          <w:rFonts w:ascii="Times New Roman" w:eastAsia="DengXian" w:hAnsi="Times New Roman" w:cs="Times New Roman"/>
          <w:color w:val="000000"/>
          <w:sz w:val="28"/>
          <w:szCs w:val="28"/>
          <w:lang w:val="en-US" w:eastAsia="en-US"/>
          <w14:textFill>
            <w14:solidFill>
              <w14:srgbClr w14:val="000000">
                <w14:lumMod w14:val="95000"/>
                <w14:lumOff w14:val="5000"/>
              </w14:srgbClr>
            </w14:solidFill>
          </w14:textFill>
        </w:rPr>
      </w:pPr>
    </w:p>
    <w:bookmarkEnd w:id="13"/>
    <w:bookmarkEnd w:id="14"/>
    <w:bookmarkEnd w:id="19"/>
    <w:p w14:paraId="31517007" w14:textId="245C27D5" w:rsidR="003F1110" w:rsidRDefault="003F1110" w:rsidP="00F62048">
      <w:pPr>
        <w:spacing w:after="0" w:line="240" w:lineRule="auto"/>
        <w:rPr>
          <w:rFonts w:ascii="Times New Roman" w:eastAsia="DengXian" w:hAnsi="Times New Roman" w:cs="Times New Roman"/>
          <w:color w:val="000000"/>
          <w:sz w:val="28"/>
          <w:szCs w:val="28"/>
          <w:lang w:val="en-US" w:eastAsia="en-US"/>
          <w14:textFill>
            <w14:solidFill>
              <w14:srgbClr w14:val="000000">
                <w14:lumMod w14:val="95000"/>
                <w14:lumOff w14:val="5000"/>
              </w14:srgbClr>
            </w14:solidFill>
          </w14:textFill>
        </w:rPr>
      </w:pPr>
    </w:p>
    <w:p w14:paraId="0341050F" w14:textId="77777777" w:rsidR="001F5546" w:rsidRDefault="001F5546" w:rsidP="00F62048">
      <w:pPr>
        <w:spacing w:after="0" w:line="240" w:lineRule="auto"/>
        <w:rPr>
          <w:rFonts w:ascii="Times New Roman" w:eastAsia="DengXian" w:hAnsi="Times New Roman" w:cs="Times New Roman"/>
          <w:color w:val="000000"/>
          <w:sz w:val="28"/>
          <w:szCs w:val="28"/>
          <w:lang w:val="en-US" w:eastAsia="en-US"/>
          <w14:textFill>
            <w14:solidFill>
              <w14:srgbClr w14:val="000000">
                <w14:lumMod w14:val="95000"/>
                <w14:lumOff w14:val="5000"/>
              </w14:srgbClr>
            </w14:solidFill>
          </w14:textFill>
        </w:rPr>
        <w:sectPr w:rsidR="001F5546" w:rsidSect="00376CE5">
          <w:pgSz w:w="16838" w:h="11906" w:orient="landscape"/>
          <w:pgMar w:top="1440" w:right="1440" w:bottom="1440" w:left="1440" w:header="720" w:footer="720" w:gutter="0"/>
          <w:cols w:space="720"/>
          <w:docGrid w:linePitch="360"/>
        </w:sectPr>
      </w:pPr>
    </w:p>
    <w:p w14:paraId="3948FD19" w14:textId="0648EAD3" w:rsidR="006605C5" w:rsidRDefault="006605C5" w:rsidP="006605C5">
      <w:pPr>
        <w:spacing w:before="120" w:after="120" w:line="240" w:lineRule="auto"/>
        <w:jc w:val="both"/>
        <w:rPr>
          <w:rFonts w:ascii="Times New Roman" w:eastAsia="Arial" w:hAnsi="Times New Roman" w:cs="Times New Roman"/>
          <w:b/>
          <w:bCs/>
          <w:sz w:val="28"/>
          <w:szCs w:val="28"/>
          <w:lang w:eastAsia="zh-TW"/>
        </w:rPr>
      </w:pPr>
      <w:bookmarkStart w:id="30" w:name="_Hlk179045695"/>
      <w:r w:rsidRPr="006605C5">
        <w:rPr>
          <w:rFonts w:ascii="Times New Roman" w:eastAsia="Arial" w:hAnsi="Times New Roman" w:cs="Times New Roman"/>
          <w:b/>
          <w:bCs/>
          <w:sz w:val="28"/>
          <w:szCs w:val="28"/>
          <w:lang w:eastAsia="zh-TW"/>
        </w:rPr>
        <w:lastRenderedPageBreak/>
        <w:t>References</w:t>
      </w:r>
    </w:p>
    <w:bookmarkEnd w:id="30"/>
    <w:p w14:paraId="72EF8290" w14:textId="77777777" w:rsidR="006605C5" w:rsidRPr="00455C5E" w:rsidRDefault="006605C5" w:rsidP="006605C5">
      <w:pPr>
        <w:spacing w:before="120" w:after="120" w:line="240" w:lineRule="auto"/>
        <w:jc w:val="both"/>
        <w:rPr>
          <w:rFonts w:ascii="Times New Roman" w:eastAsia="Arial" w:hAnsi="Times New Roman" w:cs="Times New Roman"/>
          <w:sz w:val="24"/>
          <w:szCs w:val="24"/>
          <w:lang w:eastAsia="zh-TW"/>
        </w:rPr>
      </w:pPr>
    </w:p>
    <w:p w14:paraId="0474A722" w14:textId="50B94EB9"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eastAsia="DengXian" w:hAnsi="Times New Roman" w:cs="Times New Roman"/>
          <w:color w:val="000000"/>
          <w:sz w:val="24"/>
          <w:szCs w:val="24"/>
          <w:lang w:val="en-US" w:eastAsia="en-US"/>
          <w14:textFill>
            <w14:solidFill>
              <w14:srgbClr w14:val="000000">
                <w14:lumMod w14:val="95000"/>
                <w14:lumOff w14:val="5000"/>
              </w14:srgbClr>
            </w14:solidFill>
          </w14:textFill>
        </w:rPr>
        <w:fldChar w:fldCharType="begin" w:fldLock="1"/>
      </w:r>
      <w:r>
        <w:rPr>
          <w:rFonts w:ascii="Times New Roman" w:eastAsia="DengXian" w:hAnsi="Times New Roman" w:cs="Times New Roman"/>
          <w:color w:val="000000"/>
          <w:sz w:val="24"/>
          <w:szCs w:val="24"/>
          <w:lang w:val="en-US" w:eastAsia="en-US"/>
          <w14:textFill>
            <w14:solidFill>
              <w14:srgbClr w14:val="000000">
                <w14:lumMod w14:val="95000"/>
                <w14:lumOff w14:val="5000"/>
              </w14:srgbClr>
            </w14:solidFill>
          </w14:textFill>
        </w:rPr>
        <w:instrText xml:space="preserve">ADDIN Mendeley Bibliography CSL_BIBLIOGRAPHY </w:instrText>
      </w:r>
      <w:r>
        <w:rPr>
          <w:rFonts w:ascii="Times New Roman" w:eastAsia="DengXian" w:hAnsi="Times New Roman" w:cs="Times New Roman"/>
          <w:color w:val="000000"/>
          <w:sz w:val="24"/>
          <w:szCs w:val="24"/>
          <w:lang w:val="en-US" w:eastAsia="en-US"/>
          <w14:textFill>
            <w14:solidFill>
              <w14:srgbClr w14:val="000000">
                <w14:lumMod w14:val="95000"/>
                <w14:lumOff w14:val="5000"/>
              </w14:srgbClr>
            </w14:solidFill>
          </w14:textFill>
        </w:rPr>
        <w:fldChar w:fldCharType="separate"/>
      </w:r>
      <w:r w:rsidRPr="008C2605">
        <w:rPr>
          <w:rFonts w:ascii="Times New Roman" w:hAnsi="Times New Roman" w:cs="Times New Roman"/>
          <w:noProof/>
          <w:sz w:val="24"/>
        </w:rPr>
        <w:t>[1]</w:t>
      </w:r>
      <w:r w:rsidRPr="008C2605">
        <w:rPr>
          <w:rFonts w:ascii="Times New Roman" w:hAnsi="Times New Roman" w:cs="Times New Roman"/>
          <w:noProof/>
          <w:sz w:val="24"/>
        </w:rPr>
        <w:tab/>
        <w:t xml:space="preserve">G. I. Ingram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“Home treatment in haemophilia: clinical, social and economic advantages.,” </w:t>
      </w:r>
      <w:r w:rsidRPr="008C2605">
        <w:rPr>
          <w:rFonts w:ascii="Times New Roman" w:hAnsi="Times New Roman" w:cs="Times New Roman"/>
          <w:i/>
          <w:iCs/>
          <w:noProof/>
          <w:sz w:val="24"/>
        </w:rPr>
        <w:t>Clin. Lab. Haematol.</w:t>
      </w:r>
      <w:r w:rsidRPr="008C2605">
        <w:rPr>
          <w:rFonts w:ascii="Times New Roman" w:hAnsi="Times New Roman" w:cs="Times New Roman"/>
          <w:noProof/>
          <w:sz w:val="24"/>
        </w:rPr>
        <w:t>, vol. 1, no. 1, pp. 13–27, 1979, doi: 10.1111/j.1365-2257.1979.tb00586.x.</w:t>
      </w:r>
    </w:p>
    <w:p w14:paraId="0A3C7EEC"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[2]</w:t>
      </w:r>
      <w:r w:rsidRPr="008C2605">
        <w:rPr>
          <w:rFonts w:ascii="Times New Roman" w:hAnsi="Times New Roman" w:cs="Times New Roman"/>
          <w:noProof/>
          <w:sz w:val="24"/>
        </w:rPr>
        <w:tab/>
        <w:t xml:space="preserve">K. Schimpf and M. Niederberger, “Cost effectiveness in treatment of severe hemophilia,” </w:t>
      </w:r>
      <w:r w:rsidRPr="008C2605">
        <w:rPr>
          <w:rFonts w:ascii="Times New Roman" w:hAnsi="Times New Roman" w:cs="Times New Roman"/>
          <w:i/>
          <w:iCs/>
          <w:noProof/>
          <w:sz w:val="24"/>
        </w:rPr>
        <w:t>Pathophysiol. Haemost. Thromb.</w:t>
      </w:r>
      <w:r w:rsidRPr="008C2605">
        <w:rPr>
          <w:rFonts w:ascii="Times New Roman" w:hAnsi="Times New Roman" w:cs="Times New Roman"/>
          <w:noProof/>
          <w:sz w:val="24"/>
        </w:rPr>
        <w:t>, vol. 10, no. Suppl. 1, pp. 185–187, 1981.</w:t>
      </w:r>
    </w:p>
    <w:p w14:paraId="4DDDE6B8"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[3]</w:t>
      </w:r>
      <w:r w:rsidRPr="008C2605">
        <w:rPr>
          <w:rFonts w:ascii="Times New Roman" w:hAnsi="Times New Roman" w:cs="Times New Roman"/>
          <w:noProof/>
          <w:sz w:val="24"/>
        </w:rPr>
        <w:tab/>
        <w:t xml:space="preserve">T. D. Szucs, A. Öffner, and W. Schramm, “Socioeconomic impact of haemophilia care: results of a pilot study,” </w:t>
      </w:r>
      <w:r w:rsidRPr="008C2605">
        <w:rPr>
          <w:rFonts w:ascii="Times New Roman" w:hAnsi="Times New Roman" w:cs="Times New Roman"/>
          <w:i/>
          <w:iCs/>
          <w:noProof/>
          <w:sz w:val="24"/>
        </w:rPr>
        <w:t>Haemophilia</w:t>
      </w:r>
      <w:r w:rsidRPr="008C2605">
        <w:rPr>
          <w:rFonts w:ascii="Times New Roman" w:hAnsi="Times New Roman" w:cs="Times New Roman"/>
          <w:noProof/>
          <w:sz w:val="24"/>
        </w:rPr>
        <w:t>, vol. 2, no. 4, pp. 211–217, 1996.</w:t>
      </w:r>
    </w:p>
    <w:p w14:paraId="54E90985"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[4]</w:t>
      </w:r>
      <w:r w:rsidRPr="008C2605">
        <w:rPr>
          <w:rFonts w:ascii="Times New Roman" w:hAnsi="Times New Roman" w:cs="Times New Roman"/>
          <w:noProof/>
          <w:sz w:val="24"/>
        </w:rPr>
        <w:tab/>
        <w:t xml:space="preserve">R. L. Bohn, J. Avorn, R. J. Glynn, I. Choodnovskiy, R. Haschemeyer, and L. M. Aledort, “Prophylactic use of factor VIII: an economic evaluation.,” </w:t>
      </w:r>
      <w:r w:rsidRPr="008C2605">
        <w:rPr>
          <w:rFonts w:ascii="Times New Roman" w:hAnsi="Times New Roman" w:cs="Times New Roman"/>
          <w:i/>
          <w:iCs/>
          <w:noProof/>
          <w:sz w:val="24"/>
        </w:rPr>
        <w:t>Thromb. Haemost.</w:t>
      </w:r>
      <w:r w:rsidRPr="008C2605">
        <w:rPr>
          <w:rFonts w:ascii="Times New Roman" w:hAnsi="Times New Roman" w:cs="Times New Roman"/>
          <w:noProof/>
          <w:sz w:val="24"/>
        </w:rPr>
        <w:t>, vol. 79, no. 5, pp. 932–937, May 1998.</w:t>
      </w:r>
    </w:p>
    <w:p w14:paraId="0B1F03A5"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[5]</w:t>
      </w:r>
      <w:r w:rsidRPr="008C2605">
        <w:rPr>
          <w:rFonts w:ascii="Times New Roman" w:hAnsi="Times New Roman" w:cs="Times New Roman"/>
          <w:noProof/>
          <w:sz w:val="24"/>
        </w:rPr>
        <w:tab/>
        <w:t xml:space="preserve">P. Molho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“Epidemiological survey of the orthopaedic status of severe haemophilia A and B  patients in France. The French Study Group. secretariat.haemophiles@cch.ap-hop-paris.fr.,” </w:t>
      </w:r>
      <w:r w:rsidRPr="008C2605">
        <w:rPr>
          <w:rFonts w:ascii="Times New Roman" w:hAnsi="Times New Roman" w:cs="Times New Roman"/>
          <w:i/>
          <w:iCs/>
          <w:noProof/>
          <w:sz w:val="24"/>
        </w:rPr>
        <w:t>Haemophilia</w:t>
      </w:r>
      <w:r w:rsidRPr="008C2605">
        <w:rPr>
          <w:rFonts w:ascii="Times New Roman" w:hAnsi="Times New Roman" w:cs="Times New Roman"/>
          <w:noProof/>
          <w:sz w:val="24"/>
        </w:rPr>
        <w:t>, vol. 6, no. 1, pp. 23–32, Jan. 2000, doi: 10.1046/j.1365-2516.2000.00358.x.</w:t>
      </w:r>
    </w:p>
    <w:p w14:paraId="3FDB79A1"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[6]</w:t>
      </w:r>
      <w:r w:rsidRPr="008C2605">
        <w:rPr>
          <w:rFonts w:ascii="Times New Roman" w:hAnsi="Times New Roman" w:cs="Times New Roman"/>
          <w:noProof/>
          <w:sz w:val="24"/>
        </w:rPr>
        <w:tab/>
        <w:t xml:space="preserve">H. Ekert, T. Brewin, W. Boey, P. Davey, and D. Tilden, “Cost-utility analysis of recombinant factor VIIa (NovoSeven) in six children with  long-standing inhibitors to factor VIII or IX.,” </w:t>
      </w:r>
      <w:r w:rsidRPr="008C2605">
        <w:rPr>
          <w:rFonts w:ascii="Times New Roman" w:hAnsi="Times New Roman" w:cs="Times New Roman"/>
          <w:i/>
          <w:iCs/>
          <w:noProof/>
          <w:sz w:val="24"/>
        </w:rPr>
        <w:t>Haemophilia</w:t>
      </w:r>
      <w:r w:rsidRPr="008C2605">
        <w:rPr>
          <w:rFonts w:ascii="Times New Roman" w:hAnsi="Times New Roman" w:cs="Times New Roman"/>
          <w:noProof/>
          <w:sz w:val="24"/>
        </w:rPr>
        <w:t>, vol. 7, no. 3, pp. 279–285, May 2001, doi: 10.1046/j.1365-2516.2001.00502.x.</w:t>
      </w:r>
    </w:p>
    <w:p w14:paraId="61D5E12A"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[7]</w:t>
      </w:r>
      <w:r w:rsidRPr="008C2605">
        <w:rPr>
          <w:rFonts w:ascii="Times New Roman" w:hAnsi="Times New Roman" w:cs="Times New Roman"/>
          <w:noProof/>
          <w:sz w:val="24"/>
        </w:rPr>
        <w:tab/>
        <w:t xml:space="preserve">W. Schramm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“Clinical outcomes and resource utilization associated with haemophilia care in  Europe.,” </w:t>
      </w:r>
      <w:r w:rsidRPr="008C2605">
        <w:rPr>
          <w:rFonts w:ascii="Times New Roman" w:hAnsi="Times New Roman" w:cs="Times New Roman"/>
          <w:i/>
          <w:iCs/>
          <w:noProof/>
          <w:sz w:val="24"/>
        </w:rPr>
        <w:t>Haemophilia</w:t>
      </w:r>
      <w:r w:rsidRPr="008C2605">
        <w:rPr>
          <w:rFonts w:ascii="Times New Roman" w:hAnsi="Times New Roman" w:cs="Times New Roman"/>
          <w:noProof/>
          <w:sz w:val="24"/>
        </w:rPr>
        <w:t>, vol. 8, no. 1, pp. 33–43, Jan. 2002, doi: 10.1046/j.1365-2516.2002.00580.x.</w:t>
      </w:r>
    </w:p>
    <w:p w14:paraId="652BF3A1"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[8]</w:t>
      </w:r>
      <w:r w:rsidRPr="008C2605">
        <w:rPr>
          <w:rFonts w:ascii="Times New Roman" w:hAnsi="Times New Roman" w:cs="Times New Roman"/>
          <w:noProof/>
          <w:sz w:val="24"/>
        </w:rPr>
        <w:tab/>
        <w:t xml:space="preserve">K. S. Carlsson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“Costs of on-demand and prophylactic treatment for severe haemophilia in Norway and Sweden,” </w:t>
      </w:r>
      <w:r w:rsidRPr="008C2605">
        <w:rPr>
          <w:rFonts w:ascii="Times New Roman" w:hAnsi="Times New Roman" w:cs="Times New Roman"/>
          <w:i/>
          <w:iCs/>
          <w:noProof/>
          <w:sz w:val="24"/>
        </w:rPr>
        <w:t>Haemophilia</w:t>
      </w:r>
      <w:r w:rsidRPr="008C2605">
        <w:rPr>
          <w:rFonts w:ascii="Times New Roman" w:hAnsi="Times New Roman" w:cs="Times New Roman"/>
          <w:noProof/>
          <w:sz w:val="24"/>
        </w:rPr>
        <w:t>, vol. 10, no. 5, pp. 515–526, Sep. 2004, doi: 10.1111/j.1365-2516.2004.00952.x.</w:t>
      </w:r>
    </w:p>
    <w:p w14:paraId="622E4C7D"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[9]</w:t>
      </w:r>
      <w:r w:rsidRPr="008C2605">
        <w:rPr>
          <w:rFonts w:ascii="Times New Roman" w:hAnsi="Times New Roman" w:cs="Times New Roman"/>
          <w:noProof/>
          <w:sz w:val="24"/>
        </w:rPr>
        <w:tab/>
        <w:t xml:space="preserve">D. Mihailov, M. Serban, R. Badeti, P. Tepeneu, W. Schramm, and D. Lighezan, “Economic Evaluation of Orthopedic and Surgical Interventions in Hemophiliacs-Not Only Direct Medical Costs Matter,” in </w:t>
      </w:r>
      <w:r w:rsidRPr="008C2605">
        <w:rPr>
          <w:rFonts w:ascii="Times New Roman" w:hAnsi="Times New Roman" w:cs="Times New Roman"/>
          <w:i/>
          <w:iCs/>
          <w:noProof/>
          <w:sz w:val="24"/>
        </w:rPr>
        <w:t>36th Hemophilia Symposium Hamburg 2005</w:t>
      </w:r>
      <w:r w:rsidRPr="008C2605">
        <w:rPr>
          <w:rFonts w:ascii="Times New Roman" w:hAnsi="Times New Roman" w:cs="Times New Roman"/>
          <w:noProof/>
          <w:sz w:val="24"/>
        </w:rPr>
        <w:t>, Springer, 2007, pp. 161–167.</w:t>
      </w:r>
    </w:p>
    <w:p w14:paraId="253951EB"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[10]</w:t>
      </w:r>
      <w:r w:rsidRPr="008C2605">
        <w:rPr>
          <w:rFonts w:ascii="Times New Roman" w:hAnsi="Times New Roman" w:cs="Times New Roman"/>
          <w:noProof/>
          <w:sz w:val="24"/>
        </w:rPr>
        <w:tab/>
        <w:t xml:space="preserve">K. Fischer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“Intermediate-dose versus high-dose prophylaxis for severe hemophilia: comparing outcome and costs since the 1970s,” </w:t>
      </w:r>
      <w:r w:rsidRPr="008C2605">
        <w:rPr>
          <w:rFonts w:ascii="Times New Roman" w:hAnsi="Times New Roman" w:cs="Times New Roman"/>
          <w:i/>
          <w:iCs/>
          <w:noProof/>
          <w:sz w:val="24"/>
        </w:rPr>
        <w:t>Blood</w:t>
      </w:r>
      <w:r w:rsidRPr="008C2605">
        <w:rPr>
          <w:rFonts w:ascii="Times New Roman" w:hAnsi="Times New Roman" w:cs="Times New Roman"/>
          <w:noProof/>
          <w:sz w:val="24"/>
        </w:rPr>
        <w:t>, vol. 122, no. 7, pp. 1129–1136, Aug. 2013, doi: 10.1182/blood-2012-12-470898.</w:t>
      </w:r>
    </w:p>
    <w:p w14:paraId="23087D8A"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[11]</w:t>
      </w:r>
      <w:r w:rsidRPr="008C2605">
        <w:rPr>
          <w:rFonts w:ascii="Times New Roman" w:hAnsi="Times New Roman" w:cs="Times New Roman"/>
          <w:noProof/>
          <w:sz w:val="24"/>
        </w:rPr>
        <w:tab/>
        <w:t xml:space="preserve">Y. Kodra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“The social burden and quality of life of patients with haemophilia in Italy,” </w:t>
      </w:r>
      <w:r w:rsidRPr="008C2605">
        <w:rPr>
          <w:rFonts w:ascii="Times New Roman" w:hAnsi="Times New Roman" w:cs="Times New Roman"/>
          <w:i/>
          <w:iCs/>
          <w:noProof/>
          <w:sz w:val="24"/>
        </w:rPr>
        <w:t>Blood Transfus.</w:t>
      </w:r>
      <w:r w:rsidRPr="008C2605">
        <w:rPr>
          <w:rFonts w:ascii="Times New Roman" w:hAnsi="Times New Roman" w:cs="Times New Roman"/>
          <w:noProof/>
          <w:sz w:val="24"/>
        </w:rPr>
        <w:t>, vol. 12 Suppl 3, no. Suppl 3, pp. s567-75, Apr. 2014, doi: 10.2450/2014.0042-14s.</w:t>
      </w:r>
    </w:p>
    <w:p w14:paraId="17C4D075"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[12]</w:t>
      </w:r>
      <w:r w:rsidRPr="008C2605">
        <w:rPr>
          <w:rFonts w:ascii="Times New Roman" w:hAnsi="Times New Roman" w:cs="Times New Roman"/>
          <w:noProof/>
          <w:sz w:val="24"/>
        </w:rPr>
        <w:tab/>
        <w:t xml:space="preserve">V. E. Price, S. A. Hawes, A. Bouchard, A. Vaughan, C. Jarock, and S. Kuhle, “Unmeasured costs of haemophilia: the economic burden on families with children with haemophilia,” </w:t>
      </w:r>
      <w:r w:rsidRPr="008C2605">
        <w:rPr>
          <w:rFonts w:ascii="Times New Roman" w:hAnsi="Times New Roman" w:cs="Times New Roman"/>
          <w:i/>
          <w:iCs/>
          <w:noProof/>
          <w:sz w:val="24"/>
        </w:rPr>
        <w:t>Haemophilia</w:t>
      </w:r>
      <w:r w:rsidRPr="008C2605">
        <w:rPr>
          <w:rFonts w:ascii="Times New Roman" w:hAnsi="Times New Roman" w:cs="Times New Roman"/>
          <w:noProof/>
          <w:sz w:val="24"/>
        </w:rPr>
        <w:t>, vol. 21, no. 4, pp. e294-9, Jul. 2015, doi: 10.1111/hae.12715.</w:t>
      </w:r>
    </w:p>
    <w:p w14:paraId="747DCA41"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[13]</w:t>
      </w:r>
      <w:r w:rsidRPr="008C2605">
        <w:rPr>
          <w:rFonts w:ascii="Times New Roman" w:hAnsi="Times New Roman" w:cs="Times New Roman"/>
          <w:noProof/>
          <w:sz w:val="24"/>
        </w:rPr>
        <w:tab/>
        <w:t xml:space="preserve">Z.-Y. Zhou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“Burden of illness: direct and indirect costs among persons with hemophilia A in the United States,” </w:t>
      </w:r>
      <w:r w:rsidRPr="008C2605">
        <w:rPr>
          <w:rFonts w:ascii="Times New Roman" w:hAnsi="Times New Roman" w:cs="Times New Roman"/>
          <w:i/>
          <w:iCs/>
          <w:noProof/>
          <w:sz w:val="24"/>
        </w:rPr>
        <w:t>J. Med. Econ.</w:t>
      </w:r>
      <w:r w:rsidRPr="008C2605">
        <w:rPr>
          <w:rFonts w:ascii="Times New Roman" w:hAnsi="Times New Roman" w:cs="Times New Roman"/>
          <w:noProof/>
          <w:sz w:val="24"/>
        </w:rPr>
        <w:t>, vol. 18, no. 6, pp. 457–465, Jun. 2015, doi: 10.3111/13696998.2015.1016228.</w:t>
      </w:r>
    </w:p>
    <w:p w14:paraId="18C510D5"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[14]</w:t>
      </w:r>
      <w:r w:rsidRPr="008C2605">
        <w:rPr>
          <w:rFonts w:ascii="Times New Roman" w:hAnsi="Times New Roman" w:cs="Times New Roman"/>
          <w:noProof/>
          <w:sz w:val="24"/>
        </w:rPr>
        <w:tab/>
        <w:t xml:space="preserve">M. Cavazza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“Social/economic costs and quality of life in patients with haemophilia in Europe,” </w:t>
      </w:r>
      <w:r w:rsidRPr="008C2605">
        <w:rPr>
          <w:rFonts w:ascii="Times New Roman" w:hAnsi="Times New Roman" w:cs="Times New Roman"/>
          <w:i/>
          <w:iCs/>
          <w:noProof/>
          <w:sz w:val="24"/>
        </w:rPr>
        <w:t>Eur. J. Health Econ.</w:t>
      </w:r>
      <w:r w:rsidRPr="008C2605">
        <w:rPr>
          <w:rFonts w:ascii="Times New Roman" w:hAnsi="Times New Roman" w:cs="Times New Roman"/>
          <w:noProof/>
          <w:sz w:val="24"/>
        </w:rPr>
        <w:t>, vol. 17 Suppl 1, pp. 53–65, Apr. 2016, doi: 10.1007/s10198-016-0785-2.</w:t>
      </w:r>
    </w:p>
    <w:p w14:paraId="5B238089"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[15]</w:t>
      </w:r>
      <w:r w:rsidRPr="008C2605">
        <w:rPr>
          <w:rFonts w:ascii="Times New Roman" w:hAnsi="Times New Roman" w:cs="Times New Roman"/>
          <w:noProof/>
          <w:sz w:val="24"/>
        </w:rPr>
        <w:tab/>
        <w:t xml:space="preserve">C. X. Chen, J. R. Baker, and M. B. Nichol, “Economic burden of illness among persons with hemophilia B from HUGS Vb: examining the association of severity and </w:t>
      </w:r>
      <w:r w:rsidRPr="008C2605">
        <w:rPr>
          <w:rFonts w:ascii="Times New Roman" w:hAnsi="Times New Roman" w:cs="Times New Roman"/>
          <w:noProof/>
          <w:sz w:val="24"/>
        </w:rPr>
        <w:lastRenderedPageBreak/>
        <w:t xml:space="preserve">treatment regimens with costs and annual bleed rates,” </w:t>
      </w:r>
      <w:r w:rsidRPr="008C2605">
        <w:rPr>
          <w:rFonts w:ascii="Times New Roman" w:hAnsi="Times New Roman" w:cs="Times New Roman"/>
          <w:i/>
          <w:iCs/>
          <w:noProof/>
          <w:sz w:val="24"/>
        </w:rPr>
        <w:t>Value Heal.</w:t>
      </w:r>
      <w:r w:rsidRPr="008C2605">
        <w:rPr>
          <w:rFonts w:ascii="Times New Roman" w:hAnsi="Times New Roman" w:cs="Times New Roman"/>
          <w:noProof/>
          <w:sz w:val="24"/>
        </w:rPr>
        <w:t>, vol. 20, no. 8, pp. 1074–1082, 2017.</w:t>
      </w:r>
    </w:p>
    <w:p w14:paraId="7C06FAB5"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[16]</w:t>
      </w:r>
      <w:r w:rsidRPr="008C2605">
        <w:rPr>
          <w:rFonts w:ascii="Times New Roman" w:hAnsi="Times New Roman" w:cs="Times New Roman"/>
          <w:noProof/>
          <w:sz w:val="24"/>
        </w:rPr>
        <w:tab/>
        <w:t xml:space="preserve">J. O’Hara, D. Hughes, C. Camp, T. Burke, L. Carroll, and D.-A. G. Diego, “The cost of severe haemophilia in Europe: the CHESS study,” </w:t>
      </w:r>
      <w:r w:rsidRPr="008C2605">
        <w:rPr>
          <w:rFonts w:ascii="Times New Roman" w:hAnsi="Times New Roman" w:cs="Times New Roman"/>
          <w:i/>
          <w:iCs/>
          <w:noProof/>
          <w:sz w:val="24"/>
        </w:rPr>
        <w:t>Orphanet J. Rare Dis.</w:t>
      </w:r>
      <w:r w:rsidRPr="008C2605">
        <w:rPr>
          <w:rFonts w:ascii="Times New Roman" w:hAnsi="Times New Roman" w:cs="Times New Roman"/>
          <w:noProof/>
          <w:sz w:val="24"/>
        </w:rPr>
        <w:t>, vol. 12, no. 1, pp. 1–8, 2017.</w:t>
      </w:r>
    </w:p>
    <w:p w14:paraId="32CCE405"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[17]</w:t>
      </w:r>
      <w:r w:rsidRPr="008C2605">
        <w:rPr>
          <w:rFonts w:ascii="Times New Roman" w:hAnsi="Times New Roman" w:cs="Times New Roman"/>
          <w:noProof/>
          <w:sz w:val="24"/>
        </w:rPr>
        <w:tab/>
        <w:t xml:space="preserve">U. Jadhav and K. Mukherjee, “Assessment of healthcare measures, healthcare resource use, and cost of care among severe hemophilia A patients in Mumbai region of India.,” </w:t>
      </w:r>
      <w:r w:rsidRPr="008C2605">
        <w:rPr>
          <w:rFonts w:ascii="Times New Roman" w:hAnsi="Times New Roman" w:cs="Times New Roman"/>
          <w:i/>
          <w:iCs/>
          <w:noProof/>
          <w:sz w:val="24"/>
        </w:rPr>
        <w:t>J. Postgrad. Med.</w:t>
      </w:r>
      <w:r w:rsidRPr="008C2605">
        <w:rPr>
          <w:rFonts w:ascii="Times New Roman" w:hAnsi="Times New Roman" w:cs="Times New Roman"/>
          <w:noProof/>
          <w:sz w:val="24"/>
        </w:rPr>
        <w:t>, vol. 64, no. 3, pp. 138–144, 2018, doi: 10.4103/jpgm.JPGM_701_16.</w:t>
      </w:r>
    </w:p>
    <w:p w14:paraId="79546DCD"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[18]</w:t>
      </w:r>
      <w:r w:rsidRPr="008C2605">
        <w:rPr>
          <w:rFonts w:ascii="Times New Roman" w:hAnsi="Times New Roman" w:cs="Times New Roman"/>
          <w:noProof/>
          <w:sz w:val="24"/>
        </w:rPr>
        <w:tab/>
        <w:t xml:space="preserve">J. Koeberlein‐Neu, B. Runkel, and T. Hilberg, “Cost‐utility of a six‐month programmed sports therapy (PST) in patients with haemophilia,” </w:t>
      </w:r>
      <w:r w:rsidRPr="008C2605">
        <w:rPr>
          <w:rFonts w:ascii="Times New Roman" w:hAnsi="Times New Roman" w:cs="Times New Roman"/>
          <w:i/>
          <w:iCs/>
          <w:noProof/>
          <w:sz w:val="24"/>
        </w:rPr>
        <w:t>Haemophilia</w:t>
      </w:r>
      <w:r w:rsidRPr="008C2605">
        <w:rPr>
          <w:rFonts w:ascii="Times New Roman" w:hAnsi="Times New Roman" w:cs="Times New Roman"/>
          <w:noProof/>
          <w:sz w:val="24"/>
        </w:rPr>
        <w:t>, vol. 24, no. 3, pp. 385–394, 2018.</w:t>
      </w:r>
    </w:p>
    <w:p w14:paraId="37055772"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[19]</w:t>
      </w:r>
      <w:r w:rsidRPr="008C2605">
        <w:rPr>
          <w:rFonts w:ascii="Times New Roman" w:hAnsi="Times New Roman" w:cs="Times New Roman"/>
          <w:noProof/>
          <w:sz w:val="24"/>
        </w:rPr>
        <w:tab/>
        <w:t xml:space="preserve">N. Gupta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“HAEMOcare: the first international epidemiological study measuring burden of hemophilia in developing countries,” </w:t>
      </w:r>
      <w:r w:rsidRPr="008C2605">
        <w:rPr>
          <w:rFonts w:ascii="Times New Roman" w:hAnsi="Times New Roman" w:cs="Times New Roman"/>
          <w:i/>
          <w:iCs/>
          <w:noProof/>
          <w:sz w:val="24"/>
        </w:rPr>
        <w:t>TH Open</w:t>
      </w:r>
      <w:r w:rsidRPr="008C2605">
        <w:rPr>
          <w:rFonts w:ascii="Times New Roman" w:hAnsi="Times New Roman" w:cs="Times New Roman"/>
          <w:noProof/>
          <w:sz w:val="24"/>
        </w:rPr>
        <w:t>, vol. 3, no. 02, pp. e190–e199, 2019.</w:t>
      </w:r>
    </w:p>
    <w:p w14:paraId="62F8818F"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[20]</w:t>
      </w:r>
      <w:r w:rsidRPr="008C2605">
        <w:rPr>
          <w:rFonts w:ascii="Times New Roman" w:hAnsi="Times New Roman" w:cs="Times New Roman"/>
          <w:noProof/>
          <w:sz w:val="24"/>
        </w:rPr>
        <w:tab/>
        <w:t xml:space="preserve">K. Keshavarz, M. Bordbar, Z. Hashemipoor, F. S. Jalali, and R. Ravangard, “Economic burden of hemophilia A and B: a case in Iran,” </w:t>
      </w:r>
      <w:r w:rsidRPr="008C2605">
        <w:rPr>
          <w:rFonts w:ascii="Times New Roman" w:hAnsi="Times New Roman" w:cs="Times New Roman"/>
          <w:i/>
          <w:iCs/>
          <w:noProof/>
          <w:sz w:val="24"/>
        </w:rPr>
        <w:t>Hematology</w:t>
      </w:r>
      <w:r w:rsidRPr="008C2605">
        <w:rPr>
          <w:rFonts w:ascii="Times New Roman" w:hAnsi="Times New Roman" w:cs="Times New Roman"/>
          <w:noProof/>
          <w:sz w:val="24"/>
        </w:rPr>
        <w:t>, vol. 25, no. 1, pp. 149–155, Dec. 2020, doi: 10.1080/16078454.2020.1741205.</w:t>
      </w:r>
    </w:p>
    <w:p w14:paraId="728F4049"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[21]</w:t>
      </w:r>
      <w:r w:rsidRPr="008C2605">
        <w:rPr>
          <w:rFonts w:ascii="Times New Roman" w:hAnsi="Times New Roman" w:cs="Times New Roman"/>
          <w:noProof/>
          <w:sz w:val="24"/>
        </w:rPr>
        <w:tab/>
        <w:t xml:space="preserve">T. Burke, S. Asghar, J. O’Hara, M. Chuang, E. K. Sawyer, and N. Li, “Clinical, humanistic, and economic burden of severe haemophilia B in adults receiving factor IX prophylaxis: findings from the CHESS II real-world burden of illness study in Europe,” </w:t>
      </w:r>
      <w:r w:rsidRPr="008C2605">
        <w:rPr>
          <w:rFonts w:ascii="Times New Roman" w:hAnsi="Times New Roman" w:cs="Times New Roman"/>
          <w:i/>
          <w:iCs/>
          <w:noProof/>
          <w:sz w:val="24"/>
        </w:rPr>
        <w:t>Orphanet J. Rare Dis.</w:t>
      </w:r>
      <w:r w:rsidRPr="008C2605">
        <w:rPr>
          <w:rFonts w:ascii="Times New Roman" w:hAnsi="Times New Roman" w:cs="Times New Roman"/>
          <w:noProof/>
          <w:sz w:val="24"/>
        </w:rPr>
        <w:t>, vol. 16, no. 1, p. 521, Dec. 2021, doi: 10.1186/s13023-021-02152-1.</w:t>
      </w:r>
    </w:p>
    <w:p w14:paraId="7CA21B97"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[22]</w:t>
      </w:r>
      <w:r w:rsidRPr="008C2605">
        <w:rPr>
          <w:rFonts w:ascii="Times New Roman" w:hAnsi="Times New Roman" w:cs="Times New Roman"/>
          <w:noProof/>
          <w:sz w:val="24"/>
        </w:rPr>
        <w:tab/>
        <w:t xml:space="preserve">T. Burke, S. Asghar, J. O’Hara, E. K. Sawyer, and N. Li, “Clinical, humanistic, and economic burden of severe hemophilia B in the United States: Results from the CHESS US and CHESS US+ population surveys,” </w:t>
      </w:r>
      <w:r w:rsidRPr="008C2605">
        <w:rPr>
          <w:rFonts w:ascii="Times New Roman" w:hAnsi="Times New Roman" w:cs="Times New Roman"/>
          <w:i/>
          <w:iCs/>
          <w:noProof/>
          <w:sz w:val="24"/>
        </w:rPr>
        <w:t>Orphanet J. Rare Dis.</w:t>
      </w:r>
      <w:r w:rsidRPr="008C2605">
        <w:rPr>
          <w:rFonts w:ascii="Times New Roman" w:hAnsi="Times New Roman" w:cs="Times New Roman"/>
          <w:noProof/>
          <w:sz w:val="24"/>
        </w:rPr>
        <w:t>, vol. 16, no. 1, p. 143, Mar. 2021, doi: 10.1186/s13023-021-01774-9.</w:t>
      </w:r>
    </w:p>
    <w:p w14:paraId="72095F6C"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[23]</w:t>
      </w:r>
      <w:r w:rsidRPr="008C2605">
        <w:rPr>
          <w:rFonts w:ascii="Times New Roman" w:hAnsi="Times New Roman" w:cs="Times New Roman"/>
          <w:noProof/>
          <w:sz w:val="24"/>
        </w:rPr>
        <w:tab/>
        <w:t xml:space="preserve">I. Rodriguez-Santana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“Differential humanistic and economic burden of mild, moderate and severe haemophilia in european adults: a regression analysis of the CHESS II study,” </w:t>
      </w:r>
      <w:r w:rsidRPr="008C2605">
        <w:rPr>
          <w:rFonts w:ascii="Times New Roman" w:hAnsi="Times New Roman" w:cs="Times New Roman"/>
          <w:i/>
          <w:iCs/>
          <w:noProof/>
          <w:sz w:val="24"/>
        </w:rPr>
        <w:t>Orphanet J. Rare Dis.</w:t>
      </w:r>
      <w:r w:rsidRPr="008C2605">
        <w:rPr>
          <w:rFonts w:ascii="Times New Roman" w:hAnsi="Times New Roman" w:cs="Times New Roman"/>
          <w:noProof/>
          <w:sz w:val="24"/>
        </w:rPr>
        <w:t>, vol. 17, no. 1, p. 148, Apr. 2022, doi: 10.1186/s13023-022-02300-1.</w:t>
      </w:r>
    </w:p>
    <w:p w14:paraId="6C9E9DE7"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[24]</w:t>
      </w:r>
      <w:r w:rsidRPr="008C2605">
        <w:rPr>
          <w:rFonts w:ascii="Times New Roman" w:hAnsi="Times New Roman" w:cs="Times New Roman"/>
          <w:noProof/>
          <w:sz w:val="24"/>
        </w:rPr>
        <w:tab/>
        <w:t xml:space="preserve">I. Rodriguez-Santana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“Health-related quality of life, direct medical and societal costs among children with moderate or severe haemophilia in Europe: multivariable models of the CHESS-PAEDs study,” </w:t>
      </w:r>
      <w:r w:rsidRPr="008C2605">
        <w:rPr>
          <w:rFonts w:ascii="Times New Roman" w:hAnsi="Times New Roman" w:cs="Times New Roman"/>
          <w:i/>
          <w:iCs/>
          <w:noProof/>
          <w:sz w:val="24"/>
        </w:rPr>
        <w:t>Orphanet J. Rare Dis.</w:t>
      </w:r>
      <w:r w:rsidRPr="008C2605">
        <w:rPr>
          <w:rFonts w:ascii="Times New Roman" w:hAnsi="Times New Roman" w:cs="Times New Roman"/>
          <w:noProof/>
          <w:sz w:val="24"/>
        </w:rPr>
        <w:t>, vol. 17, no. 1, p. 150, Apr. 2022, doi: 10.1186/s13023-022-02301-0.</w:t>
      </w:r>
    </w:p>
    <w:p w14:paraId="1C1CA7DF" w14:textId="77777777" w:rsidR="008C2605" w:rsidRPr="008C2605" w:rsidRDefault="008C2605" w:rsidP="008C2605">
      <w:pPr>
        <w:widowControl w:val="0"/>
        <w:autoSpaceDE w:val="0"/>
        <w:autoSpaceDN w:val="0"/>
        <w:adjustRightInd w:val="0"/>
        <w:spacing w:after="0" w:line="240" w:lineRule="auto"/>
        <w:ind w:left="640" w:hanging="640"/>
        <w:rPr>
          <w:rFonts w:ascii="Times New Roman" w:hAnsi="Times New Roman" w:cs="Times New Roman"/>
          <w:noProof/>
          <w:sz w:val="24"/>
        </w:rPr>
      </w:pPr>
      <w:r w:rsidRPr="008C2605">
        <w:rPr>
          <w:rFonts w:ascii="Times New Roman" w:hAnsi="Times New Roman" w:cs="Times New Roman"/>
          <w:noProof/>
          <w:sz w:val="24"/>
        </w:rPr>
        <w:t>[25]</w:t>
      </w:r>
      <w:r w:rsidRPr="008C2605">
        <w:rPr>
          <w:rFonts w:ascii="Times New Roman" w:hAnsi="Times New Roman" w:cs="Times New Roman"/>
          <w:noProof/>
          <w:sz w:val="24"/>
        </w:rPr>
        <w:tab/>
        <w:t xml:space="preserve">P. Chowdary </w:t>
      </w:r>
      <w:r w:rsidRPr="008C2605">
        <w:rPr>
          <w:rFonts w:ascii="Times New Roman" w:hAnsi="Times New Roman" w:cs="Times New Roman"/>
          <w:i/>
          <w:iCs/>
          <w:noProof/>
          <w:sz w:val="24"/>
        </w:rPr>
        <w:t>et al.</w:t>
      </w:r>
      <w:r w:rsidRPr="008C2605">
        <w:rPr>
          <w:rFonts w:ascii="Times New Roman" w:hAnsi="Times New Roman" w:cs="Times New Roman"/>
          <w:noProof/>
          <w:sz w:val="24"/>
        </w:rPr>
        <w:t xml:space="preserve">, “The humanistic and economic burden of problem joints for children and adults with moderate or severe haemophilia A: Analysis of the CHESS population studies.,” </w:t>
      </w:r>
      <w:r w:rsidRPr="008C2605">
        <w:rPr>
          <w:rFonts w:ascii="Times New Roman" w:hAnsi="Times New Roman" w:cs="Times New Roman"/>
          <w:i/>
          <w:iCs/>
          <w:noProof/>
          <w:sz w:val="24"/>
        </w:rPr>
        <w:t>Haemophilia</w:t>
      </w:r>
      <w:r w:rsidRPr="008C2605">
        <w:rPr>
          <w:rFonts w:ascii="Times New Roman" w:hAnsi="Times New Roman" w:cs="Times New Roman"/>
          <w:noProof/>
          <w:sz w:val="24"/>
        </w:rPr>
        <w:t>, pp. 1–8, Mar. 2023, doi: 10.1111/hae.14766.</w:t>
      </w:r>
    </w:p>
    <w:p w14:paraId="45BADCEA" w14:textId="071B4321" w:rsidR="00F20AD3" w:rsidRPr="00455C5E" w:rsidRDefault="008C2605" w:rsidP="00F62048">
      <w:pPr>
        <w:spacing w:after="0" w:line="240" w:lineRule="auto"/>
        <w:rPr>
          <w:rFonts w:ascii="Times New Roman" w:eastAsia="DengXian" w:hAnsi="Times New Roman" w:cs="Times New Roman"/>
          <w:color w:val="000000"/>
          <w:sz w:val="24"/>
          <w:szCs w:val="24"/>
          <w:lang w:val="en-US" w:eastAsia="en-US"/>
          <w14:textFill>
            <w14:solidFill>
              <w14:srgbClr w14:val="000000">
                <w14:lumMod w14:val="95000"/>
                <w14:lumOff w14:val="5000"/>
              </w14:srgbClr>
            </w14:solidFill>
          </w14:textFill>
        </w:rPr>
      </w:pPr>
      <w:r>
        <w:rPr>
          <w:rFonts w:ascii="Times New Roman" w:eastAsia="DengXian" w:hAnsi="Times New Roman" w:cs="Times New Roman"/>
          <w:color w:val="000000"/>
          <w:sz w:val="24"/>
          <w:szCs w:val="24"/>
          <w:lang w:val="en-US" w:eastAsia="en-US"/>
          <w14:textFill>
            <w14:solidFill>
              <w14:srgbClr w14:val="000000">
                <w14:lumMod w14:val="95000"/>
                <w14:lumOff w14:val="5000"/>
              </w14:srgbClr>
            </w14:solidFill>
          </w14:textFill>
        </w:rPr>
        <w:fldChar w:fldCharType="end"/>
      </w:r>
    </w:p>
    <w:sectPr w:rsidR="00F20AD3" w:rsidRPr="00455C5E" w:rsidSect="002A6BC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A8AEC" w14:textId="77777777" w:rsidR="00036189" w:rsidRDefault="00036189" w:rsidP="00227A14">
      <w:pPr>
        <w:spacing w:after="0" w:line="240" w:lineRule="auto"/>
      </w:pPr>
      <w:r>
        <w:separator/>
      </w:r>
    </w:p>
  </w:endnote>
  <w:endnote w:type="continuationSeparator" w:id="0">
    <w:p w14:paraId="6600691A" w14:textId="77777777" w:rsidR="00036189" w:rsidRDefault="00036189" w:rsidP="00227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is For Office">
    <w:charset w:val="00"/>
    <w:family w:val="swiss"/>
    <w:pitch w:val="variable"/>
    <w:sig w:usb0="E00002FF" w:usb1="4000205F" w:usb2="08000029" w:usb3="00000000" w:csb0="0000019F" w:csb1="00000000"/>
  </w:font>
  <w:font w:name="Calibri">
    <w:panose1 w:val="020F0502020204030204"/>
    <w:charset w:val="00"/>
    <w:family w:val="swiss"/>
    <w:pitch w:val="variable"/>
    <w:sig w:usb0="E0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005255"/>
      <w:docPartObj>
        <w:docPartGallery w:val="Page Numbers (Bottom of Page)"/>
        <w:docPartUnique/>
      </w:docPartObj>
    </w:sdtPr>
    <w:sdtEndPr/>
    <w:sdtContent>
      <w:p w14:paraId="645C0F38" w14:textId="355371C7" w:rsidR="008B1C18" w:rsidRDefault="008B1C18">
        <w:pPr>
          <w:pStyle w:val="Footer"/>
          <w:jc w:val="right"/>
        </w:pPr>
        <w:r>
          <w:t xml:space="preserve">Page | </w:t>
        </w:r>
        <w:r>
          <w:fldChar w:fldCharType="begin"/>
        </w:r>
        <w:r>
          <w:instrText xml:space="preserve"> PAGE   \* MERGEFORMAT </w:instrText>
        </w:r>
        <w:r>
          <w:fldChar w:fldCharType="separate"/>
        </w:r>
        <w:r w:rsidR="00CD6390">
          <w:rPr>
            <w:noProof/>
          </w:rPr>
          <w:t>1</w:t>
        </w:r>
        <w:r>
          <w:rPr>
            <w:noProof/>
          </w:rPr>
          <w:fldChar w:fldCharType="end"/>
        </w:r>
        <w:r>
          <w:t xml:space="preserve"> </w:t>
        </w:r>
      </w:p>
    </w:sdtContent>
  </w:sdt>
  <w:p w14:paraId="2868C335" w14:textId="77777777" w:rsidR="008B1C18" w:rsidRDefault="008B1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22655" w14:textId="77777777" w:rsidR="00036189" w:rsidRDefault="00036189" w:rsidP="00227A14">
      <w:pPr>
        <w:spacing w:after="0" w:line="240" w:lineRule="auto"/>
      </w:pPr>
      <w:r>
        <w:separator/>
      </w:r>
    </w:p>
  </w:footnote>
  <w:footnote w:type="continuationSeparator" w:id="0">
    <w:p w14:paraId="7FFC6ADC" w14:textId="77777777" w:rsidR="00036189" w:rsidRDefault="00036189" w:rsidP="00227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114DB"/>
    <w:multiLevelType w:val="hybridMultilevel"/>
    <w:tmpl w:val="A10481D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C71AF"/>
    <w:multiLevelType w:val="hybridMultilevel"/>
    <w:tmpl w:val="09462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E71FAD"/>
    <w:multiLevelType w:val="hybridMultilevel"/>
    <w:tmpl w:val="B510D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D7D83"/>
    <w:multiLevelType w:val="hybridMultilevel"/>
    <w:tmpl w:val="B2FA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E2349"/>
    <w:multiLevelType w:val="hybridMultilevel"/>
    <w:tmpl w:val="9FCCE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80DD7"/>
    <w:multiLevelType w:val="hybridMultilevel"/>
    <w:tmpl w:val="333C0A9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C274311"/>
    <w:multiLevelType w:val="hybridMultilevel"/>
    <w:tmpl w:val="D214E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D6EA0"/>
    <w:multiLevelType w:val="hybridMultilevel"/>
    <w:tmpl w:val="989C1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47E0A"/>
    <w:multiLevelType w:val="hybridMultilevel"/>
    <w:tmpl w:val="B2C84858"/>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6676736"/>
    <w:multiLevelType w:val="hybridMultilevel"/>
    <w:tmpl w:val="9738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C2B41"/>
    <w:multiLevelType w:val="hybridMultilevel"/>
    <w:tmpl w:val="C994E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B450C"/>
    <w:multiLevelType w:val="hybridMultilevel"/>
    <w:tmpl w:val="1BA28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72E5D"/>
    <w:multiLevelType w:val="hybridMultilevel"/>
    <w:tmpl w:val="B8C2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B658C5"/>
    <w:multiLevelType w:val="hybridMultilevel"/>
    <w:tmpl w:val="A0320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BE7CD8"/>
    <w:multiLevelType w:val="hybridMultilevel"/>
    <w:tmpl w:val="604CB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AC23D1"/>
    <w:multiLevelType w:val="hybridMultilevel"/>
    <w:tmpl w:val="FAA2B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BA4034"/>
    <w:multiLevelType w:val="hybridMultilevel"/>
    <w:tmpl w:val="A5E26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8B0941"/>
    <w:multiLevelType w:val="hybridMultilevel"/>
    <w:tmpl w:val="773E1AAA"/>
    <w:lvl w:ilvl="0" w:tplc="7FC4F408">
      <w:numFmt w:val="bullet"/>
      <w:lvlText w:val="•"/>
      <w:lvlJc w:val="left"/>
      <w:pPr>
        <w:ind w:left="1080" w:hanging="72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0C67A6"/>
    <w:multiLevelType w:val="hybridMultilevel"/>
    <w:tmpl w:val="F7CE281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856B24"/>
    <w:multiLevelType w:val="hybridMultilevel"/>
    <w:tmpl w:val="19366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AF5DE5"/>
    <w:multiLevelType w:val="hybridMultilevel"/>
    <w:tmpl w:val="BD04F1F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1" w15:restartNumberingAfterBreak="0">
    <w:nsid w:val="47C770D8"/>
    <w:multiLevelType w:val="hybridMultilevel"/>
    <w:tmpl w:val="C956A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E2CA840">
      <w:start w:val="148"/>
      <w:numFmt w:val="bullet"/>
      <w:lvlText w:val="-"/>
      <w:lvlJc w:val="left"/>
      <w:pPr>
        <w:ind w:left="2160" w:hanging="360"/>
      </w:pPr>
      <w:rPr>
        <w:rFonts w:ascii="Apis For Office" w:eastAsia="Calibri" w:hAnsi="Apis For Office" w:cs="Apis For Office"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F6105"/>
    <w:multiLevelType w:val="hybridMultilevel"/>
    <w:tmpl w:val="19D8E41C"/>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1364EE"/>
    <w:multiLevelType w:val="hybridMultilevel"/>
    <w:tmpl w:val="7346CB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463F15"/>
    <w:multiLevelType w:val="hybridMultilevel"/>
    <w:tmpl w:val="84705A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952AB7"/>
    <w:multiLevelType w:val="hybridMultilevel"/>
    <w:tmpl w:val="C35425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2093559"/>
    <w:multiLevelType w:val="hybridMultilevel"/>
    <w:tmpl w:val="09462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4C74E2"/>
    <w:multiLevelType w:val="hybridMultilevel"/>
    <w:tmpl w:val="8DD6D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C643A4"/>
    <w:multiLevelType w:val="hybridMultilevel"/>
    <w:tmpl w:val="53787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9C4512"/>
    <w:multiLevelType w:val="hybridMultilevel"/>
    <w:tmpl w:val="EA7AF7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8D3648"/>
    <w:multiLevelType w:val="hybridMultilevel"/>
    <w:tmpl w:val="3B9C3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FE118A"/>
    <w:multiLevelType w:val="hybridMultilevel"/>
    <w:tmpl w:val="1F624D0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2" w15:restartNumberingAfterBreak="0">
    <w:nsid w:val="6CC877EB"/>
    <w:multiLevelType w:val="hybridMultilevel"/>
    <w:tmpl w:val="AE080AE4"/>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33" w15:restartNumberingAfterBreak="0">
    <w:nsid w:val="6DE41D18"/>
    <w:multiLevelType w:val="hybridMultilevel"/>
    <w:tmpl w:val="C5E8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8C2DB1"/>
    <w:multiLevelType w:val="hybridMultilevel"/>
    <w:tmpl w:val="4B1CC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FF460B"/>
    <w:multiLevelType w:val="hybridMultilevel"/>
    <w:tmpl w:val="AFBE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BA6BBC"/>
    <w:multiLevelType w:val="hybridMultilevel"/>
    <w:tmpl w:val="A21E0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0F5D5B"/>
    <w:multiLevelType w:val="hybridMultilevel"/>
    <w:tmpl w:val="5300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53D19"/>
    <w:multiLevelType w:val="hybridMultilevel"/>
    <w:tmpl w:val="5B368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16AD2"/>
    <w:multiLevelType w:val="hybridMultilevel"/>
    <w:tmpl w:val="C76C1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7"/>
  </w:num>
  <w:num w:numId="4">
    <w:abstractNumId w:val="8"/>
  </w:num>
  <w:num w:numId="5">
    <w:abstractNumId w:val="31"/>
  </w:num>
  <w:num w:numId="6">
    <w:abstractNumId w:val="6"/>
  </w:num>
  <w:num w:numId="7">
    <w:abstractNumId w:val="32"/>
  </w:num>
  <w:num w:numId="8">
    <w:abstractNumId w:val="11"/>
  </w:num>
  <w:num w:numId="9">
    <w:abstractNumId w:val="9"/>
  </w:num>
  <w:num w:numId="10">
    <w:abstractNumId w:val="15"/>
  </w:num>
  <w:num w:numId="11">
    <w:abstractNumId w:val="21"/>
  </w:num>
  <w:num w:numId="12">
    <w:abstractNumId w:val="18"/>
  </w:num>
  <w:num w:numId="13">
    <w:abstractNumId w:val="19"/>
  </w:num>
  <w:num w:numId="14">
    <w:abstractNumId w:val="22"/>
  </w:num>
  <w:num w:numId="15">
    <w:abstractNumId w:val="24"/>
  </w:num>
  <w:num w:numId="16">
    <w:abstractNumId w:val="39"/>
  </w:num>
  <w:num w:numId="17">
    <w:abstractNumId w:val="29"/>
  </w:num>
  <w:num w:numId="18">
    <w:abstractNumId w:val="25"/>
  </w:num>
  <w:num w:numId="19">
    <w:abstractNumId w:val="10"/>
  </w:num>
  <w:num w:numId="20">
    <w:abstractNumId w:val="34"/>
  </w:num>
  <w:num w:numId="21">
    <w:abstractNumId w:val="20"/>
  </w:num>
  <w:num w:numId="22">
    <w:abstractNumId w:val="27"/>
  </w:num>
  <w:num w:numId="23">
    <w:abstractNumId w:val="30"/>
  </w:num>
  <w:num w:numId="24">
    <w:abstractNumId w:val="17"/>
  </w:num>
  <w:num w:numId="25">
    <w:abstractNumId w:val="13"/>
  </w:num>
  <w:num w:numId="26">
    <w:abstractNumId w:val="14"/>
  </w:num>
  <w:num w:numId="27">
    <w:abstractNumId w:val="12"/>
  </w:num>
  <w:num w:numId="28">
    <w:abstractNumId w:val="37"/>
  </w:num>
  <w:num w:numId="29">
    <w:abstractNumId w:val="38"/>
  </w:num>
  <w:num w:numId="30">
    <w:abstractNumId w:val="36"/>
  </w:num>
  <w:num w:numId="31">
    <w:abstractNumId w:val="0"/>
  </w:num>
  <w:num w:numId="32">
    <w:abstractNumId w:val="1"/>
  </w:num>
  <w:num w:numId="33">
    <w:abstractNumId w:val="2"/>
  </w:num>
  <w:num w:numId="34">
    <w:abstractNumId w:val="4"/>
  </w:num>
  <w:num w:numId="35">
    <w:abstractNumId w:val="26"/>
  </w:num>
  <w:num w:numId="36">
    <w:abstractNumId w:val="3"/>
  </w:num>
  <w:num w:numId="37">
    <w:abstractNumId w:val="33"/>
  </w:num>
  <w:num w:numId="38">
    <w:abstractNumId w:val="23"/>
  </w:num>
  <w:num w:numId="39">
    <w:abstractNumId w:val="16"/>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xsDQzNDcwNDQ3tTRQ0lEKTi0uzszPAykwNq4FADNGix8tAAAA"/>
  </w:docVars>
  <w:rsids>
    <w:rsidRoot w:val="00C0067A"/>
    <w:rsid w:val="0000276B"/>
    <w:rsid w:val="00002A95"/>
    <w:rsid w:val="000044A3"/>
    <w:rsid w:val="000056DD"/>
    <w:rsid w:val="00005897"/>
    <w:rsid w:val="00005F3E"/>
    <w:rsid w:val="00006A45"/>
    <w:rsid w:val="00010424"/>
    <w:rsid w:val="000122BE"/>
    <w:rsid w:val="000136B6"/>
    <w:rsid w:val="00015D6C"/>
    <w:rsid w:val="00015E61"/>
    <w:rsid w:val="00016CAF"/>
    <w:rsid w:val="00017208"/>
    <w:rsid w:val="00020FAE"/>
    <w:rsid w:val="00023F38"/>
    <w:rsid w:val="00024DC8"/>
    <w:rsid w:val="000272B1"/>
    <w:rsid w:val="000274AF"/>
    <w:rsid w:val="00027EBC"/>
    <w:rsid w:val="0003008B"/>
    <w:rsid w:val="000304DF"/>
    <w:rsid w:val="00030D8B"/>
    <w:rsid w:val="00034D4D"/>
    <w:rsid w:val="00034D8C"/>
    <w:rsid w:val="00036189"/>
    <w:rsid w:val="000368D7"/>
    <w:rsid w:val="00037E90"/>
    <w:rsid w:val="00040E22"/>
    <w:rsid w:val="0004185A"/>
    <w:rsid w:val="00042B02"/>
    <w:rsid w:val="00044A44"/>
    <w:rsid w:val="000457FD"/>
    <w:rsid w:val="00046ACC"/>
    <w:rsid w:val="00061A11"/>
    <w:rsid w:val="00064CF4"/>
    <w:rsid w:val="00070110"/>
    <w:rsid w:val="00070A61"/>
    <w:rsid w:val="00070DA8"/>
    <w:rsid w:val="000710A2"/>
    <w:rsid w:val="00072DCB"/>
    <w:rsid w:val="00076D47"/>
    <w:rsid w:val="0007758A"/>
    <w:rsid w:val="0008011E"/>
    <w:rsid w:val="0008017B"/>
    <w:rsid w:val="00082DF5"/>
    <w:rsid w:val="000834DC"/>
    <w:rsid w:val="00084018"/>
    <w:rsid w:val="00084052"/>
    <w:rsid w:val="00086EE1"/>
    <w:rsid w:val="000916A4"/>
    <w:rsid w:val="00091EB7"/>
    <w:rsid w:val="00096BFE"/>
    <w:rsid w:val="000A170A"/>
    <w:rsid w:val="000A25DB"/>
    <w:rsid w:val="000B331F"/>
    <w:rsid w:val="000B5DCD"/>
    <w:rsid w:val="000C002A"/>
    <w:rsid w:val="000C021E"/>
    <w:rsid w:val="000C24F2"/>
    <w:rsid w:val="000C27B9"/>
    <w:rsid w:val="000C3C8D"/>
    <w:rsid w:val="000C4F03"/>
    <w:rsid w:val="000C62ED"/>
    <w:rsid w:val="000D0A1F"/>
    <w:rsid w:val="000D0B91"/>
    <w:rsid w:val="000D209D"/>
    <w:rsid w:val="000D3977"/>
    <w:rsid w:val="000D6EDE"/>
    <w:rsid w:val="000E0B87"/>
    <w:rsid w:val="000E4325"/>
    <w:rsid w:val="000E45F3"/>
    <w:rsid w:val="000E73B3"/>
    <w:rsid w:val="000E7CC3"/>
    <w:rsid w:val="000F0D72"/>
    <w:rsid w:val="000F4224"/>
    <w:rsid w:val="000F4336"/>
    <w:rsid w:val="000F796B"/>
    <w:rsid w:val="001012F9"/>
    <w:rsid w:val="0010361F"/>
    <w:rsid w:val="00104DCF"/>
    <w:rsid w:val="0010506D"/>
    <w:rsid w:val="00107033"/>
    <w:rsid w:val="00111655"/>
    <w:rsid w:val="001139BE"/>
    <w:rsid w:val="001200A5"/>
    <w:rsid w:val="00122CDF"/>
    <w:rsid w:val="00135280"/>
    <w:rsid w:val="00141D5D"/>
    <w:rsid w:val="00141E8B"/>
    <w:rsid w:val="001421F6"/>
    <w:rsid w:val="0014544C"/>
    <w:rsid w:val="00146869"/>
    <w:rsid w:val="0014753F"/>
    <w:rsid w:val="0015550C"/>
    <w:rsid w:val="00157763"/>
    <w:rsid w:val="001610C2"/>
    <w:rsid w:val="001630AB"/>
    <w:rsid w:val="00164E46"/>
    <w:rsid w:val="00174A00"/>
    <w:rsid w:val="001805AB"/>
    <w:rsid w:val="001806AD"/>
    <w:rsid w:val="00180747"/>
    <w:rsid w:val="0018146C"/>
    <w:rsid w:val="001859F2"/>
    <w:rsid w:val="00186841"/>
    <w:rsid w:val="00191250"/>
    <w:rsid w:val="0019126C"/>
    <w:rsid w:val="00193128"/>
    <w:rsid w:val="00194A40"/>
    <w:rsid w:val="00197484"/>
    <w:rsid w:val="001979EC"/>
    <w:rsid w:val="001A183A"/>
    <w:rsid w:val="001A33B3"/>
    <w:rsid w:val="001A3D2D"/>
    <w:rsid w:val="001A6101"/>
    <w:rsid w:val="001B2E15"/>
    <w:rsid w:val="001B3D0E"/>
    <w:rsid w:val="001B5BFE"/>
    <w:rsid w:val="001C09B8"/>
    <w:rsid w:val="001C1FC1"/>
    <w:rsid w:val="001C1FF5"/>
    <w:rsid w:val="001C2772"/>
    <w:rsid w:val="001C4397"/>
    <w:rsid w:val="001C6300"/>
    <w:rsid w:val="001C69FE"/>
    <w:rsid w:val="001C6E87"/>
    <w:rsid w:val="001C7B94"/>
    <w:rsid w:val="001D0FD3"/>
    <w:rsid w:val="001D276B"/>
    <w:rsid w:val="001D3BA2"/>
    <w:rsid w:val="001D5633"/>
    <w:rsid w:val="001D7B69"/>
    <w:rsid w:val="001E0028"/>
    <w:rsid w:val="001E0D9C"/>
    <w:rsid w:val="001E2E5F"/>
    <w:rsid w:val="001E3844"/>
    <w:rsid w:val="001E7950"/>
    <w:rsid w:val="001E7A3A"/>
    <w:rsid w:val="001F0BB2"/>
    <w:rsid w:val="001F436B"/>
    <w:rsid w:val="001F47C6"/>
    <w:rsid w:val="001F5546"/>
    <w:rsid w:val="001F5D26"/>
    <w:rsid w:val="001F668A"/>
    <w:rsid w:val="001F685F"/>
    <w:rsid w:val="001F7BC0"/>
    <w:rsid w:val="00200394"/>
    <w:rsid w:val="002011A3"/>
    <w:rsid w:val="0020241E"/>
    <w:rsid w:val="002036CA"/>
    <w:rsid w:val="00203F4C"/>
    <w:rsid w:val="00206105"/>
    <w:rsid w:val="0021022D"/>
    <w:rsid w:val="002121BF"/>
    <w:rsid w:val="00214B10"/>
    <w:rsid w:val="002153D0"/>
    <w:rsid w:val="002220A8"/>
    <w:rsid w:val="00223EA3"/>
    <w:rsid w:val="00227079"/>
    <w:rsid w:val="00227A14"/>
    <w:rsid w:val="002319E4"/>
    <w:rsid w:val="002322FA"/>
    <w:rsid w:val="002351FA"/>
    <w:rsid w:val="00235CEC"/>
    <w:rsid w:val="00237F79"/>
    <w:rsid w:val="002405FD"/>
    <w:rsid w:val="00240B60"/>
    <w:rsid w:val="002419BE"/>
    <w:rsid w:val="00241A21"/>
    <w:rsid w:val="002436EC"/>
    <w:rsid w:val="0024708B"/>
    <w:rsid w:val="00247AA2"/>
    <w:rsid w:val="00251EDF"/>
    <w:rsid w:val="00252A74"/>
    <w:rsid w:val="00264194"/>
    <w:rsid w:val="00267E49"/>
    <w:rsid w:val="00271C61"/>
    <w:rsid w:val="00272844"/>
    <w:rsid w:val="002732D8"/>
    <w:rsid w:val="00273592"/>
    <w:rsid w:val="00275D89"/>
    <w:rsid w:val="00277B7A"/>
    <w:rsid w:val="002838C9"/>
    <w:rsid w:val="0028731F"/>
    <w:rsid w:val="00287601"/>
    <w:rsid w:val="00292E7C"/>
    <w:rsid w:val="002A11B7"/>
    <w:rsid w:val="002A1AA8"/>
    <w:rsid w:val="002A51D9"/>
    <w:rsid w:val="002A6978"/>
    <w:rsid w:val="002A69C9"/>
    <w:rsid w:val="002A6BCB"/>
    <w:rsid w:val="002B0B11"/>
    <w:rsid w:val="002B3298"/>
    <w:rsid w:val="002B33CD"/>
    <w:rsid w:val="002B3FAC"/>
    <w:rsid w:val="002B4B73"/>
    <w:rsid w:val="002B5FF6"/>
    <w:rsid w:val="002B74C9"/>
    <w:rsid w:val="002B7A4E"/>
    <w:rsid w:val="002C4096"/>
    <w:rsid w:val="002C51A2"/>
    <w:rsid w:val="002C60A1"/>
    <w:rsid w:val="002C6C8F"/>
    <w:rsid w:val="002C71B5"/>
    <w:rsid w:val="002C74E5"/>
    <w:rsid w:val="002D0DA2"/>
    <w:rsid w:val="002D3DE0"/>
    <w:rsid w:val="002E08D0"/>
    <w:rsid w:val="002E638F"/>
    <w:rsid w:val="002E7887"/>
    <w:rsid w:val="002F13F4"/>
    <w:rsid w:val="002F1890"/>
    <w:rsid w:val="002F1914"/>
    <w:rsid w:val="002F2A39"/>
    <w:rsid w:val="002F5FE9"/>
    <w:rsid w:val="003010F3"/>
    <w:rsid w:val="00301638"/>
    <w:rsid w:val="00302080"/>
    <w:rsid w:val="00305712"/>
    <w:rsid w:val="00305AFF"/>
    <w:rsid w:val="00307B87"/>
    <w:rsid w:val="00307CEB"/>
    <w:rsid w:val="00310C4D"/>
    <w:rsid w:val="00311592"/>
    <w:rsid w:val="0031564B"/>
    <w:rsid w:val="00316E36"/>
    <w:rsid w:val="003208C9"/>
    <w:rsid w:val="00320959"/>
    <w:rsid w:val="003219B9"/>
    <w:rsid w:val="0032366A"/>
    <w:rsid w:val="00324085"/>
    <w:rsid w:val="003249AD"/>
    <w:rsid w:val="003249DD"/>
    <w:rsid w:val="00324E38"/>
    <w:rsid w:val="0032559A"/>
    <w:rsid w:val="00327ECD"/>
    <w:rsid w:val="003316F2"/>
    <w:rsid w:val="00335486"/>
    <w:rsid w:val="00336B7B"/>
    <w:rsid w:val="00336C1A"/>
    <w:rsid w:val="00337077"/>
    <w:rsid w:val="00337E19"/>
    <w:rsid w:val="00341353"/>
    <w:rsid w:val="00344DF3"/>
    <w:rsid w:val="003454D0"/>
    <w:rsid w:val="00346959"/>
    <w:rsid w:val="00347888"/>
    <w:rsid w:val="00347E3C"/>
    <w:rsid w:val="00347F6F"/>
    <w:rsid w:val="00351E49"/>
    <w:rsid w:val="00351E5D"/>
    <w:rsid w:val="00352AE5"/>
    <w:rsid w:val="00352DDE"/>
    <w:rsid w:val="003542A4"/>
    <w:rsid w:val="00354859"/>
    <w:rsid w:val="003558A4"/>
    <w:rsid w:val="00355B0D"/>
    <w:rsid w:val="00355DEC"/>
    <w:rsid w:val="0035639B"/>
    <w:rsid w:val="00364EBB"/>
    <w:rsid w:val="00366704"/>
    <w:rsid w:val="003707F2"/>
    <w:rsid w:val="00371A8C"/>
    <w:rsid w:val="00372B02"/>
    <w:rsid w:val="003739A1"/>
    <w:rsid w:val="003753C6"/>
    <w:rsid w:val="00375C8C"/>
    <w:rsid w:val="00376CE5"/>
    <w:rsid w:val="00377AB9"/>
    <w:rsid w:val="00393281"/>
    <w:rsid w:val="00395CEC"/>
    <w:rsid w:val="003A1A36"/>
    <w:rsid w:val="003A23AB"/>
    <w:rsid w:val="003A2E76"/>
    <w:rsid w:val="003A48A7"/>
    <w:rsid w:val="003A5B4F"/>
    <w:rsid w:val="003B091E"/>
    <w:rsid w:val="003B21C7"/>
    <w:rsid w:val="003B40F3"/>
    <w:rsid w:val="003B4852"/>
    <w:rsid w:val="003B521C"/>
    <w:rsid w:val="003B64BC"/>
    <w:rsid w:val="003C3878"/>
    <w:rsid w:val="003C3F3A"/>
    <w:rsid w:val="003C7432"/>
    <w:rsid w:val="003D1122"/>
    <w:rsid w:val="003D2E31"/>
    <w:rsid w:val="003D3041"/>
    <w:rsid w:val="003D6636"/>
    <w:rsid w:val="003E14E4"/>
    <w:rsid w:val="003E20C9"/>
    <w:rsid w:val="003E20D7"/>
    <w:rsid w:val="003E2817"/>
    <w:rsid w:val="003E4D41"/>
    <w:rsid w:val="003E674F"/>
    <w:rsid w:val="003E6861"/>
    <w:rsid w:val="003E6E1E"/>
    <w:rsid w:val="003F0B70"/>
    <w:rsid w:val="003F1110"/>
    <w:rsid w:val="003F5154"/>
    <w:rsid w:val="003F6140"/>
    <w:rsid w:val="003F7D8B"/>
    <w:rsid w:val="0040096C"/>
    <w:rsid w:val="004013EE"/>
    <w:rsid w:val="00402515"/>
    <w:rsid w:val="00404BF9"/>
    <w:rsid w:val="00407AA8"/>
    <w:rsid w:val="00415F06"/>
    <w:rsid w:val="00422AC0"/>
    <w:rsid w:val="00422E31"/>
    <w:rsid w:val="00422F45"/>
    <w:rsid w:val="00424F54"/>
    <w:rsid w:val="00426098"/>
    <w:rsid w:val="00426269"/>
    <w:rsid w:val="004272C6"/>
    <w:rsid w:val="00427648"/>
    <w:rsid w:val="004305DD"/>
    <w:rsid w:val="00430610"/>
    <w:rsid w:val="00430980"/>
    <w:rsid w:val="004326B0"/>
    <w:rsid w:val="00433A54"/>
    <w:rsid w:val="00435817"/>
    <w:rsid w:val="0043675C"/>
    <w:rsid w:val="00443AB4"/>
    <w:rsid w:val="00443E49"/>
    <w:rsid w:val="004468D2"/>
    <w:rsid w:val="00450161"/>
    <w:rsid w:val="0045406E"/>
    <w:rsid w:val="00455C5E"/>
    <w:rsid w:val="004568B6"/>
    <w:rsid w:val="00461102"/>
    <w:rsid w:val="0046500A"/>
    <w:rsid w:val="00466F70"/>
    <w:rsid w:val="00470385"/>
    <w:rsid w:val="00470E6C"/>
    <w:rsid w:val="00474936"/>
    <w:rsid w:val="00477320"/>
    <w:rsid w:val="00477B69"/>
    <w:rsid w:val="004847A3"/>
    <w:rsid w:val="004932CC"/>
    <w:rsid w:val="00494284"/>
    <w:rsid w:val="00494469"/>
    <w:rsid w:val="0049450B"/>
    <w:rsid w:val="00495600"/>
    <w:rsid w:val="00496F5D"/>
    <w:rsid w:val="00497254"/>
    <w:rsid w:val="004A4DE0"/>
    <w:rsid w:val="004A55F1"/>
    <w:rsid w:val="004A6773"/>
    <w:rsid w:val="004A78E6"/>
    <w:rsid w:val="004B1E6C"/>
    <w:rsid w:val="004C41A8"/>
    <w:rsid w:val="004C7A5C"/>
    <w:rsid w:val="004D0D63"/>
    <w:rsid w:val="004D5D6C"/>
    <w:rsid w:val="004D61C3"/>
    <w:rsid w:val="004D73FA"/>
    <w:rsid w:val="004E0973"/>
    <w:rsid w:val="004E1094"/>
    <w:rsid w:val="004E5BBE"/>
    <w:rsid w:val="004E76B5"/>
    <w:rsid w:val="004F296E"/>
    <w:rsid w:val="004F582A"/>
    <w:rsid w:val="004F5992"/>
    <w:rsid w:val="004F7D25"/>
    <w:rsid w:val="00500F4E"/>
    <w:rsid w:val="005026BD"/>
    <w:rsid w:val="00505612"/>
    <w:rsid w:val="00510048"/>
    <w:rsid w:val="00510D5F"/>
    <w:rsid w:val="0051210B"/>
    <w:rsid w:val="00515056"/>
    <w:rsid w:val="00517ED1"/>
    <w:rsid w:val="005215AD"/>
    <w:rsid w:val="00521862"/>
    <w:rsid w:val="00521AF5"/>
    <w:rsid w:val="00523716"/>
    <w:rsid w:val="005238E3"/>
    <w:rsid w:val="00525027"/>
    <w:rsid w:val="00525EA7"/>
    <w:rsid w:val="00527D6E"/>
    <w:rsid w:val="00533477"/>
    <w:rsid w:val="005359D8"/>
    <w:rsid w:val="00537961"/>
    <w:rsid w:val="0054028E"/>
    <w:rsid w:val="00541199"/>
    <w:rsid w:val="00541F2E"/>
    <w:rsid w:val="005454FB"/>
    <w:rsid w:val="00545634"/>
    <w:rsid w:val="00546A64"/>
    <w:rsid w:val="00547566"/>
    <w:rsid w:val="0055068C"/>
    <w:rsid w:val="005511D6"/>
    <w:rsid w:val="00551AD4"/>
    <w:rsid w:val="0055241B"/>
    <w:rsid w:val="005556AB"/>
    <w:rsid w:val="00556E80"/>
    <w:rsid w:val="00557DCA"/>
    <w:rsid w:val="00560487"/>
    <w:rsid w:val="005604D3"/>
    <w:rsid w:val="00560F79"/>
    <w:rsid w:val="00562776"/>
    <w:rsid w:val="00563DE9"/>
    <w:rsid w:val="005653A1"/>
    <w:rsid w:val="00570040"/>
    <w:rsid w:val="00571673"/>
    <w:rsid w:val="005718FD"/>
    <w:rsid w:val="00572836"/>
    <w:rsid w:val="0057583E"/>
    <w:rsid w:val="0057783C"/>
    <w:rsid w:val="00581EE1"/>
    <w:rsid w:val="00581EF6"/>
    <w:rsid w:val="005840F4"/>
    <w:rsid w:val="005863E8"/>
    <w:rsid w:val="0058758F"/>
    <w:rsid w:val="005876B2"/>
    <w:rsid w:val="00592399"/>
    <w:rsid w:val="00592D71"/>
    <w:rsid w:val="005931E9"/>
    <w:rsid w:val="005937B1"/>
    <w:rsid w:val="00594FA9"/>
    <w:rsid w:val="00595445"/>
    <w:rsid w:val="00596072"/>
    <w:rsid w:val="005961DA"/>
    <w:rsid w:val="005A0561"/>
    <w:rsid w:val="005A24E7"/>
    <w:rsid w:val="005A5E99"/>
    <w:rsid w:val="005A7CF0"/>
    <w:rsid w:val="005B0786"/>
    <w:rsid w:val="005B1BF8"/>
    <w:rsid w:val="005B2FD6"/>
    <w:rsid w:val="005B7E6A"/>
    <w:rsid w:val="005C17F1"/>
    <w:rsid w:val="005C2710"/>
    <w:rsid w:val="005C3DC1"/>
    <w:rsid w:val="005D151B"/>
    <w:rsid w:val="005D2267"/>
    <w:rsid w:val="005D2D11"/>
    <w:rsid w:val="005D424A"/>
    <w:rsid w:val="005D4484"/>
    <w:rsid w:val="005D692E"/>
    <w:rsid w:val="005D7295"/>
    <w:rsid w:val="005E38AC"/>
    <w:rsid w:val="005F4582"/>
    <w:rsid w:val="005F6F97"/>
    <w:rsid w:val="00606EC1"/>
    <w:rsid w:val="00607669"/>
    <w:rsid w:val="00610F22"/>
    <w:rsid w:val="006134B8"/>
    <w:rsid w:val="0061364E"/>
    <w:rsid w:val="00613804"/>
    <w:rsid w:val="006139FB"/>
    <w:rsid w:val="0061420D"/>
    <w:rsid w:val="00615C34"/>
    <w:rsid w:val="00615DB4"/>
    <w:rsid w:val="00616188"/>
    <w:rsid w:val="00617D5E"/>
    <w:rsid w:val="0062020B"/>
    <w:rsid w:val="0062089D"/>
    <w:rsid w:val="00620A78"/>
    <w:rsid w:val="0062336A"/>
    <w:rsid w:val="006240DD"/>
    <w:rsid w:val="00631614"/>
    <w:rsid w:val="00631822"/>
    <w:rsid w:val="00632689"/>
    <w:rsid w:val="00633819"/>
    <w:rsid w:val="00634627"/>
    <w:rsid w:val="00636A03"/>
    <w:rsid w:val="00640A32"/>
    <w:rsid w:val="006420F5"/>
    <w:rsid w:val="00645D09"/>
    <w:rsid w:val="006469C8"/>
    <w:rsid w:val="0065261F"/>
    <w:rsid w:val="00654E1E"/>
    <w:rsid w:val="00654E55"/>
    <w:rsid w:val="0065508A"/>
    <w:rsid w:val="00655DF2"/>
    <w:rsid w:val="006605C5"/>
    <w:rsid w:val="00660F07"/>
    <w:rsid w:val="006633C3"/>
    <w:rsid w:val="006647FD"/>
    <w:rsid w:val="00666B66"/>
    <w:rsid w:val="006706FC"/>
    <w:rsid w:val="00671ACE"/>
    <w:rsid w:val="00671ADC"/>
    <w:rsid w:val="006724EC"/>
    <w:rsid w:val="00674622"/>
    <w:rsid w:val="00676337"/>
    <w:rsid w:val="00676434"/>
    <w:rsid w:val="00680166"/>
    <w:rsid w:val="00680C82"/>
    <w:rsid w:val="00682A1F"/>
    <w:rsid w:val="0068329F"/>
    <w:rsid w:val="00692145"/>
    <w:rsid w:val="00694903"/>
    <w:rsid w:val="00697E45"/>
    <w:rsid w:val="006A05F9"/>
    <w:rsid w:val="006A0CBD"/>
    <w:rsid w:val="006A0DF6"/>
    <w:rsid w:val="006A2E28"/>
    <w:rsid w:val="006A33B2"/>
    <w:rsid w:val="006A477A"/>
    <w:rsid w:val="006A4BA6"/>
    <w:rsid w:val="006A7CAB"/>
    <w:rsid w:val="006B3B5D"/>
    <w:rsid w:val="006B7F2A"/>
    <w:rsid w:val="006C006F"/>
    <w:rsid w:val="006C02E6"/>
    <w:rsid w:val="006C2D9D"/>
    <w:rsid w:val="006C2E95"/>
    <w:rsid w:val="006C326B"/>
    <w:rsid w:val="006C5E91"/>
    <w:rsid w:val="006C62A1"/>
    <w:rsid w:val="006C6A2A"/>
    <w:rsid w:val="006C7B04"/>
    <w:rsid w:val="006D5FC8"/>
    <w:rsid w:val="006D676F"/>
    <w:rsid w:val="006D6B37"/>
    <w:rsid w:val="006E2E6E"/>
    <w:rsid w:val="006E4AA7"/>
    <w:rsid w:val="006E4B3F"/>
    <w:rsid w:val="006E7CA9"/>
    <w:rsid w:val="006E7FE5"/>
    <w:rsid w:val="006F004A"/>
    <w:rsid w:val="006F1584"/>
    <w:rsid w:val="006F20EC"/>
    <w:rsid w:val="006F2CD2"/>
    <w:rsid w:val="006F3D88"/>
    <w:rsid w:val="006F5656"/>
    <w:rsid w:val="007002E1"/>
    <w:rsid w:val="0070032B"/>
    <w:rsid w:val="00700EE9"/>
    <w:rsid w:val="007024C3"/>
    <w:rsid w:val="007054A3"/>
    <w:rsid w:val="00710A2F"/>
    <w:rsid w:val="00711322"/>
    <w:rsid w:val="007123CC"/>
    <w:rsid w:val="00712726"/>
    <w:rsid w:val="00715627"/>
    <w:rsid w:val="00716015"/>
    <w:rsid w:val="00717FAE"/>
    <w:rsid w:val="0072016A"/>
    <w:rsid w:val="00721BBA"/>
    <w:rsid w:val="007222A8"/>
    <w:rsid w:val="007304F0"/>
    <w:rsid w:val="0073252F"/>
    <w:rsid w:val="007404BB"/>
    <w:rsid w:val="00744577"/>
    <w:rsid w:val="0074498C"/>
    <w:rsid w:val="00746561"/>
    <w:rsid w:val="007465DE"/>
    <w:rsid w:val="00757874"/>
    <w:rsid w:val="00766526"/>
    <w:rsid w:val="0076655D"/>
    <w:rsid w:val="0076796D"/>
    <w:rsid w:val="00771404"/>
    <w:rsid w:val="00773B82"/>
    <w:rsid w:val="007770BB"/>
    <w:rsid w:val="007835DE"/>
    <w:rsid w:val="00783D44"/>
    <w:rsid w:val="00785BA2"/>
    <w:rsid w:val="00785DD0"/>
    <w:rsid w:val="00785FC6"/>
    <w:rsid w:val="00791870"/>
    <w:rsid w:val="00793FBD"/>
    <w:rsid w:val="00794C6D"/>
    <w:rsid w:val="00795EAE"/>
    <w:rsid w:val="007B14B5"/>
    <w:rsid w:val="007B2EEF"/>
    <w:rsid w:val="007B3D75"/>
    <w:rsid w:val="007B45BC"/>
    <w:rsid w:val="007B46AB"/>
    <w:rsid w:val="007B489A"/>
    <w:rsid w:val="007B659D"/>
    <w:rsid w:val="007C002E"/>
    <w:rsid w:val="007C01B3"/>
    <w:rsid w:val="007C2A0D"/>
    <w:rsid w:val="007C2E4B"/>
    <w:rsid w:val="007C39B7"/>
    <w:rsid w:val="007C49FE"/>
    <w:rsid w:val="007D1229"/>
    <w:rsid w:val="007D15E0"/>
    <w:rsid w:val="007D1726"/>
    <w:rsid w:val="007D1946"/>
    <w:rsid w:val="007D25A1"/>
    <w:rsid w:val="007D44E0"/>
    <w:rsid w:val="007D6DB4"/>
    <w:rsid w:val="007E185D"/>
    <w:rsid w:val="007E3A15"/>
    <w:rsid w:val="007E4B00"/>
    <w:rsid w:val="007E5359"/>
    <w:rsid w:val="007F1C75"/>
    <w:rsid w:val="007F60CA"/>
    <w:rsid w:val="0080023E"/>
    <w:rsid w:val="008017D7"/>
    <w:rsid w:val="008058ED"/>
    <w:rsid w:val="00806658"/>
    <w:rsid w:val="00807572"/>
    <w:rsid w:val="00807B08"/>
    <w:rsid w:val="008125E6"/>
    <w:rsid w:val="008163D6"/>
    <w:rsid w:val="00820665"/>
    <w:rsid w:val="00823E08"/>
    <w:rsid w:val="008243EF"/>
    <w:rsid w:val="00827358"/>
    <w:rsid w:val="0083155B"/>
    <w:rsid w:val="00832C28"/>
    <w:rsid w:val="00832CD8"/>
    <w:rsid w:val="008331CE"/>
    <w:rsid w:val="008339E4"/>
    <w:rsid w:val="008360BA"/>
    <w:rsid w:val="00843663"/>
    <w:rsid w:val="00845E82"/>
    <w:rsid w:val="008463BE"/>
    <w:rsid w:val="00854106"/>
    <w:rsid w:val="00856655"/>
    <w:rsid w:val="00856F38"/>
    <w:rsid w:val="0086229E"/>
    <w:rsid w:val="00863866"/>
    <w:rsid w:val="008661BB"/>
    <w:rsid w:val="00870593"/>
    <w:rsid w:val="00871DB9"/>
    <w:rsid w:val="008724C3"/>
    <w:rsid w:val="008746E7"/>
    <w:rsid w:val="00875991"/>
    <w:rsid w:val="008813C7"/>
    <w:rsid w:val="00881DB7"/>
    <w:rsid w:val="00883344"/>
    <w:rsid w:val="00885128"/>
    <w:rsid w:val="008852D9"/>
    <w:rsid w:val="00886CE1"/>
    <w:rsid w:val="008872B4"/>
    <w:rsid w:val="00894374"/>
    <w:rsid w:val="00897232"/>
    <w:rsid w:val="008A046A"/>
    <w:rsid w:val="008A1AC0"/>
    <w:rsid w:val="008A1C8E"/>
    <w:rsid w:val="008A405D"/>
    <w:rsid w:val="008A5E08"/>
    <w:rsid w:val="008A6B56"/>
    <w:rsid w:val="008B06FB"/>
    <w:rsid w:val="008B1C18"/>
    <w:rsid w:val="008B2E7F"/>
    <w:rsid w:val="008B5F10"/>
    <w:rsid w:val="008B649F"/>
    <w:rsid w:val="008C2605"/>
    <w:rsid w:val="008C433C"/>
    <w:rsid w:val="008C6980"/>
    <w:rsid w:val="008C7399"/>
    <w:rsid w:val="008C7AF6"/>
    <w:rsid w:val="008E04BF"/>
    <w:rsid w:val="008E4DF0"/>
    <w:rsid w:val="008E556B"/>
    <w:rsid w:val="008E5F00"/>
    <w:rsid w:val="008F42F7"/>
    <w:rsid w:val="008F682B"/>
    <w:rsid w:val="00904522"/>
    <w:rsid w:val="009136D4"/>
    <w:rsid w:val="00914B32"/>
    <w:rsid w:val="00921B46"/>
    <w:rsid w:val="0092243F"/>
    <w:rsid w:val="009235E2"/>
    <w:rsid w:val="009247E9"/>
    <w:rsid w:val="009255B7"/>
    <w:rsid w:val="0092566F"/>
    <w:rsid w:val="00925AD8"/>
    <w:rsid w:val="00925D61"/>
    <w:rsid w:val="00932B36"/>
    <w:rsid w:val="00934B00"/>
    <w:rsid w:val="00936DDE"/>
    <w:rsid w:val="00937388"/>
    <w:rsid w:val="00937C4B"/>
    <w:rsid w:val="00942C3E"/>
    <w:rsid w:val="00942D1A"/>
    <w:rsid w:val="00943DAE"/>
    <w:rsid w:val="00944DE5"/>
    <w:rsid w:val="0095140B"/>
    <w:rsid w:val="00953696"/>
    <w:rsid w:val="00953CE1"/>
    <w:rsid w:val="0095502A"/>
    <w:rsid w:val="009563D8"/>
    <w:rsid w:val="00957AE1"/>
    <w:rsid w:val="00962DE4"/>
    <w:rsid w:val="00965C92"/>
    <w:rsid w:val="00967548"/>
    <w:rsid w:val="00970880"/>
    <w:rsid w:val="00971E9C"/>
    <w:rsid w:val="00973FF1"/>
    <w:rsid w:val="009746D6"/>
    <w:rsid w:val="00976289"/>
    <w:rsid w:val="00976D40"/>
    <w:rsid w:val="00977BA4"/>
    <w:rsid w:val="0098696C"/>
    <w:rsid w:val="00990C91"/>
    <w:rsid w:val="009911AC"/>
    <w:rsid w:val="009933E9"/>
    <w:rsid w:val="009947DE"/>
    <w:rsid w:val="009A1870"/>
    <w:rsid w:val="009A34DF"/>
    <w:rsid w:val="009A4FCE"/>
    <w:rsid w:val="009A6B72"/>
    <w:rsid w:val="009B074E"/>
    <w:rsid w:val="009B13AD"/>
    <w:rsid w:val="009B173F"/>
    <w:rsid w:val="009B1AC3"/>
    <w:rsid w:val="009B6249"/>
    <w:rsid w:val="009B6AE8"/>
    <w:rsid w:val="009C3D55"/>
    <w:rsid w:val="009C46FB"/>
    <w:rsid w:val="009C54F2"/>
    <w:rsid w:val="009C696A"/>
    <w:rsid w:val="009D1C91"/>
    <w:rsid w:val="009D1F75"/>
    <w:rsid w:val="009D2862"/>
    <w:rsid w:val="009D2C9E"/>
    <w:rsid w:val="009D30D1"/>
    <w:rsid w:val="009D3DDA"/>
    <w:rsid w:val="009D4409"/>
    <w:rsid w:val="009D45D7"/>
    <w:rsid w:val="009D5499"/>
    <w:rsid w:val="009D56A9"/>
    <w:rsid w:val="009D729F"/>
    <w:rsid w:val="009E1EED"/>
    <w:rsid w:val="009E2C73"/>
    <w:rsid w:val="009E2EA2"/>
    <w:rsid w:val="009E39F6"/>
    <w:rsid w:val="009E6360"/>
    <w:rsid w:val="009F0B8A"/>
    <w:rsid w:val="009F0C96"/>
    <w:rsid w:val="009F64D6"/>
    <w:rsid w:val="00A0052C"/>
    <w:rsid w:val="00A00EA5"/>
    <w:rsid w:val="00A02155"/>
    <w:rsid w:val="00A02524"/>
    <w:rsid w:val="00A0407F"/>
    <w:rsid w:val="00A0447A"/>
    <w:rsid w:val="00A060C8"/>
    <w:rsid w:val="00A112CE"/>
    <w:rsid w:val="00A12787"/>
    <w:rsid w:val="00A13719"/>
    <w:rsid w:val="00A22718"/>
    <w:rsid w:val="00A22ACE"/>
    <w:rsid w:val="00A22E85"/>
    <w:rsid w:val="00A2474F"/>
    <w:rsid w:val="00A24A97"/>
    <w:rsid w:val="00A275F8"/>
    <w:rsid w:val="00A30D6A"/>
    <w:rsid w:val="00A323D5"/>
    <w:rsid w:val="00A33159"/>
    <w:rsid w:val="00A33AE8"/>
    <w:rsid w:val="00A3580F"/>
    <w:rsid w:val="00A36B54"/>
    <w:rsid w:val="00A37D7E"/>
    <w:rsid w:val="00A4453B"/>
    <w:rsid w:val="00A47E85"/>
    <w:rsid w:val="00A50E53"/>
    <w:rsid w:val="00A51784"/>
    <w:rsid w:val="00A51DA1"/>
    <w:rsid w:val="00A527E9"/>
    <w:rsid w:val="00A57658"/>
    <w:rsid w:val="00A6014B"/>
    <w:rsid w:val="00A643D0"/>
    <w:rsid w:val="00A662F3"/>
    <w:rsid w:val="00A75515"/>
    <w:rsid w:val="00A76CD3"/>
    <w:rsid w:val="00A83E9A"/>
    <w:rsid w:val="00A85341"/>
    <w:rsid w:val="00A91D78"/>
    <w:rsid w:val="00AA36AC"/>
    <w:rsid w:val="00AA4904"/>
    <w:rsid w:val="00AA7E81"/>
    <w:rsid w:val="00AB11C6"/>
    <w:rsid w:val="00AB1857"/>
    <w:rsid w:val="00AB2570"/>
    <w:rsid w:val="00AB4532"/>
    <w:rsid w:val="00AB5476"/>
    <w:rsid w:val="00AB63AF"/>
    <w:rsid w:val="00AB63DE"/>
    <w:rsid w:val="00AB6DD9"/>
    <w:rsid w:val="00AB75C8"/>
    <w:rsid w:val="00AC3F4C"/>
    <w:rsid w:val="00AC5128"/>
    <w:rsid w:val="00AC6C3A"/>
    <w:rsid w:val="00AD1183"/>
    <w:rsid w:val="00AD155D"/>
    <w:rsid w:val="00AD42A8"/>
    <w:rsid w:val="00AD483C"/>
    <w:rsid w:val="00AD6C00"/>
    <w:rsid w:val="00AD722F"/>
    <w:rsid w:val="00AE1348"/>
    <w:rsid w:val="00AE1CD6"/>
    <w:rsid w:val="00AE40DF"/>
    <w:rsid w:val="00AE4170"/>
    <w:rsid w:val="00AE527C"/>
    <w:rsid w:val="00AE7874"/>
    <w:rsid w:val="00AF046A"/>
    <w:rsid w:val="00AF1671"/>
    <w:rsid w:val="00AF1679"/>
    <w:rsid w:val="00AF361A"/>
    <w:rsid w:val="00AF3670"/>
    <w:rsid w:val="00AF4BD6"/>
    <w:rsid w:val="00AF51FC"/>
    <w:rsid w:val="00B0066D"/>
    <w:rsid w:val="00B02074"/>
    <w:rsid w:val="00B02DB5"/>
    <w:rsid w:val="00B05043"/>
    <w:rsid w:val="00B05A2F"/>
    <w:rsid w:val="00B103B4"/>
    <w:rsid w:val="00B118FF"/>
    <w:rsid w:val="00B13BFE"/>
    <w:rsid w:val="00B21A45"/>
    <w:rsid w:val="00B222D7"/>
    <w:rsid w:val="00B223EE"/>
    <w:rsid w:val="00B22EC2"/>
    <w:rsid w:val="00B237A1"/>
    <w:rsid w:val="00B24B43"/>
    <w:rsid w:val="00B3190C"/>
    <w:rsid w:val="00B31BC7"/>
    <w:rsid w:val="00B339A2"/>
    <w:rsid w:val="00B36777"/>
    <w:rsid w:val="00B42276"/>
    <w:rsid w:val="00B42DFE"/>
    <w:rsid w:val="00B444CA"/>
    <w:rsid w:val="00B4604D"/>
    <w:rsid w:val="00B46928"/>
    <w:rsid w:val="00B47326"/>
    <w:rsid w:val="00B5008C"/>
    <w:rsid w:val="00B52A05"/>
    <w:rsid w:val="00B537A3"/>
    <w:rsid w:val="00B55F6A"/>
    <w:rsid w:val="00B56BBB"/>
    <w:rsid w:val="00B57AAC"/>
    <w:rsid w:val="00B603C1"/>
    <w:rsid w:val="00B60569"/>
    <w:rsid w:val="00B623D5"/>
    <w:rsid w:val="00B63156"/>
    <w:rsid w:val="00B65172"/>
    <w:rsid w:val="00B705C7"/>
    <w:rsid w:val="00B708AE"/>
    <w:rsid w:val="00B70C64"/>
    <w:rsid w:val="00B71587"/>
    <w:rsid w:val="00B72946"/>
    <w:rsid w:val="00B73D4F"/>
    <w:rsid w:val="00B772F9"/>
    <w:rsid w:val="00B80B58"/>
    <w:rsid w:val="00B80B73"/>
    <w:rsid w:val="00B8229F"/>
    <w:rsid w:val="00B82F98"/>
    <w:rsid w:val="00B83900"/>
    <w:rsid w:val="00B83C06"/>
    <w:rsid w:val="00B91367"/>
    <w:rsid w:val="00B9572A"/>
    <w:rsid w:val="00B96003"/>
    <w:rsid w:val="00BA0338"/>
    <w:rsid w:val="00BA0352"/>
    <w:rsid w:val="00BA19FF"/>
    <w:rsid w:val="00BA515C"/>
    <w:rsid w:val="00BA664F"/>
    <w:rsid w:val="00BA6FE7"/>
    <w:rsid w:val="00BA7E20"/>
    <w:rsid w:val="00BA7FED"/>
    <w:rsid w:val="00BB094C"/>
    <w:rsid w:val="00BB2F80"/>
    <w:rsid w:val="00BB3556"/>
    <w:rsid w:val="00BB3D9F"/>
    <w:rsid w:val="00BB5578"/>
    <w:rsid w:val="00BB5CE1"/>
    <w:rsid w:val="00BC0E5A"/>
    <w:rsid w:val="00BC3170"/>
    <w:rsid w:val="00BC326A"/>
    <w:rsid w:val="00BC51C6"/>
    <w:rsid w:val="00BC767D"/>
    <w:rsid w:val="00BC77DC"/>
    <w:rsid w:val="00BC7ABB"/>
    <w:rsid w:val="00BC7DF4"/>
    <w:rsid w:val="00BD0796"/>
    <w:rsid w:val="00BD20A0"/>
    <w:rsid w:val="00BD36CE"/>
    <w:rsid w:val="00BD3F64"/>
    <w:rsid w:val="00BD42D6"/>
    <w:rsid w:val="00BD5CB8"/>
    <w:rsid w:val="00BE24DD"/>
    <w:rsid w:val="00BE547D"/>
    <w:rsid w:val="00BE598F"/>
    <w:rsid w:val="00BE5A4B"/>
    <w:rsid w:val="00BE6033"/>
    <w:rsid w:val="00BE62CA"/>
    <w:rsid w:val="00BE68BF"/>
    <w:rsid w:val="00BE693C"/>
    <w:rsid w:val="00BF0DA1"/>
    <w:rsid w:val="00BF5BBB"/>
    <w:rsid w:val="00BF660F"/>
    <w:rsid w:val="00BF69E6"/>
    <w:rsid w:val="00BF7C5F"/>
    <w:rsid w:val="00C0067A"/>
    <w:rsid w:val="00C00B83"/>
    <w:rsid w:val="00C00C95"/>
    <w:rsid w:val="00C0350D"/>
    <w:rsid w:val="00C13174"/>
    <w:rsid w:val="00C14179"/>
    <w:rsid w:val="00C14484"/>
    <w:rsid w:val="00C1553D"/>
    <w:rsid w:val="00C171E5"/>
    <w:rsid w:val="00C20F22"/>
    <w:rsid w:val="00C21667"/>
    <w:rsid w:val="00C21CEA"/>
    <w:rsid w:val="00C23C88"/>
    <w:rsid w:val="00C3267A"/>
    <w:rsid w:val="00C36DBC"/>
    <w:rsid w:val="00C42B9A"/>
    <w:rsid w:val="00C45FAE"/>
    <w:rsid w:val="00C46E43"/>
    <w:rsid w:val="00C5062D"/>
    <w:rsid w:val="00C507E3"/>
    <w:rsid w:val="00C50EA0"/>
    <w:rsid w:val="00C532A6"/>
    <w:rsid w:val="00C54571"/>
    <w:rsid w:val="00C54634"/>
    <w:rsid w:val="00C55C5E"/>
    <w:rsid w:val="00C6264A"/>
    <w:rsid w:val="00C63D55"/>
    <w:rsid w:val="00C64DEB"/>
    <w:rsid w:val="00C675EE"/>
    <w:rsid w:val="00C73765"/>
    <w:rsid w:val="00C766E1"/>
    <w:rsid w:val="00C76CD1"/>
    <w:rsid w:val="00C77469"/>
    <w:rsid w:val="00C80A91"/>
    <w:rsid w:val="00C828A8"/>
    <w:rsid w:val="00C841A0"/>
    <w:rsid w:val="00C8468B"/>
    <w:rsid w:val="00C84802"/>
    <w:rsid w:val="00C85C9D"/>
    <w:rsid w:val="00C92272"/>
    <w:rsid w:val="00C9255F"/>
    <w:rsid w:val="00C930E7"/>
    <w:rsid w:val="00C9321F"/>
    <w:rsid w:val="00C932F2"/>
    <w:rsid w:val="00C93E1C"/>
    <w:rsid w:val="00C97A8F"/>
    <w:rsid w:val="00CA1DD6"/>
    <w:rsid w:val="00CA28EC"/>
    <w:rsid w:val="00CA2AF1"/>
    <w:rsid w:val="00CA3B0D"/>
    <w:rsid w:val="00CA46BA"/>
    <w:rsid w:val="00CB3614"/>
    <w:rsid w:val="00CB52F3"/>
    <w:rsid w:val="00CB5CC1"/>
    <w:rsid w:val="00CC02C3"/>
    <w:rsid w:val="00CC07A6"/>
    <w:rsid w:val="00CC2049"/>
    <w:rsid w:val="00CC33E7"/>
    <w:rsid w:val="00CC436B"/>
    <w:rsid w:val="00CC7141"/>
    <w:rsid w:val="00CD18F5"/>
    <w:rsid w:val="00CD630B"/>
    <w:rsid w:val="00CD6390"/>
    <w:rsid w:val="00CD7963"/>
    <w:rsid w:val="00CE034A"/>
    <w:rsid w:val="00CE0D2F"/>
    <w:rsid w:val="00CE1AF9"/>
    <w:rsid w:val="00CE204F"/>
    <w:rsid w:val="00CE2F20"/>
    <w:rsid w:val="00CE48A9"/>
    <w:rsid w:val="00CE58EB"/>
    <w:rsid w:val="00CE6340"/>
    <w:rsid w:val="00CE6D61"/>
    <w:rsid w:val="00CE709E"/>
    <w:rsid w:val="00CF097E"/>
    <w:rsid w:val="00CF1ACD"/>
    <w:rsid w:val="00CF1D25"/>
    <w:rsid w:val="00CF36F6"/>
    <w:rsid w:val="00D0016E"/>
    <w:rsid w:val="00D02042"/>
    <w:rsid w:val="00D037AA"/>
    <w:rsid w:val="00D039F0"/>
    <w:rsid w:val="00D05701"/>
    <w:rsid w:val="00D05A74"/>
    <w:rsid w:val="00D1294F"/>
    <w:rsid w:val="00D1419B"/>
    <w:rsid w:val="00D144D3"/>
    <w:rsid w:val="00D15991"/>
    <w:rsid w:val="00D15C18"/>
    <w:rsid w:val="00D16370"/>
    <w:rsid w:val="00D20100"/>
    <w:rsid w:val="00D22104"/>
    <w:rsid w:val="00D22D21"/>
    <w:rsid w:val="00D276DC"/>
    <w:rsid w:val="00D32E7B"/>
    <w:rsid w:val="00D36154"/>
    <w:rsid w:val="00D36322"/>
    <w:rsid w:val="00D372EA"/>
    <w:rsid w:val="00D37E7B"/>
    <w:rsid w:val="00D41AF4"/>
    <w:rsid w:val="00D425D8"/>
    <w:rsid w:val="00D43C40"/>
    <w:rsid w:val="00D44621"/>
    <w:rsid w:val="00D4623A"/>
    <w:rsid w:val="00D46FFC"/>
    <w:rsid w:val="00D473FA"/>
    <w:rsid w:val="00D50651"/>
    <w:rsid w:val="00D519E8"/>
    <w:rsid w:val="00D53516"/>
    <w:rsid w:val="00D5459E"/>
    <w:rsid w:val="00D545E5"/>
    <w:rsid w:val="00D54861"/>
    <w:rsid w:val="00D548C6"/>
    <w:rsid w:val="00D63CD1"/>
    <w:rsid w:val="00D66DF1"/>
    <w:rsid w:val="00D67B13"/>
    <w:rsid w:val="00D72C03"/>
    <w:rsid w:val="00D740DB"/>
    <w:rsid w:val="00D74A38"/>
    <w:rsid w:val="00D75DEC"/>
    <w:rsid w:val="00D82503"/>
    <w:rsid w:val="00D82D0B"/>
    <w:rsid w:val="00D83E52"/>
    <w:rsid w:val="00D847DA"/>
    <w:rsid w:val="00D85F72"/>
    <w:rsid w:val="00D869D8"/>
    <w:rsid w:val="00D86DC1"/>
    <w:rsid w:val="00D94D35"/>
    <w:rsid w:val="00DA19D3"/>
    <w:rsid w:val="00DA30BC"/>
    <w:rsid w:val="00DA4B14"/>
    <w:rsid w:val="00DA5FB8"/>
    <w:rsid w:val="00DB102E"/>
    <w:rsid w:val="00DB6173"/>
    <w:rsid w:val="00DC054D"/>
    <w:rsid w:val="00DC3046"/>
    <w:rsid w:val="00DC31D6"/>
    <w:rsid w:val="00DC5106"/>
    <w:rsid w:val="00DC56EE"/>
    <w:rsid w:val="00DD1636"/>
    <w:rsid w:val="00DD5537"/>
    <w:rsid w:val="00DE1D31"/>
    <w:rsid w:val="00DE231E"/>
    <w:rsid w:val="00DE376F"/>
    <w:rsid w:val="00DE5697"/>
    <w:rsid w:val="00DE6538"/>
    <w:rsid w:val="00DF0834"/>
    <w:rsid w:val="00DF2EE0"/>
    <w:rsid w:val="00DF7D06"/>
    <w:rsid w:val="00E00875"/>
    <w:rsid w:val="00E019C8"/>
    <w:rsid w:val="00E02186"/>
    <w:rsid w:val="00E026C9"/>
    <w:rsid w:val="00E073AD"/>
    <w:rsid w:val="00E110C0"/>
    <w:rsid w:val="00E12567"/>
    <w:rsid w:val="00E127E2"/>
    <w:rsid w:val="00E15C79"/>
    <w:rsid w:val="00E167F9"/>
    <w:rsid w:val="00E2771E"/>
    <w:rsid w:val="00E27898"/>
    <w:rsid w:val="00E319E7"/>
    <w:rsid w:val="00E31D46"/>
    <w:rsid w:val="00E346D6"/>
    <w:rsid w:val="00E34B43"/>
    <w:rsid w:val="00E35028"/>
    <w:rsid w:val="00E36144"/>
    <w:rsid w:val="00E36ACB"/>
    <w:rsid w:val="00E37639"/>
    <w:rsid w:val="00E376DB"/>
    <w:rsid w:val="00E4256B"/>
    <w:rsid w:val="00E42F81"/>
    <w:rsid w:val="00E43217"/>
    <w:rsid w:val="00E47744"/>
    <w:rsid w:val="00E50C98"/>
    <w:rsid w:val="00E50D3B"/>
    <w:rsid w:val="00E5105F"/>
    <w:rsid w:val="00E51609"/>
    <w:rsid w:val="00E541B3"/>
    <w:rsid w:val="00E55BA1"/>
    <w:rsid w:val="00E6524C"/>
    <w:rsid w:val="00E6666F"/>
    <w:rsid w:val="00E66C15"/>
    <w:rsid w:val="00E7273C"/>
    <w:rsid w:val="00E76287"/>
    <w:rsid w:val="00E76338"/>
    <w:rsid w:val="00E766B8"/>
    <w:rsid w:val="00E8138C"/>
    <w:rsid w:val="00E81C18"/>
    <w:rsid w:val="00E837B6"/>
    <w:rsid w:val="00E84FA2"/>
    <w:rsid w:val="00E854F0"/>
    <w:rsid w:val="00E85957"/>
    <w:rsid w:val="00E866C3"/>
    <w:rsid w:val="00E92315"/>
    <w:rsid w:val="00E95C8F"/>
    <w:rsid w:val="00E95E4C"/>
    <w:rsid w:val="00E9637F"/>
    <w:rsid w:val="00E97C8F"/>
    <w:rsid w:val="00EA2F0E"/>
    <w:rsid w:val="00EA3CB2"/>
    <w:rsid w:val="00EA40BE"/>
    <w:rsid w:val="00EA7364"/>
    <w:rsid w:val="00EB1E38"/>
    <w:rsid w:val="00EB6334"/>
    <w:rsid w:val="00EC02B3"/>
    <w:rsid w:val="00EC0F62"/>
    <w:rsid w:val="00EC5F3A"/>
    <w:rsid w:val="00ED0810"/>
    <w:rsid w:val="00ED0A89"/>
    <w:rsid w:val="00ED1D27"/>
    <w:rsid w:val="00ED1F9A"/>
    <w:rsid w:val="00ED2AF3"/>
    <w:rsid w:val="00ED3ECC"/>
    <w:rsid w:val="00ED4389"/>
    <w:rsid w:val="00EE03C2"/>
    <w:rsid w:val="00EE433A"/>
    <w:rsid w:val="00EE5A66"/>
    <w:rsid w:val="00EF242C"/>
    <w:rsid w:val="00EF28A3"/>
    <w:rsid w:val="00EF73A0"/>
    <w:rsid w:val="00F00E32"/>
    <w:rsid w:val="00F03CBA"/>
    <w:rsid w:val="00F20AD3"/>
    <w:rsid w:val="00F22429"/>
    <w:rsid w:val="00F22F9F"/>
    <w:rsid w:val="00F2461D"/>
    <w:rsid w:val="00F30D1C"/>
    <w:rsid w:val="00F31C7D"/>
    <w:rsid w:val="00F327CF"/>
    <w:rsid w:val="00F33B35"/>
    <w:rsid w:val="00F34907"/>
    <w:rsid w:val="00F363B1"/>
    <w:rsid w:val="00F4011F"/>
    <w:rsid w:val="00F40403"/>
    <w:rsid w:val="00F413D1"/>
    <w:rsid w:val="00F47982"/>
    <w:rsid w:val="00F47BFB"/>
    <w:rsid w:val="00F5047C"/>
    <w:rsid w:val="00F5090B"/>
    <w:rsid w:val="00F50992"/>
    <w:rsid w:val="00F51C9B"/>
    <w:rsid w:val="00F60355"/>
    <w:rsid w:val="00F62048"/>
    <w:rsid w:val="00F679AB"/>
    <w:rsid w:val="00F70CB5"/>
    <w:rsid w:val="00F71ECC"/>
    <w:rsid w:val="00F728E9"/>
    <w:rsid w:val="00F74643"/>
    <w:rsid w:val="00F75347"/>
    <w:rsid w:val="00F768F3"/>
    <w:rsid w:val="00F76B48"/>
    <w:rsid w:val="00F825E5"/>
    <w:rsid w:val="00F848CC"/>
    <w:rsid w:val="00F84B2E"/>
    <w:rsid w:val="00F8563B"/>
    <w:rsid w:val="00F86B64"/>
    <w:rsid w:val="00F90A9C"/>
    <w:rsid w:val="00F926F0"/>
    <w:rsid w:val="00F93390"/>
    <w:rsid w:val="00F9620A"/>
    <w:rsid w:val="00F96872"/>
    <w:rsid w:val="00F97462"/>
    <w:rsid w:val="00F9775C"/>
    <w:rsid w:val="00F97FFD"/>
    <w:rsid w:val="00FA06BB"/>
    <w:rsid w:val="00FA20FF"/>
    <w:rsid w:val="00FA3E4C"/>
    <w:rsid w:val="00FA65B7"/>
    <w:rsid w:val="00FA6834"/>
    <w:rsid w:val="00FA6E84"/>
    <w:rsid w:val="00FB28B5"/>
    <w:rsid w:val="00FB5C53"/>
    <w:rsid w:val="00FB60F6"/>
    <w:rsid w:val="00FC3B5A"/>
    <w:rsid w:val="00FC5068"/>
    <w:rsid w:val="00FC7009"/>
    <w:rsid w:val="00FC7234"/>
    <w:rsid w:val="00FC75F1"/>
    <w:rsid w:val="00FC7793"/>
    <w:rsid w:val="00FD1207"/>
    <w:rsid w:val="00FD1ACC"/>
    <w:rsid w:val="00FD2265"/>
    <w:rsid w:val="00FD6DEE"/>
    <w:rsid w:val="00FE27FF"/>
    <w:rsid w:val="00FE51C2"/>
    <w:rsid w:val="00FE5C1A"/>
    <w:rsid w:val="00FE6FBB"/>
    <w:rsid w:val="00FF0875"/>
    <w:rsid w:val="00FF2A95"/>
    <w:rsid w:val="00FF2BA5"/>
    <w:rsid w:val="00FF49B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CD3D2"/>
  <w15:chartTrackingRefBased/>
  <w15:docId w15:val="{BC29DA69-BE38-46FA-A78B-2A547F14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EC02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C02B3"/>
    <w:pPr>
      <w:keepNext/>
      <w:keepLines/>
      <w:spacing w:before="40" w:after="0"/>
      <w:outlineLvl w:val="1"/>
    </w:pPr>
    <w:rPr>
      <w:rFonts w:ascii="Cambria" w:eastAsia="SimSun" w:hAnsi="Cambria" w:cs="Times New Roman"/>
      <w:color w:val="365F91"/>
      <w:sz w:val="26"/>
      <w:szCs w:val="26"/>
      <w:lang w:val="en-US"/>
    </w:rPr>
  </w:style>
  <w:style w:type="paragraph" w:styleId="Heading3">
    <w:name w:val="heading 3"/>
    <w:basedOn w:val="Normal"/>
    <w:next w:val="Normal"/>
    <w:link w:val="Heading3Char"/>
    <w:uiPriority w:val="9"/>
    <w:semiHidden/>
    <w:unhideWhenUsed/>
    <w:qFormat/>
    <w:rsid w:val="00EC02B3"/>
    <w:pPr>
      <w:keepNext/>
      <w:keepLines/>
      <w:spacing w:before="40" w:after="0"/>
      <w:outlineLvl w:val="2"/>
    </w:pPr>
    <w:rPr>
      <w:rFonts w:ascii="Cambria" w:eastAsia="SimSun" w:hAnsi="Cambria" w:cs="Times New Roman"/>
      <w:color w:val="243F60"/>
      <w:sz w:val="24"/>
      <w:szCs w:val="24"/>
      <w:lang w:val="en-US"/>
    </w:rPr>
  </w:style>
  <w:style w:type="paragraph" w:styleId="Heading5">
    <w:name w:val="heading 5"/>
    <w:basedOn w:val="Normal"/>
    <w:next w:val="Normal"/>
    <w:link w:val="Heading5Char"/>
    <w:uiPriority w:val="9"/>
    <w:semiHidden/>
    <w:unhideWhenUsed/>
    <w:qFormat/>
    <w:rsid w:val="00EC02B3"/>
    <w:pPr>
      <w:keepNext/>
      <w:keepLines/>
      <w:spacing w:before="40" w:after="0"/>
      <w:outlineLvl w:val="4"/>
    </w:pPr>
    <w:rPr>
      <w:rFonts w:ascii="Cambria" w:eastAsia="SimSun" w:hAnsi="Cambria" w:cs="Times New Roman"/>
      <w:color w:val="365F91"/>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0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A14"/>
  </w:style>
  <w:style w:type="paragraph" w:styleId="Footer">
    <w:name w:val="footer"/>
    <w:basedOn w:val="Normal"/>
    <w:link w:val="FooterChar"/>
    <w:uiPriority w:val="99"/>
    <w:unhideWhenUsed/>
    <w:rsid w:val="00227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A14"/>
  </w:style>
  <w:style w:type="table" w:customStyle="1" w:styleId="TableGrid1">
    <w:name w:val="Table Grid1"/>
    <w:basedOn w:val="TableNormal"/>
    <w:next w:val="TableGrid"/>
    <w:uiPriority w:val="39"/>
    <w:rsid w:val="0040096C"/>
    <w:pPr>
      <w:spacing w:after="0" w:line="240" w:lineRule="auto"/>
    </w:pPr>
    <w:rPr>
      <w:rFonts w:ascii="Calibri" w:eastAsia="DengXi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76434"/>
    <w:pPr>
      <w:spacing w:after="0" w:line="240" w:lineRule="auto"/>
    </w:pPr>
    <w:rPr>
      <w:rFonts w:ascii="Calibri" w:eastAsia="DengXi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5DE"/>
    <w:pPr>
      <w:ind w:left="720"/>
      <w:contextualSpacing/>
    </w:pPr>
  </w:style>
  <w:style w:type="paragraph" w:customStyle="1" w:styleId="Heading11">
    <w:name w:val="Heading 11"/>
    <w:basedOn w:val="Normal"/>
    <w:next w:val="Normal"/>
    <w:link w:val="Heading1Char"/>
    <w:uiPriority w:val="9"/>
    <w:qFormat/>
    <w:rsid w:val="00EC02B3"/>
    <w:pPr>
      <w:keepNext/>
      <w:keepLines/>
      <w:spacing w:before="240" w:after="0" w:line="240" w:lineRule="auto"/>
      <w:outlineLvl w:val="0"/>
    </w:pPr>
    <w:rPr>
      <w:rFonts w:ascii="Cambria" w:eastAsia="SimSun" w:hAnsi="Cambria" w:cs="Times New Roman"/>
      <w:color w:val="365F91"/>
      <w:sz w:val="32"/>
      <w:szCs w:val="32"/>
      <w:lang w:val="en-US"/>
    </w:rPr>
  </w:style>
  <w:style w:type="paragraph" w:customStyle="1" w:styleId="Heading21">
    <w:name w:val="Heading 21"/>
    <w:basedOn w:val="Normal"/>
    <w:next w:val="Normal"/>
    <w:uiPriority w:val="9"/>
    <w:unhideWhenUsed/>
    <w:qFormat/>
    <w:rsid w:val="00EC02B3"/>
    <w:pPr>
      <w:keepNext/>
      <w:keepLines/>
      <w:spacing w:before="40" w:after="0" w:line="240" w:lineRule="auto"/>
      <w:outlineLvl w:val="1"/>
    </w:pPr>
    <w:rPr>
      <w:rFonts w:ascii="Cambria" w:eastAsia="SimSun" w:hAnsi="Cambria" w:cs="Times New Roman"/>
      <w:color w:val="365F91"/>
      <w:sz w:val="26"/>
      <w:szCs w:val="26"/>
      <w:lang w:val="en-US" w:eastAsia="en-US"/>
    </w:rPr>
  </w:style>
  <w:style w:type="paragraph" w:customStyle="1" w:styleId="Heading31">
    <w:name w:val="Heading 31"/>
    <w:basedOn w:val="Normal"/>
    <w:next w:val="Normal"/>
    <w:uiPriority w:val="9"/>
    <w:semiHidden/>
    <w:unhideWhenUsed/>
    <w:qFormat/>
    <w:rsid w:val="00EC02B3"/>
    <w:pPr>
      <w:keepNext/>
      <w:keepLines/>
      <w:spacing w:before="40" w:after="0" w:line="240" w:lineRule="auto"/>
      <w:outlineLvl w:val="2"/>
    </w:pPr>
    <w:rPr>
      <w:rFonts w:ascii="Cambria" w:eastAsia="SimSun" w:hAnsi="Cambria" w:cs="Times New Roman"/>
      <w:color w:val="243F60"/>
      <w:sz w:val="24"/>
      <w:szCs w:val="24"/>
      <w:lang w:val="en-US" w:eastAsia="en-US"/>
    </w:rPr>
  </w:style>
  <w:style w:type="paragraph" w:customStyle="1" w:styleId="Heading51">
    <w:name w:val="Heading 51"/>
    <w:basedOn w:val="Normal"/>
    <w:next w:val="Normal"/>
    <w:uiPriority w:val="9"/>
    <w:semiHidden/>
    <w:unhideWhenUsed/>
    <w:qFormat/>
    <w:rsid w:val="00EC02B3"/>
    <w:pPr>
      <w:keepNext/>
      <w:keepLines/>
      <w:spacing w:before="40" w:after="0" w:line="240" w:lineRule="auto"/>
      <w:outlineLvl w:val="4"/>
    </w:pPr>
    <w:rPr>
      <w:rFonts w:ascii="Cambria" w:eastAsia="SimSun" w:hAnsi="Cambria" w:cs="Times New Roman"/>
      <w:color w:val="365F91"/>
      <w:sz w:val="20"/>
      <w:szCs w:val="20"/>
      <w:lang w:val="en-US" w:eastAsia="en-US"/>
    </w:rPr>
  </w:style>
  <w:style w:type="numbering" w:customStyle="1" w:styleId="NoList1">
    <w:name w:val="No List1"/>
    <w:next w:val="NoList"/>
    <w:uiPriority w:val="99"/>
    <w:semiHidden/>
    <w:unhideWhenUsed/>
    <w:rsid w:val="00EC02B3"/>
  </w:style>
  <w:style w:type="paragraph" w:styleId="BalloonText">
    <w:name w:val="Balloon Text"/>
    <w:basedOn w:val="Normal"/>
    <w:link w:val="BalloonTextChar"/>
    <w:uiPriority w:val="99"/>
    <w:semiHidden/>
    <w:unhideWhenUsed/>
    <w:rsid w:val="00EC02B3"/>
    <w:pPr>
      <w:spacing w:after="0" w:line="240" w:lineRule="auto"/>
    </w:pPr>
    <w:rPr>
      <w:rFonts w:ascii="Tahoma" w:eastAsia="Calibri" w:hAnsi="Tahoma" w:cs="Tahoma"/>
      <w:sz w:val="16"/>
      <w:szCs w:val="16"/>
      <w:lang w:val="en-US" w:eastAsia="en-US"/>
    </w:rPr>
  </w:style>
  <w:style w:type="character" w:customStyle="1" w:styleId="BalloonTextChar">
    <w:name w:val="Balloon Text Char"/>
    <w:basedOn w:val="DefaultParagraphFont"/>
    <w:link w:val="BalloonText"/>
    <w:uiPriority w:val="99"/>
    <w:semiHidden/>
    <w:rsid w:val="00EC02B3"/>
    <w:rPr>
      <w:rFonts w:ascii="Tahoma" w:eastAsia="Calibri" w:hAnsi="Tahoma" w:cs="Tahoma"/>
      <w:sz w:val="16"/>
      <w:szCs w:val="16"/>
      <w:lang w:val="en-US" w:eastAsia="en-US"/>
    </w:rPr>
  </w:style>
  <w:style w:type="character" w:customStyle="1" w:styleId="apple-converted-space">
    <w:name w:val="apple-converted-space"/>
    <w:basedOn w:val="DefaultParagraphFont"/>
    <w:rsid w:val="00EC02B3"/>
  </w:style>
  <w:style w:type="character" w:customStyle="1" w:styleId="Hyperlink1">
    <w:name w:val="Hyperlink1"/>
    <w:basedOn w:val="DefaultParagraphFont"/>
    <w:uiPriority w:val="99"/>
    <w:unhideWhenUsed/>
    <w:rsid w:val="00EC02B3"/>
    <w:rPr>
      <w:color w:val="0000FF"/>
      <w:u w:val="single"/>
    </w:rPr>
  </w:style>
  <w:style w:type="character" w:customStyle="1" w:styleId="FollowedHyperlink1">
    <w:name w:val="FollowedHyperlink1"/>
    <w:basedOn w:val="DefaultParagraphFont"/>
    <w:uiPriority w:val="99"/>
    <w:semiHidden/>
    <w:unhideWhenUsed/>
    <w:rsid w:val="00EC02B3"/>
    <w:rPr>
      <w:color w:val="800080"/>
      <w:u w:val="single"/>
    </w:rPr>
  </w:style>
  <w:style w:type="character" w:styleId="CommentReference">
    <w:name w:val="annotation reference"/>
    <w:basedOn w:val="DefaultParagraphFont"/>
    <w:uiPriority w:val="99"/>
    <w:semiHidden/>
    <w:unhideWhenUsed/>
    <w:rsid w:val="00EC02B3"/>
    <w:rPr>
      <w:sz w:val="16"/>
      <w:szCs w:val="16"/>
    </w:rPr>
  </w:style>
  <w:style w:type="paragraph" w:styleId="CommentText">
    <w:name w:val="annotation text"/>
    <w:basedOn w:val="Normal"/>
    <w:link w:val="CommentTextChar"/>
    <w:uiPriority w:val="99"/>
    <w:unhideWhenUsed/>
    <w:rsid w:val="00EC02B3"/>
    <w:pPr>
      <w:spacing w:after="0" w:line="240" w:lineRule="auto"/>
    </w:pPr>
    <w:rPr>
      <w:rFonts w:ascii="Calibri" w:eastAsia="Calibri" w:hAnsi="Calibri" w:cs="Arial"/>
      <w:sz w:val="20"/>
      <w:szCs w:val="20"/>
      <w:lang w:val="en-US" w:eastAsia="en-US"/>
    </w:rPr>
  </w:style>
  <w:style w:type="character" w:customStyle="1" w:styleId="CommentTextChar">
    <w:name w:val="Comment Text Char"/>
    <w:basedOn w:val="DefaultParagraphFont"/>
    <w:link w:val="CommentText"/>
    <w:uiPriority w:val="99"/>
    <w:rsid w:val="00EC02B3"/>
    <w:rPr>
      <w:rFonts w:ascii="Calibri" w:eastAsia="Calibri" w:hAnsi="Calibri" w:cs="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EC02B3"/>
    <w:rPr>
      <w:b/>
      <w:bCs/>
    </w:rPr>
  </w:style>
  <w:style w:type="character" w:customStyle="1" w:styleId="CommentSubjectChar">
    <w:name w:val="Comment Subject Char"/>
    <w:basedOn w:val="CommentTextChar"/>
    <w:link w:val="CommentSubject"/>
    <w:uiPriority w:val="99"/>
    <w:semiHidden/>
    <w:rsid w:val="00EC02B3"/>
    <w:rPr>
      <w:rFonts w:ascii="Calibri" w:eastAsia="Calibri" w:hAnsi="Calibri" w:cs="Arial"/>
      <w:b/>
      <w:bCs/>
      <w:sz w:val="20"/>
      <w:szCs w:val="20"/>
      <w:lang w:val="en-US" w:eastAsia="en-US"/>
    </w:rPr>
  </w:style>
  <w:style w:type="paragraph" w:styleId="Revision">
    <w:name w:val="Revision"/>
    <w:hidden/>
    <w:uiPriority w:val="99"/>
    <w:semiHidden/>
    <w:rsid w:val="00EC02B3"/>
    <w:pPr>
      <w:spacing w:after="0" w:line="240" w:lineRule="auto"/>
    </w:pPr>
    <w:rPr>
      <w:lang w:eastAsia="en-US"/>
    </w:rPr>
  </w:style>
  <w:style w:type="paragraph" w:customStyle="1" w:styleId="Default">
    <w:name w:val="Default"/>
    <w:rsid w:val="00EC02B3"/>
    <w:pPr>
      <w:autoSpaceDE w:val="0"/>
      <w:autoSpaceDN w:val="0"/>
      <w:adjustRightInd w:val="0"/>
      <w:spacing w:after="0" w:line="240" w:lineRule="auto"/>
    </w:pPr>
    <w:rPr>
      <w:rFonts w:ascii="Arial" w:hAnsi="Arial" w:cs="Arial"/>
      <w:color w:val="000000"/>
      <w:sz w:val="24"/>
      <w:szCs w:val="24"/>
      <w:lang w:val="en-US" w:eastAsia="en-US"/>
    </w:rPr>
  </w:style>
  <w:style w:type="character" w:customStyle="1" w:styleId="Heading1Char">
    <w:name w:val="Heading 1 Char"/>
    <w:basedOn w:val="DefaultParagraphFont"/>
    <w:link w:val="Heading11"/>
    <w:uiPriority w:val="9"/>
    <w:rsid w:val="00EC02B3"/>
    <w:rPr>
      <w:rFonts w:ascii="Cambria" w:eastAsia="SimSun" w:hAnsi="Cambria" w:cs="Times New Roman"/>
      <w:color w:val="365F91"/>
      <w:sz w:val="32"/>
      <w:szCs w:val="32"/>
      <w:lang w:val="en-US"/>
    </w:rPr>
  </w:style>
  <w:style w:type="character" w:customStyle="1" w:styleId="Heading1Char1">
    <w:name w:val="Heading 1 Char1"/>
    <w:basedOn w:val="DefaultParagraphFont"/>
    <w:link w:val="Heading1"/>
    <w:uiPriority w:val="9"/>
    <w:rsid w:val="00EC02B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C02B3"/>
    <w:pPr>
      <w:outlineLvl w:val="9"/>
    </w:pPr>
    <w:rPr>
      <w:lang w:val="en-US" w:eastAsia="en-US"/>
    </w:rPr>
  </w:style>
  <w:style w:type="paragraph" w:customStyle="1" w:styleId="TOC21">
    <w:name w:val="TOC 21"/>
    <w:basedOn w:val="Normal"/>
    <w:next w:val="Normal"/>
    <w:autoRedefine/>
    <w:uiPriority w:val="39"/>
    <w:unhideWhenUsed/>
    <w:rsid w:val="00EC02B3"/>
    <w:pPr>
      <w:spacing w:after="100"/>
      <w:ind w:left="220"/>
    </w:pPr>
    <w:rPr>
      <w:rFonts w:cs="Times New Roman"/>
      <w:lang w:val="en-US" w:eastAsia="en-US"/>
    </w:rPr>
  </w:style>
  <w:style w:type="paragraph" w:customStyle="1" w:styleId="TOC11">
    <w:name w:val="TOC 11"/>
    <w:basedOn w:val="Normal"/>
    <w:next w:val="Normal"/>
    <w:autoRedefine/>
    <w:uiPriority w:val="39"/>
    <w:unhideWhenUsed/>
    <w:rsid w:val="00EC02B3"/>
    <w:pPr>
      <w:spacing w:after="100"/>
    </w:pPr>
    <w:rPr>
      <w:rFonts w:cs="Times New Roman"/>
      <w:lang w:val="en-US" w:eastAsia="en-US"/>
    </w:rPr>
  </w:style>
  <w:style w:type="paragraph" w:customStyle="1" w:styleId="TOC31">
    <w:name w:val="TOC 31"/>
    <w:basedOn w:val="Normal"/>
    <w:next w:val="Normal"/>
    <w:autoRedefine/>
    <w:uiPriority w:val="39"/>
    <w:unhideWhenUsed/>
    <w:rsid w:val="00EC02B3"/>
    <w:pPr>
      <w:spacing w:after="100"/>
      <w:ind w:left="440"/>
    </w:pPr>
    <w:rPr>
      <w:rFonts w:cs="Times New Roman"/>
      <w:lang w:val="en-US" w:eastAsia="en-US"/>
    </w:rPr>
  </w:style>
  <w:style w:type="paragraph" w:styleId="Date">
    <w:name w:val="Date"/>
    <w:basedOn w:val="Normal"/>
    <w:next w:val="Normal"/>
    <w:link w:val="DateChar"/>
    <w:uiPriority w:val="99"/>
    <w:semiHidden/>
    <w:unhideWhenUsed/>
    <w:rsid w:val="00EC02B3"/>
    <w:pPr>
      <w:spacing w:after="0" w:line="240" w:lineRule="auto"/>
    </w:pPr>
    <w:rPr>
      <w:rFonts w:ascii="Calibri" w:eastAsia="Calibri" w:hAnsi="Calibri" w:cs="Arial"/>
      <w:sz w:val="20"/>
      <w:szCs w:val="20"/>
      <w:lang w:val="en-US" w:eastAsia="en-US"/>
    </w:rPr>
  </w:style>
  <w:style w:type="character" w:customStyle="1" w:styleId="DateChar">
    <w:name w:val="Date Char"/>
    <w:basedOn w:val="DefaultParagraphFont"/>
    <w:link w:val="Date"/>
    <w:uiPriority w:val="99"/>
    <w:semiHidden/>
    <w:rsid w:val="00EC02B3"/>
    <w:rPr>
      <w:rFonts w:ascii="Calibri" w:eastAsia="Calibri" w:hAnsi="Calibri" w:cs="Arial"/>
      <w:sz w:val="20"/>
      <w:szCs w:val="20"/>
      <w:lang w:val="en-US" w:eastAsia="en-US"/>
    </w:rPr>
  </w:style>
  <w:style w:type="character" w:customStyle="1" w:styleId="UnresolvedMention">
    <w:name w:val="Unresolved Mention"/>
    <w:basedOn w:val="DefaultParagraphFont"/>
    <w:uiPriority w:val="99"/>
    <w:semiHidden/>
    <w:unhideWhenUsed/>
    <w:rsid w:val="00EC02B3"/>
    <w:rPr>
      <w:color w:val="605E5C"/>
      <w:shd w:val="clear" w:color="auto" w:fill="E1DFDD"/>
    </w:rPr>
  </w:style>
  <w:style w:type="paragraph" w:styleId="EndnoteText">
    <w:name w:val="endnote text"/>
    <w:basedOn w:val="Normal"/>
    <w:link w:val="EndnoteTextChar"/>
    <w:uiPriority w:val="99"/>
    <w:semiHidden/>
    <w:unhideWhenUsed/>
    <w:rsid w:val="00EC02B3"/>
    <w:pPr>
      <w:spacing w:after="0" w:line="240" w:lineRule="auto"/>
    </w:pPr>
    <w:rPr>
      <w:rFonts w:ascii="Calibri" w:eastAsia="Calibri" w:hAnsi="Calibri" w:cs="Arial"/>
      <w:sz w:val="20"/>
      <w:szCs w:val="20"/>
      <w:lang w:val="en-US" w:eastAsia="en-US"/>
    </w:rPr>
  </w:style>
  <w:style w:type="character" w:customStyle="1" w:styleId="EndnoteTextChar">
    <w:name w:val="Endnote Text Char"/>
    <w:basedOn w:val="DefaultParagraphFont"/>
    <w:link w:val="EndnoteText"/>
    <w:uiPriority w:val="99"/>
    <w:semiHidden/>
    <w:rsid w:val="00EC02B3"/>
    <w:rPr>
      <w:rFonts w:ascii="Calibri" w:eastAsia="Calibri" w:hAnsi="Calibri" w:cs="Arial"/>
      <w:sz w:val="20"/>
      <w:szCs w:val="20"/>
      <w:lang w:val="en-US" w:eastAsia="en-US"/>
    </w:rPr>
  </w:style>
  <w:style w:type="character" w:styleId="EndnoteReference">
    <w:name w:val="endnote reference"/>
    <w:basedOn w:val="DefaultParagraphFont"/>
    <w:uiPriority w:val="99"/>
    <w:semiHidden/>
    <w:unhideWhenUsed/>
    <w:rsid w:val="00EC02B3"/>
    <w:rPr>
      <w:vertAlign w:val="superscript"/>
    </w:rPr>
  </w:style>
  <w:style w:type="character" w:customStyle="1" w:styleId="Heading3Char">
    <w:name w:val="Heading 3 Char"/>
    <w:basedOn w:val="DefaultParagraphFont"/>
    <w:link w:val="Heading3"/>
    <w:uiPriority w:val="9"/>
    <w:semiHidden/>
    <w:rsid w:val="00EC02B3"/>
    <w:rPr>
      <w:rFonts w:ascii="Cambria" w:eastAsia="SimSun" w:hAnsi="Cambria" w:cs="Times New Roman"/>
      <w:color w:val="243F60"/>
      <w:sz w:val="24"/>
      <w:szCs w:val="24"/>
      <w:lang w:val="en-US"/>
    </w:rPr>
  </w:style>
  <w:style w:type="table" w:customStyle="1" w:styleId="TableGrid2">
    <w:name w:val="Table Grid2"/>
    <w:basedOn w:val="TableNormal"/>
    <w:next w:val="TableGrid"/>
    <w:uiPriority w:val="39"/>
    <w:rsid w:val="00EC02B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C02B3"/>
    <w:pPr>
      <w:spacing w:after="0" w:line="240" w:lineRule="auto"/>
    </w:pPr>
    <w:rPr>
      <w:rFonts w:ascii="Times New Roman" w:eastAsia="Calibri" w:hAnsi="Times New Roman" w:cs="Times New Roman"/>
      <w:sz w:val="24"/>
      <w:szCs w:val="24"/>
      <w:lang w:val="en-US" w:eastAsia="en-US"/>
    </w:rPr>
  </w:style>
  <w:style w:type="character" w:customStyle="1" w:styleId="Heading5Char">
    <w:name w:val="Heading 5 Char"/>
    <w:basedOn w:val="DefaultParagraphFont"/>
    <w:link w:val="Heading5"/>
    <w:uiPriority w:val="9"/>
    <w:semiHidden/>
    <w:rsid w:val="00EC02B3"/>
    <w:rPr>
      <w:rFonts w:ascii="Cambria" w:eastAsia="SimSun" w:hAnsi="Cambria" w:cs="Times New Roman"/>
      <w:color w:val="365F91"/>
      <w:sz w:val="20"/>
      <w:szCs w:val="20"/>
      <w:lang w:val="en-US"/>
    </w:rPr>
  </w:style>
  <w:style w:type="paragraph" w:customStyle="1" w:styleId="goal-text">
    <w:name w:val="goal-text"/>
    <w:basedOn w:val="Normal"/>
    <w:rsid w:val="00EC0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C02B3"/>
    <w:rPr>
      <w:rFonts w:ascii="Cambria" w:eastAsia="SimSun" w:hAnsi="Cambria" w:cs="Times New Roman"/>
      <w:color w:val="365F91"/>
      <w:sz w:val="26"/>
      <w:szCs w:val="26"/>
      <w:lang w:val="en-US"/>
    </w:rPr>
  </w:style>
  <w:style w:type="character" w:styleId="PlaceholderText">
    <w:name w:val="Placeholder Text"/>
    <w:basedOn w:val="DefaultParagraphFont"/>
    <w:uiPriority w:val="99"/>
    <w:semiHidden/>
    <w:rsid w:val="00EC02B3"/>
    <w:rPr>
      <w:color w:val="808080"/>
    </w:rPr>
  </w:style>
  <w:style w:type="character" w:styleId="Strong">
    <w:name w:val="Strong"/>
    <w:basedOn w:val="DefaultParagraphFont"/>
    <w:uiPriority w:val="22"/>
    <w:qFormat/>
    <w:rsid w:val="00EC02B3"/>
    <w:rPr>
      <w:b/>
      <w:bCs/>
    </w:rPr>
  </w:style>
  <w:style w:type="numbering" w:customStyle="1" w:styleId="NoList11">
    <w:name w:val="No List11"/>
    <w:next w:val="NoList"/>
    <w:uiPriority w:val="99"/>
    <w:semiHidden/>
    <w:unhideWhenUsed/>
    <w:rsid w:val="00EC02B3"/>
  </w:style>
  <w:style w:type="table" w:customStyle="1" w:styleId="TableGrid12">
    <w:name w:val="Table Grid12"/>
    <w:basedOn w:val="TableNormal"/>
    <w:next w:val="TableGrid"/>
    <w:uiPriority w:val="39"/>
    <w:rsid w:val="00EC02B3"/>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C02B3"/>
    <w:pPr>
      <w:spacing w:after="0" w:line="240" w:lineRule="auto"/>
    </w:pPr>
    <w:rPr>
      <w:rFonts w:ascii="Calibri" w:eastAsia="DengXi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C02B3"/>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C02B3"/>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C02B3"/>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C02B3"/>
    <w:rPr>
      <w:color w:val="0563C1" w:themeColor="hyperlink"/>
      <w:u w:val="single"/>
    </w:rPr>
  </w:style>
  <w:style w:type="character" w:styleId="FollowedHyperlink">
    <w:name w:val="FollowedHyperlink"/>
    <w:basedOn w:val="DefaultParagraphFont"/>
    <w:uiPriority w:val="99"/>
    <w:semiHidden/>
    <w:unhideWhenUsed/>
    <w:rsid w:val="00EC02B3"/>
    <w:rPr>
      <w:color w:val="954F72" w:themeColor="followedHyperlink"/>
      <w:u w:val="single"/>
    </w:rPr>
  </w:style>
  <w:style w:type="character" w:customStyle="1" w:styleId="Heading3Char1">
    <w:name w:val="Heading 3 Char1"/>
    <w:basedOn w:val="DefaultParagraphFont"/>
    <w:uiPriority w:val="9"/>
    <w:semiHidden/>
    <w:rsid w:val="00EC02B3"/>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EC02B3"/>
    <w:rPr>
      <w:rFonts w:asciiTheme="majorHAnsi" w:eastAsiaTheme="majorEastAsia" w:hAnsiTheme="majorHAnsi" w:cstheme="majorBidi"/>
      <w:color w:val="2F5496" w:themeColor="accent1" w:themeShade="BF"/>
    </w:rPr>
  </w:style>
  <w:style w:type="character" w:customStyle="1" w:styleId="Heading2Char1">
    <w:name w:val="Heading 2 Char1"/>
    <w:basedOn w:val="DefaultParagraphFont"/>
    <w:uiPriority w:val="9"/>
    <w:semiHidden/>
    <w:rsid w:val="00EC02B3"/>
    <w:rPr>
      <w:rFonts w:asciiTheme="majorHAnsi" w:eastAsiaTheme="majorEastAsia" w:hAnsiTheme="majorHAnsi" w:cstheme="majorBidi"/>
      <w:color w:val="2F5496" w:themeColor="accent1" w:themeShade="BF"/>
      <w:sz w:val="26"/>
      <w:szCs w:val="26"/>
    </w:rPr>
  </w:style>
  <w:style w:type="table" w:customStyle="1" w:styleId="TableGrid7">
    <w:name w:val="Table Grid7"/>
    <w:basedOn w:val="TableNormal"/>
    <w:next w:val="TableGrid"/>
    <w:uiPriority w:val="39"/>
    <w:rsid w:val="006F3D88"/>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937B1"/>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6724EC"/>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D151B"/>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C41A8"/>
    <w:pPr>
      <w:spacing w:after="0" w:line="240" w:lineRule="auto"/>
    </w:pPr>
    <w:rPr>
      <w:rFonts w:ascii="Calibri" w:eastAsia="DengXi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4C41A8"/>
    <w:pPr>
      <w:spacing w:after="0" w:line="240" w:lineRule="auto"/>
    </w:pPr>
    <w:rPr>
      <w:rFonts w:ascii="Calibri" w:eastAsia="DengXi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935">
      <w:bodyDiv w:val="1"/>
      <w:marLeft w:val="0"/>
      <w:marRight w:val="0"/>
      <w:marTop w:val="0"/>
      <w:marBottom w:val="0"/>
      <w:divBdr>
        <w:top w:val="none" w:sz="0" w:space="0" w:color="auto"/>
        <w:left w:val="none" w:sz="0" w:space="0" w:color="auto"/>
        <w:bottom w:val="none" w:sz="0" w:space="0" w:color="auto"/>
        <w:right w:val="none" w:sz="0" w:space="0" w:color="auto"/>
      </w:divBdr>
    </w:div>
    <w:div w:id="276832261">
      <w:bodyDiv w:val="1"/>
      <w:marLeft w:val="0"/>
      <w:marRight w:val="0"/>
      <w:marTop w:val="0"/>
      <w:marBottom w:val="0"/>
      <w:divBdr>
        <w:top w:val="none" w:sz="0" w:space="0" w:color="auto"/>
        <w:left w:val="none" w:sz="0" w:space="0" w:color="auto"/>
        <w:bottom w:val="none" w:sz="0" w:space="0" w:color="auto"/>
        <w:right w:val="none" w:sz="0" w:space="0" w:color="auto"/>
      </w:divBdr>
    </w:div>
    <w:div w:id="313485901">
      <w:bodyDiv w:val="1"/>
      <w:marLeft w:val="0"/>
      <w:marRight w:val="0"/>
      <w:marTop w:val="0"/>
      <w:marBottom w:val="0"/>
      <w:divBdr>
        <w:top w:val="none" w:sz="0" w:space="0" w:color="auto"/>
        <w:left w:val="none" w:sz="0" w:space="0" w:color="auto"/>
        <w:bottom w:val="none" w:sz="0" w:space="0" w:color="auto"/>
        <w:right w:val="none" w:sz="0" w:space="0" w:color="auto"/>
      </w:divBdr>
    </w:div>
    <w:div w:id="445925564">
      <w:bodyDiv w:val="1"/>
      <w:marLeft w:val="0"/>
      <w:marRight w:val="0"/>
      <w:marTop w:val="0"/>
      <w:marBottom w:val="0"/>
      <w:divBdr>
        <w:top w:val="none" w:sz="0" w:space="0" w:color="auto"/>
        <w:left w:val="none" w:sz="0" w:space="0" w:color="auto"/>
        <w:bottom w:val="none" w:sz="0" w:space="0" w:color="auto"/>
        <w:right w:val="none" w:sz="0" w:space="0" w:color="auto"/>
      </w:divBdr>
    </w:div>
    <w:div w:id="861823974">
      <w:bodyDiv w:val="1"/>
      <w:marLeft w:val="0"/>
      <w:marRight w:val="0"/>
      <w:marTop w:val="0"/>
      <w:marBottom w:val="0"/>
      <w:divBdr>
        <w:top w:val="none" w:sz="0" w:space="0" w:color="auto"/>
        <w:left w:val="none" w:sz="0" w:space="0" w:color="auto"/>
        <w:bottom w:val="none" w:sz="0" w:space="0" w:color="auto"/>
        <w:right w:val="none" w:sz="0" w:space="0" w:color="auto"/>
      </w:divBdr>
    </w:div>
    <w:div w:id="1672949469">
      <w:bodyDiv w:val="1"/>
      <w:marLeft w:val="0"/>
      <w:marRight w:val="0"/>
      <w:marTop w:val="0"/>
      <w:marBottom w:val="0"/>
      <w:divBdr>
        <w:top w:val="none" w:sz="0" w:space="0" w:color="auto"/>
        <w:left w:val="none" w:sz="0" w:space="0" w:color="auto"/>
        <w:bottom w:val="none" w:sz="0" w:space="0" w:color="auto"/>
        <w:right w:val="none" w:sz="0" w:space="0" w:color="auto"/>
      </w:divBdr>
    </w:div>
    <w:div w:id="1762481315">
      <w:bodyDiv w:val="1"/>
      <w:marLeft w:val="0"/>
      <w:marRight w:val="0"/>
      <w:marTop w:val="0"/>
      <w:marBottom w:val="0"/>
      <w:divBdr>
        <w:top w:val="none" w:sz="0" w:space="0" w:color="auto"/>
        <w:left w:val="none" w:sz="0" w:space="0" w:color="auto"/>
        <w:bottom w:val="none" w:sz="0" w:space="0" w:color="auto"/>
        <w:right w:val="none" w:sz="0" w:space="0" w:color="auto"/>
      </w:divBdr>
    </w:div>
    <w:div w:id="1835532804">
      <w:bodyDiv w:val="1"/>
      <w:marLeft w:val="0"/>
      <w:marRight w:val="0"/>
      <w:marTop w:val="0"/>
      <w:marBottom w:val="0"/>
      <w:divBdr>
        <w:top w:val="none" w:sz="0" w:space="0" w:color="auto"/>
        <w:left w:val="none" w:sz="0" w:space="0" w:color="auto"/>
        <w:bottom w:val="none" w:sz="0" w:space="0" w:color="auto"/>
        <w:right w:val="none" w:sz="0" w:space="0" w:color="auto"/>
      </w:divBdr>
    </w:div>
    <w:div w:id="2034383040">
      <w:bodyDiv w:val="1"/>
      <w:marLeft w:val="0"/>
      <w:marRight w:val="0"/>
      <w:marTop w:val="0"/>
      <w:marBottom w:val="0"/>
      <w:divBdr>
        <w:top w:val="none" w:sz="0" w:space="0" w:color="auto"/>
        <w:left w:val="none" w:sz="0" w:space="0" w:color="auto"/>
        <w:bottom w:val="none" w:sz="0" w:space="0" w:color="auto"/>
        <w:right w:val="none" w:sz="0" w:space="0" w:color="auto"/>
      </w:divBdr>
    </w:div>
    <w:div w:id="212437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mr.elsayed.1983@gmail.com"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asy@novonordisk.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a:t>Economic type of the included </a:t>
            </a:r>
            <a:r>
              <a:rPr lang="en-GB" sz="1400" b="1"/>
              <a:t>studies</a:t>
            </a:r>
            <a:r>
              <a:rPr lang="en-US" sz="1400" b="1"/>
              <a:t>, n=25</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438596491228071"/>
          <c:y val="0.15115681233933162"/>
          <c:w val="0.41695906432748531"/>
          <c:h val="0.73316195372750637"/>
        </c:manualLayout>
      </c:layout>
      <c:pieChart>
        <c:varyColors val="1"/>
        <c:ser>
          <c:idx val="0"/>
          <c:order val="0"/>
          <c:tx>
            <c:strRef>
              <c:f>'Suppl. Fig. 1'!$C$1</c:f>
              <c:strCache>
                <c:ptCount val="1"/>
                <c:pt idx="0">
                  <c:v>No. of studies</c:v>
                </c:pt>
              </c:strCache>
            </c:strRef>
          </c:tx>
          <c:dPt>
            <c:idx val="0"/>
            <c:bubble3D val="0"/>
            <c:spPr>
              <a:solidFill>
                <a:srgbClr val="000096"/>
              </a:solidFill>
              <a:ln w="19050">
                <a:solidFill>
                  <a:schemeClr val="lt1"/>
                </a:solidFill>
              </a:ln>
              <a:effectLst/>
            </c:spPr>
            <c:extLst xmlns:c16r2="http://schemas.microsoft.com/office/drawing/2015/06/chart">
              <c:ext xmlns:c16="http://schemas.microsoft.com/office/drawing/2014/chart" uri="{C3380CC4-5D6E-409C-BE32-E72D297353CC}">
                <c16:uniqueId val="{00000001-5C89-4055-AA44-3FF94B543D3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C89-4055-AA44-3FF94B543D39}"/>
              </c:ext>
            </c:extLst>
          </c:dPt>
          <c:dPt>
            <c:idx val="2"/>
            <c:bubble3D val="0"/>
            <c:spPr>
              <a:solidFill>
                <a:srgbClr val="0593EB"/>
              </a:solidFill>
              <a:ln w="19050">
                <a:solidFill>
                  <a:schemeClr val="lt1"/>
                </a:solidFill>
              </a:ln>
              <a:effectLst/>
            </c:spPr>
            <c:extLst xmlns:c16r2="http://schemas.microsoft.com/office/drawing/2015/06/chart">
              <c:ext xmlns:c16="http://schemas.microsoft.com/office/drawing/2014/chart" uri="{C3380CC4-5D6E-409C-BE32-E72D297353CC}">
                <c16:uniqueId val="{00000005-5C89-4055-AA44-3FF94B543D39}"/>
              </c:ext>
            </c:extLst>
          </c:dPt>
          <c:dPt>
            <c:idx val="3"/>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7-5C89-4055-AA44-3FF94B543D39}"/>
              </c:ext>
            </c:extLst>
          </c:dPt>
          <c:dPt>
            <c:idx val="4"/>
            <c:bubble3D val="0"/>
            <c:spPr>
              <a:solidFill>
                <a:srgbClr val="7F7F7F"/>
              </a:solidFill>
              <a:ln w="19050">
                <a:solidFill>
                  <a:schemeClr val="lt1"/>
                </a:solidFill>
              </a:ln>
              <a:effectLst/>
            </c:spPr>
            <c:extLst xmlns:c16r2="http://schemas.microsoft.com/office/drawing/2015/06/chart">
              <c:ext xmlns:c16="http://schemas.microsoft.com/office/drawing/2014/chart" uri="{C3380CC4-5D6E-409C-BE32-E72D297353CC}">
                <c16:uniqueId val="{00000009-5C89-4055-AA44-3FF94B543D39}"/>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C89-4055-AA44-3FF94B543D39}"/>
              </c:ext>
            </c:extLst>
          </c:dPt>
          <c:dPt>
            <c:idx val="6"/>
            <c:bubble3D val="0"/>
            <c:spPr>
              <a:solidFill>
                <a:srgbClr val="0064AF"/>
              </a:solidFill>
              <a:ln w="19050">
                <a:solidFill>
                  <a:schemeClr val="lt1"/>
                </a:solidFill>
              </a:ln>
              <a:effectLst/>
            </c:spPr>
            <c:extLst xmlns:c16r2="http://schemas.microsoft.com/office/drawing/2015/06/chart">
              <c:ext xmlns:c16="http://schemas.microsoft.com/office/drawing/2014/chart" uri="{C3380CC4-5D6E-409C-BE32-E72D297353CC}">
                <c16:uniqueId val="{0000000D-5C89-4055-AA44-3FF94B543D39}"/>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C89-4055-AA44-3FF94B543D39}"/>
              </c:ext>
            </c:extLst>
          </c:dPt>
          <c:dLbls>
            <c:spPr>
              <a:noFill/>
              <a:ln>
                <a:noFill/>
              </a:ln>
              <a:effectLst/>
            </c:spPr>
            <c:txPr>
              <a:bodyPr rot="0" spcFirstLastPara="1" vertOverflow="ellipsis" vert="horz" wrap="square" anchor="ctr" anchorCtr="1"/>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'Suppl. Fig. 1'!$B$2:$B$9</c:f>
              <c:strCache>
                <c:ptCount val="8"/>
                <c:pt idx="0">
                  <c:v>Cost-of-illness studies</c:v>
                </c:pt>
                <c:pt idx="1">
                  <c:v>Cost-effectiveness analysis</c:v>
                </c:pt>
                <c:pt idx="2">
                  <c:v>Cost-utility analysis</c:v>
                </c:pt>
                <c:pt idx="3">
                  <c:v>Cost-minimization analysis</c:v>
                </c:pt>
                <c:pt idx="4">
                  <c:v>Comparative cost analysis</c:v>
                </c:pt>
                <c:pt idx="5">
                  <c:v>Preliminary cost analysis</c:v>
                </c:pt>
                <c:pt idx="6">
                  <c:v>Preliminary cost-benefit analysis</c:v>
                </c:pt>
                <c:pt idx="7">
                  <c:v>Cost of surgical &amp; orthopaedic interventions</c:v>
                </c:pt>
              </c:strCache>
            </c:strRef>
          </c:cat>
          <c:val>
            <c:numRef>
              <c:f>'Suppl. Fig. 1'!$C$2:$C$9</c:f>
              <c:numCache>
                <c:formatCode>0</c:formatCode>
                <c:ptCount val="8"/>
                <c:pt idx="0">
                  <c:v>15</c:v>
                </c:pt>
                <c:pt idx="1">
                  <c:v>2</c:v>
                </c:pt>
                <c:pt idx="2">
                  <c:v>2</c:v>
                </c:pt>
                <c:pt idx="3">
                  <c:v>1</c:v>
                </c:pt>
                <c:pt idx="4">
                  <c:v>2</c:v>
                </c:pt>
                <c:pt idx="5">
                  <c:v>1</c:v>
                </c:pt>
                <c:pt idx="6">
                  <c:v>1</c:v>
                </c:pt>
                <c:pt idx="7">
                  <c:v>1</c:v>
                </c:pt>
              </c:numCache>
            </c:numRef>
          </c:val>
          <c:extLst xmlns:c16r2="http://schemas.microsoft.com/office/drawing/2015/06/chart">
            <c:ext xmlns:c16="http://schemas.microsoft.com/office/drawing/2014/chart" uri="{C3380CC4-5D6E-409C-BE32-E72D297353CC}">
              <c16:uniqueId val="{00000010-5C89-4055-AA44-3FF94B543D39}"/>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8128424736381623"/>
          <c:y val="0.14274527995306929"/>
          <c:w val="0.39622979693327809"/>
          <c:h val="0.7969296032531061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solidFill>
                  <a:sysClr val="windowText" lastClr="000000"/>
                </a:solidFill>
              </a:rPr>
              <a:t>Proportions of studies reporting different numbers of cost categories, n=25</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561308087934097"/>
          <c:y val="0.12860962566844922"/>
          <c:w val="0.42182080924855486"/>
          <c:h val="0.78048128342245982"/>
        </c:manualLayout>
      </c:layout>
      <c:pieChart>
        <c:varyColors val="1"/>
        <c:ser>
          <c:idx val="0"/>
          <c:order val="0"/>
          <c:tx>
            <c:strRef>
              <c:f>'Suppl. Fig. 3'!$B$1</c:f>
              <c:strCache>
                <c:ptCount val="1"/>
                <c:pt idx="0">
                  <c:v>No. of studies</c:v>
                </c:pt>
              </c:strCache>
            </c:strRef>
          </c:tx>
          <c:dPt>
            <c:idx val="0"/>
            <c:bubble3D val="0"/>
            <c:spPr>
              <a:solidFill>
                <a:srgbClr val="0593EB"/>
              </a:solidFill>
              <a:ln w="19050">
                <a:solidFill>
                  <a:schemeClr val="lt1"/>
                </a:solidFill>
              </a:ln>
              <a:effectLst/>
            </c:spPr>
            <c:extLst xmlns:c16r2="http://schemas.microsoft.com/office/drawing/2015/06/chart">
              <c:ext xmlns:c16="http://schemas.microsoft.com/office/drawing/2014/chart" uri="{C3380CC4-5D6E-409C-BE32-E72D297353CC}">
                <c16:uniqueId val="{00000001-2F34-4806-B684-7BB72C8E1A0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F34-4806-B684-7BB72C8E1A04}"/>
              </c:ext>
            </c:extLst>
          </c:dPt>
          <c:dPt>
            <c:idx val="2"/>
            <c:bubble3D val="0"/>
            <c:spPr>
              <a:solidFill>
                <a:srgbClr val="000096"/>
              </a:solidFill>
              <a:ln w="19050">
                <a:solidFill>
                  <a:schemeClr val="lt1"/>
                </a:solidFill>
              </a:ln>
              <a:effectLst/>
            </c:spPr>
            <c:extLst xmlns:c16r2="http://schemas.microsoft.com/office/drawing/2015/06/chart">
              <c:ext xmlns:c16="http://schemas.microsoft.com/office/drawing/2014/chart" uri="{C3380CC4-5D6E-409C-BE32-E72D297353CC}">
                <c16:uniqueId val="{00000005-2F34-4806-B684-7BB72C8E1A04}"/>
              </c:ext>
            </c:extLst>
          </c:dPt>
          <c:dPt>
            <c:idx val="3"/>
            <c:bubble3D val="0"/>
            <c:spPr>
              <a:solidFill>
                <a:srgbClr val="70AD47"/>
              </a:solidFill>
              <a:ln w="19050">
                <a:solidFill>
                  <a:schemeClr val="lt1"/>
                </a:solidFill>
              </a:ln>
              <a:effectLst/>
            </c:spPr>
            <c:extLst xmlns:c16r2="http://schemas.microsoft.com/office/drawing/2015/06/chart">
              <c:ext xmlns:c16="http://schemas.microsoft.com/office/drawing/2014/chart" uri="{C3380CC4-5D6E-409C-BE32-E72D297353CC}">
                <c16:uniqueId val="{00000007-2F34-4806-B684-7BB72C8E1A04}"/>
              </c:ext>
            </c:extLst>
          </c:dPt>
          <c:dLbls>
            <c:spPr>
              <a:noFill/>
              <a:ln>
                <a:noFill/>
              </a:ln>
              <a:effectLst/>
            </c:spPr>
            <c:txPr>
              <a:bodyPr rot="0" spcFirstLastPara="1" vertOverflow="ellipsis" vert="horz" wrap="square" anchor="ctr" anchorCtr="1"/>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'Suppl. Fig. 3'!$A$2:$A$5</c:f>
              <c:strCache>
                <c:ptCount val="4"/>
                <c:pt idx="0">
                  <c:v>Three cost categories</c:v>
                </c:pt>
                <c:pt idx="1">
                  <c:v>Four cost categories</c:v>
                </c:pt>
                <c:pt idx="2">
                  <c:v>Five cost categories</c:v>
                </c:pt>
                <c:pt idx="3">
                  <c:v>Six cost categories</c:v>
                </c:pt>
              </c:strCache>
            </c:strRef>
          </c:cat>
          <c:val>
            <c:numRef>
              <c:f>'Suppl. Fig. 3'!$B$2:$B$5</c:f>
              <c:numCache>
                <c:formatCode>General</c:formatCode>
                <c:ptCount val="4"/>
                <c:pt idx="0">
                  <c:v>5</c:v>
                </c:pt>
                <c:pt idx="1">
                  <c:v>8</c:v>
                </c:pt>
                <c:pt idx="2">
                  <c:v>10</c:v>
                </c:pt>
                <c:pt idx="3">
                  <c:v>2</c:v>
                </c:pt>
              </c:numCache>
            </c:numRef>
          </c:val>
          <c:extLst xmlns:c16r2="http://schemas.microsoft.com/office/drawing/2015/06/chart">
            <c:ext xmlns:c16="http://schemas.microsoft.com/office/drawing/2014/chart" uri="{C3380CC4-5D6E-409C-BE32-E72D297353CC}">
              <c16:uniqueId val="{00000008-2F34-4806-B684-7BB72C8E1A04}"/>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345681807837604"/>
          <c:y val="0.35245799823150448"/>
          <c:w val="0.21340869782895633"/>
          <c:h val="0.35684870941934399"/>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400" b="1" i="0" u="none" strike="noStrike" kern="1200" baseline="0">
                <a:solidFill>
                  <a:sysClr val="windowText" lastClr="000000"/>
                </a:solidFill>
                <a:effectLst/>
                <a:latin typeface="Times New Roman" panose="02020603050405020304" pitchFamily="18" charset="0"/>
                <a:cs typeface="Times New Roman" panose="02020603050405020304" pitchFamily="18" charset="0"/>
              </a:rPr>
              <a:t>No. of cost categories reported by each study, n = 25</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'Suppl. Fig. 2 option 1'!$C$1</c:f>
              <c:strCache>
                <c:ptCount val="1"/>
                <c:pt idx="0">
                  <c:v>No. of cost categories per study</c:v>
                </c:pt>
              </c:strCache>
            </c:strRef>
          </c:tx>
          <c:spPr>
            <a:solidFill>
              <a:srgbClr val="000096"/>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'Suppl. Fig. 2 option 1'!$B$2:$B$27</c:f>
              <c:strCache>
                <c:ptCount val="26"/>
                <c:pt idx="0">
                  <c:v>Ingram et al., 1979</c:v>
                </c:pt>
                <c:pt idx="1">
                  <c:v>Schimpf and Niederberger, 1981</c:v>
                </c:pt>
                <c:pt idx="2">
                  <c:v>Molho et al., 2000</c:v>
                </c:pt>
                <c:pt idx="3">
                  <c:v>Ekert et al., 2001</c:v>
                </c:pt>
                <c:pt idx="4">
                  <c:v>Schramm et al., 2002</c:v>
                </c:pt>
                <c:pt idx="5">
                  <c:v>Szucs et al., 1996</c:v>
                </c:pt>
                <c:pt idx="6">
                  <c:v>Bohn et al., 1998</c:v>
                </c:pt>
                <c:pt idx="7">
                  <c:v>Mihailov et al., 2007</c:v>
                </c:pt>
                <c:pt idx="8">
                  <c:v>Fischer et al., 2013</c:v>
                </c:pt>
                <c:pt idx="9">
                  <c:v>Zhou et al., 2015</c:v>
                </c:pt>
                <c:pt idx="10">
                  <c:v>Chen et al., 2017</c:v>
                </c:pt>
                <c:pt idx="11">
                  <c:v>Jadhav and Mukherjee, 2018</c:v>
                </c:pt>
                <c:pt idx="12">
                  <c:v>Burke et al., 2021a</c:v>
                </c:pt>
                <c:pt idx="13">
                  <c:v>Carlsson et al., 2004</c:v>
                </c:pt>
                <c:pt idx="14">
                  <c:v>Kodra et al., 2014</c:v>
                </c:pt>
                <c:pt idx="15">
                  <c:v>Price et al., 2015</c:v>
                </c:pt>
                <c:pt idx="16">
                  <c:v>O’Hara et al., 2017</c:v>
                </c:pt>
                <c:pt idx="17">
                  <c:v>Gupta et al., 2019</c:v>
                </c:pt>
                <c:pt idx="18">
                  <c:v>Keshavarz et al., 2020</c:v>
                </c:pt>
                <c:pt idx="19">
                  <c:v>Burke et al., 2021b</c:v>
                </c:pt>
                <c:pt idx="20">
                  <c:v>Rodriguez-Santana et al., 2022a</c:v>
                </c:pt>
                <c:pt idx="21">
                  <c:v>Rodriguez-Santana et al., 2022b</c:v>
                </c:pt>
                <c:pt idx="22">
                  <c:v>Chowdary et al., 2023</c:v>
                </c:pt>
                <c:pt idx="23">
                  <c:v>Cavazza et al., 2016</c:v>
                </c:pt>
                <c:pt idx="24">
                  <c:v>Koeberlein‐Neu et al., 2018</c:v>
                </c:pt>
                <c:pt idx="25">
                  <c:v>Ideal no. of cost categories</c:v>
                </c:pt>
              </c:strCache>
            </c:strRef>
          </c:cat>
          <c:val>
            <c:numRef>
              <c:f>'Suppl. Fig. 2 option 1'!$C$2:$C$27</c:f>
              <c:numCache>
                <c:formatCode>General</c:formatCode>
                <c:ptCount val="26"/>
                <c:pt idx="0">
                  <c:v>3</c:v>
                </c:pt>
                <c:pt idx="1">
                  <c:v>3</c:v>
                </c:pt>
                <c:pt idx="2">
                  <c:v>3</c:v>
                </c:pt>
                <c:pt idx="3">
                  <c:v>3</c:v>
                </c:pt>
                <c:pt idx="4">
                  <c:v>3</c:v>
                </c:pt>
                <c:pt idx="5">
                  <c:v>4</c:v>
                </c:pt>
                <c:pt idx="6">
                  <c:v>4</c:v>
                </c:pt>
                <c:pt idx="7">
                  <c:v>4</c:v>
                </c:pt>
                <c:pt idx="8">
                  <c:v>4</c:v>
                </c:pt>
                <c:pt idx="9">
                  <c:v>4</c:v>
                </c:pt>
                <c:pt idx="10">
                  <c:v>4</c:v>
                </c:pt>
                <c:pt idx="11">
                  <c:v>4</c:v>
                </c:pt>
                <c:pt idx="12">
                  <c:v>4</c:v>
                </c:pt>
                <c:pt idx="13">
                  <c:v>5</c:v>
                </c:pt>
                <c:pt idx="14">
                  <c:v>5</c:v>
                </c:pt>
                <c:pt idx="15">
                  <c:v>5</c:v>
                </c:pt>
                <c:pt idx="16">
                  <c:v>5</c:v>
                </c:pt>
                <c:pt idx="17">
                  <c:v>5</c:v>
                </c:pt>
                <c:pt idx="18">
                  <c:v>5</c:v>
                </c:pt>
                <c:pt idx="19">
                  <c:v>5</c:v>
                </c:pt>
                <c:pt idx="20">
                  <c:v>5</c:v>
                </c:pt>
                <c:pt idx="21">
                  <c:v>5</c:v>
                </c:pt>
                <c:pt idx="22">
                  <c:v>5</c:v>
                </c:pt>
                <c:pt idx="23">
                  <c:v>6</c:v>
                </c:pt>
                <c:pt idx="24">
                  <c:v>6</c:v>
                </c:pt>
                <c:pt idx="25">
                  <c:v>7</c:v>
                </c:pt>
              </c:numCache>
            </c:numRef>
          </c:val>
          <c:extLst xmlns:c16r2="http://schemas.microsoft.com/office/drawing/2015/06/chart">
            <c:ext xmlns:c16="http://schemas.microsoft.com/office/drawing/2014/chart" uri="{C3380CC4-5D6E-409C-BE32-E72D297353CC}">
              <c16:uniqueId val="{00000000-1BDC-4C4C-BDB9-681E25347282}"/>
            </c:ext>
          </c:extLst>
        </c:ser>
        <c:dLbls>
          <c:dLblPos val="inEnd"/>
          <c:showLegendKey val="0"/>
          <c:showVal val="1"/>
          <c:showCatName val="0"/>
          <c:showSerName val="0"/>
          <c:showPercent val="0"/>
          <c:showBubbleSize val="0"/>
        </c:dLbls>
        <c:gapWidth val="41"/>
        <c:axId val="1568621616"/>
        <c:axId val="1568624880"/>
      </c:barChart>
      <c:catAx>
        <c:axId val="156862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crossAx val="1568624880"/>
        <c:crosses val="autoZero"/>
        <c:auto val="1"/>
        <c:lblAlgn val="ctr"/>
        <c:lblOffset val="100"/>
        <c:noMultiLvlLbl val="0"/>
      </c:catAx>
      <c:valAx>
        <c:axId val="1568624880"/>
        <c:scaling>
          <c:orientation val="minMax"/>
        </c:scaling>
        <c:delete val="1"/>
        <c:axPos val="l"/>
        <c:numFmt formatCode="General" sourceLinked="1"/>
        <c:majorTickMark val="none"/>
        <c:minorTickMark val="none"/>
        <c:tickLblPos val="nextTo"/>
        <c:crossAx val="15686216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01021-C1B3-440A-A635-C874EBCA7E11}">
  <ds:schemaRefs>
    <ds:schemaRef ds:uri="http://schemas.openxmlformats.org/officeDocument/2006/bibliography"/>
  </ds:schemaRefs>
</ds:datastoreItem>
</file>

<file path=docMetadata/LabelInfo.xml><?xml version="1.0" encoding="utf-8"?>
<clbl:labelList xmlns:clbl="http://schemas.microsoft.com/office/2020/mipLabelMetadata">
  <clbl:label id="{fdfed7bd-9f6a-44a1-b694-6e39c468c150}" enabled="0" method="" siteId="{fdfed7bd-9f6a-44a1-b694-6e39c468c150}"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23</Pages>
  <Words>21999</Words>
  <Characters>125396</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AASY (Amr El-Sayed)</dc:creator>
  <cp:keywords/>
  <dc:description/>
  <cp:lastModifiedBy>Suganya R Rajapandian P</cp:lastModifiedBy>
  <cp:revision>7</cp:revision>
  <dcterms:created xsi:type="dcterms:W3CDTF">2024-10-08T20:15:00Z</dcterms:created>
  <dcterms:modified xsi:type="dcterms:W3CDTF">2024-10-19T08:25:00Z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c76b8b90-9b4c-3d12-ad71-99b2c5a2ccfe</vt:lpwstr>
  </property>
  <property fmtid="{D5CDD505-2E9C-101B-9397-08002B2CF9AE}" pid="24" name="Mendeley Citation Style_1">
    <vt:lpwstr>http://www.zotero.org/styles/ieee</vt:lpwstr>
  </property>
  <property fmtid="{D5CDD505-2E9C-101B-9397-08002B2CF9AE}" pid="25" name="GrammarlyDocumentId">
    <vt:lpwstr>fac2a6e10180513b320db0177aec01298d250579aa871bd8ff2de1d48cbd6c2b</vt:lpwstr>
  </property>
</Properties>
</file>