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DEAB" w14:textId="46F9623E" w:rsidR="00750FF5" w:rsidRDefault="00750FF5" w:rsidP="00750FF5">
      <w:pPr>
        <w:spacing w:after="0" w:line="480" w:lineRule="auto"/>
        <w:jc w:val="both"/>
        <w:textAlignment w:val="baseline"/>
        <w:rPr>
          <w:rStyle w:val="cf01"/>
          <w:rFonts w:ascii="Times New Roman" w:hAnsi="Times New Roman" w:cs="Times New Roman"/>
          <w:b/>
          <w:bCs/>
          <w:sz w:val="24"/>
          <w:szCs w:val="24"/>
        </w:rPr>
      </w:pPr>
      <w:r>
        <w:rPr>
          <w:rStyle w:val="cf01"/>
          <w:rFonts w:ascii="Times New Roman" w:hAnsi="Times New Roman" w:cs="Times New Roman"/>
          <w:b/>
          <w:bCs/>
          <w:sz w:val="24"/>
          <w:szCs w:val="24"/>
        </w:rPr>
        <w:t>Supplementary materials</w:t>
      </w:r>
    </w:p>
    <w:p w14:paraId="5B59483B" w14:textId="429C696E" w:rsidR="003D3426" w:rsidRDefault="003D3426" w:rsidP="003D3426">
      <w:pPr>
        <w:spacing w:after="0" w:line="480" w:lineRule="auto"/>
        <w:textAlignment w:val="baseline"/>
        <w:rPr>
          <w:rStyle w:val="cf01"/>
          <w:rFonts w:ascii="Times New Roman" w:hAnsi="Times New Roman" w:cs="Times New Roman"/>
          <w:b/>
          <w:bCs/>
          <w:sz w:val="24"/>
          <w:szCs w:val="24"/>
        </w:rPr>
      </w:pPr>
      <w:r w:rsidRPr="00986E1C">
        <w:rPr>
          <w:rStyle w:val="cf01"/>
          <w:rFonts w:ascii="Times New Roman" w:hAnsi="Times New Roman" w:cs="Times New Roman"/>
          <w:b/>
          <w:bCs/>
          <w:sz w:val="24"/>
          <w:szCs w:val="24"/>
        </w:rPr>
        <w:t xml:space="preserve">Including productivity as an element to reflect value of </w:t>
      </w:r>
      <w:r>
        <w:rPr>
          <w:rStyle w:val="cf01"/>
          <w:rFonts w:ascii="Times New Roman" w:hAnsi="Times New Roman" w:cs="Times New Roman"/>
          <w:b/>
          <w:bCs/>
          <w:sz w:val="24"/>
          <w:szCs w:val="24"/>
        </w:rPr>
        <w:t>the treatment</w:t>
      </w:r>
      <w:r w:rsidRPr="00986E1C">
        <w:rPr>
          <w:rStyle w:val="cf01"/>
          <w:rFonts w:ascii="Times New Roman" w:hAnsi="Times New Roman" w:cs="Times New Roman"/>
          <w:b/>
          <w:bCs/>
          <w:sz w:val="24"/>
          <w:szCs w:val="24"/>
        </w:rPr>
        <w:t xml:space="preserve">: a systematic review </w:t>
      </w:r>
      <w:r w:rsidR="00E73FB4">
        <w:rPr>
          <w:rStyle w:val="cf01"/>
          <w:rFonts w:ascii="Times New Roman" w:hAnsi="Times New Roman" w:cs="Times New Roman"/>
          <w:b/>
          <w:bCs/>
          <w:sz w:val="24"/>
          <w:szCs w:val="24"/>
        </w:rPr>
        <w:t>of</w:t>
      </w:r>
      <w:r w:rsidRPr="00986E1C">
        <w:rPr>
          <w:rStyle w:val="cf01"/>
          <w:rFonts w:ascii="Times New Roman" w:hAnsi="Times New Roman" w:cs="Times New Roman"/>
          <w:b/>
          <w:bCs/>
          <w:sz w:val="24"/>
          <w:szCs w:val="24"/>
        </w:rPr>
        <w:t xml:space="preserve"> published health economic evaluations</w:t>
      </w:r>
    </w:p>
    <w:p w14:paraId="5A5014DE" w14:textId="77777777" w:rsidR="00750FF5" w:rsidRPr="00D23A47" w:rsidRDefault="00750FF5" w:rsidP="00750FF5">
      <w:pPr>
        <w:spacing w:after="0" w:line="480" w:lineRule="auto"/>
        <w:textAlignment w:val="baseline"/>
        <w:rPr>
          <w:rFonts w:ascii="Times New Roman" w:eastAsia="Times New Roman" w:hAnsi="Times New Roman" w:cs="Times New Roman"/>
          <w:i/>
          <w:iCs/>
          <w:color w:val="4472C4"/>
          <w:sz w:val="24"/>
          <w:szCs w:val="24"/>
          <w:lang w:eastAsia="en-IN"/>
        </w:rPr>
      </w:pPr>
      <w:r w:rsidRPr="00D23A47">
        <w:rPr>
          <w:rFonts w:ascii="Times New Roman" w:eastAsia="Times New Roman" w:hAnsi="Times New Roman" w:cs="Times New Roman"/>
          <w:i/>
          <w:iCs/>
          <w:color w:val="4472C4"/>
          <w:sz w:val="24"/>
          <w:szCs w:val="24"/>
          <w:lang w:eastAsia="en-IN"/>
        </w:rPr>
        <w:t>Authors</w:t>
      </w:r>
    </w:p>
    <w:p w14:paraId="32FD5377" w14:textId="77777777" w:rsidR="00266A82" w:rsidRPr="00D02305" w:rsidRDefault="00266A82" w:rsidP="00266A82">
      <w:pPr>
        <w:spacing w:after="0" w:line="480" w:lineRule="auto"/>
        <w:rPr>
          <w:rFonts w:ascii="Times New Roman" w:hAnsi="Times New Roman" w:cs="Times New Roman"/>
          <w:sz w:val="24"/>
          <w:szCs w:val="24"/>
        </w:rPr>
      </w:pPr>
      <w:r w:rsidRPr="00D02305">
        <w:rPr>
          <w:rFonts w:ascii="Times New Roman" w:hAnsi="Times New Roman" w:cs="Times New Roman"/>
          <w:sz w:val="24"/>
          <w:szCs w:val="24"/>
        </w:rPr>
        <w:t>Hiroaki Mamiya</w:t>
      </w:r>
      <w:r w:rsidRPr="00D02305">
        <w:rPr>
          <w:rFonts w:ascii="Times New Roman" w:hAnsi="Times New Roman" w:cs="Times New Roman"/>
          <w:sz w:val="24"/>
          <w:szCs w:val="24"/>
          <w:vertAlign w:val="superscript"/>
        </w:rPr>
        <w:t>1</w:t>
      </w:r>
      <w:r w:rsidRPr="00D02305">
        <w:rPr>
          <w:rFonts w:ascii="Times New Roman" w:hAnsi="Times New Roman" w:cs="Times New Roman"/>
          <w:sz w:val="24"/>
          <w:szCs w:val="24"/>
        </w:rPr>
        <w:t>; Kittima Wattanakamolkul</w:t>
      </w:r>
      <w:r w:rsidRPr="00D02305">
        <w:rPr>
          <w:rFonts w:ascii="Times New Roman" w:hAnsi="Times New Roman" w:cs="Times New Roman"/>
          <w:sz w:val="24"/>
          <w:szCs w:val="24"/>
          <w:vertAlign w:val="superscript"/>
        </w:rPr>
        <w:t>2</w:t>
      </w:r>
      <w:r w:rsidRPr="00D02305">
        <w:rPr>
          <w:rFonts w:ascii="Times New Roman" w:hAnsi="Times New Roman" w:cs="Times New Roman"/>
          <w:sz w:val="24"/>
          <w:szCs w:val="24"/>
        </w:rPr>
        <w:t>; Nan Li</w:t>
      </w:r>
      <w:r w:rsidRPr="00D02305">
        <w:rPr>
          <w:rFonts w:ascii="Times New Roman" w:hAnsi="Times New Roman" w:cs="Times New Roman"/>
          <w:sz w:val="24"/>
          <w:szCs w:val="24"/>
          <w:vertAlign w:val="superscript"/>
        </w:rPr>
        <w:t>2</w:t>
      </w:r>
      <w:r w:rsidRPr="00D02305">
        <w:rPr>
          <w:rFonts w:ascii="Times New Roman" w:hAnsi="Times New Roman" w:cs="Times New Roman"/>
          <w:sz w:val="24"/>
          <w:szCs w:val="24"/>
        </w:rPr>
        <w:t>; David Bin-Chia Wu</w:t>
      </w:r>
      <w:r w:rsidRPr="00D02305">
        <w:rPr>
          <w:rFonts w:ascii="Times New Roman" w:hAnsi="Times New Roman" w:cs="Times New Roman"/>
          <w:sz w:val="24"/>
          <w:szCs w:val="24"/>
          <w:vertAlign w:val="superscript"/>
        </w:rPr>
        <w:t>3,4,5</w:t>
      </w:r>
      <w:r w:rsidRPr="00D02305">
        <w:rPr>
          <w:rFonts w:ascii="Times New Roman" w:hAnsi="Times New Roman" w:cs="Times New Roman"/>
          <w:sz w:val="24"/>
          <w:szCs w:val="24"/>
        </w:rPr>
        <w:t>; Mariko Hirozane</w:t>
      </w:r>
      <w:r w:rsidRPr="00D02305">
        <w:rPr>
          <w:rFonts w:ascii="Times New Roman" w:hAnsi="Times New Roman" w:cs="Times New Roman"/>
          <w:sz w:val="24"/>
          <w:szCs w:val="24"/>
          <w:vertAlign w:val="superscript"/>
        </w:rPr>
        <w:t>6</w:t>
      </w:r>
      <w:r w:rsidRPr="00D02305">
        <w:rPr>
          <w:rFonts w:ascii="Times New Roman" w:hAnsi="Times New Roman" w:cs="Times New Roman"/>
          <w:sz w:val="24"/>
          <w:szCs w:val="24"/>
        </w:rPr>
        <w:t>; Ataru Igarashi</w:t>
      </w:r>
      <w:r w:rsidRPr="00D02305">
        <w:rPr>
          <w:rFonts w:ascii="Times New Roman" w:hAnsi="Times New Roman" w:cs="Times New Roman"/>
          <w:sz w:val="24"/>
          <w:szCs w:val="24"/>
          <w:vertAlign w:val="superscript"/>
        </w:rPr>
        <w:t>7</w:t>
      </w:r>
    </w:p>
    <w:p w14:paraId="3B77B8EC" w14:textId="77777777" w:rsidR="00266A82" w:rsidRPr="00D02305" w:rsidRDefault="00266A82" w:rsidP="00266A82">
      <w:pPr>
        <w:spacing w:after="0" w:line="480" w:lineRule="auto"/>
        <w:textAlignment w:val="baseline"/>
        <w:rPr>
          <w:rFonts w:ascii="Times New Roman" w:eastAsia="Times New Roman" w:hAnsi="Times New Roman" w:cs="Times New Roman"/>
          <w:b/>
          <w:bCs/>
          <w:sz w:val="24"/>
          <w:szCs w:val="24"/>
          <w:lang w:eastAsia="en-IN"/>
        </w:rPr>
      </w:pPr>
      <w:r w:rsidRPr="00D02305">
        <w:rPr>
          <w:rFonts w:ascii="Times New Roman" w:eastAsia="Times New Roman" w:hAnsi="Times New Roman" w:cs="Times New Roman"/>
          <w:b/>
          <w:bCs/>
          <w:sz w:val="24"/>
          <w:szCs w:val="24"/>
          <w:lang w:eastAsia="en-IN"/>
        </w:rPr>
        <w:t>Affiliations</w:t>
      </w:r>
    </w:p>
    <w:p w14:paraId="7AFE1484"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1 Department of Pharmaceutical Sciences, International University of Health and Welfare, Japan</w:t>
      </w:r>
    </w:p>
    <w:p w14:paraId="0066038B" w14:textId="46A21248"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2 Value, Evidence and Access Department, Integrated Market Access, Johnson &amp; Johnson, Tokyo, Japan</w:t>
      </w:r>
    </w:p>
    <w:p w14:paraId="64A29B13"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3 Asia Pacific Regional Market Access, Johnson &amp; Johnson, Singapore</w:t>
      </w:r>
    </w:p>
    <w:p w14:paraId="4D240EDB"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4 Saw Swee Hock School of Public Health, National University of Singapore, Singapore</w:t>
      </w:r>
    </w:p>
    <w:p w14:paraId="7B5ABF72"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5 School of Pharmacy, Faculty of Health &amp; Medical Sciences, Taylor’s University Malaysia, Malaysia</w:t>
      </w:r>
    </w:p>
    <w:p w14:paraId="636F7B16"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6 Policy Department, Integrated Market Access, Johnson &amp; Johnson, Tokyo, Japan</w:t>
      </w:r>
    </w:p>
    <w:p w14:paraId="46D1F2CD" w14:textId="77777777" w:rsidR="00266A82" w:rsidRPr="00D02305" w:rsidRDefault="00266A82" w:rsidP="00266A82">
      <w:pPr>
        <w:spacing w:after="0" w:line="480" w:lineRule="auto"/>
        <w:rPr>
          <w:rFonts w:ascii="Times New Roman" w:hAnsi="Times New Roman" w:cs="Times New Roman"/>
          <w:sz w:val="24"/>
          <w:szCs w:val="24"/>
          <w:vertAlign w:val="superscript"/>
        </w:rPr>
      </w:pPr>
      <w:r w:rsidRPr="00D02305">
        <w:rPr>
          <w:rFonts w:ascii="Times New Roman" w:hAnsi="Times New Roman" w:cs="Times New Roman"/>
          <w:sz w:val="24"/>
          <w:szCs w:val="24"/>
          <w:vertAlign w:val="superscript"/>
        </w:rPr>
        <w:t>7 Department of Health Economics and Outcomes Research, The University of Tokyo, Japan</w:t>
      </w:r>
    </w:p>
    <w:p w14:paraId="266FBAE2" w14:textId="77777777" w:rsidR="00750FF5" w:rsidRDefault="00750FF5" w:rsidP="001253BE">
      <w:pPr>
        <w:spacing w:after="0" w:line="240" w:lineRule="auto"/>
        <w:rPr>
          <w:rFonts w:ascii="Times New Roman" w:hAnsi="Times New Roman" w:cs="Times New Roman"/>
          <w:color w:val="000000" w:themeColor="text1"/>
          <w:sz w:val="20"/>
          <w:szCs w:val="20"/>
        </w:rPr>
      </w:pPr>
    </w:p>
    <w:p w14:paraId="567D8AE0" w14:textId="77777777" w:rsidR="00410182" w:rsidRPr="00D23A47" w:rsidRDefault="00410182" w:rsidP="00410182">
      <w:pPr>
        <w:spacing w:after="0" w:line="480" w:lineRule="auto"/>
        <w:textAlignment w:val="baseline"/>
        <w:rPr>
          <w:rFonts w:ascii="Times New Roman" w:hAnsi="Times New Roman" w:cs="Times New Roman"/>
          <w:sz w:val="24"/>
          <w:szCs w:val="24"/>
        </w:rPr>
      </w:pPr>
      <w:r w:rsidRPr="00D23A47">
        <w:rPr>
          <w:rFonts w:ascii="Times New Roman" w:eastAsia="Times New Roman" w:hAnsi="Times New Roman" w:cs="Times New Roman"/>
          <w:b/>
          <w:bCs/>
          <w:sz w:val="24"/>
          <w:szCs w:val="24"/>
          <w:lang w:eastAsia="en-IN"/>
        </w:rPr>
        <w:t>Corresponding author:</w:t>
      </w:r>
      <w:r w:rsidRPr="00D23A47">
        <w:rPr>
          <w:rFonts w:ascii="Times New Roman" w:eastAsia="Times New Roman" w:hAnsi="Times New Roman" w:cs="Times New Roman"/>
          <w:sz w:val="24"/>
          <w:szCs w:val="24"/>
          <w:lang w:eastAsia="en-IN"/>
        </w:rPr>
        <w:t> </w:t>
      </w:r>
      <w:r w:rsidRPr="00D23A47">
        <w:rPr>
          <w:rFonts w:ascii="Times New Roman" w:hAnsi="Times New Roman" w:cs="Times New Roman"/>
          <w:sz w:val="24"/>
          <w:szCs w:val="24"/>
        </w:rPr>
        <w:t>Kittima Wattanakamolkul</w:t>
      </w:r>
    </w:p>
    <w:p w14:paraId="1293D197" w14:textId="26B5E178" w:rsidR="00410182" w:rsidRDefault="00410182" w:rsidP="00410182">
      <w:pPr>
        <w:spacing w:after="0" w:line="480" w:lineRule="auto"/>
        <w:textAlignment w:val="baseline"/>
        <w:rPr>
          <w:rStyle w:val="Hyperlink"/>
          <w:rFonts w:ascii="Times New Roman" w:hAnsi="Times New Roman" w:cs="Times New Roman"/>
          <w:sz w:val="24"/>
          <w:szCs w:val="24"/>
        </w:rPr>
      </w:pPr>
      <w:r w:rsidRPr="00D23A47">
        <w:rPr>
          <w:rFonts w:ascii="Times New Roman" w:hAnsi="Times New Roman" w:cs="Times New Roman"/>
          <w:sz w:val="24"/>
          <w:szCs w:val="24"/>
        </w:rPr>
        <w:t xml:space="preserve">Email: </w:t>
      </w:r>
      <w:hyperlink r:id="rId7" w:history="1">
        <w:r w:rsidR="00C26845" w:rsidRPr="00A26480">
          <w:rPr>
            <w:rStyle w:val="Hyperlink"/>
            <w:rFonts w:ascii="Times New Roman" w:hAnsi="Times New Roman" w:cs="Times New Roman"/>
            <w:sz w:val="24"/>
            <w:szCs w:val="24"/>
          </w:rPr>
          <w:t>KWattan1@ITS.JNJ.com</w:t>
        </w:r>
      </w:hyperlink>
    </w:p>
    <w:p w14:paraId="65DD8491" w14:textId="0325BD98" w:rsidR="00E73FB4" w:rsidRPr="00E73FB4" w:rsidRDefault="00E73FB4" w:rsidP="00410182">
      <w:pPr>
        <w:spacing w:after="0" w:line="480" w:lineRule="auto"/>
        <w:textAlignment w:val="baseline"/>
        <w:rPr>
          <w:rFonts w:ascii="Times New Roman" w:hAnsi="Times New Roman" w:cs="Times New Roman"/>
          <w:sz w:val="24"/>
          <w:szCs w:val="24"/>
          <w:vertAlign w:val="superscript"/>
        </w:rPr>
      </w:pPr>
      <w:r>
        <w:rPr>
          <w:rFonts w:ascii="Times New Roman" w:hAnsi="Times New Roman" w:cs="Times New Roman"/>
          <w:sz w:val="24"/>
          <w:szCs w:val="24"/>
        </w:rPr>
        <w:t>Journal: Pharmacoeconomics - Open</w:t>
      </w:r>
    </w:p>
    <w:p w14:paraId="29AAAE34" w14:textId="77777777" w:rsidR="00750FF5" w:rsidRDefault="00750FF5" w:rsidP="001253BE">
      <w:pPr>
        <w:spacing w:after="0" w:line="240" w:lineRule="auto"/>
        <w:rPr>
          <w:rFonts w:ascii="Times New Roman" w:hAnsi="Times New Roman" w:cs="Times New Roman"/>
          <w:color w:val="000000" w:themeColor="text1"/>
          <w:sz w:val="20"/>
          <w:szCs w:val="20"/>
        </w:rPr>
      </w:pPr>
    </w:p>
    <w:p w14:paraId="0C371818" w14:textId="77777777" w:rsidR="00750FF5" w:rsidRDefault="00750FF5" w:rsidP="001253BE">
      <w:pPr>
        <w:spacing w:after="0" w:line="240" w:lineRule="auto"/>
        <w:rPr>
          <w:rFonts w:ascii="Times New Roman" w:hAnsi="Times New Roman" w:cs="Times New Roman"/>
          <w:color w:val="000000" w:themeColor="text1"/>
          <w:sz w:val="20"/>
          <w:szCs w:val="20"/>
        </w:rPr>
      </w:pPr>
    </w:p>
    <w:p w14:paraId="075E828C" w14:textId="77777777" w:rsidR="00750FF5" w:rsidRDefault="00750FF5" w:rsidP="001253BE">
      <w:pPr>
        <w:spacing w:after="0" w:line="240" w:lineRule="auto"/>
        <w:rPr>
          <w:rFonts w:ascii="Times New Roman" w:hAnsi="Times New Roman" w:cs="Times New Roman"/>
          <w:color w:val="000000" w:themeColor="text1"/>
          <w:sz w:val="20"/>
          <w:szCs w:val="20"/>
        </w:rPr>
      </w:pPr>
    </w:p>
    <w:p w14:paraId="02D9829C" w14:textId="77777777" w:rsidR="00750FF5" w:rsidRDefault="00750FF5" w:rsidP="001253BE">
      <w:pPr>
        <w:spacing w:after="0" w:line="240" w:lineRule="auto"/>
        <w:rPr>
          <w:rFonts w:ascii="Times New Roman" w:hAnsi="Times New Roman" w:cs="Times New Roman"/>
          <w:color w:val="000000" w:themeColor="text1"/>
          <w:sz w:val="20"/>
          <w:szCs w:val="20"/>
        </w:rPr>
      </w:pPr>
    </w:p>
    <w:p w14:paraId="20432C5D" w14:textId="77777777" w:rsidR="00750FF5" w:rsidRDefault="00750FF5" w:rsidP="001253BE">
      <w:pPr>
        <w:spacing w:after="0" w:line="240" w:lineRule="auto"/>
        <w:rPr>
          <w:rFonts w:ascii="Times New Roman" w:hAnsi="Times New Roman" w:cs="Times New Roman"/>
          <w:color w:val="000000" w:themeColor="text1"/>
          <w:sz w:val="20"/>
          <w:szCs w:val="20"/>
        </w:rPr>
      </w:pPr>
    </w:p>
    <w:p w14:paraId="29C20CE8" w14:textId="77777777" w:rsidR="00750FF5" w:rsidRDefault="00750FF5" w:rsidP="001253BE">
      <w:pPr>
        <w:spacing w:after="0" w:line="240" w:lineRule="auto"/>
        <w:rPr>
          <w:rFonts w:ascii="Times New Roman" w:hAnsi="Times New Roman" w:cs="Times New Roman"/>
          <w:color w:val="000000" w:themeColor="text1"/>
          <w:sz w:val="20"/>
          <w:szCs w:val="20"/>
        </w:rPr>
      </w:pPr>
    </w:p>
    <w:p w14:paraId="0CBE8C4D" w14:textId="77777777" w:rsidR="00750FF5" w:rsidRDefault="00750FF5" w:rsidP="001253BE">
      <w:pPr>
        <w:spacing w:after="0" w:line="240" w:lineRule="auto"/>
        <w:rPr>
          <w:rFonts w:ascii="Times New Roman" w:hAnsi="Times New Roman" w:cs="Times New Roman"/>
          <w:color w:val="000000" w:themeColor="text1"/>
          <w:sz w:val="20"/>
          <w:szCs w:val="20"/>
        </w:rPr>
      </w:pPr>
    </w:p>
    <w:p w14:paraId="2DB030EF" w14:textId="77777777" w:rsidR="00750FF5" w:rsidRDefault="00750FF5" w:rsidP="001253BE">
      <w:pPr>
        <w:spacing w:after="0" w:line="240" w:lineRule="auto"/>
        <w:rPr>
          <w:rFonts w:ascii="Times New Roman" w:hAnsi="Times New Roman" w:cs="Times New Roman"/>
          <w:color w:val="000000" w:themeColor="text1"/>
          <w:sz w:val="20"/>
          <w:szCs w:val="20"/>
        </w:rPr>
      </w:pPr>
    </w:p>
    <w:p w14:paraId="77F27C22" w14:textId="77777777" w:rsidR="00750FF5" w:rsidRDefault="00750FF5" w:rsidP="001253BE">
      <w:pPr>
        <w:spacing w:after="0" w:line="240" w:lineRule="auto"/>
        <w:rPr>
          <w:rFonts w:ascii="Times New Roman" w:hAnsi="Times New Roman" w:cs="Times New Roman"/>
          <w:color w:val="000000" w:themeColor="text1"/>
          <w:sz w:val="20"/>
          <w:szCs w:val="20"/>
        </w:rPr>
      </w:pPr>
    </w:p>
    <w:p w14:paraId="56B5B306" w14:textId="77777777" w:rsidR="00750FF5" w:rsidRDefault="00750FF5" w:rsidP="001253BE">
      <w:pPr>
        <w:spacing w:after="0" w:line="240" w:lineRule="auto"/>
        <w:rPr>
          <w:rFonts w:ascii="Times New Roman" w:hAnsi="Times New Roman" w:cs="Times New Roman"/>
          <w:color w:val="000000" w:themeColor="text1"/>
          <w:sz w:val="20"/>
          <w:szCs w:val="20"/>
        </w:rPr>
      </w:pPr>
    </w:p>
    <w:p w14:paraId="3FC48358" w14:textId="77777777" w:rsidR="00750FF5" w:rsidRDefault="00750FF5" w:rsidP="001253BE">
      <w:pPr>
        <w:spacing w:after="0" w:line="240" w:lineRule="auto"/>
        <w:rPr>
          <w:rFonts w:ascii="Times New Roman" w:hAnsi="Times New Roman" w:cs="Times New Roman"/>
          <w:color w:val="000000" w:themeColor="text1"/>
          <w:sz w:val="20"/>
          <w:szCs w:val="20"/>
        </w:rPr>
      </w:pPr>
    </w:p>
    <w:p w14:paraId="32246BF4" w14:textId="77777777" w:rsidR="00750FF5" w:rsidRDefault="00750FF5" w:rsidP="001253BE">
      <w:pPr>
        <w:spacing w:after="0" w:line="240" w:lineRule="auto"/>
        <w:rPr>
          <w:rFonts w:ascii="Times New Roman" w:hAnsi="Times New Roman" w:cs="Times New Roman"/>
          <w:color w:val="000000" w:themeColor="text1"/>
          <w:sz w:val="20"/>
          <w:szCs w:val="20"/>
        </w:rPr>
      </w:pPr>
    </w:p>
    <w:p w14:paraId="6585E676" w14:textId="77777777" w:rsidR="00750FF5" w:rsidRDefault="00750FF5" w:rsidP="001253BE">
      <w:pPr>
        <w:spacing w:after="0" w:line="240" w:lineRule="auto"/>
        <w:rPr>
          <w:rFonts w:ascii="Times New Roman" w:hAnsi="Times New Roman" w:cs="Times New Roman"/>
          <w:color w:val="000000" w:themeColor="text1"/>
          <w:sz w:val="20"/>
          <w:szCs w:val="20"/>
        </w:rPr>
      </w:pPr>
    </w:p>
    <w:p w14:paraId="2B2D8F19" w14:textId="77777777" w:rsidR="00750FF5" w:rsidRDefault="00750FF5" w:rsidP="001253BE">
      <w:pPr>
        <w:spacing w:after="0" w:line="240" w:lineRule="auto"/>
        <w:rPr>
          <w:rFonts w:ascii="Times New Roman" w:hAnsi="Times New Roman" w:cs="Times New Roman"/>
          <w:color w:val="000000" w:themeColor="text1"/>
          <w:sz w:val="20"/>
          <w:szCs w:val="20"/>
        </w:rPr>
      </w:pPr>
    </w:p>
    <w:p w14:paraId="1C2367D4" w14:textId="77777777" w:rsidR="00750FF5" w:rsidRDefault="00750FF5" w:rsidP="001253BE">
      <w:pPr>
        <w:spacing w:after="0" w:line="240" w:lineRule="auto"/>
        <w:rPr>
          <w:rFonts w:ascii="Times New Roman" w:hAnsi="Times New Roman" w:cs="Times New Roman"/>
          <w:color w:val="000000" w:themeColor="text1"/>
          <w:sz w:val="20"/>
          <w:szCs w:val="20"/>
        </w:rPr>
      </w:pPr>
    </w:p>
    <w:p w14:paraId="2BDC3D2F" w14:textId="77777777" w:rsidR="00750FF5" w:rsidRDefault="00750FF5" w:rsidP="001253BE">
      <w:pPr>
        <w:spacing w:after="0" w:line="240" w:lineRule="auto"/>
        <w:rPr>
          <w:rFonts w:ascii="Times New Roman" w:hAnsi="Times New Roman" w:cs="Times New Roman"/>
          <w:color w:val="000000" w:themeColor="text1"/>
          <w:sz w:val="20"/>
          <w:szCs w:val="20"/>
        </w:rPr>
      </w:pPr>
    </w:p>
    <w:p w14:paraId="587B3288" w14:textId="1C3C3C15" w:rsidR="005A34FC" w:rsidRDefault="000F02F0" w:rsidP="001253BE">
      <w:pPr>
        <w:spacing w:after="0" w:line="240" w:lineRule="auto"/>
        <w:rPr>
          <w:rFonts w:ascii="Times New Roman" w:hAnsi="Times New Roman" w:cs="Times New Roman"/>
          <w:color w:val="000000" w:themeColor="text1"/>
          <w:sz w:val="20"/>
          <w:szCs w:val="20"/>
        </w:rPr>
      </w:pPr>
      <w:r w:rsidRPr="001253BE">
        <w:rPr>
          <w:rFonts w:ascii="Times New Roman" w:hAnsi="Times New Roman" w:cs="Times New Roman"/>
          <w:color w:val="000000" w:themeColor="text1"/>
          <w:sz w:val="20"/>
          <w:szCs w:val="20"/>
        </w:rPr>
        <w:t xml:space="preserve">Table S1. </w:t>
      </w:r>
      <w:r w:rsidR="00900CFE" w:rsidRPr="001253BE">
        <w:rPr>
          <w:rFonts w:ascii="Times New Roman" w:hAnsi="Times New Roman" w:cs="Times New Roman"/>
          <w:sz w:val="20"/>
          <w:szCs w:val="20"/>
          <w:lang w:val="en-US"/>
        </w:rPr>
        <w:t>Inclusion and exclusion criteria for the systematic literature review</w:t>
      </w:r>
      <w:r w:rsidR="00900CFE">
        <w:rPr>
          <w:rFonts w:ascii="Times New Roman" w:hAnsi="Times New Roman" w:cs="Times New Roman"/>
          <w:color w:val="000000" w:themeColor="text1"/>
          <w:sz w:val="20"/>
          <w:szCs w:val="20"/>
        </w:rPr>
        <w:t xml:space="preserve"> </w:t>
      </w:r>
    </w:p>
    <w:p w14:paraId="2936C088" w14:textId="77777777" w:rsidR="007E582D" w:rsidRPr="001253BE" w:rsidRDefault="007E582D" w:rsidP="001253BE">
      <w:pPr>
        <w:spacing w:after="0" w:line="240" w:lineRule="auto"/>
        <w:rPr>
          <w:rFonts w:ascii="Times New Roman" w:hAnsi="Times New Roman" w:cs="Times New Roman"/>
          <w:sz w:val="20"/>
          <w:szCs w:val="20"/>
          <w:lang w:val="en-US"/>
        </w:rPr>
      </w:pPr>
    </w:p>
    <w:tbl>
      <w:tblPr>
        <w:tblStyle w:val="TableGrid"/>
        <w:tblW w:w="14220" w:type="dxa"/>
        <w:tblLook w:val="04A0" w:firstRow="1" w:lastRow="0" w:firstColumn="1" w:lastColumn="0" w:noHBand="0" w:noVBand="1"/>
      </w:tblPr>
      <w:tblGrid>
        <w:gridCol w:w="1960"/>
        <w:gridCol w:w="6760"/>
        <w:gridCol w:w="5500"/>
      </w:tblGrid>
      <w:tr w:rsidR="00900CFE" w:rsidRPr="001253BE" w14:paraId="346D45F1" w14:textId="77777777" w:rsidTr="00176524">
        <w:trPr>
          <w:trHeight w:val="391"/>
        </w:trPr>
        <w:tc>
          <w:tcPr>
            <w:tcW w:w="1960" w:type="dxa"/>
            <w:hideMark/>
          </w:tcPr>
          <w:p w14:paraId="7CBC6C4E"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Selection criteria</w:t>
            </w:r>
          </w:p>
        </w:tc>
        <w:tc>
          <w:tcPr>
            <w:tcW w:w="6760" w:type="dxa"/>
            <w:hideMark/>
          </w:tcPr>
          <w:p w14:paraId="6393EA97"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Inclusion Criteria</w:t>
            </w:r>
          </w:p>
        </w:tc>
        <w:tc>
          <w:tcPr>
            <w:tcW w:w="5500" w:type="dxa"/>
            <w:hideMark/>
          </w:tcPr>
          <w:p w14:paraId="3C9B7F3E"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Exclusion Criteria</w:t>
            </w:r>
          </w:p>
        </w:tc>
      </w:tr>
      <w:tr w:rsidR="00900CFE" w:rsidRPr="001253BE" w14:paraId="658E5AE1" w14:textId="77777777" w:rsidTr="00176524">
        <w:trPr>
          <w:trHeight w:val="645"/>
        </w:trPr>
        <w:tc>
          <w:tcPr>
            <w:tcW w:w="1960" w:type="dxa"/>
            <w:hideMark/>
          </w:tcPr>
          <w:p w14:paraId="5F20EEEA"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POPULATION (P)</w:t>
            </w:r>
          </w:p>
        </w:tc>
        <w:tc>
          <w:tcPr>
            <w:tcW w:w="6760" w:type="dxa"/>
            <w:hideMark/>
          </w:tcPr>
          <w:p w14:paraId="0D7A61F9"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Patient, Caregiver, Employee, Patient and Caregiver</w:t>
            </w:r>
          </w:p>
        </w:tc>
        <w:tc>
          <w:tcPr>
            <w:tcW w:w="5500" w:type="dxa"/>
            <w:hideMark/>
          </w:tcPr>
          <w:p w14:paraId="2B0D5491"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Study populations or subgroups:</w:t>
            </w:r>
          </w:p>
          <w:p w14:paraId="3972009D" w14:textId="77777777" w:rsidR="00900CFE" w:rsidRPr="001253BE" w:rsidRDefault="00900CFE" w:rsidP="00176524">
            <w:pPr>
              <w:numPr>
                <w:ilvl w:val="0"/>
                <w:numId w:val="4"/>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 xml:space="preserve">Non-human </w:t>
            </w:r>
          </w:p>
        </w:tc>
      </w:tr>
      <w:tr w:rsidR="00900CFE" w:rsidRPr="001253BE" w14:paraId="4C48380E" w14:textId="77777777" w:rsidTr="00176524">
        <w:trPr>
          <w:trHeight w:val="366"/>
        </w:trPr>
        <w:tc>
          <w:tcPr>
            <w:tcW w:w="1960" w:type="dxa"/>
            <w:hideMark/>
          </w:tcPr>
          <w:p w14:paraId="21414D65"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INTERVENTION (I)</w:t>
            </w:r>
          </w:p>
        </w:tc>
        <w:tc>
          <w:tcPr>
            <w:tcW w:w="6760" w:type="dxa"/>
            <w:hideMark/>
          </w:tcPr>
          <w:p w14:paraId="6142E57E"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None</w:t>
            </w:r>
          </w:p>
        </w:tc>
        <w:tc>
          <w:tcPr>
            <w:tcW w:w="5500" w:type="dxa"/>
            <w:hideMark/>
          </w:tcPr>
          <w:p w14:paraId="5E6B0FC1"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None</w:t>
            </w:r>
          </w:p>
        </w:tc>
      </w:tr>
      <w:tr w:rsidR="00900CFE" w:rsidRPr="001253BE" w14:paraId="1F2AE17A" w14:textId="77777777" w:rsidTr="00176524">
        <w:trPr>
          <w:trHeight w:val="366"/>
        </w:trPr>
        <w:tc>
          <w:tcPr>
            <w:tcW w:w="1960" w:type="dxa"/>
            <w:hideMark/>
          </w:tcPr>
          <w:p w14:paraId="099B3BDE"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COMPARATOR (C)</w:t>
            </w:r>
          </w:p>
        </w:tc>
        <w:tc>
          <w:tcPr>
            <w:tcW w:w="6760" w:type="dxa"/>
            <w:hideMark/>
          </w:tcPr>
          <w:p w14:paraId="235471C4"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None</w:t>
            </w:r>
          </w:p>
        </w:tc>
        <w:tc>
          <w:tcPr>
            <w:tcW w:w="5500" w:type="dxa"/>
            <w:hideMark/>
          </w:tcPr>
          <w:p w14:paraId="799D35EE"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None</w:t>
            </w:r>
          </w:p>
        </w:tc>
      </w:tr>
      <w:tr w:rsidR="00900CFE" w:rsidRPr="001253BE" w14:paraId="579C56D1" w14:textId="77777777" w:rsidTr="00176524">
        <w:trPr>
          <w:trHeight w:val="3755"/>
        </w:trPr>
        <w:tc>
          <w:tcPr>
            <w:tcW w:w="1960" w:type="dxa"/>
            <w:hideMark/>
          </w:tcPr>
          <w:p w14:paraId="4B18BC18"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OUTCOMES (O)</w:t>
            </w:r>
          </w:p>
        </w:tc>
        <w:tc>
          <w:tcPr>
            <w:tcW w:w="6760" w:type="dxa"/>
            <w:hideMark/>
          </w:tcPr>
          <w:p w14:paraId="0EF4B618"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Different components of productivity measures including but not limited to below:</w:t>
            </w:r>
          </w:p>
          <w:p w14:paraId="5CFA743C"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Productivity measures</w:t>
            </w:r>
          </w:p>
          <w:p w14:paraId="0F4A0082"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Productivity gain/loss</w:t>
            </w:r>
          </w:p>
          <w:p w14:paraId="2502457C"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Absenteeism</w:t>
            </w:r>
          </w:p>
          <w:p w14:paraId="633059BF"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Presenteeism</w:t>
            </w:r>
          </w:p>
          <w:p w14:paraId="50EFDAF6"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Time of/days of sick leave or disability</w:t>
            </w:r>
          </w:p>
          <w:p w14:paraId="1CB002C2"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Work loss</w:t>
            </w:r>
          </w:p>
          <w:p w14:paraId="27669BD4"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Sick leave</w:t>
            </w:r>
          </w:p>
          <w:p w14:paraId="2674D535"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Loss of employment</w:t>
            </w:r>
          </w:p>
          <w:p w14:paraId="6B2406C7"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Unpaid leaves</w:t>
            </w:r>
          </w:p>
          <w:p w14:paraId="6024E6CB"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Work limits</w:t>
            </w:r>
          </w:p>
          <w:p w14:paraId="02B6E62C"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Social or societal loss/costs</w:t>
            </w:r>
          </w:p>
          <w:p w14:paraId="3DA8D317" w14:textId="77777777" w:rsidR="00900CFE" w:rsidRPr="001253BE" w:rsidRDefault="00900CFE" w:rsidP="00176524">
            <w:pPr>
              <w:numPr>
                <w:ilvl w:val="0"/>
                <w:numId w:val="5"/>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Any indirect costs</w:t>
            </w:r>
          </w:p>
        </w:tc>
        <w:tc>
          <w:tcPr>
            <w:tcW w:w="5500" w:type="dxa"/>
            <w:hideMark/>
          </w:tcPr>
          <w:p w14:paraId="10B7008A"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None</w:t>
            </w:r>
          </w:p>
        </w:tc>
      </w:tr>
      <w:tr w:rsidR="00900CFE" w:rsidRPr="001253BE" w14:paraId="0B533FE7" w14:textId="77777777" w:rsidTr="00176524">
        <w:trPr>
          <w:trHeight w:val="1204"/>
        </w:trPr>
        <w:tc>
          <w:tcPr>
            <w:tcW w:w="1960" w:type="dxa"/>
            <w:hideMark/>
          </w:tcPr>
          <w:p w14:paraId="23BB81F8"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STUDY DESIGN (S)</w:t>
            </w:r>
          </w:p>
        </w:tc>
        <w:tc>
          <w:tcPr>
            <w:tcW w:w="6760" w:type="dxa"/>
            <w:hideMark/>
          </w:tcPr>
          <w:p w14:paraId="6B75CC1A"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Economic evaluations, including but not limited to CEA, CUA, COI, cost-benefit</w:t>
            </w:r>
          </w:p>
        </w:tc>
        <w:tc>
          <w:tcPr>
            <w:tcW w:w="5500" w:type="dxa"/>
            <w:hideMark/>
          </w:tcPr>
          <w:p w14:paraId="2123E673"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 xml:space="preserve">Not original research study (e.g., reviews, commentaries, </w:t>
            </w:r>
          </w:p>
          <w:p w14:paraId="794C9DEB"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and editorials)</w:t>
            </w:r>
          </w:p>
        </w:tc>
      </w:tr>
      <w:tr w:rsidR="00900CFE" w:rsidRPr="001253BE" w14:paraId="4D1839CB" w14:textId="77777777" w:rsidTr="00176524">
        <w:trPr>
          <w:trHeight w:val="645"/>
        </w:trPr>
        <w:tc>
          <w:tcPr>
            <w:tcW w:w="1960" w:type="dxa"/>
            <w:hideMark/>
          </w:tcPr>
          <w:p w14:paraId="13C73A64"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TIME FRAMES (T)</w:t>
            </w:r>
          </w:p>
        </w:tc>
        <w:tc>
          <w:tcPr>
            <w:tcW w:w="6760" w:type="dxa"/>
            <w:hideMark/>
          </w:tcPr>
          <w:p w14:paraId="5D17CE04"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Studies published in or after January 2021</w:t>
            </w:r>
          </w:p>
        </w:tc>
        <w:tc>
          <w:tcPr>
            <w:tcW w:w="5500" w:type="dxa"/>
            <w:hideMark/>
          </w:tcPr>
          <w:p w14:paraId="7547586D"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 xml:space="preserve">Studies published before 2021 will be excluded to ensure that we only include the most recent studies </w:t>
            </w:r>
          </w:p>
        </w:tc>
      </w:tr>
      <w:tr w:rsidR="00900CFE" w:rsidRPr="001253BE" w14:paraId="01ACBFC6" w14:textId="77777777" w:rsidTr="00176524">
        <w:trPr>
          <w:trHeight w:val="645"/>
        </w:trPr>
        <w:tc>
          <w:tcPr>
            <w:tcW w:w="1960" w:type="dxa"/>
            <w:hideMark/>
          </w:tcPr>
          <w:p w14:paraId="356E05AD"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b/>
                <w:bCs/>
                <w:sz w:val="20"/>
                <w:szCs w:val="20"/>
                <w:lang w:val="en-US"/>
              </w:rPr>
              <w:t>Language</w:t>
            </w:r>
          </w:p>
        </w:tc>
        <w:tc>
          <w:tcPr>
            <w:tcW w:w="6760" w:type="dxa"/>
            <w:hideMark/>
          </w:tcPr>
          <w:p w14:paraId="58DC8B06" w14:textId="77777777" w:rsidR="00900CFE" w:rsidRPr="001253BE" w:rsidRDefault="00900CFE" w:rsidP="00176524">
            <w:pPr>
              <w:numPr>
                <w:ilvl w:val="0"/>
                <w:numId w:val="6"/>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English</w:t>
            </w:r>
          </w:p>
          <w:p w14:paraId="1FCE4278" w14:textId="77777777" w:rsidR="00900CFE" w:rsidRPr="001253BE" w:rsidRDefault="00900CFE" w:rsidP="00176524">
            <w:pPr>
              <w:numPr>
                <w:ilvl w:val="0"/>
                <w:numId w:val="6"/>
              </w:numPr>
              <w:tabs>
                <w:tab w:val="left" w:pos="720"/>
              </w:tabs>
              <w:rPr>
                <w:rFonts w:ascii="Times New Roman" w:hAnsi="Times New Roman" w:cs="Times New Roman"/>
                <w:sz w:val="20"/>
                <w:szCs w:val="20"/>
                <w:lang w:val="en-IN"/>
              </w:rPr>
            </w:pPr>
            <w:r w:rsidRPr="001253BE">
              <w:rPr>
                <w:rFonts w:ascii="Times New Roman" w:hAnsi="Times New Roman" w:cs="Times New Roman"/>
                <w:sz w:val="20"/>
                <w:szCs w:val="20"/>
                <w:lang w:val="en-US"/>
              </w:rPr>
              <w:t>Japanese</w:t>
            </w:r>
          </w:p>
        </w:tc>
        <w:tc>
          <w:tcPr>
            <w:tcW w:w="5500" w:type="dxa"/>
            <w:hideMark/>
          </w:tcPr>
          <w:p w14:paraId="46D8AE8A" w14:textId="77777777" w:rsidR="00900CFE" w:rsidRPr="001253BE" w:rsidRDefault="00900CFE" w:rsidP="00176524">
            <w:pPr>
              <w:rPr>
                <w:rFonts w:ascii="Times New Roman" w:hAnsi="Times New Roman" w:cs="Times New Roman"/>
                <w:sz w:val="20"/>
                <w:szCs w:val="20"/>
                <w:lang w:val="en-IN"/>
              </w:rPr>
            </w:pPr>
            <w:r w:rsidRPr="001253BE">
              <w:rPr>
                <w:rFonts w:ascii="Times New Roman" w:hAnsi="Times New Roman" w:cs="Times New Roman"/>
                <w:sz w:val="20"/>
                <w:szCs w:val="20"/>
                <w:lang w:val="en-US"/>
              </w:rPr>
              <w:t> </w:t>
            </w:r>
          </w:p>
        </w:tc>
      </w:tr>
    </w:tbl>
    <w:p w14:paraId="6BB55DFB" w14:textId="77777777" w:rsidR="006B019C" w:rsidRDefault="006B019C" w:rsidP="001253BE">
      <w:pPr>
        <w:spacing w:after="0" w:line="240" w:lineRule="auto"/>
        <w:rPr>
          <w:rFonts w:ascii="Times New Roman" w:hAnsi="Times New Roman" w:cs="Times New Roman"/>
          <w:sz w:val="20"/>
          <w:szCs w:val="20"/>
          <w:lang w:val="en-US"/>
        </w:rPr>
      </w:pPr>
    </w:p>
    <w:p w14:paraId="1F1777C2" w14:textId="77777777" w:rsidR="00900CFE" w:rsidRDefault="00900CFE" w:rsidP="001253BE">
      <w:pPr>
        <w:spacing w:after="0" w:line="240" w:lineRule="auto"/>
        <w:rPr>
          <w:rFonts w:ascii="Times New Roman" w:hAnsi="Times New Roman" w:cs="Times New Roman"/>
          <w:sz w:val="20"/>
          <w:szCs w:val="20"/>
          <w:lang w:val="en-US"/>
        </w:rPr>
      </w:pPr>
    </w:p>
    <w:p w14:paraId="34F13F23" w14:textId="77777777" w:rsidR="00900CFE" w:rsidRPr="001253BE" w:rsidRDefault="00900CFE" w:rsidP="001253BE">
      <w:pPr>
        <w:spacing w:after="0" w:line="240" w:lineRule="auto"/>
        <w:rPr>
          <w:rFonts w:ascii="Times New Roman" w:hAnsi="Times New Roman" w:cs="Times New Roman"/>
          <w:sz w:val="20"/>
          <w:szCs w:val="20"/>
          <w:lang w:val="en-US"/>
        </w:rPr>
      </w:pPr>
    </w:p>
    <w:p w14:paraId="396ECFEF" w14:textId="639518F8" w:rsidR="2C952123" w:rsidRDefault="2C952123" w:rsidP="2C952123">
      <w:pPr>
        <w:spacing w:after="0" w:line="240" w:lineRule="auto"/>
        <w:rPr>
          <w:rFonts w:ascii="Times New Roman" w:hAnsi="Times New Roman" w:cs="Times New Roman"/>
          <w:sz w:val="20"/>
          <w:szCs w:val="20"/>
          <w:lang w:val="en-US"/>
        </w:rPr>
      </w:pPr>
    </w:p>
    <w:p w14:paraId="64FCBF35" w14:textId="5122B3B3" w:rsidR="2C952123" w:rsidRDefault="2C952123" w:rsidP="2C952123">
      <w:pPr>
        <w:spacing w:after="0" w:line="240" w:lineRule="auto"/>
        <w:rPr>
          <w:rFonts w:ascii="Times New Roman" w:hAnsi="Times New Roman" w:cs="Times New Roman"/>
          <w:sz w:val="20"/>
          <w:szCs w:val="20"/>
          <w:lang w:val="en-US"/>
        </w:rPr>
      </w:pPr>
    </w:p>
    <w:p w14:paraId="16099A8C" w14:textId="4D13AA5C" w:rsidR="2C952123" w:rsidRDefault="2C952123" w:rsidP="2C952123">
      <w:pPr>
        <w:spacing w:after="0" w:line="240" w:lineRule="auto"/>
        <w:rPr>
          <w:rFonts w:ascii="Times New Roman" w:hAnsi="Times New Roman" w:cs="Times New Roman"/>
          <w:sz w:val="20"/>
          <w:szCs w:val="20"/>
          <w:lang w:val="en-US"/>
        </w:rPr>
      </w:pPr>
    </w:p>
    <w:p w14:paraId="71C12CA1" w14:textId="31E7AB40" w:rsidR="000F02F0" w:rsidRDefault="00794793" w:rsidP="001253BE">
      <w:pPr>
        <w:spacing w:after="0" w:line="240" w:lineRule="auto"/>
        <w:rPr>
          <w:rFonts w:ascii="Times New Roman" w:hAnsi="Times New Roman" w:cs="Times New Roman"/>
          <w:sz w:val="20"/>
          <w:szCs w:val="20"/>
          <w:lang w:val="en-US"/>
        </w:rPr>
      </w:pPr>
      <w:r w:rsidRPr="001253BE">
        <w:rPr>
          <w:rFonts w:ascii="Times New Roman" w:hAnsi="Times New Roman" w:cs="Times New Roman"/>
          <w:sz w:val="20"/>
          <w:szCs w:val="20"/>
          <w:lang w:val="en-US"/>
        </w:rPr>
        <w:t>Table S</w:t>
      </w:r>
      <w:r w:rsidR="00452964">
        <w:rPr>
          <w:rFonts w:ascii="Times New Roman" w:hAnsi="Times New Roman" w:cs="Times New Roman"/>
          <w:sz w:val="20"/>
          <w:szCs w:val="20"/>
          <w:lang w:val="en-US"/>
        </w:rPr>
        <w:t>2</w:t>
      </w:r>
      <w:r w:rsidRPr="001253BE">
        <w:rPr>
          <w:rFonts w:ascii="Times New Roman" w:hAnsi="Times New Roman" w:cs="Times New Roman"/>
          <w:sz w:val="20"/>
          <w:szCs w:val="20"/>
          <w:lang w:val="en-US"/>
        </w:rPr>
        <w:t xml:space="preserve">: </w:t>
      </w:r>
      <w:r w:rsidR="00900CFE">
        <w:rPr>
          <w:rFonts w:ascii="Times New Roman" w:hAnsi="Times New Roman" w:cs="Times New Roman"/>
          <w:color w:val="000000" w:themeColor="text1"/>
          <w:sz w:val="20"/>
          <w:szCs w:val="20"/>
        </w:rPr>
        <w:t>Search</w:t>
      </w:r>
      <w:r w:rsidR="00900CFE" w:rsidRPr="001253BE">
        <w:rPr>
          <w:rFonts w:ascii="Times New Roman" w:hAnsi="Times New Roman" w:cs="Times New Roman"/>
          <w:color w:val="000000" w:themeColor="text1"/>
          <w:sz w:val="20"/>
          <w:szCs w:val="20"/>
        </w:rPr>
        <w:t xml:space="preserve"> strategy</w:t>
      </w:r>
      <w:r w:rsidR="00900CFE" w:rsidRPr="001253BE">
        <w:rPr>
          <w:rFonts w:ascii="Times New Roman" w:hAnsi="Times New Roman" w:cs="Times New Roman"/>
          <w:sz w:val="20"/>
          <w:szCs w:val="20"/>
          <w:lang w:val="en-US"/>
        </w:rPr>
        <w:t xml:space="preserve"> </w:t>
      </w:r>
    </w:p>
    <w:p w14:paraId="310CD911" w14:textId="77777777" w:rsidR="00C95244" w:rsidRDefault="00C95244" w:rsidP="001253BE">
      <w:pPr>
        <w:spacing w:after="0" w:line="240" w:lineRule="auto"/>
        <w:rPr>
          <w:rFonts w:ascii="Times New Roman" w:hAnsi="Times New Roman" w:cs="Times New Roman"/>
          <w:sz w:val="20"/>
          <w:szCs w:val="20"/>
          <w:lang w:val="en-US"/>
        </w:rPr>
      </w:pPr>
    </w:p>
    <w:tbl>
      <w:tblPr>
        <w:tblStyle w:val="TableGrid"/>
        <w:tblW w:w="13533" w:type="dxa"/>
        <w:tblLook w:val="04A0" w:firstRow="1" w:lastRow="0" w:firstColumn="1" w:lastColumn="0" w:noHBand="0" w:noVBand="1"/>
      </w:tblPr>
      <w:tblGrid>
        <w:gridCol w:w="1468"/>
        <w:gridCol w:w="1211"/>
        <w:gridCol w:w="10854"/>
      </w:tblGrid>
      <w:tr w:rsidR="00900CFE" w:rsidRPr="001253BE" w14:paraId="1F845FFB" w14:textId="77777777" w:rsidTr="76D75D5C">
        <w:trPr>
          <w:trHeight w:val="610"/>
        </w:trPr>
        <w:tc>
          <w:tcPr>
            <w:tcW w:w="1468" w:type="dxa"/>
            <w:hideMark/>
          </w:tcPr>
          <w:p w14:paraId="36F8709E" w14:textId="77777777" w:rsidR="00900CFE" w:rsidRPr="001253BE" w:rsidRDefault="00900CFE" w:rsidP="00176524">
            <w:pPr>
              <w:jc w:val="center"/>
              <w:rPr>
                <w:rFonts w:ascii="Times New Roman" w:eastAsia="Times New Roman" w:hAnsi="Times New Roman" w:cs="Times New Roman"/>
                <w:b/>
                <w:bCs/>
                <w:color w:val="3F4344"/>
                <w:kern w:val="0"/>
                <w:sz w:val="20"/>
                <w:szCs w:val="20"/>
                <w:lang w:val="en-IN" w:eastAsia="en-IN"/>
                <w14:ligatures w14:val="none"/>
              </w:rPr>
            </w:pPr>
            <w:bookmarkStart w:id="0" w:name="RANGE!A1"/>
            <w:r w:rsidRPr="001253BE">
              <w:rPr>
                <w:rFonts w:ascii="Times New Roman" w:eastAsia="Times New Roman" w:hAnsi="Times New Roman" w:cs="Times New Roman"/>
                <w:b/>
                <w:bCs/>
                <w:color w:val="3F4344"/>
                <w:kern w:val="0"/>
                <w:sz w:val="20"/>
                <w:szCs w:val="20"/>
                <w:lang w:val="en-IN" w:eastAsia="en-IN"/>
                <w14:ligatures w14:val="none"/>
              </w:rPr>
              <w:t>Search Criteria</w:t>
            </w:r>
            <w:bookmarkEnd w:id="0"/>
          </w:p>
        </w:tc>
        <w:tc>
          <w:tcPr>
            <w:tcW w:w="1211" w:type="dxa"/>
            <w:hideMark/>
          </w:tcPr>
          <w:p w14:paraId="74053523" w14:textId="77777777" w:rsidR="00900CFE" w:rsidRPr="001253BE" w:rsidRDefault="00900CFE" w:rsidP="00176524">
            <w:pPr>
              <w:jc w:val="center"/>
              <w:rPr>
                <w:rFonts w:ascii="Times New Roman" w:eastAsia="Times New Roman" w:hAnsi="Times New Roman" w:cs="Times New Roman"/>
                <w:b/>
                <w:bCs/>
                <w:color w:val="3F4344"/>
                <w:kern w:val="0"/>
                <w:sz w:val="20"/>
                <w:szCs w:val="20"/>
                <w:lang w:val="en-IN" w:eastAsia="en-IN"/>
                <w14:ligatures w14:val="none"/>
              </w:rPr>
            </w:pPr>
            <w:r w:rsidRPr="001253BE">
              <w:rPr>
                <w:rFonts w:ascii="Times New Roman" w:eastAsia="Times New Roman" w:hAnsi="Times New Roman" w:cs="Times New Roman"/>
                <w:b/>
                <w:bCs/>
                <w:color w:val="3F4344"/>
                <w:kern w:val="0"/>
                <w:sz w:val="20"/>
                <w:szCs w:val="20"/>
                <w:lang w:val="en-IN" w:eastAsia="en-IN"/>
                <w14:ligatures w14:val="none"/>
              </w:rPr>
              <w:t>Search number</w:t>
            </w:r>
          </w:p>
        </w:tc>
        <w:tc>
          <w:tcPr>
            <w:tcW w:w="10854" w:type="dxa"/>
            <w:hideMark/>
          </w:tcPr>
          <w:p w14:paraId="06D47475" w14:textId="77777777" w:rsidR="00900CFE" w:rsidRPr="001253BE" w:rsidRDefault="00900CFE" w:rsidP="00176524">
            <w:pPr>
              <w:jc w:val="center"/>
              <w:rPr>
                <w:rFonts w:ascii="Times New Roman" w:eastAsia="Times New Roman" w:hAnsi="Times New Roman" w:cs="Times New Roman"/>
                <w:b/>
                <w:bCs/>
                <w:color w:val="3F4344"/>
                <w:kern w:val="0"/>
                <w:sz w:val="20"/>
                <w:szCs w:val="20"/>
                <w:lang w:val="en-IN" w:eastAsia="en-IN"/>
                <w14:ligatures w14:val="none"/>
              </w:rPr>
            </w:pPr>
            <w:r w:rsidRPr="001253BE">
              <w:rPr>
                <w:rFonts w:ascii="Times New Roman" w:eastAsia="Times New Roman" w:hAnsi="Times New Roman" w:cs="Times New Roman"/>
                <w:b/>
                <w:bCs/>
                <w:color w:val="3F4344"/>
                <w:kern w:val="0"/>
                <w:sz w:val="20"/>
                <w:szCs w:val="20"/>
                <w:lang w:val="en-IN" w:eastAsia="en-IN"/>
                <w14:ligatures w14:val="none"/>
              </w:rPr>
              <w:t>Query</w:t>
            </w:r>
          </w:p>
        </w:tc>
      </w:tr>
      <w:tr w:rsidR="00900CFE" w:rsidRPr="001253BE" w14:paraId="22E4A79E" w14:textId="77777777" w:rsidTr="76D75D5C">
        <w:trPr>
          <w:trHeight w:val="2127"/>
        </w:trPr>
        <w:tc>
          <w:tcPr>
            <w:tcW w:w="1468" w:type="dxa"/>
            <w:vMerge w:val="restart"/>
            <w:noWrap/>
            <w:hideMark/>
          </w:tcPr>
          <w:p w14:paraId="3462F1DB" w14:textId="77777777" w:rsidR="00900CFE" w:rsidRPr="001253BE" w:rsidRDefault="00900CFE" w:rsidP="00176524">
            <w:pPr>
              <w:jc w:val="cente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Outcomes</w:t>
            </w:r>
          </w:p>
        </w:tc>
        <w:tc>
          <w:tcPr>
            <w:tcW w:w="1211" w:type="dxa"/>
            <w:noWrap/>
            <w:hideMark/>
          </w:tcPr>
          <w:p w14:paraId="52E537F2"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w:t>
            </w:r>
          </w:p>
        </w:tc>
        <w:tc>
          <w:tcPr>
            <w:tcW w:w="10854" w:type="dxa"/>
            <w:hideMark/>
          </w:tcPr>
          <w:p w14:paraId="3EA03381"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(("productivity loss" OR "production loss" OR "work loss" OR (production AND burden) OR "productivity burden" OR "work burden" OR "productivity gain" OR "production gain" OR "work gain" OR absenteeism OR presenteeism OR "work-limit" OR "work limit" OR "time off " OR "days off" OR "medical leave" OR "Sick Leave" OR "disability leave" OR "unpaid leave" OR "medical absence" OR "sick absence" OR "disability absence" OR (unpaid AND absent) OR "unpaid hours" OR "unpaid days" OR "sick day" OR "sick days" OR "sick hours" OR "disability day" OR "disability days" OR "disability hours" OR (work AND (unable OR inability OR incapacit* OR incapab*))) AND (economic* or cost or costs or costly or costing or price or prices or pricing))[Title/Abstract]</w:t>
            </w:r>
          </w:p>
        </w:tc>
      </w:tr>
      <w:tr w:rsidR="00900CFE" w:rsidRPr="001253BE" w14:paraId="3489E948" w14:textId="77777777" w:rsidTr="76D75D5C">
        <w:trPr>
          <w:trHeight w:val="297"/>
        </w:trPr>
        <w:tc>
          <w:tcPr>
            <w:tcW w:w="1468" w:type="dxa"/>
            <w:vMerge/>
            <w:hideMark/>
          </w:tcPr>
          <w:p w14:paraId="38FF2460" w14:textId="77777777" w:rsidR="00900CFE" w:rsidRPr="001253BE" w:rsidRDefault="00900CFE" w:rsidP="00176524">
            <w:pPr>
              <w:rPr>
                <w:rFonts w:ascii="Times New Roman" w:eastAsia="Times New Roman" w:hAnsi="Times New Roman" w:cs="Times New Roman"/>
                <w:color w:val="000000"/>
                <w:kern w:val="0"/>
                <w:sz w:val="20"/>
                <w:szCs w:val="20"/>
                <w:lang w:val="en-IN" w:eastAsia="en-IN"/>
                <w14:ligatures w14:val="none"/>
              </w:rPr>
            </w:pPr>
          </w:p>
        </w:tc>
        <w:tc>
          <w:tcPr>
            <w:tcW w:w="1211" w:type="dxa"/>
            <w:noWrap/>
            <w:hideMark/>
          </w:tcPr>
          <w:p w14:paraId="2F2357C2"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2</w:t>
            </w:r>
          </w:p>
        </w:tc>
        <w:tc>
          <w:tcPr>
            <w:tcW w:w="10854" w:type="dxa"/>
            <w:hideMark/>
          </w:tcPr>
          <w:p w14:paraId="79EA81FE"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Absenteeism[MeSH Terms] OR presenteeism[MeSH Terms] OR "sick leave"[MeSH Terms]</w:t>
            </w:r>
          </w:p>
        </w:tc>
      </w:tr>
      <w:tr w:rsidR="00900CFE" w:rsidRPr="001253BE" w14:paraId="6FD878D6" w14:textId="77777777" w:rsidTr="76D75D5C">
        <w:trPr>
          <w:trHeight w:val="797"/>
        </w:trPr>
        <w:tc>
          <w:tcPr>
            <w:tcW w:w="1468" w:type="dxa"/>
            <w:vMerge/>
            <w:hideMark/>
          </w:tcPr>
          <w:p w14:paraId="29C73A50" w14:textId="77777777" w:rsidR="00900CFE" w:rsidRPr="001253BE" w:rsidRDefault="00900CFE" w:rsidP="00176524">
            <w:pPr>
              <w:rPr>
                <w:rFonts w:ascii="Times New Roman" w:eastAsia="Times New Roman" w:hAnsi="Times New Roman" w:cs="Times New Roman"/>
                <w:color w:val="000000"/>
                <w:kern w:val="0"/>
                <w:sz w:val="20"/>
                <w:szCs w:val="20"/>
                <w:lang w:val="en-IN" w:eastAsia="en-IN"/>
                <w14:ligatures w14:val="none"/>
              </w:rPr>
            </w:pPr>
          </w:p>
        </w:tc>
        <w:tc>
          <w:tcPr>
            <w:tcW w:w="1211" w:type="dxa"/>
            <w:noWrap/>
            <w:hideMark/>
          </w:tcPr>
          <w:p w14:paraId="5B14C9A8"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3</w:t>
            </w:r>
          </w:p>
        </w:tc>
        <w:tc>
          <w:tcPr>
            <w:tcW w:w="10854" w:type="dxa"/>
            <w:hideMark/>
          </w:tcPr>
          <w:p w14:paraId="47890D85" w14:textId="77777777" w:rsidR="00900CFE" w:rsidRPr="001253BE" w:rsidRDefault="00900CFE" w:rsidP="00176524">
            <w:pPr>
              <w:rPr>
                <w:rFonts w:ascii="Times New Roman" w:eastAsia="Times New Roman" w:hAnsi="Times New Roman" w:cs="Times New Roman"/>
                <w:color w:val="3F4344"/>
                <w:kern w:val="0"/>
                <w:sz w:val="20"/>
                <w:szCs w:val="20"/>
                <w:lang w:eastAsia="en-IN"/>
                <w14:ligatures w14:val="none"/>
              </w:rPr>
            </w:pPr>
            <w:r w:rsidRPr="4BAEF77E">
              <w:rPr>
                <w:rFonts w:ascii="Times New Roman" w:eastAsia="Times New Roman" w:hAnsi="Times New Roman" w:cs="Times New Roman"/>
                <w:color w:val="3F4344"/>
                <w:kern w:val="0"/>
                <w:sz w:val="20"/>
                <w:szCs w:val="20"/>
                <w:lang w:eastAsia="en-IN"/>
                <w14:ligatures w14:val="none"/>
              </w:rPr>
              <w:t>("Indirect cost" OR "societal perspective" OR "social perspective" OR "social cost" OR "social costs" OR "societal gains" OR "societal loss" OR ("society" AND ("view point" OR "view-point")))[Title/Abstract]</w:t>
            </w:r>
          </w:p>
        </w:tc>
      </w:tr>
      <w:tr w:rsidR="00900CFE" w:rsidRPr="001253BE" w14:paraId="1395E04A" w14:textId="77777777" w:rsidTr="76D75D5C">
        <w:trPr>
          <w:trHeight w:val="297"/>
        </w:trPr>
        <w:tc>
          <w:tcPr>
            <w:tcW w:w="1468" w:type="dxa"/>
            <w:vMerge/>
            <w:hideMark/>
          </w:tcPr>
          <w:p w14:paraId="5EA09B8F" w14:textId="77777777" w:rsidR="00900CFE" w:rsidRPr="001253BE" w:rsidRDefault="00900CFE" w:rsidP="00176524">
            <w:pPr>
              <w:rPr>
                <w:rFonts w:ascii="Times New Roman" w:eastAsia="Times New Roman" w:hAnsi="Times New Roman" w:cs="Times New Roman"/>
                <w:color w:val="000000"/>
                <w:kern w:val="0"/>
                <w:sz w:val="20"/>
                <w:szCs w:val="20"/>
                <w:lang w:val="en-IN" w:eastAsia="en-IN"/>
                <w14:ligatures w14:val="none"/>
              </w:rPr>
            </w:pPr>
          </w:p>
        </w:tc>
        <w:tc>
          <w:tcPr>
            <w:tcW w:w="1211" w:type="dxa"/>
            <w:noWrap/>
            <w:hideMark/>
          </w:tcPr>
          <w:p w14:paraId="527C937E"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4</w:t>
            </w:r>
          </w:p>
        </w:tc>
        <w:tc>
          <w:tcPr>
            <w:tcW w:w="10854" w:type="dxa"/>
            <w:hideMark/>
          </w:tcPr>
          <w:p w14:paraId="10331AC0"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 OR #2 OR #3</w:t>
            </w:r>
          </w:p>
        </w:tc>
      </w:tr>
      <w:tr w:rsidR="00900CFE" w:rsidRPr="001253BE" w14:paraId="1BE5BB0D" w14:textId="77777777" w:rsidTr="76D75D5C">
        <w:trPr>
          <w:trHeight w:val="797"/>
        </w:trPr>
        <w:tc>
          <w:tcPr>
            <w:tcW w:w="1468" w:type="dxa"/>
            <w:vMerge w:val="restart"/>
            <w:hideMark/>
          </w:tcPr>
          <w:p w14:paraId="77CA349F" w14:textId="77777777" w:rsidR="00900CFE" w:rsidRPr="001253BE" w:rsidRDefault="00900CFE" w:rsidP="00176524">
            <w:pPr>
              <w:jc w:val="center"/>
              <w:rPr>
                <w:rFonts w:ascii="Times New Roman" w:eastAsia="Times New Roman" w:hAnsi="Times New Roman" w:cs="Times New Roman"/>
                <w:b/>
                <w:bCs/>
                <w:color w:val="000000"/>
                <w:kern w:val="0"/>
                <w:sz w:val="20"/>
                <w:szCs w:val="20"/>
                <w:lang w:val="en-IN" w:eastAsia="en-IN"/>
                <w14:ligatures w14:val="none"/>
              </w:rPr>
            </w:pPr>
            <w:r w:rsidRPr="001253BE">
              <w:rPr>
                <w:rFonts w:ascii="Times New Roman" w:eastAsia="Times New Roman" w:hAnsi="Times New Roman" w:cs="Times New Roman"/>
                <w:b/>
                <w:bCs/>
                <w:color w:val="000000"/>
                <w:kern w:val="0"/>
                <w:sz w:val="20"/>
                <w:szCs w:val="20"/>
                <w:lang w:val="en-IN" w:eastAsia="en-IN"/>
                <w14:ligatures w14:val="none"/>
              </w:rPr>
              <w:t>Study design</w:t>
            </w:r>
          </w:p>
        </w:tc>
        <w:tc>
          <w:tcPr>
            <w:tcW w:w="1211" w:type="dxa"/>
            <w:noWrap/>
            <w:hideMark/>
          </w:tcPr>
          <w:p w14:paraId="2351AB61"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5</w:t>
            </w:r>
          </w:p>
        </w:tc>
        <w:tc>
          <w:tcPr>
            <w:tcW w:w="10854" w:type="dxa"/>
            <w:hideMark/>
          </w:tcPr>
          <w:p w14:paraId="0F286635" w14:textId="77777777" w:rsidR="00900CFE" w:rsidRPr="001253BE" w:rsidRDefault="00900CFE" w:rsidP="76D75D5C">
            <w:pPr>
              <w:rPr>
                <w:rFonts w:ascii="Times New Roman" w:eastAsia="Times New Roman" w:hAnsi="Times New Roman" w:cs="Times New Roman"/>
                <w:color w:val="3F4344"/>
                <w:kern w:val="0"/>
                <w:sz w:val="20"/>
                <w:szCs w:val="20"/>
                <w:lang w:eastAsia="en-IN"/>
                <w14:ligatures w14:val="none"/>
              </w:rPr>
            </w:pPr>
            <w:r w:rsidRPr="76D75D5C">
              <w:rPr>
                <w:rFonts w:ascii="Times New Roman" w:eastAsia="Times New Roman" w:hAnsi="Times New Roman" w:cs="Times New Roman"/>
                <w:color w:val="3F4344"/>
                <w:kern w:val="0"/>
                <w:sz w:val="20"/>
                <w:szCs w:val="20"/>
                <w:lang w:eastAsia="en-IN"/>
                <w14:ligatures w14:val="none"/>
              </w:rPr>
              <w:t>("Cost benefit analysis" OR "Cost effectiveness analysis" OR "cost utility analysis" OR "cost minimization analysis" OR "Cost of illness" OR "economic evaluation" OR "economic aspect" OR "health economics" OR "cost effectiveness" OR "cost-effectiveness")[Title/Abstract]</w:t>
            </w:r>
          </w:p>
        </w:tc>
      </w:tr>
      <w:tr w:rsidR="00900CFE" w:rsidRPr="001253BE" w14:paraId="6E61D852" w14:textId="77777777" w:rsidTr="76D75D5C">
        <w:trPr>
          <w:trHeight w:val="1595"/>
        </w:trPr>
        <w:tc>
          <w:tcPr>
            <w:tcW w:w="1468" w:type="dxa"/>
            <w:vMerge/>
            <w:hideMark/>
          </w:tcPr>
          <w:p w14:paraId="57459340"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232EDA90"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6</w:t>
            </w:r>
          </w:p>
        </w:tc>
        <w:tc>
          <w:tcPr>
            <w:tcW w:w="10854" w:type="dxa"/>
            <w:hideMark/>
          </w:tcPr>
          <w:p w14:paraId="578397C2"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((economic or macroeconomic or budget or cost or costs or expenditure or finance) AND (benefit or control or effect or effectiveness or minimization or minimisation or illness or utility or healthcare or study or studies or analysis or analyses or assess or assessment or measure or measures or valuation or estimates or estimation or investigate or investigation or evaluate or evaluation or aspect or aspects or health or burden or impact or consequence or consequences or model or modeling))[Title/Abstract]</w:t>
            </w:r>
          </w:p>
        </w:tc>
      </w:tr>
      <w:tr w:rsidR="00900CFE" w:rsidRPr="001253BE" w14:paraId="0EDF017C" w14:textId="77777777" w:rsidTr="76D75D5C">
        <w:trPr>
          <w:trHeight w:val="531"/>
        </w:trPr>
        <w:tc>
          <w:tcPr>
            <w:tcW w:w="1468" w:type="dxa"/>
            <w:vMerge/>
            <w:hideMark/>
          </w:tcPr>
          <w:p w14:paraId="3AB4C2BE"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439FBDBA"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7</w:t>
            </w:r>
          </w:p>
        </w:tc>
        <w:tc>
          <w:tcPr>
            <w:tcW w:w="10854" w:type="dxa"/>
            <w:hideMark/>
          </w:tcPr>
          <w:p w14:paraId="623E6614"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"Cost-Benefit Analysis"[MeSH Terms] OR "Economics, Medical"[MeSH Terms] OR "Health Care Costs"[MeSH Terms] OR "Economics"[MeSH Terms] OR "Costs and Cost Analysis"[MeSH Terms]</w:t>
            </w:r>
          </w:p>
        </w:tc>
      </w:tr>
      <w:tr w:rsidR="00900CFE" w:rsidRPr="001253BE" w14:paraId="0952FAA2" w14:textId="77777777" w:rsidTr="76D75D5C">
        <w:trPr>
          <w:trHeight w:val="297"/>
        </w:trPr>
        <w:tc>
          <w:tcPr>
            <w:tcW w:w="1468" w:type="dxa"/>
            <w:vMerge/>
            <w:hideMark/>
          </w:tcPr>
          <w:p w14:paraId="1C489AF6"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286D8997"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8</w:t>
            </w:r>
          </w:p>
        </w:tc>
        <w:tc>
          <w:tcPr>
            <w:tcW w:w="10854" w:type="dxa"/>
            <w:hideMark/>
          </w:tcPr>
          <w:p w14:paraId="0D441E81"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#5 OR #6 OR #7</w:t>
            </w:r>
          </w:p>
        </w:tc>
      </w:tr>
      <w:tr w:rsidR="00900CFE" w:rsidRPr="001253BE" w14:paraId="7857DD3D" w14:textId="77777777" w:rsidTr="76D75D5C">
        <w:trPr>
          <w:trHeight w:val="797"/>
        </w:trPr>
        <w:tc>
          <w:tcPr>
            <w:tcW w:w="1468" w:type="dxa"/>
            <w:vMerge w:val="restart"/>
            <w:hideMark/>
          </w:tcPr>
          <w:p w14:paraId="4F65BC11" w14:textId="77777777" w:rsidR="00900CFE" w:rsidRPr="001253BE" w:rsidRDefault="00900CFE" w:rsidP="00176524">
            <w:pPr>
              <w:jc w:val="center"/>
              <w:rPr>
                <w:rFonts w:ascii="Times New Roman" w:eastAsia="Times New Roman" w:hAnsi="Times New Roman" w:cs="Times New Roman"/>
                <w:b/>
                <w:bCs/>
                <w:color w:val="000000"/>
                <w:kern w:val="0"/>
                <w:sz w:val="20"/>
                <w:szCs w:val="20"/>
                <w:lang w:val="en-IN" w:eastAsia="en-IN"/>
                <w14:ligatures w14:val="none"/>
              </w:rPr>
            </w:pPr>
            <w:r w:rsidRPr="001253BE">
              <w:rPr>
                <w:rFonts w:ascii="Times New Roman" w:eastAsia="Times New Roman" w:hAnsi="Times New Roman" w:cs="Times New Roman"/>
                <w:b/>
                <w:bCs/>
                <w:color w:val="000000"/>
                <w:kern w:val="0"/>
                <w:sz w:val="20"/>
                <w:szCs w:val="20"/>
                <w:lang w:val="en-IN" w:eastAsia="en-IN"/>
                <w14:ligatures w14:val="none"/>
              </w:rPr>
              <w:t>Exclusion</w:t>
            </w:r>
          </w:p>
        </w:tc>
        <w:tc>
          <w:tcPr>
            <w:tcW w:w="1211" w:type="dxa"/>
            <w:noWrap/>
            <w:hideMark/>
          </w:tcPr>
          <w:p w14:paraId="0CECC041"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9</w:t>
            </w:r>
          </w:p>
        </w:tc>
        <w:tc>
          <w:tcPr>
            <w:tcW w:w="10854" w:type="dxa"/>
            <w:hideMark/>
          </w:tcPr>
          <w:p w14:paraId="71983C8D"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(Letter OR Note OR Editorial OR Review OR "systematic review" OR "conference review" OR "clinical review" OR "case study" OR "case report" OR "short survey" OR "historical article" OR "meta-Analyses" OR "meta-Analysis")</w:t>
            </w:r>
          </w:p>
        </w:tc>
      </w:tr>
      <w:tr w:rsidR="00900CFE" w:rsidRPr="001253BE" w14:paraId="36A1023A" w14:textId="77777777" w:rsidTr="76D75D5C">
        <w:trPr>
          <w:trHeight w:val="297"/>
        </w:trPr>
        <w:tc>
          <w:tcPr>
            <w:tcW w:w="1468" w:type="dxa"/>
            <w:vMerge/>
            <w:hideMark/>
          </w:tcPr>
          <w:p w14:paraId="5DCF5C47"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7713F804"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10</w:t>
            </w:r>
          </w:p>
        </w:tc>
        <w:tc>
          <w:tcPr>
            <w:tcW w:w="10854" w:type="dxa"/>
            <w:hideMark/>
          </w:tcPr>
          <w:p w14:paraId="541EA4B1"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#4 AND #8 NOT #9</w:t>
            </w:r>
          </w:p>
        </w:tc>
      </w:tr>
      <w:tr w:rsidR="00900CFE" w:rsidRPr="001253BE" w14:paraId="50944575" w14:textId="77777777" w:rsidTr="76D75D5C">
        <w:trPr>
          <w:trHeight w:val="297"/>
        </w:trPr>
        <w:tc>
          <w:tcPr>
            <w:tcW w:w="1468" w:type="dxa"/>
            <w:vMerge w:val="restart"/>
            <w:hideMark/>
          </w:tcPr>
          <w:p w14:paraId="59DF426F" w14:textId="77777777" w:rsidR="00900CFE" w:rsidRPr="001253BE" w:rsidRDefault="00900CFE" w:rsidP="00176524">
            <w:pPr>
              <w:jc w:val="center"/>
              <w:rPr>
                <w:rFonts w:ascii="Times New Roman" w:eastAsia="Times New Roman" w:hAnsi="Times New Roman" w:cs="Times New Roman"/>
                <w:b/>
                <w:bCs/>
                <w:color w:val="000000"/>
                <w:kern w:val="0"/>
                <w:sz w:val="20"/>
                <w:szCs w:val="20"/>
                <w:lang w:val="en-IN" w:eastAsia="en-IN"/>
                <w14:ligatures w14:val="none"/>
              </w:rPr>
            </w:pPr>
            <w:r w:rsidRPr="001253BE">
              <w:rPr>
                <w:rFonts w:ascii="Times New Roman" w:eastAsia="Times New Roman" w:hAnsi="Times New Roman" w:cs="Times New Roman"/>
                <w:b/>
                <w:bCs/>
                <w:color w:val="000000"/>
                <w:kern w:val="0"/>
                <w:sz w:val="20"/>
                <w:szCs w:val="20"/>
                <w:lang w:val="en-IN" w:eastAsia="en-IN"/>
                <w14:ligatures w14:val="none"/>
              </w:rPr>
              <w:t>Limitations</w:t>
            </w:r>
          </w:p>
        </w:tc>
        <w:tc>
          <w:tcPr>
            <w:tcW w:w="1211" w:type="dxa"/>
            <w:noWrap/>
            <w:hideMark/>
          </w:tcPr>
          <w:p w14:paraId="65049495"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11</w:t>
            </w:r>
          </w:p>
        </w:tc>
        <w:tc>
          <w:tcPr>
            <w:tcW w:w="10854" w:type="dxa"/>
            <w:hideMark/>
          </w:tcPr>
          <w:p w14:paraId="7BC5066C" w14:textId="77777777" w:rsidR="00900CFE" w:rsidRPr="001253BE" w:rsidRDefault="00900CFE" w:rsidP="00176524">
            <w:pP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English[Language] OR Japanese[Language]</w:t>
            </w:r>
          </w:p>
        </w:tc>
      </w:tr>
      <w:tr w:rsidR="00900CFE" w:rsidRPr="001253BE" w14:paraId="3B4BC143" w14:textId="77777777" w:rsidTr="76D75D5C">
        <w:trPr>
          <w:trHeight w:val="297"/>
        </w:trPr>
        <w:tc>
          <w:tcPr>
            <w:tcW w:w="1468" w:type="dxa"/>
            <w:vMerge/>
            <w:hideMark/>
          </w:tcPr>
          <w:p w14:paraId="63398CD1"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31DC1CAC"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12</w:t>
            </w:r>
          </w:p>
        </w:tc>
        <w:tc>
          <w:tcPr>
            <w:tcW w:w="10854" w:type="dxa"/>
            <w:hideMark/>
          </w:tcPr>
          <w:p w14:paraId="6444B7CB" w14:textId="77777777" w:rsidR="00900CFE" w:rsidRPr="001253BE" w:rsidRDefault="00900CFE" w:rsidP="76D75D5C">
            <w:pPr>
              <w:rPr>
                <w:rFonts w:ascii="Times New Roman" w:eastAsia="Times New Roman" w:hAnsi="Times New Roman" w:cs="Times New Roman"/>
                <w:color w:val="000000"/>
                <w:kern w:val="0"/>
                <w:sz w:val="20"/>
                <w:szCs w:val="20"/>
                <w:lang w:eastAsia="en-IN"/>
                <w14:ligatures w14:val="none"/>
              </w:rPr>
            </w:pPr>
            <w:r w:rsidRPr="76D75D5C">
              <w:rPr>
                <w:rFonts w:ascii="Times New Roman" w:eastAsia="Times New Roman" w:hAnsi="Times New Roman" w:cs="Times New Roman"/>
                <w:color w:val="000000"/>
                <w:kern w:val="0"/>
                <w:sz w:val="20"/>
                <w:szCs w:val="20"/>
                <w:lang w:eastAsia="en-IN"/>
                <w14:ligatures w14:val="none"/>
              </w:rPr>
              <w:t>"2021/01/01"[Date - Publication] : "3000"[Date - Publication]</w:t>
            </w:r>
          </w:p>
        </w:tc>
      </w:tr>
      <w:tr w:rsidR="00900CFE" w:rsidRPr="001253BE" w14:paraId="2D10757B" w14:textId="77777777" w:rsidTr="76D75D5C">
        <w:trPr>
          <w:trHeight w:val="297"/>
        </w:trPr>
        <w:tc>
          <w:tcPr>
            <w:tcW w:w="1468" w:type="dxa"/>
            <w:vMerge/>
            <w:hideMark/>
          </w:tcPr>
          <w:p w14:paraId="6441EB00" w14:textId="77777777" w:rsidR="00900CFE" w:rsidRPr="001253BE" w:rsidRDefault="00900CFE" w:rsidP="00176524">
            <w:pPr>
              <w:rPr>
                <w:rFonts w:ascii="Times New Roman" w:eastAsia="Times New Roman" w:hAnsi="Times New Roman" w:cs="Times New Roman"/>
                <w:b/>
                <w:bCs/>
                <w:color w:val="000000"/>
                <w:kern w:val="0"/>
                <w:sz w:val="20"/>
                <w:szCs w:val="20"/>
                <w:lang w:val="en-IN" w:eastAsia="en-IN"/>
                <w14:ligatures w14:val="none"/>
              </w:rPr>
            </w:pPr>
          </w:p>
        </w:tc>
        <w:tc>
          <w:tcPr>
            <w:tcW w:w="1211" w:type="dxa"/>
            <w:noWrap/>
            <w:hideMark/>
          </w:tcPr>
          <w:p w14:paraId="4FE139AA" w14:textId="77777777" w:rsidR="00900CFE" w:rsidRPr="001253BE" w:rsidRDefault="00900CFE" w:rsidP="00176524">
            <w:pPr>
              <w:jc w:val="center"/>
              <w:rPr>
                <w:rFonts w:ascii="Times New Roman" w:eastAsia="Times New Roman" w:hAnsi="Times New Roman" w:cs="Times New Roman"/>
                <w:color w:val="3F4344"/>
                <w:kern w:val="0"/>
                <w:sz w:val="20"/>
                <w:szCs w:val="20"/>
                <w:lang w:val="en-IN" w:eastAsia="en-IN"/>
                <w14:ligatures w14:val="none"/>
              </w:rPr>
            </w:pPr>
            <w:r w:rsidRPr="001253BE">
              <w:rPr>
                <w:rFonts w:ascii="Times New Roman" w:eastAsia="Times New Roman" w:hAnsi="Times New Roman" w:cs="Times New Roman"/>
                <w:color w:val="3F4344"/>
                <w:kern w:val="0"/>
                <w:sz w:val="20"/>
                <w:szCs w:val="20"/>
                <w:lang w:val="en-IN" w:eastAsia="en-IN"/>
                <w14:ligatures w14:val="none"/>
              </w:rPr>
              <w:t>14</w:t>
            </w:r>
          </w:p>
        </w:tc>
        <w:tc>
          <w:tcPr>
            <w:tcW w:w="10854" w:type="dxa"/>
            <w:hideMark/>
          </w:tcPr>
          <w:p w14:paraId="0E6E005C" w14:textId="77777777" w:rsidR="00900CFE" w:rsidRPr="001253BE" w:rsidRDefault="00900CFE" w:rsidP="00176524">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 AND #11 AND #12</w:t>
            </w:r>
          </w:p>
        </w:tc>
      </w:tr>
    </w:tbl>
    <w:p w14:paraId="169314CA" w14:textId="77777777" w:rsidR="00900CFE" w:rsidRDefault="00900CFE" w:rsidP="001253BE">
      <w:pPr>
        <w:spacing w:after="0" w:line="240" w:lineRule="auto"/>
        <w:rPr>
          <w:rFonts w:ascii="Times New Roman" w:hAnsi="Times New Roman" w:cs="Times New Roman"/>
          <w:sz w:val="20"/>
          <w:szCs w:val="20"/>
          <w:lang w:val="en-US"/>
        </w:rPr>
      </w:pPr>
    </w:p>
    <w:p w14:paraId="692699E8" w14:textId="77777777" w:rsidR="007E582D" w:rsidRPr="001253BE" w:rsidRDefault="007E582D" w:rsidP="001253BE">
      <w:pPr>
        <w:spacing w:after="0" w:line="240" w:lineRule="auto"/>
        <w:rPr>
          <w:rFonts w:ascii="Times New Roman" w:hAnsi="Times New Roman" w:cs="Times New Roman"/>
          <w:sz w:val="20"/>
          <w:szCs w:val="20"/>
          <w:lang w:val="en-US"/>
        </w:rPr>
      </w:pPr>
    </w:p>
    <w:p w14:paraId="76B411B2" w14:textId="77777777" w:rsidR="00794793" w:rsidRPr="001253BE" w:rsidRDefault="00794793" w:rsidP="001253BE">
      <w:pPr>
        <w:spacing w:after="0" w:line="240" w:lineRule="auto"/>
        <w:rPr>
          <w:rFonts w:ascii="Times New Roman" w:hAnsi="Times New Roman" w:cs="Times New Roman"/>
          <w:sz w:val="20"/>
          <w:szCs w:val="20"/>
          <w:lang w:val="en-US"/>
        </w:rPr>
      </w:pPr>
    </w:p>
    <w:p w14:paraId="5F593B4F" w14:textId="4875B2AA" w:rsidR="00AC231A" w:rsidRDefault="001B5150" w:rsidP="001253BE">
      <w:pPr>
        <w:spacing w:after="0" w:line="240" w:lineRule="auto"/>
        <w:rPr>
          <w:rFonts w:ascii="Times New Roman" w:hAnsi="Times New Roman" w:cs="Times New Roman"/>
          <w:sz w:val="20"/>
          <w:szCs w:val="20"/>
          <w:lang w:val="en-US"/>
        </w:rPr>
      </w:pPr>
      <w:r w:rsidRPr="00FE730B">
        <w:rPr>
          <w:rFonts w:ascii="Times New Roman" w:hAnsi="Times New Roman" w:cs="Times New Roman"/>
          <w:sz w:val="20"/>
          <w:szCs w:val="20"/>
          <w:lang w:val="en-US"/>
        </w:rPr>
        <w:t>Table S</w:t>
      </w:r>
      <w:r>
        <w:rPr>
          <w:rFonts w:ascii="Times New Roman" w:hAnsi="Times New Roman" w:cs="Times New Roman"/>
          <w:sz w:val="20"/>
          <w:szCs w:val="20"/>
          <w:lang w:val="en-US"/>
        </w:rPr>
        <w:t>3</w:t>
      </w:r>
      <w:r w:rsidRPr="00FE730B">
        <w:rPr>
          <w:rFonts w:ascii="Times New Roman" w:hAnsi="Times New Roman" w:cs="Times New Roman"/>
          <w:sz w:val="20"/>
          <w:szCs w:val="20"/>
          <w:lang w:val="en-US"/>
        </w:rPr>
        <w:t xml:space="preserve">: </w:t>
      </w:r>
      <w:r>
        <w:rPr>
          <w:rFonts w:ascii="Times New Roman" w:hAnsi="Times New Roman" w:cs="Times New Roman"/>
          <w:sz w:val="20"/>
          <w:szCs w:val="20"/>
          <w:lang w:val="en-US"/>
        </w:rPr>
        <w:t>Pre-defined e</w:t>
      </w:r>
      <w:r w:rsidRPr="00FE730B">
        <w:rPr>
          <w:rFonts w:ascii="Times New Roman" w:hAnsi="Times New Roman" w:cs="Times New Roman"/>
          <w:sz w:val="20"/>
          <w:szCs w:val="20"/>
          <w:lang w:val="en-US"/>
        </w:rPr>
        <w:t>ligibility criteria for</w:t>
      </w:r>
      <w:r>
        <w:rPr>
          <w:rFonts w:ascii="Times New Roman" w:hAnsi="Times New Roman" w:cs="Times New Roman"/>
          <w:sz w:val="20"/>
          <w:szCs w:val="20"/>
          <w:lang w:val="en-US"/>
        </w:rPr>
        <w:t xml:space="preserve"> screening of</w:t>
      </w:r>
      <w:r w:rsidRPr="00FE730B">
        <w:rPr>
          <w:rFonts w:ascii="Times New Roman" w:hAnsi="Times New Roman" w:cs="Times New Roman"/>
          <w:sz w:val="20"/>
          <w:szCs w:val="20"/>
          <w:lang w:val="en-US"/>
        </w:rPr>
        <w:t xml:space="preserve"> identified studies from the literature search</w:t>
      </w:r>
    </w:p>
    <w:p w14:paraId="6466CE4C" w14:textId="77777777" w:rsidR="00AC231A" w:rsidRDefault="00AC231A" w:rsidP="001253BE">
      <w:pPr>
        <w:spacing w:after="0" w:line="24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3166"/>
        <w:gridCol w:w="2925"/>
        <w:gridCol w:w="2925"/>
      </w:tblGrid>
      <w:tr w:rsidR="003F17BC" w14:paraId="362BC82C" w14:textId="77777777" w:rsidTr="00176524">
        <w:tc>
          <w:tcPr>
            <w:tcW w:w="3166" w:type="dxa"/>
          </w:tcPr>
          <w:p w14:paraId="0EB829E2" w14:textId="77777777" w:rsidR="003F17BC" w:rsidRPr="00F91EE7" w:rsidRDefault="003F17BC" w:rsidP="00176524">
            <w:pPr>
              <w:jc w:val="center"/>
              <w:rPr>
                <w:rFonts w:ascii="Times New Roman" w:hAnsi="Times New Roman" w:cs="Times New Roman"/>
                <w:b/>
                <w:bCs/>
                <w:sz w:val="20"/>
                <w:szCs w:val="20"/>
                <w:lang w:val="en-US"/>
              </w:rPr>
            </w:pPr>
            <w:r w:rsidRPr="00F91EE7">
              <w:rPr>
                <w:rFonts w:ascii="Times New Roman" w:hAnsi="Times New Roman" w:cs="Times New Roman"/>
                <w:b/>
                <w:bCs/>
                <w:sz w:val="20"/>
                <w:szCs w:val="20"/>
                <w:lang w:val="en-US"/>
              </w:rPr>
              <w:t>Criteria</w:t>
            </w:r>
          </w:p>
        </w:tc>
        <w:tc>
          <w:tcPr>
            <w:tcW w:w="2925" w:type="dxa"/>
          </w:tcPr>
          <w:p w14:paraId="4A2B75D4" w14:textId="77777777" w:rsidR="003F17BC" w:rsidRPr="00F91EE7" w:rsidRDefault="003F17BC" w:rsidP="00176524">
            <w:pPr>
              <w:jc w:val="center"/>
              <w:rPr>
                <w:rFonts w:ascii="Times New Roman" w:hAnsi="Times New Roman" w:cs="Times New Roman"/>
                <w:b/>
                <w:bCs/>
                <w:sz w:val="20"/>
                <w:szCs w:val="20"/>
                <w:lang w:val="en-US"/>
              </w:rPr>
            </w:pPr>
            <w:r w:rsidRPr="00F91EE7">
              <w:rPr>
                <w:rFonts w:ascii="Times New Roman" w:hAnsi="Times New Roman" w:cs="Times New Roman"/>
                <w:b/>
                <w:bCs/>
                <w:sz w:val="20"/>
                <w:szCs w:val="20"/>
                <w:lang w:val="en-US"/>
              </w:rPr>
              <w:t>Include</w:t>
            </w:r>
          </w:p>
        </w:tc>
        <w:tc>
          <w:tcPr>
            <w:tcW w:w="2925" w:type="dxa"/>
          </w:tcPr>
          <w:p w14:paraId="00541EBC" w14:textId="77777777" w:rsidR="003F17BC" w:rsidRPr="00F91EE7" w:rsidRDefault="003F17BC" w:rsidP="00176524">
            <w:pPr>
              <w:jc w:val="center"/>
              <w:rPr>
                <w:rFonts w:ascii="Times New Roman" w:hAnsi="Times New Roman" w:cs="Times New Roman"/>
                <w:b/>
                <w:bCs/>
                <w:sz w:val="20"/>
                <w:szCs w:val="20"/>
                <w:lang w:val="en-US"/>
              </w:rPr>
            </w:pPr>
            <w:r w:rsidRPr="00F91EE7">
              <w:rPr>
                <w:rFonts w:ascii="Times New Roman" w:hAnsi="Times New Roman" w:cs="Times New Roman"/>
                <w:b/>
                <w:bCs/>
                <w:sz w:val="20"/>
                <w:szCs w:val="20"/>
                <w:lang w:val="en-US"/>
              </w:rPr>
              <w:t>Exclude</w:t>
            </w:r>
          </w:p>
        </w:tc>
      </w:tr>
      <w:tr w:rsidR="003F17BC" w14:paraId="61B7F93F" w14:textId="77777777" w:rsidTr="00176524">
        <w:tc>
          <w:tcPr>
            <w:tcW w:w="3166" w:type="dxa"/>
          </w:tcPr>
          <w:p w14:paraId="48AB0A77" w14:textId="77777777" w:rsidR="003F17BC" w:rsidRPr="00246A25" w:rsidRDefault="003F17BC" w:rsidP="00176524">
            <w:pPr>
              <w:rPr>
                <w:rFonts w:ascii="Times New Roman" w:hAnsi="Times New Roman" w:cs="Times New Roman"/>
                <w:b/>
                <w:bCs/>
                <w:sz w:val="20"/>
                <w:szCs w:val="20"/>
                <w:lang w:val="en-US"/>
              </w:rPr>
            </w:pPr>
            <w:r w:rsidRPr="00246A25">
              <w:rPr>
                <w:rFonts w:ascii="Times New Roman" w:hAnsi="Times New Roman" w:cs="Times New Roman"/>
                <w:b/>
                <w:bCs/>
                <w:sz w:val="20"/>
                <w:szCs w:val="20"/>
                <w:lang w:val="en-US"/>
              </w:rPr>
              <w:t>Article type</w:t>
            </w:r>
          </w:p>
        </w:tc>
        <w:tc>
          <w:tcPr>
            <w:tcW w:w="2925" w:type="dxa"/>
          </w:tcPr>
          <w:p w14:paraId="64BD4E38"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Original research study including human population (eg: RCTs, any prospective or retrospective studies, cross-sectional studies)</w:t>
            </w:r>
          </w:p>
        </w:tc>
        <w:tc>
          <w:tcPr>
            <w:tcW w:w="2925" w:type="dxa"/>
          </w:tcPr>
          <w:p w14:paraId="4D6EB620" w14:textId="77777777" w:rsidR="003F17BC" w:rsidRPr="00A97BB7" w:rsidRDefault="003F17BC" w:rsidP="00176524">
            <w:pPr>
              <w:rPr>
                <w:rFonts w:ascii="Times New Roman" w:hAnsi="Times New Roman" w:cs="Times New Roman"/>
                <w:sz w:val="20"/>
                <w:szCs w:val="20"/>
              </w:rPr>
            </w:pPr>
            <w:r w:rsidRPr="00A97BB7">
              <w:rPr>
                <w:rFonts w:ascii="Times New Roman" w:hAnsi="Times New Roman" w:cs="Times New Roman"/>
                <w:sz w:val="20"/>
                <w:szCs w:val="20"/>
                <w:lang w:val="en-US"/>
              </w:rPr>
              <w:t xml:space="preserve">Study populations or subgroups including non-human population, Not </w:t>
            </w:r>
            <w:r>
              <w:rPr>
                <w:rFonts w:ascii="Times New Roman" w:hAnsi="Times New Roman" w:cs="Times New Roman"/>
                <w:sz w:val="20"/>
                <w:szCs w:val="20"/>
                <w:lang w:val="en-US"/>
              </w:rPr>
              <w:t xml:space="preserve">a </w:t>
            </w:r>
            <w:r w:rsidRPr="00A97BB7">
              <w:rPr>
                <w:rFonts w:ascii="Times New Roman" w:hAnsi="Times New Roman" w:cs="Times New Roman"/>
                <w:sz w:val="20"/>
                <w:szCs w:val="20"/>
                <w:lang w:val="en-US"/>
              </w:rPr>
              <w:t xml:space="preserve">original research study (e.g., reviews, commentaries, </w:t>
            </w:r>
          </w:p>
          <w:p w14:paraId="2B4DC62A" w14:textId="77777777" w:rsidR="003F17BC" w:rsidRPr="00A97BB7" w:rsidRDefault="003F17BC" w:rsidP="00176524">
            <w:pPr>
              <w:rPr>
                <w:rFonts w:ascii="Times New Roman" w:hAnsi="Times New Roman" w:cs="Times New Roman"/>
                <w:sz w:val="20"/>
                <w:szCs w:val="20"/>
                <w:lang w:val="en-US"/>
              </w:rPr>
            </w:pPr>
            <w:r w:rsidRPr="00A97BB7">
              <w:rPr>
                <w:rFonts w:ascii="Times New Roman" w:hAnsi="Times New Roman" w:cs="Times New Roman"/>
                <w:sz w:val="20"/>
                <w:szCs w:val="20"/>
                <w:lang w:val="en-US"/>
              </w:rPr>
              <w:t>and editorials)</w:t>
            </w:r>
          </w:p>
        </w:tc>
      </w:tr>
      <w:tr w:rsidR="003F17BC" w14:paraId="5028B6CE" w14:textId="77777777" w:rsidTr="00176524">
        <w:tc>
          <w:tcPr>
            <w:tcW w:w="3166" w:type="dxa"/>
          </w:tcPr>
          <w:p w14:paraId="69E1C45E" w14:textId="77777777" w:rsidR="003F17BC" w:rsidRPr="00246A25" w:rsidRDefault="003F17BC" w:rsidP="00176524">
            <w:pPr>
              <w:rPr>
                <w:rFonts w:ascii="Times New Roman" w:hAnsi="Times New Roman" w:cs="Times New Roman"/>
                <w:b/>
                <w:bCs/>
                <w:sz w:val="20"/>
                <w:szCs w:val="20"/>
                <w:lang w:val="en-US"/>
              </w:rPr>
            </w:pPr>
            <w:r w:rsidRPr="00246A25">
              <w:rPr>
                <w:rFonts w:ascii="Times New Roman" w:hAnsi="Times New Roman" w:cs="Times New Roman"/>
                <w:b/>
                <w:bCs/>
                <w:sz w:val="20"/>
                <w:szCs w:val="20"/>
                <w:lang w:val="en-US"/>
              </w:rPr>
              <w:t>Language</w:t>
            </w:r>
          </w:p>
        </w:tc>
        <w:tc>
          <w:tcPr>
            <w:tcW w:w="2925" w:type="dxa"/>
          </w:tcPr>
          <w:p w14:paraId="15374C3A" w14:textId="77777777" w:rsidR="003F17BC" w:rsidRPr="00A97BB7" w:rsidRDefault="003F17BC" w:rsidP="00176524">
            <w:pPr>
              <w:rPr>
                <w:rFonts w:ascii="Times New Roman" w:hAnsi="Times New Roman" w:cs="Times New Roman"/>
                <w:sz w:val="20"/>
                <w:szCs w:val="20"/>
                <w:lang w:val="en-US"/>
              </w:rPr>
            </w:pPr>
            <w:r w:rsidRPr="00A97BB7">
              <w:rPr>
                <w:rFonts w:ascii="Times New Roman" w:hAnsi="Times New Roman" w:cs="Times New Roman"/>
                <w:sz w:val="20"/>
                <w:szCs w:val="20"/>
                <w:lang w:val="en-US"/>
              </w:rPr>
              <w:t>Published in English or Japanese language</w:t>
            </w:r>
          </w:p>
        </w:tc>
        <w:tc>
          <w:tcPr>
            <w:tcW w:w="2925" w:type="dxa"/>
          </w:tcPr>
          <w:p w14:paraId="05740D23"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Other than English and Japanese language</w:t>
            </w:r>
          </w:p>
        </w:tc>
      </w:tr>
      <w:tr w:rsidR="003F17BC" w14:paraId="086B2EE6" w14:textId="77777777" w:rsidTr="00176524">
        <w:tc>
          <w:tcPr>
            <w:tcW w:w="3166" w:type="dxa"/>
          </w:tcPr>
          <w:p w14:paraId="44F9D46D" w14:textId="77777777" w:rsidR="003F17BC" w:rsidRPr="00246A25" w:rsidRDefault="003F17BC" w:rsidP="00176524">
            <w:pPr>
              <w:rPr>
                <w:rFonts w:ascii="Times New Roman" w:hAnsi="Times New Roman" w:cs="Times New Roman"/>
                <w:b/>
                <w:bCs/>
                <w:sz w:val="20"/>
                <w:szCs w:val="20"/>
                <w:lang w:val="en-US"/>
              </w:rPr>
            </w:pPr>
            <w:r w:rsidRPr="00246A25">
              <w:rPr>
                <w:rFonts w:ascii="Times New Roman" w:hAnsi="Times New Roman" w:cs="Times New Roman"/>
                <w:b/>
                <w:bCs/>
                <w:sz w:val="20"/>
                <w:szCs w:val="20"/>
                <w:lang w:val="en-US"/>
              </w:rPr>
              <w:t>Study design</w:t>
            </w:r>
          </w:p>
        </w:tc>
        <w:tc>
          <w:tcPr>
            <w:tcW w:w="2925" w:type="dxa"/>
          </w:tcPr>
          <w:p w14:paraId="3F574066"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Any type of economic analysis or e</w:t>
            </w:r>
            <w:r w:rsidRPr="00342A50">
              <w:rPr>
                <w:rFonts w:ascii="Times New Roman" w:hAnsi="Times New Roman" w:cs="Times New Roman"/>
                <w:sz w:val="20"/>
                <w:szCs w:val="20"/>
                <w:lang w:val="en-US"/>
              </w:rPr>
              <w:t>conomic evaluations, including but not limited to CEA, CUA, COI, cost-benefit</w:t>
            </w:r>
            <w:r>
              <w:rPr>
                <w:rFonts w:ascii="Times New Roman" w:hAnsi="Times New Roman" w:cs="Times New Roman"/>
                <w:sz w:val="20"/>
                <w:szCs w:val="20"/>
                <w:lang w:val="en-US"/>
              </w:rPr>
              <w:t xml:space="preserve"> analysis, </w:t>
            </w:r>
            <w:r w:rsidRPr="00AB73B1">
              <w:rPr>
                <w:rFonts w:ascii="Times New Roman" w:hAnsi="Times New Roman" w:cs="Times New Roman"/>
                <w:sz w:val="20"/>
                <w:szCs w:val="20"/>
                <w:lang w:val="en-US"/>
              </w:rPr>
              <w:t>cost-utility</w:t>
            </w:r>
            <w:r>
              <w:rPr>
                <w:rFonts w:ascii="Times New Roman" w:hAnsi="Times New Roman" w:cs="Times New Roman"/>
                <w:sz w:val="20"/>
                <w:szCs w:val="20"/>
                <w:lang w:val="en-US"/>
              </w:rPr>
              <w:t xml:space="preserve"> analysis</w:t>
            </w:r>
          </w:p>
        </w:tc>
        <w:tc>
          <w:tcPr>
            <w:tcW w:w="2925" w:type="dxa"/>
          </w:tcPr>
          <w:p w14:paraId="114E6AFD"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Not an economic evaluation</w:t>
            </w:r>
          </w:p>
        </w:tc>
      </w:tr>
      <w:tr w:rsidR="003F17BC" w14:paraId="5B57E8E7" w14:textId="77777777" w:rsidTr="00176524">
        <w:tc>
          <w:tcPr>
            <w:tcW w:w="3166" w:type="dxa"/>
          </w:tcPr>
          <w:p w14:paraId="12F2EFDF" w14:textId="77777777" w:rsidR="003F17BC" w:rsidRPr="00246A25" w:rsidRDefault="003F17BC" w:rsidP="00176524">
            <w:pPr>
              <w:rPr>
                <w:rFonts w:ascii="Times New Roman" w:hAnsi="Times New Roman" w:cs="Times New Roman"/>
                <w:b/>
                <w:bCs/>
                <w:sz w:val="20"/>
                <w:szCs w:val="20"/>
                <w:lang w:val="en-US"/>
              </w:rPr>
            </w:pPr>
            <w:r w:rsidRPr="00246A25">
              <w:rPr>
                <w:rFonts w:ascii="Times New Roman" w:hAnsi="Times New Roman" w:cs="Times New Roman"/>
                <w:b/>
                <w:bCs/>
                <w:sz w:val="20"/>
                <w:szCs w:val="20"/>
                <w:lang w:val="en-US"/>
              </w:rPr>
              <w:t>Outcomes</w:t>
            </w:r>
          </w:p>
        </w:tc>
        <w:tc>
          <w:tcPr>
            <w:tcW w:w="2925" w:type="dxa"/>
          </w:tcPr>
          <w:p w14:paraId="0CE8E7FA"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 xml:space="preserve">Study includes </w:t>
            </w:r>
            <w:r w:rsidRPr="00D70AA8">
              <w:rPr>
                <w:rFonts w:ascii="Times New Roman" w:hAnsi="Times New Roman" w:cs="Times New Roman"/>
                <w:sz w:val="20"/>
                <w:szCs w:val="20"/>
                <w:lang w:val="en-US"/>
              </w:rPr>
              <w:t xml:space="preserve">Different </w:t>
            </w:r>
            <w:r>
              <w:rPr>
                <w:rFonts w:ascii="Times New Roman" w:hAnsi="Times New Roman" w:cs="Times New Roman"/>
                <w:sz w:val="20"/>
                <w:szCs w:val="20"/>
                <w:lang w:val="en-US"/>
              </w:rPr>
              <w:t>aspects used to measure productivity in patients or caregivers</w:t>
            </w:r>
          </w:p>
        </w:tc>
        <w:tc>
          <w:tcPr>
            <w:tcW w:w="2925" w:type="dxa"/>
          </w:tcPr>
          <w:p w14:paraId="5E180A81"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No productivity measures were evaluated</w:t>
            </w:r>
          </w:p>
        </w:tc>
      </w:tr>
      <w:tr w:rsidR="003F17BC" w14:paraId="356DD9D6" w14:textId="77777777" w:rsidTr="00176524">
        <w:tc>
          <w:tcPr>
            <w:tcW w:w="3166" w:type="dxa"/>
          </w:tcPr>
          <w:p w14:paraId="568ED14A" w14:textId="77777777" w:rsidR="003F17BC" w:rsidRPr="00246A25" w:rsidRDefault="003F17BC" w:rsidP="00176524">
            <w:pPr>
              <w:rPr>
                <w:rFonts w:ascii="Times New Roman" w:hAnsi="Times New Roman" w:cs="Times New Roman"/>
                <w:b/>
                <w:bCs/>
                <w:sz w:val="20"/>
                <w:szCs w:val="20"/>
                <w:lang w:val="en-US"/>
              </w:rPr>
            </w:pPr>
            <w:r w:rsidRPr="00246A25">
              <w:rPr>
                <w:rFonts w:ascii="Times New Roman" w:hAnsi="Times New Roman" w:cs="Times New Roman"/>
                <w:b/>
                <w:bCs/>
                <w:sz w:val="20"/>
                <w:szCs w:val="20"/>
                <w:lang w:val="en-US"/>
              </w:rPr>
              <w:t>Tool/questionnaire to analyze productivity measures</w:t>
            </w:r>
          </w:p>
        </w:tc>
        <w:tc>
          <w:tcPr>
            <w:tcW w:w="2925" w:type="dxa"/>
          </w:tcPr>
          <w:p w14:paraId="3FFFE8E3" w14:textId="77777777" w:rsidR="003F17BC" w:rsidRPr="00A97BB7" w:rsidRDefault="003F17BC" w:rsidP="00176524">
            <w:pPr>
              <w:rPr>
                <w:rFonts w:ascii="Times New Roman" w:hAnsi="Times New Roman" w:cs="Times New Roman"/>
                <w:sz w:val="20"/>
                <w:szCs w:val="20"/>
                <w:lang w:val="en-US"/>
              </w:rPr>
            </w:pPr>
            <w:r>
              <w:rPr>
                <w:rFonts w:ascii="Times New Roman" w:hAnsi="Times New Roman" w:cs="Times New Roman"/>
                <w:sz w:val="20"/>
                <w:szCs w:val="20"/>
                <w:lang w:val="en-US"/>
              </w:rPr>
              <w:t>Productivity was measured using a tool/questionnaire (eg: WPAI, survey questionnaire)</w:t>
            </w:r>
          </w:p>
        </w:tc>
        <w:tc>
          <w:tcPr>
            <w:tcW w:w="2925" w:type="dxa"/>
          </w:tcPr>
          <w:p w14:paraId="5796209C" w14:textId="77777777" w:rsidR="003F17BC" w:rsidRPr="00A97BB7" w:rsidRDefault="003F17BC" w:rsidP="00176524">
            <w:pPr>
              <w:rPr>
                <w:rFonts w:ascii="Times New Roman" w:hAnsi="Times New Roman" w:cs="Times New Roman"/>
                <w:sz w:val="20"/>
                <w:szCs w:val="20"/>
                <w:lang w:val="en-US"/>
              </w:rPr>
            </w:pPr>
            <w:r w:rsidRPr="004000E0">
              <w:rPr>
                <w:rFonts w:ascii="Times New Roman" w:hAnsi="Times New Roman" w:cs="Times New Roman"/>
                <w:sz w:val="20"/>
                <w:szCs w:val="20"/>
                <w:lang w:val="en-US"/>
              </w:rPr>
              <w:t>No tool/questionnaire used to analyze productivity measures</w:t>
            </w:r>
          </w:p>
        </w:tc>
      </w:tr>
    </w:tbl>
    <w:p w14:paraId="7AEFDB9E" w14:textId="77777777" w:rsidR="00AC231A" w:rsidRPr="00E13D26" w:rsidRDefault="00AC231A" w:rsidP="001253BE">
      <w:pPr>
        <w:spacing w:after="0" w:line="240" w:lineRule="auto"/>
        <w:rPr>
          <w:rFonts w:ascii="Times New Roman" w:hAnsi="Times New Roman" w:cs="Times New Roman"/>
          <w:sz w:val="20"/>
          <w:szCs w:val="20"/>
        </w:rPr>
      </w:pPr>
    </w:p>
    <w:p w14:paraId="16705583" w14:textId="77777777" w:rsidR="009038C3" w:rsidRDefault="009038C3">
      <w:pPr>
        <w:rPr>
          <w:rFonts w:ascii="Times New Roman" w:hAnsi="Times New Roman" w:cs="Times New Roman"/>
        </w:rPr>
      </w:pPr>
      <w:r>
        <w:rPr>
          <w:rFonts w:ascii="Times New Roman" w:hAnsi="Times New Roman" w:cs="Times New Roman"/>
        </w:rPr>
        <w:br w:type="page"/>
      </w:r>
    </w:p>
    <w:p w14:paraId="3C347ABC" w14:textId="5EAFB99B" w:rsidR="00EC6BBE" w:rsidRPr="00BD440B" w:rsidRDefault="00EC6BBE" w:rsidP="00EC6BBE">
      <w:pPr>
        <w:rPr>
          <w:rFonts w:ascii="Times New Roman" w:hAnsi="Times New Roman" w:cs="Times New Roman"/>
          <w:lang w:val="en-US"/>
        </w:rPr>
      </w:pPr>
      <w:r w:rsidRPr="00BD440B">
        <w:rPr>
          <w:rFonts w:ascii="Times New Roman" w:hAnsi="Times New Roman" w:cs="Times New Roman"/>
          <w:lang w:val="en-US"/>
        </w:rPr>
        <w:lastRenderedPageBreak/>
        <w:t>Table S4: Description of the data extraction variables</w:t>
      </w:r>
    </w:p>
    <w:tbl>
      <w:tblPr>
        <w:tblW w:w="14034" w:type="dxa"/>
        <w:tblCellMar>
          <w:left w:w="0" w:type="dxa"/>
          <w:right w:w="0" w:type="dxa"/>
        </w:tblCellMar>
        <w:tblLook w:val="0600" w:firstRow="0" w:lastRow="0" w:firstColumn="0" w:lastColumn="0" w:noHBand="1" w:noVBand="1"/>
      </w:tblPr>
      <w:tblGrid>
        <w:gridCol w:w="1988"/>
        <w:gridCol w:w="2784"/>
        <w:gridCol w:w="9262"/>
      </w:tblGrid>
      <w:tr w:rsidR="00E44891" w:rsidRPr="00A60E81" w14:paraId="7A756888" w14:textId="77777777" w:rsidTr="00176524">
        <w:trPr>
          <w:trHeight w:val="170"/>
        </w:trPr>
        <w:tc>
          <w:tcPr>
            <w:tcW w:w="1988"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E10D46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Data section</w:t>
            </w: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6B1838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Data variable Name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30ED104"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Data variable description</w:t>
            </w:r>
          </w:p>
        </w:tc>
      </w:tr>
      <w:tr w:rsidR="00E44891" w:rsidRPr="00A60E81" w14:paraId="63E2A384" w14:textId="77777777" w:rsidTr="00176524">
        <w:trPr>
          <w:trHeight w:val="175"/>
        </w:trPr>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53820B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Publication details</w:t>
            </w: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54B06BC"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SLR No</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A4E2B5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Internal reference number assigned to the reference in the screening sheet</w:t>
            </w:r>
          </w:p>
        </w:tc>
      </w:tr>
      <w:tr w:rsidR="00E44891" w:rsidRPr="00A60E81" w14:paraId="0219595C"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7EE27"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D67F090"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Study Name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784861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Name of the study to be derived as first author_publication year</w:t>
            </w:r>
          </w:p>
        </w:tc>
      </w:tr>
      <w:tr w:rsidR="00E44891" w:rsidRPr="00A60E81" w14:paraId="58019670"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85BD98"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2C73947"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PubMed ID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FED271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PubMed ID if available</w:t>
            </w:r>
          </w:p>
        </w:tc>
      </w:tr>
      <w:tr w:rsidR="00E44891" w:rsidRPr="00A60E81" w14:paraId="0BBA8D65"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534E8"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CFB898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Title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8D8442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Title of the reference</w:t>
            </w:r>
          </w:p>
        </w:tc>
      </w:tr>
      <w:tr w:rsidR="00E44891" w:rsidRPr="00A60E81" w14:paraId="313D3C91"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CF0248"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6974C8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Authors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5600F7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List of all authors of the publication</w:t>
            </w:r>
          </w:p>
        </w:tc>
      </w:tr>
      <w:tr w:rsidR="00E44891" w:rsidRPr="00A60E81" w14:paraId="0092822A"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494A57"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7B59FE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Published Year</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DC458E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Year in which the reference is published</w:t>
            </w:r>
          </w:p>
        </w:tc>
      </w:tr>
      <w:tr w:rsidR="00E44891" w:rsidRPr="00A60E81" w14:paraId="5B571F2E"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98313E"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CA5E2E7"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Journal Name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2FE92E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Name of the journal in which the reference is published</w:t>
            </w:r>
          </w:p>
        </w:tc>
      </w:tr>
      <w:tr w:rsidR="00E44891" w:rsidRPr="00A60E81" w14:paraId="2F70D658"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4117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C2DB47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Volume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0718E67"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Volume of the journal</w:t>
            </w:r>
          </w:p>
        </w:tc>
      </w:tr>
      <w:tr w:rsidR="00E44891" w:rsidRPr="00A60E81" w14:paraId="69CA04AB"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DBA80B"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3CA58B6"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Issue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4B9DFC4"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Issue of the journal</w:t>
            </w:r>
          </w:p>
        </w:tc>
      </w:tr>
      <w:tr w:rsidR="00E44891" w:rsidRPr="00A60E81" w14:paraId="492A0AFE"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22033E"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1E3234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Pages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1CE79F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Page nos. of the reference published in the journal</w:t>
            </w:r>
          </w:p>
        </w:tc>
      </w:tr>
      <w:tr w:rsidR="00E44891" w:rsidRPr="00A60E81" w14:paraId="7991328F" w14:textId="77777777" w:rsidTr="00176524">
        <w:trPr>
          <w:trHeight w:val="170"/>
        </w:trPr>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CF47B53"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Study details</w:t>
            </w: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A2C232C"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Country</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A4E514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country(s) in which the study is conducted</w:t>
            </w:r>
          </w:p>
        </w:tc>
      </w:tr>
      <w:tr w:rsidR="00E44891" w:rsidRPr="00A60E81" w14:paraId="3AFF80F9"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4D9E5F"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6C1774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Funding source Type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708E32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Type of the sponsor (Pharma/Non-Pharma)</w:t>
            </w:r>
          </w:p>
        </w:tc>
      </w:tr>
      <w:tr w:rsidR="00E44891" w:rsidRPr="00A60E81" w14:paraId="2B032267"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03AB91"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2D9D51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Funding source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9D066C3"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Include 'Academic' or 'Government'</w:t>
            </w:r>
          </w:p>
        </w:tc>
      </w:tr>
      <w:tr w:rsidR="00E44891" w:rsidRPr="00A60E81" w14:paraId="553B583D"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4BA1E9"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1A8F2EF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Study year</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20A03A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Study start and end year (2007 to 2013, 2017+…...)</w:t>
            </w:r>
          </w:p>
        </w:tc>
      </w:tr>
      <w:tr w:rsidR="00E44891" w:rsidRPr="00A60E81" w14:paraId="7BDCC3A2"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B500F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1AF1F3CC"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Economic analysis type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F228F3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Type of the economic analysis (CUA/CEA/COI)</w:t>
            </w:r>
          </w:p>
        </w:tc>
      </w:tr>
      <w:tr w:rsidR="00E44891" w:rsidRPr="00A60E81" w14:paraId="0985699A"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4A26D2"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AC021A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Study design</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7D6E11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RCT/Prospective/Retrospective/Cross-sectional</w:t>
            </w:r>
          </w:p>
        </w:tc>
      </w:tr>
      <w:tr w:rsidR="00E44891" w:rsidRPr="00A60E81" w14:paraId="20C14EC3" w14:textId="77777777" w:rsidTr="00176524">
        <w:trPr>
          <w:trHeight w:val="18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0E86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154F83E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Study Perspective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6839394"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The view-point of the study as reported (societal/health care/payer/patient/hospital/employer)</w:t>
            </w:r>
          </w:p>
        </w:tc>
      </w:tr>
      <w:tr w:rsidR="00E44891" w:rsidRPr="00A60E81" w14:paraId="599A6C6B" w14:textId="77777777" w:rsidTr="00176524">
        <w:trPr>
          <w:trHeight w:val="18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F758F2"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61C080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Time horizon</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C6D567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The duration over which health outcomes and costs are calculated (Usually the study duration)</w:t>
            </w:r>
          </w:p>
        </w:tc>
      </w:tr>
      <w:tr w:rsidR="00E44891" w:rsidRPr="00A60E81" w14:paraId="03AD9BD5"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3E1B44"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DA8C3BD"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Therapeutic area</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E6A00CD"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Disease area of interest of the study</w:t>
            </w:r>
          </w:p>
        </w:tc>
      </w:tr>
      <w:tr w:rsidR="00E44891" w:rsidRPr="00A60E81" w14:paraId="32B1C9E0" w14:textId="77777777" w:rsidTr="00176524">
        <w:trPr>
          <w:trHeight w:val="17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3FE85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CC005CD"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Interventions and comparators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DAB60E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 xml:space="preserve">Primary and comparator treatment of the study represented as I: AND C: </w:t>
            </w:r>
          </w:p>
        </w:tc>
      </w:tr>
      <w:tr w:rsidR="00E44891" w:rsidRPr="00A60E81" w14:paraId="5C25E977"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9A5A55"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188656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Patient / Caregiver</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8A77AFC"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Population of interest (Patient/Caregiver)</w:t>
            </w:r>
          </w:p>
        </w:tc>
      </w:tr>
      <w:tr w:rsidR="00E44891" w:rsidRPr="00A60E81" w14:paraId="78DB1D5E"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7A64DB"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37BEB3E"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Age of respondents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3FC8084"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Age of the population included in the study</w:t>
            </w:r>
          </w:p>
        </w:tc>
      </w:tr>
      <w:tr w:rsidR="00E44891" w:rsidRPr="00A60E81" w14:paraId="03E8598D"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02A20D"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50F8CC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 of female respondents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098E07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 female population included in the study</w:t>
            </w:r>
          </w:p>
        </w:tc>
      </w:tr>
      <w:tr w:rsidR="00E44891" w:rsidRPr="00A60E81" w14:paraId="1EF12EDB" w14:textId="77777777" w:rsidTr="00176524">
        <w:trPr>
          <w:trHeight w:val="185"/>
        </w:trPr>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3C036A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lastRenderedPageBreak/>
              <w:t>Instrument details</w:t>
            </w: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FFDDED2"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Measurement instrument</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95A0EA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Name of tool/instrument/questionnaire/survey used to evaluate productivity measures of the study population</w:t>
            </w:r>
          </w:p>
        </w:tc>
      </w:tr>
      <w:tr w:rsidR="00E44891" w:rsidRPr="00A60E81" w14:paraId="0FF48252" w14:textId="77777777" w:rsidTr="00176524">
        <w:trPr>
          <w:trHeight w:val="24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9F49A6"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AD920B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Measurement instrument (abbreviated form)</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6C9349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Abbreviation of the tool/instrument/questionnaire/survey</w:t>
            </w:r>
          </w:p>
        </w:tc>
      </w:tr>
      <w:tr w:rsidR="00E44891" w:rsidRPr="00A60E81" w14:paraId="35A88426"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82D0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0232F1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Full instrument used?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0D27A3E"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Is full instrument used? (Yes/No/NA)</w:t>
            </w:r>
          </w:p>
        </w:tc>
      </w:tr>
      <w:tr w:rsidR="00E44891" w:rsidRPr="00A60E81" w14:paraId="2C372785"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E287AA"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97B40C7"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Version</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870D8B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Version of the instrument used (1.0, 2.0, modified, …)</w:t>
            </w:r>
          </w:p>
        </w:tc>
      </w:tr>
      <w:tr w:rsidR="00E44891" w:rsidRPr="00A60E81" w14:paraId="3CF5D7B7"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3EBE3"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AAD43B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Instrument validated?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40CDFE3"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Yes if the instrument is reliable or validated</w:t>
            </w:r>
          </w:p>
        </w:tc>
      </w:tr>
      <w:tr w:rsidR="00E44891" w:rsidRPr="00A60E81" w14:paraId="230BF226"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614F9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636171D"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Numeric scale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421782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numeric scale used (1-10, 1-5…..)</w:t>
            </w:r>
          </w:p>
        </w:tc>
      </w:tr>
      <w:tr w:rsidR="00E44891" w:rsidRPr="00A60E81" w14:paraId="5272605B" w14:textId="77777777" w:rsidTr="00176524">
        <w:trPr>
          <w:trHeight w:val="18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555E32"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120B551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Mode of administration</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7CC44A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Mode of administration of the instrument (Self-report by patient/Interview of patient/Interview of caregiver)</w:t>
            </w:r>
          </w:p>
        </w:tc>
      </w:tr>
      <w:tr w:rsidR="00E44891" w:rsidRPr="00A60E81" w14:paraId="05965203"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E76AEA"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0FD3D0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Focus of application</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E1BA503"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Focus of application of the instrument (Disease specific/Generic)</w:t>
            </w:r>
          </w:p>
        </w:tc>
      </w:tr>
      <w:tr w:rsidR="00E44891" w:rsidRPr="00A60E81" w14:paraId="1B5B26EA"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5028C"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0CF9D4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Number of items (total)</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7D2C1A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Total no. of items/components of the instrument</w:t>
            </w:r>
          </w:p>
        </w:tc>
      </w:tr>
      <w:tr w:rsidR="00E44891" w:rsidRPr="00A60E81" w14:paraId="73442306" w14:textId="77777777" w:rsidTr="00176524">
        <w:trPr>
          <w:trHeight w:val="189"/>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F0A84A"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574EB16"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Number of items (productivity measures)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16B7A6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No. of items/components of the instrument related to productivity measures</w:t>
            </w:r>
          </w:p>
        </w:tc>
      </w:tr>
      <w:tr w:rsidR="00E44891" w:rsidRPr="00A60E81" w14:paraId="6E3ED9FB" w14:textId="77777777" w:rsidTr="00176524">
        <w:trPr>
          <w:trHeight w:val="237"/>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009A50"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A2CAFB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Productivity components assessed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F5E430B"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productivity components/cost elements measured using the instrument (Presenteeism, absenteeism, retirement, unemployment, Mortality….)</w:t>
            </w:r>
          </w:p>
        </w:tc>
      </w:tr>
      <w:tr w:rsidR="00E44891" w:rsidRPr="00A60E81" w14:paraId="563802C7" w14:textId="77777777" w:rsidTr="00176524">
        <w:trPr>
          <w:trHeight w:val="261"/>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3D5BFB"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8FE984E"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Labor measure used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A25C65F"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Labor measure used to assess the productivity component (Average wage, Daily wage, hourly wage, mean salaries…)</w:t>
            </w:r>
          </w:p>
        </w:tc>
      </w:tr>
      <w:tr w:rsidR="00E44891" w:rsidRPr="00A60E81" w14:paraId="2ADE676D"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CF6515"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865B9D5"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Languages available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51970D1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language(s) in which the instrument is available</w:t>
            </w:r>
          </w:p>
        </w:tc>
      </w:tr>
      <w:tr w:rsidR="00E44891" w:rsidRPr="00A60E81" w14:paraId="549C9758"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32974A"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7CE2D1CA"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Available online?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24971F68"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Is the Instrument available online? (Yes/No)</w:t>
            </w:r>
          </w:p>
        </w:tc>
      </w:tr>
      <w:tr w:rsidR="00E44891" w:rsidRPr="00A60E81" w14:paraId="5ECDE131"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66FE83"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083E9E84"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Online Language available</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6553E6E6"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language(s) in which the instrument is available online</w:t>
            </w:r>
          </w:p>
        </w:tc>
      </w:tr>
      <w:tr w:rsidR="00E44891" w:rsidRPr="00A60E81" w14:paraId="117D8404" w14:textId="77777777" w:rsidTr="00176524">
        <w:trPr>
          <w:trHeight w:val="17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4F443"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F5B718D"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Recall period</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3220057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Recall period of the instrument</w:t>
            </w:r>
          </w:p>
        </w:tc>
      </w:tr>
      <w:tr w:rsidR="00E44891" w:rsidRPr="00A60E81" w14:paraId="6FD40617" w14:textId="77777777" w:rsidTr="00176524">
        <w:trPr>
          <w:trHeight w:val="18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3E3744" w14:textId="77777777" w:rsidR="00E44891" w:rsidRPr="00BD440B" w:rsidRDefault="00E44891" w:rsidP="00176524">
            <w:pPr>
              <w:rPr>
                <w:rFonts w:ascii="Times New Roman" w:hAnsi="Times New Roman" w:cs="Times New Roman"/>
                <w:sz w:val="20"/>
                <w:szCs w:val="20"/>
              </w:rPr>
            </w:pPr>
          </w:p>
        </w:tc>
        <w:tc>
          <w:tcPr>
            <w:tcW w:w="278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48DAECD1"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b/>
                <w:bCs/>
                <w:sz w:val="20"/>
                <w:szCs w:val="20"/>
                <w:lang w:val="en-US"/>
              </w:rPr>
              <w:t>Valuation methods</w:t>
            </w:r>
          </w:p>
        </w:tc>
        <w:tc>
          <w:tcPr>
            <w:tcW w:w="9262"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bottom"/>
            <w:hideMark/>
          </w:tcPr>
          <w:p w14:paraId="11BBE1D9" w14:textId="77777777" w:rsidR="00E44891" w:rsidRPr="00BD440B" w:rsidRDefault="00E44891" w:rsidP="00176524">
            <w:pPr>
              <w:rPr>
                <w:rFonts w:ascii="Times New Roman" w:hAnsi="Times New Roman" w:cs="Times New Roman"/>
                <w:sz w:val="20"/>
                <w:szCs w:val="20"/>
              </w:rPr>
            </w:pPr>
            <w:r w:rsidRPr="00BD440B">
              <w:rPr>
                <w:rFonts w:ascii="Times New Roman" w:hAnsi="Times New Roman" w:cs="Times New Roman"/>
                <w:sz w:val="20"/>
                <w:szCs w:val="20"/>
                <w:lang w:val="en-US"/>
              </w:rPr>
              <w:t>Specify the valuation method used (human capital method (HCM)/friction cost method (FCM)…)</w:t>
            </w:r>
          </w:p>
        </w:tc>
      </w:tr>
    </w:tbl>
    <w:p w14:paraId="081FD687" w14:textId="77777777" w:rsidR="001B5150" w:rsidRPr="00E13D26" w:rsidRDefault="001B5150" w:rsidP="003F12A5">
      <w:pPr>
        <w:spacing w:after="0" w:line="240" w:lineRule="auto"/>
        <w:rPr>
          <w:rFonts w:ascii="Times New Roman" w:hAnsi="Times New Roman" w:cs="Times New Roman"/>
          <w:sz w:val="20"/>
          <w:szCs w:val="20"/>
        </w:rPr>
      </w:pPr>
    </w:p>
    <w:p w14:paraId="3A36F381" w14:textId="77777777" w:rsidR="00EC6BBE" w:rsidRDefault="00EC6BBE" w:rsidP="003F12A5">
      <w:pPr>
        <w:spacing w:after="0" w:line="240" w:lineRule="auto"/>
        <w:rPr>
          <w:rFonts w:ascii="Times New Roman" w:hAnsi="Times New Roman" w:cs="Times New Roman"/>
          <w:sz w:val="20"/>
          <w:szCs w:val="20"/>
          <w:lang w:val="en-US"/>
        </w:rPr>
      </w:pPr>
    </w:p>
    <w:p w14:paraId="4888D0CF" w14:textId="77777777" w:rsidR="00A814C5" w:rsidRDefault="00A814C5">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2A9C5563" w14:textId="6D64A131" w:rsidR="003F12A5" w:rsidRDefault="003F12A5" w:rsidP="003F12A5">
      <w:pPr>
        <w:spacing w:after="0" w:line="240" w:lineRule="auto"/>
        <w:rPr>
          <w:rFonts w:ascii="Times New Roman" w:hAnsi="Times New Roman" w:cs="Times New Roman"/>
          <w:sz w:val="20"/>
          <w:szCs w:val="20"/>
          <w:lang w:val="en-US"/>
        </w:rPr>
      </w:pPr>
      <w:r w:rsidRPr="001253BE">
        <w:rPr>
          <w:rFonts w:ascii="Times New Roman" w:hAnsi="Times New Roman" w:cs="Times New Roman"/>
          <w:sz w:val="20"/>
          <w:szCs w:val="20"/>
          <w:lang w:val="en-US"/>
        </w:rPr>
        <w:lastRenderedPageBreak/>
        <w:t xml:space="preserve">Table </w:t>
      </w:r>
      <w:r w:rsidR="003F17BC" w:rsidRPr="001253BE">
        <w:rPr>
          <w:rFonts w:ascii="Times New Roman" w:hAnsi="Times New Roman" w:cs="Times New Roman"/>
          <w:sz w:val="20"/>
          <w:szCs w:val="20"/>
          <w:lang w:val="en-US"/>
        </w:rPr>
        <w:t>S</w:t>
      </w:r>
      <w:r w:rsidR="00751D6C">
        <w:rPr>
          <w:rFonts w:ascii="Times New Roman" w:hAnsi="Times New Roman" w:cs="Times New Roman"/>
          <w:sz w:val="20"/>
          <w:szCs w:val="20"/>
          <w:lang w:val="en-US"/>
        </w:rPr>
        <w:t>5</w:t>
      </w:r>
      <w:r w:rsidRPr="001253BE">
        <w:rPr>
          <w:rFonts w:ascii="Times New Roman" w:hAnsi="Times New Roman" w:cs="Times New Roman"/>
          <w:sz w:val="20"/>
          <w:szCs w:val="20"/>
          <w:lang w:val="en-US"/>
        </w:rPr>
        <w:t xml:space="preserve">: </w:t>
      </w:r>
      <w:r w:rsidRPr="008F5FD3">
        <w:rPr>
          <w:rFonts w:ascii="Times New Roman" w:hAnsi="Times New Roman" w:cs="Times New Roman"/>
          <w:sz w:val="20"/>
          <w:szCs w:val="20"/>
          <w:lang w:val="en-US"/>
        </w:rPr>
        <w:t>Distribution of Therapeutic area by Age group, Gender and Respondent type n (%)</w:t>
      </w:r>
    </w:p>
    <w:p w14:paraId="4A847D06" w14:textId="77777777" w:rsidR="003F12A5" w:rsidRDefault="003F12A5" w:rsidP="003F12A5">
      <w:pPr>
        <w:spacing w:after="0" w:line="240" w:lineRule="auto"/>
        <w:rPr>
          <w:rFonts w:ascii="Times New Roman" w:hAnsi="Times New Roman" w:cs="Times New Roman"/>
          <w:sz w:val="20"/>
          <w:szCs w:val="20"/>
          <w:lang w:val="en-US"/>
        </w:rPr>
      </w:pPr>
    </w:p>
    <w:tbl>
      <w:tblPr>
        <w:tblStyle w:val="TableGrid"/>
        <w:tblW w:w="15601" w:type="dxa"/>
        <w:tblLook w:val="0420" w:firstRow="1" w:lastRow="0" w:firstColumn="0" w:lastColumn="0" w:noHBand="0" w:noVBand="1"/>
      </w:tblPr>
      <w:tblGrid>
        <w:gridCol w:w="3455"/>
        <w:gridCol w:w="3455"/>
        <w:gridCol w:w="1688"/>
        <w:gridCol w:w="1750"/>
        <w:gridCol w:w="1750"/>
        <w:gridCol w:w="1750"/>
        <w:gridCol w:w="1753"/>
      </w:tblGrid>
      <w:tr w:rsidR="003F12A5" w:rsidRPr="00317F65" w14:paraId="52B4FB8E" w14:textId="77777777" w:rsidTr="00B21859">
        <w:trPr>
          <w:trHeight w:val="1313"/>
        </w:trPr>
        <w:tc>
          <w:tcPr>
            <w:tcW w:w="3455" w:type="dxa"/>
            <w:hideMark/>
          </w:tcPr>
          <w:p w14:paraId="57BD22A6" w14:textId="77777777" w:rsidR="003F12A5" w:rsidRPr="000B3198" w:rsidRDefault="003F12A5" w:rsidP="00B21859">
            <w:pP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3455" w:type="dxa"/>
            <w:hideMark/>
          </w:tcPr>
          <w:p w14:paraId="0DE7217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Mental, behavioural or neurodevelopmental disorders</w:t>
            </w:r>
          </w:p>
        </w:tc>
        <w:tc>
          <w:tcPr>
            <w:tcW w:w="1688" w:type="dxa"/>
            <w:hideMark/>
          </w:tcPr>
          <w:p w14:paraId="76FC4A1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Neoplasms</w:t>
            </w:r>
          </w:p>
        </w:tc>
        <w:tc>
          <w:tcPr>
            <w:tcW w:w="1750" w:type="dxa"/>
            <w:hideMark/>
          </w:tcPr>
          <w:p w14:paraId="47B34F7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Diseases of the musculoskeletal system or connective tissue</w:t>
            </w:r>
          </w:p>
        </w:tc>
        <w:tc>
          <w:tcPr>
            <w:tcW w:w="1750" w:type="dxa"/>
            <w:hideMark/>
          </w:tcPr>
          <w:p w14:paraId="44FC4C7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Diseases of the nervous system</w:t>
            </w:r>
          </w:p>
        </w:tc>
        <w:tc>
          <w:tcPr>
            <w:tcW w:w="1750" w:type="dxa"/>
            <w:hideMark/>
          </w:tcPr>
          <w:p w14:paraId="1E0F437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Certain infectious or parasitic diseases</w:t>
            </w:r>
          </w:p>
        </w:tc>
        <w:tc>
          <w:tcPr>
            <w:tcW w:w="1750" w:type="dxa"/>
            <w:hideMark/>
          </w:tcPr>
          <w:p w14:paraId="4A9BB67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Other TAs</w:t>
            </w:r>
          </w:p>
        </w:tc>
      </w:tr>
      <w:tr w:rsidR="003F12A5" w:rsidRPr="00317F65" w14:paraId="505BBA94" w14:textId="77777777" w:rsidTr="00B21859">
        <w:trPr>
          <w:trHeight w:val="371"/>
        </w:trPr>
        <w:tc>
          <w:tcPr>
            <w:tcW w:w="3455" w:type="dxa"/>
            <w:hideMark/>
          </w:tcPr>
          <w:p w14:paraId="04235320" w14:textId="77777777" w:rsidR="003F12A5" w:rsidRPr="000B3198" w:rsidRDefault="003F12A5" w:rsidP="00B21859">
            <w:pP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Total</w:t>
            </w:r>
          </w:p>
        </w:tc>
        <w:tc>
          <w:tcPr>
            <w:tcW w:w="3455" w:type="dxa"/>
            <w:hideMark/>
          </w:tcPr>
          <w:p w14:paraId="5A38B29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25 (16.4)</w:t>
            </w:r>
          </w:p>
        </w:tc>
        <w:tc>
          <w:tcPr>
            <w:tcW w:w="1688" w:type="dxa"/>
            <w:hideMark/>
          </w:tcPr>
          <w:p w14:paraId="4C290F85"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17 (11.2)</w:t>
            </w:r>
          </w:p>
        </w:tc>
        <w:tc>
          <w:tcPr>
            <w:tcW w:w="1750" w:type="dxa"/>
            <w:hideMark/>
          </w:tcPr>
          <w:p w14:paraId="5E453D0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15 (9.9)</w:t>
            </w:r>
          </w:p>
        </w:tc>
        <w:tc>
          <w:tcPr>
            <w:tcW w:w="1750" w:type="dxa"/>
            <w:hideMark/>
          </w:tcPr>
          <w:p w14:paraId="21431BF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13 (8.6)</w:t>
            </w:r>
          </w:p>
        </w:tc>
        <w:tc>
          <w:tcPr>
            <w:tcW w:w="1750" w:type="dxa"/>
            <w:hideMark/>
          </w:tcPr>
          <w:p w14:paraId="2694DE8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11 (7.2)</w:t>
            </w:r>
          </w:p>
        </w:tc>
        <w:tc>
          <w:tcPr>
            <w:tcW w:w="1750" w:type="dxa"/>
            <w:hideMark/>
          </w:tcPr>
          <w:p w14:paraId="382A787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71 (46.7)</w:t>
            </w:r>
          </w:p>
        </w:tc>
      </w:tr>
      <w:tr w:rsidR="003F12A5" w:rsidRPr="00317F65" w14:paraId="352BF9B5" w14:textId="77777777" w:rsidTr="00B21859">
        <w:trPr>
          <w:trHeight w:val="371"/>
        </w:trPr>
        <w:tc>
          <w:tcPr>
            <w:tcW w:w="3455" w:type="dxa"/>
            <w:hideMark/>
          </w:tcPr>
          <w:p w14:paraId="6A11A1B2" w14:textId="77777777" w:rsidR="003F12A5" w:rsidRPr="000B3198" w:rsidRDefault="003F12A5" w:rsidP="00B21859">
            <w:pP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Age group</w:t>
            </w:r>
          </w:p>
        </w:tc>
        <w:tc>
          <w:tcPr>
            <w:tcW w:w="3455" w:type="dxa"/>
            <w:hideMark/>
          </w:tcPr>
          <w:p w14:paraId="4175130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688" w:type="dxa"/>
            <w:hideMark/>
          </w:tcPr>
          <w:p w14:paraId="436742C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6B79298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223AEF18"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49F3377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12A3E8F0"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r>
      <w:tr w:rsidR="003F12A5" w:rsidRPr="00317F65" w14:paraId="210A753E" w14:textId="77777777" w:rsidTr="00B21859">
        <w:trPr>
          <w:trHeight w:val="371"/>
        </w:trPr>
        <w:tc>
          <w:tcPr>
            <w:tcW w:w="3455" w:type="dxa"/>
            <w:hideMark/>
          </w:tcPr>
          <w:p w14:paraId="73176945"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Pediatric</w:t>
            </w:r>
          </w:p>
        </w:tc>
        <w:tc>
          <w:tcPr>
            <w:tcW w:w="3455" w:type="dxa"/>
            <w:hideMark/>
          </w:tcPr>
          <w:p w14:paraId="642E781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(8)</w:t>
            </w:r>
          </w:p>
        </w:tc>
        <w:tc>
          <w:tcPr>
            <w:tcW w:w="1688" w:type="dxa"/>
            <w:hideMark/>
          </w:tcPr>
          <w:p w14:paraId="65C13C0E"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4129C60B"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7A9F6F7B"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(7.7)</w:t>
            </w:r>
          </w:p>
        </w:tc>
        <w:tc>
          <w:tcPr>
            <w:tcW w:w="1750" w:type="dxa"/>
            <w:hideMark/>
          </w:tcPr>
          <w:p w14:paraId="5184B991"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(18.2)</w:t>
            </w:r>
          </w:p>
        </w:tc>
        <w:tc>
          <w:tcPr>
            <w:tcW w:w="1750" w:type="dxa"/>
            <w:hideMark/>
          </w:tcPr>
          <w:p w14:paraId="6BCFE17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5 (7)</w:t>
            </w:r>
          </w:p>
        </w:tc>
      </w:tr>
      <w:tr w:rsidR="003F12A5" w:rsidRPr="00317F65" w14:paraId="4AC50C1B" w14:textId="77777777" w:rsidTr="00B21859">
        <w:trPr>
          <w:trHeight w:val="371"/>
        </w:trPr>
        <w:tc>
          <w:tcPr>
            <w:tcW w:w="3455" w:type="dxa"/>
            <w:hideMark/>
          </w:tcPr>
          <w:p w14:paraId="294096AE"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Pediatric &amp; Adults</w:t>
            </w:r>
          </w:p>
        </w:tc>
        <w:tc>
          <w:tcPr>
            <w:tcW w:w="3455" w:type="dxa"/>
            <w:hideMark/>
          </w:tcPr>
          <w:p w14:paraId="2DE14BCE"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(8)</w:t>
            </w:r>
          </w:p>
        </w:tc>
        <w:tc>
          <w:tcPr>
            <w:tcW w:w="1688" w:type="dxa"/>
            <w:hideMark/>
          </w:tcPr>
          <w:p w14:paraId="3725F95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46DAB6A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4F9ED64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(7.7)</w:t>
            </w:r>
          </w:p>
        </w:tc>
        <w:tc>
          <w:tcPr>
            <w:tcW w:w="1750" w:type="dxa"/>
            <w:hideMark/>
          </w:tcPr>
          <w:p w14:paraId="1B901E71"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(9.1)</w:t>
            </w:r>
          </w:p>
        </w:tc>
        <w:tc>
          <w:tcPr>
            <w:tcW w:w="1750" w:type="dxa"/>
            <w:hideMark/>
          </w:tcPr>
          <w:p w14:paraId="02ECA00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12 (16.9)</w:t>
            </w:r>
          </w:p>
        </w:tc>
      </w:tr>
      <w:tr w:rsidR="003F12A5" w:rsidRPr="00317F65" w14:paraId="7435634A" w14:textId="77777777" w:rsidTr="00B21859">
        <w:trPr>
          <w:trHeight w:val="537"/>
        </w:trPr>
        <w:tc>
          <w:tcPr>
            <w:tcW w:w="3455" w:type="dxa"/>
            <w:hideMark/>
          </w:tcPr>
          <w:p w14:paraId="046E4B8B"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Pediatric &amp; Adults &amp; Elderly</w:t>
            </w:r>
          </w:p>
        </w:tc>
        <w:tc>
          <w:tcPr>
            <w:tcW w:w="3455" w:type="dxa"/>
            <w:hideMark/>
          </w:tcPr>
          <w:p w14:paraId="1654D4E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688" w:type="dxa"/>
            <w:hideMark/>
          </w:tcPr>
          <w:p w14:paraId="4F78B81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653A8B0A"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11F4EC2E"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7C15699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5C81A21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3 (4.2)</w:t>
            </w:r>
          </w:p>
        </w:tc>
      </w:tr>
      <w:tr w:rsidR="003F12A5" w:rsidRPr="00317F65" w14:paraId="0E535298" w14:textId="77777777" w:rsidTr="00B21859">
        <w:trPr>
          <w:trHeight w:val="371"/>
        </w:trPr>
        <w:tc>
          <w:tcPr>
            <w:tcW w:w="3455" w:type="dxa"/>
            <w:hideMark/>
          </w:tcPr>
          <w:p w14:paraId="3F2EFA87"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Adults</w:t>
            </w:r>
          </w:p>
        </w:tc>
        <w:tc>
          <w:tcPr>
            <w:tcW w:w="3455" w:type="dxa"/>
            <w:hideMark/>
          </w:tcPr>
          <w:p w14:paraId="084DF59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12 (48)</w:t>
            </w:r>
          </w:p>
        </w:tc>
        <w:tc>
          <w:tcPr>
            <w:tcW w:w="1688" w:type="dxa"/>
            <w:hideMark/>
          </w:tcPr>
          <w:p w14:paraId="31D2A46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9 (52.9)</w:t>
            </w:r>
          </w:p>
        </w:tc>
        <w:tc>
          <w:tcPr>
            <w:tcW w:w="1750" w:type="dxa"/>
            <w:hideMark/>
          </w:tcPr>
          <w:p w14:paraId="78FAC0E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 (40)</w:t>
            </w:r>
          </w:p>
        </w:tc>
        <w:tc>
          <w:tcPr>
            <w:tcW w:w="1750" w:type="dxa"/>
            <w:hideMark/>
          </w:tcPr>
          <w:p w14:paraId="46C6B5C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 (46.2)</w:t>
            </w:r>
          </w:p>
        </w:tc>
        <w:tc>
          <w:tcPr>
            <w:tcW w:w="1750" w:type="dxa"/>
            <w:hideMark/>
          </w:tcPr>
          <w:p w14:paraId="50379F8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4 (36.4)</w:t>
            </w:r>
          </w:p>
        </w:tc>
        <w:tc>
          <w:tcPr>
            <w:tcW w:w="1750" w:type="dxa"/>
            <w:hideMark/>
          </w:tcPr>
          <w:p w14:paraId="00EFE5E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29 (40.8)</w:t>
            </w:r>
          </w:p>
        </w:tc>
      </w:tr>
      <w:tr w:rsidR="003F12A5" w:rsidRPr="00317F65" w14:paraId="4DC4AABD" w14:textId="77777777" w:rsidTr="00B21859">
        <w:trPr>
          <w:trHeight w:val="522"/>
        </w:trPr>
        <w:tc>
          <w:tcPr>
            <w:tcW w:w="3455" w:type="dxa"/>
            <w:hideMark/>
          </w:tcPr>
          <w:p w14:paraId="2D9440E0"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Adults &amp; Elderly</w:t>
            </w:r>
          </w:p>
        </w:tc>
        <w:tc>
          <w:tcPr>
            <w:tcW w:w="3455" w:type="dxa"/>
            <w:hideMark/>
          </w:tcPr>
          <w:p w14:paraId="2B89A46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5 (30)</w:t>
            </w:r>
          </w:p>
        </w:tc>
        <w:tc>
          <w:tcPr>
            <w:tcW w:w="1688" w:type="dxa"/>
            <w:hideMark/>
          </w:tcPr>
          <w:p w14:paraId="5A760A5B"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(11.8)</w:t>
            </w:r>
          </w:p>
        </w:tc>
        <w:tc>
          <w:tcPr>
            <w:tcW w:w="1750" w:type="dxa"/>
            <w:hideMark/>
          </w:tcPr>
          <w:p w14:paraId="7D7826F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 (40)</w:t>
            </w:r>
          </w:p>
        </w:tc>
        <w:tc>
          <w:tcPr>
            <w:tcW w:w="1750" w:type="dxa"/>
            <w:hideMark/>
          </w:tcPr>
          <w:p w14:paraId="057B315E"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(15.4)</w:t>
            </w:r>
          </w:p>
        </w:tc>
        <w:tc>
          <w:tcPr>
            <w:tcW w:w="1750" w:type="dxa"/>
            <w:hideMark/>
          </w:tcPr>
          <w:p w14:paraId="622184A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3 (27.3)</w:t>
            </w:r>
          </w:p>
        </w:tc>
        <w:tc>
          <w:tcPr>
            <w:tcW w:w="1750" w:type="dxa"/>
            <w:hideMark/>
          </w:tcPr>
          <w:p w14:paraId="3AEA68D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13 (18.3)</w:t>
            </w:r>
          </w:p>
        </w:tc>
      </w:tr>
      <w:tr w:rsidR="003F12A5" w:rsidRPr="00317F65" w14:paraId="4BB17D6C" w14:textId="77777777" w:rsidTr="00B21859">
        <w:trPr>
          <w:trHeight w:val="371"/>
        </w:trPr>
        <w:tc>
          <w:tcPr>
            <w:tcW w:w="3455" w:type="dxa"/>
            <w:hideMark/>
          </w:tcPr>
          <w:p w14:paraId="0CD6FC11"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Elderly</w:t>
            </w:r>
          </w:p>
        </w:tc>
        <w:tc>
          <w:tcPr>
            <w:tcW w:w="3455" w:type="dxa"/>
            <w:hideMark/>
          </w:tcPr>
          <w:p w14:paraId="2E90BEC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3 (12)</w:t>
            </w:r>
          </w:p>
        </w:tc>
        <w:tc>
          <w:tcPr>
            <w:tcW w:w="1688" w:type="dxa"/>
            <w:hideMark/>
          </w:tcPr>
          <w:p w14:paraId="01F32D9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(5.9)</w:t>
            </w:r>
          </w:p>
        </w:tc>
        <w:tc>
          <w:tcPr>
            <w:tcW w:w="1750" w:type="dxa"/>
            <w:hideMark/>
          </w:tcPr>
          <w:p w14:paraId="692898C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(6.7)</w:t>
            </w:r>
          </w:p>
        </w:tc>
        <w:tc>
          <w:tcPr>
            <w:tcW w:w="1750" w:type="dxa"/>
            <w:hideMark/>
          </w:tcPr>
          <w:p w14:paraId="557ACAFD"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62CA269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0036A701"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5 (7)</w:t>
            </w:r>
          </w:p>
        </w:tc>
      </w:tr>
      <w:tr w:rsidR="003F12A5" w:rsidRPr="00317F65" w14:paraId="0394547F" w14:textId="77777777" w:rsidTr="00B21859">
        <w:trPr>
          <w:trHeight w:val="371"/>
        </w:trPr>
        <w:tc>
          <w:tcPr>
            <w:tcW w:w="3455" w:type="dxa"/>
            <w:hideMark/>
          </w:tcPr>
          <w:p w14:paraId="73256A94"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NA</w:t>
            </w:r>
          </w:p>
        </w:tc>
        <w:tc>
          <w:tcPr>
            <w:tcW w:w="3455" w:type="dxa"/>
            <w:hideMark/>
          </w:tcPr>
          <w:p w14:paraId="7D76AFE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(4)</w:t>
            </w:r>
          </w:p>
        </w:tc>
        <w:tc>
          <w:tcPr>
            <w:tcW w:w="1688" w:type="dxa"/>
            <w:hideMark/>
          </w:tcPr>
          <w:p w14:paraId="4D46AF0B"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5 (29.4)</w:t>
            </w:r>
          </w:p>
        </w:tc>
        <w:tc>
          <w:tcPr>
            <w:tcW w:w="1750" w:type="dxa"/>
            <w:hideMark/>
          </w:tcPr>
          <w:p w14:paraId="2BB62485"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(13.3)</w:t>
            </w:r>
          </w:p>
        </w:tc>
        <w:tc>
          <w:tcPr>
            <w:tcW w:w="1750" w:type="dxa"/>
            <w:hideMark/>
          </w:tcPr>
          <w:p w14:paraId="05A3CEE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3 (23.1)</w:t>
            </w:r>
          </w:p>
        </w:tc>
        <w:tc>
          <w:tcPr>
            <w:tcW w:w="1750" w:type="dxa"/>
            <w:hideMark/>
          </w:tcPr>
          <w:p w14:paraId="7844F31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(9.1)</w:t>
            </w:r>
          </w:p>
        </w:tc>
        <w:tc>
          <w:tcPr>
            <w:tcW w:w="1750" w:type="dxa"/>
            <w:hideMark/>
          </w:tcPr>
          <w:p w14:paraId="082EB9A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4 (5.6)</w:t>
            </w:r>
          </w:p>
        </w:tc>
      </w:tr>
      <w:tr w:rsidR="003F12A5" w:rsidRPr="00317F65" w14:paraId="1133E352" w14:textId="77777777" w:rsidTr="00B21859">
        <w:trPr>
          <w:trHeight w:val="371"/>
        </w:trPr>
        <w:tc>
          <w:tcPr>
            <w:tcW w:w="3455" w:type="dxa"/>
            <w:hideMark/>
          </w:tcPr>
          <w:p w14:paraId="6C7A3B0A" w14:textId="77777777" w:rsidR="003F12A5" w:rsidRPr="000B3198" w:rsidRDefault="003F12A5" w:rsidP="00B21859">
            <w:pP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Gender</w:t>
            </w:r>
          </w:p>
        </w:tc>
        <w:tc>
          <w:tcPr>
            <w:tcW w:w="3455" w:type="dxa"/>
            <w:hideMark/>
          </w:tcPr>
          <w:p w14:paraId="2837E39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688" w:type="dxa"/>
            <w:hideMark/>
          </w:tcPr>
          <w:p w14:paraId="03232CE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777DE52A"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33CD814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6DE49B4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762554D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r>
      <w:tr w:rsidR="003F12A5" w:rsidRPr="00317F65" w14:paraId="77B6F084" w14:textId="77777777" w:rsidTr="00B21859">
        <w:trPr>
          <w:trHeight w:val="371"/>
        </w:trPr>
        <w:tc>
          <w:tcPr>
            <w:tcW w:w="3455" w:type="dxa"/>
            <w:hideMark/>
          </w:tcPr>
          <w:p w14:paraId="0EA46AFA"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Both Male &amp; Female</w:t>
            </w:r>
          </w:p>
        </w:tc>
        <w:tc>
          <w:tcPr>
            <w:tcW w:w="3455" w:type="dxa"/>
            <w:hideMark/>
          </w:tcPr>
          <w:p w14:paraId="54A8B66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25 (100)</w:t>
            </w:r>
          </w:p>
        </w:tc>
        <w:tc>
          <w:tcPr>
            <w:tcW w:w="1688" w:type="dxa"/>
            <w:hideMark/>
          </w:tcPr>
          <w:p w14:paraId="676ABFD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16 (94.1)</w:t>
            </w:r>
          </w:p>
        </w:tc>
        <w:tc>
          <w:tcPr>
            <w:tcW w:w="1750" w:type="dxa"/>
            <w:hideMark/>
          </w:tcPr>
          <w:p w14:paraId="054DC7CA"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15 (100)</w:t>
            </w:r>
          </w:p>
        </w:tc>
        <w:tc>
          <w:tcPr>
            <w:tcW w:w="1750" w:type="dxa"/>
            <w:hideMark/>
          </w:tcPr>
          <w:p w14:paraId="13F6447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13 (100)</w:t>
            </w:r>
          </w:p>
        </w:tc>
        <w:tc>
          <w:tcPr>
            <w:tcW w:w="1750" w:type="dxa"/>
            <w:hideMark/>
          </w:tcPr>
          <w:p w14:paraId="69AD1F8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11 (100)</w:t>
            </w:r>
          </w:p>
        </w:tc>
        <w:tc>
          <w:tcPr>
            <w:tcW w:w="1750" w:type="dxa"/>
            <w:hideMark/>
          </w:tcPr>
          <w:p w14:paraId="31A08FB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65 (91.5)</w:t>
            </w:r>
          </w:p>
        </w:tc>
      </w:tr>
      <w:tr w:rsidR="003F12A5" w:rsidRPr="00317F65" w14:paraId="67A60382" w14:textId="77777777" w:rsidTr="00B21859">
        <w:trPr>
          <w:trHeight w:val="371"/>
        </w:trPr>
        <w:tc>
          <w:tcPr>
            <w:tcW w:w="3455" w:type="dxa"/>
            <w:hideMark/>
          </w:tcPr>
          <w:p w14:paraId="4035F442"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Female</w:t>
            </w:r>
          </w:p>
        </w:tc>
        <w:tc>
          <w:tcPr>
            <w:tcW w:w="3455" w:type="dxa"/>
            <w:hideMark/>
          </w:tcPr>
          <w:p w14:paraId="70E86F00"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688" w:type="dxa"/>
            <w:hideMark/>
          </w:tcPr>
          <w:p w14:paraId="1FF749D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 (5.9)</w:t>
            </w:r>
          </w:p>
        </w:tc>
        <w:tc>
          <w:tcPr>
            <w:tcW w:w="1750" w:type="dxa"/>
            <w:hideMark/>
          </w:tcPr>
          <w:p w14:paraId="6CD873E0"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46E2501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73282633"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664E5F2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 (8.5)</w:t>
            </w:r>
          </w:p>
        </w:tc>
      </w:tr>
      <w:tr w:rsidR="003F12A5" w:rsidRPr="00317F65" w14:paraId="7576B57F" w14:textId="77777777" w:rsidTr="00B21859">
        <w:trPr>
          <w:trHeight w:val="371"/>
        </w:trPr>
        <w:tc>
          <w:tcPr>
            <w:tcW w:w="3455" w:type="dxa"/>
            <w:hideMark/>
          </w:tcPr>
          <w:p w14:paraId="66E17AF9" w14:textId="77777777" w:rsidR="003F12A5" w:rsidRPr="000B3198" w:rsidRDefault="003F12A5" w:rsidP="00B21859">
            <w:pP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b/>
                <w:bCs/>
                <w:kern w:val="24"/>
                <w:sz w:val="20"/>
                <w:szCs w:val="20"/>
                <w:lang w:val="en-US"/>
                <w14:ligatures w14:val="none"/>
              </w:rPr>
              <w:t>Respondent type</w:t>
            </w:r>
            <w:r w:rsidRPr="000B3198">
              <w:rPr>
                <w:rFonts w:ascii="Times New Roman" w:eastAsia="Verdana" w:hAnsi="Times New Roman" w:cs="Times New Roman"/>
                <w:b/>
                <w:bCs/>
                <w:kern w:val="24"/>
                <w:position w:val="7"/>
                <w:sz w:val="20"/>
                <w:szCs w:val="20"/>
                <w:vertAlign w:val="superscript"/>
                <w:lang w:val="en-US"/>
                <w14:ligatures w14:val="none"/>
              </w:rPr>
              <w:t>#</w:t>
            </w:r>
          </w:p>
        </w:tc>
        <w:tc>
          <w:tcPr>
            <w:tcW w:w="3455" w:type="dxa"/>
            <w:hideMark/>
          </w:tcPr>
          <w:p w14:paraId="7337A01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688" w:type="dxa"/>
            <w:hideMark/>
          </w:tcPr>
          <w:p w14:paraId="3806437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6356F848"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1A7FCA02"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33757F20"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c>
          <w:tcPr>
            <w:tcW w:w="1750" w:type="dxa"/>
            <w:hideMark/>
          </w:tcPr>
          <w:p w14:paraId="3D9AC4A5"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 </w:t>
            </w:r>
          </w:p>
        </w:tc>
      </w:tr>
      <w:tr w:rsidR="003F12A5" w:rsidRPr="00317F65" w14:paraId="707882B6" w14:textId="77777777" w:rsidTr="00B21859">
        <w:trPr>
          <w:trHeight w:val="371"/>
        </w:trPr>
        <w:tc>
          <w:tcPr>
            <w:tcW w:w="3455" w:type="dxa"/>
            <w:hideMark/>
          </w:tcPr>
          <w:p w14:paraId="661DB4E2"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Patient</w:t>
            </w:r>
          </w:p>
        </w:tc>
        <w:tc>
          <w:tcPr>
            <w:tcW w:w="3455" w:type="dxa"/>
            <w:hideMark/>
          </w:tcPr>
          <w:p w14:paraId="1CB123BC"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21 (84)</w:t>
            </w:r>
          </w:p>
        </w:tc>
        <w:tc>
          <w:tcPr>
            <w:tcW w:w="1688" w:type="dxa"/>
            <w:hideMark/>
          </w:tcPr>
          <w:p w14:paraId="52B4B0C6"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15 (88.2)</w:t>
            </w:r>
          </w:p>
        </w:tc>
        <w:tc>
          <w:tcPr>
            <w:tcW w:w="1750" w:type="dxa"/>
            <w:hideMark/>
          </w:tcPr>
          <w:p w14:paraId="78EE6EB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15 (100)</w:t>
            </w:r>
          </w:p>
        </w:tc>
        <w:tc>
          <w:tcPr>
            <w:tcW w:w="1750" w:type="dxa"/>
            <w:hideMark/>
          </w:tcPr>
          <w:p w14:paraId="6E1AA46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10 (76.9)</w:t>
            </w:r>
          </w:p>
        </w:tc>
        <w:tc>
          <w:tcPr>
            <w:tcW w:w="1750" w:type="dxa"/>
            <w:hideMark/>
          </w:tcPr>
          <w:p w14:paraId="0F2193D5"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11 (100)</w:t>
            </w:r>
          </w:p>
        </w:tc>
        <w:tc>
          <w:tcPr>
            <w:tcW w:w="1750" w:type="dxa"/>
            <w:hideMark/>
          </w:tcPr>
          <w:p w14:paraId="1630FD77"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66 (93)</w:t>
            </w:r>
          </w:p>
        </w:tc>
      </w:tr>
      <w:tr w:rsidR="003F12A5" w:rsidRPr="00317F65" w14:paraId="521C8384" w14:textId="77777777" w:rsidTr="00B21859">
        <w:trPr>
          <w:trHeight w:val="371"/>
        </w:trPr>
        <w:tc>
          <w:tcPr>
            <w:tcW w:w="3455" w:type="dxa"/>
            <w:hideMark/>
          </w:tcPr>
          <w:p w14:paraId="5A3B8111" w14:textId="77777777" w:rsidR="003F12A5" w:rsidRPr="000B3198" w:rsidRDefault="003F12A5" w:rsidP="00B21859">
            <w:pPr>
              <w:ind w:left="547"/>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Caregiver</w:t>
            </w:r>
          </w:p>
        </w:tc>
        <w:tc>
          <w:tcPr>
            <w:tcW w:w="3455" w:type="dxa"/>
            <w:hideMark/>
          </w:tcPr>
          <w:p w14:paraId="37D35A3E"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7 (28)</w:t>
            </w:r>
          </w:p>
        </w:tc>
        <w:tc>
          <w:tcPr>
            <w:tcW w:w="1688" w:type="dxa"/>
            <w:hideMark/>
          </w:tcPr>
          <w:p w14:paraId="4239DA0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6 (35.3)</w:t>
            </w:r>
          </w:p>
        </w:tc>
        <w:tc>
          <w:tcPr>
            <w:tcW w:w="1750" w:type="dxa"/>
            <w:hideMark/>
          </w:tcPr>
          <w:p w14:paraId="406E591F"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0</w:t>
            </w:r>
          </w:p>
        </w:tc>
        <w:tc>
          <w:tcPr>
            <w:tcW w:w="1750" w:type="dxa"/>
            <w:hideMark/>
          </w:tcPr>
          <w:p w14:paraId="645DC98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7 (53.8)</w:t>
            </w:r>
          </w:p>
        </w:tc>
        <w:tc>
          <w:tcPr>
            <w:tcW w:w="1750" w:type="dxa"/>
            <w:hideMark/>
          </w:tcPr>
          <w:p w14:paraId="7D096D59"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2 (18.2)</w:t>
            </w:r>
          </w:p>
        </w:tc>
        <w:tc>
          <w:tcPr>
            <w:tcW w:w="1750" w:type="dxa"/>
            <w:hideMark/>
          </w:tcPr>
          <w:p w14:paraId="6DB4F4B4" w14:textId="77777777" w:rsidR="003F12A5" w:rsidRPr="000B3198" w:rsidRDefault="003F12A5" w:rsidP="00B21859">
            <w:pPr>
              <w:jc w:val="center"/>
              <w:textAlignment w:val="bottom"/>
              <w:rPr>
                <w:rFonts w:ascii="Times New Roman" w:eastAsia="Times New Roman" w:hAnsi="Times New Roman" w:cs="Times New Roman"/>
                <w:kern w:val="0"/>
                <w:sz w:val="20"/>
                <w:szCs w:val="20"/>
                <w:lang w:val="en-US"/>
                <w14:ligatures w14:val="none"/>
              </w:rPr>
            </w:pPr>
            <w:r w:rsidRPr="000B3198">
              <w:rPr>
                <w:rFonts w:ascii="Times New Roman" w:eastAsia="Verdana" w:hAnsi="Times New Roman" w:cs="Times New Roman"/>
                <w:kern w:val="24"/>
                <w:sz w:val="20"/>
                <w:szCs w:val="20"/>
                <w:lang w:val="en-US"/>
                <w14:ligatures w14:val="none"/>
              </w:rPr>
              <w:t>12 (16.9)</w:t>
            </w:r>
          </w:p>
        </w:tc>
      </w:tr>
      <w:tr w:rsidR="003F12A5" w:rsidRPr="00317F65" w14:paraId="36835EA7" w14:textId="77777777" w:rsidTr="00B21859">
        <w:trPr>
          <w:trHeight w:val="1655"/>
        </w:trPr>
        <w:tc>
          <w:tcPr>
            <w:tcW w:w="15601" w:type="dxa"/>
            <w:gridSpan w:val="7"/>
            <w:vAlign w:val="center"/>
          </w:tcPr>
          <w:p w14:paraId="2AEE4EF9" w14:textId="77777777" w:rsidR="003F12A5" w:rsidRPr="007E0528" w:rsidRDefault="003F12A5" w:rsidP="00B21859">
            <w:pPr>
              <w:textAlignment w:val="bottom"/>
              <w:rPr>
                <w:rFonts w:ascii="Times New Roman" w:eastAsia="Verdana" w:hAnsi="Times New Roman" w:cs="Times New Roman"/>
                <w:kern w:val="24"/>
                <w:sz w:val="16"/>
                <w:szCs w:val="16"/>
                <w:lang w:val="en-US"/>
                <w14:ligatures w14:val="none"/>
              </w:rPr>
            </w:pPr>
            <w:r w:rsidRPr="007E0528">
              <w:rPr>
                <w:rFonts w:ascii="Times New Roman" w:eastAsia="Verdana" w:hAnsi="Times New Roman" w:cs="Times New Roman"/>
                <w:kern w:val="24"/>
                <w:sz w:val="16"/>
                <w:szCs w:val="16"/>
                <w:lang w:val="en-US"/>
                <w14:ligatures w14:val="none"/>
              </w:rPr>
              <w:t>Age Categories: pediatric (&lt;18 years), Adult (18-&lt;60 years) Elderly (&gt;=60 years)</w:t>
            </w:r>
          </w:p>
          <w:p w14:paraId="13586F24" w14:textId="77777777" w:rsidR="003F12A5" w:rsidRPr="007E0528" w:rsidRDefault="003F12A5" w:rsidP="00B21859">
            <w:pPr>
              <w:textAlignment w:val="bottom"/>
              <w:rPr>
                <w:rFonts w:ascii="Times New Roman" w:eastAsia="Verdana" w:hAnsi="Times New Roman" w:cs="Times New Roman"/>
                <w:kern w:val="24"/>
                <w:sz w:val="16"/>
                <w:szCs w:val="16"/>
                <w:lang w:val="en-US"/>
                <w14:ligatures w14:val="none"/>
              </w:rPr>
            </w:pPr>
            <w:r w:rsidRPr="007E0528">
              <w:rPr>
                <w:rFonts w:ascii="Times New Roman" w:eastAsia="Verdana" w:hAnsi="Times New Roman" w:cs="Times New Roman"/>
                <w:kern w:val="24"/>
                <w:sz w:val="16"/>
                <w:szCs w:val="16"/>
                <w:lang w:val="en-US"/>
                <w14:ligatures w14:val="none"/>
              </w:rPr>
              <w:t xml:space="preserve">#Total proportion may exceed 100 as certain studies were included in more than 1 category. </w:t>
            </w:r>
          </w:p>
          <w:p w14:paraId="42AC72E6" w14:textId="77777777" w:rsidR="003F12A5" w:rsidRPr="007E0528" w:rsidRDefault="003F12A5" w:rsidP="00B21859">
            <w:pPr>
              <w:textAlignment w:val="bottom"/>
              <w:rPr>
                <w:rFonts w:ascii="Times New Roman" w:eastAsia="Verdana" w:hAnsi="Times New Roman" w:cs="Times New Roman"/>
                <w:kern w:val="24"/>
                <w:sz w:val="16"/>
                <w:szCs w:val="16"/>
                <w:lang w:val="en-US"/>
                <w14:ligatures w14:val="none"/>
              </w:rPr>
            </w:pPr>
            <w:r w:rsidRPr="007E0528">
              <w:rPr>
                <w:rFonts w:ascii="Times New Roman" w:eastAsia="Verdana" w:hAnsi="Times New Roman" w:cs="Times New Roman"/>
                <w:kern w:val="24"/>
                <w:sz w:val="16"/>
                <w:szCs w:val="16"/>
                <w:lang w:val="en-US"/>
                <w14:ligatures w14:val="none"/>
              </w:rPr>
              <w:t>NA: Information not available</w:t>
            </w:r>
          </w:p>
          <w:p w14:paraId="6CC0AB95" w14:textId="77777777" w:rsidR="003F12A5" w:rsidRPr="00890BA8" w:rsidRDefault="003F12A5" w:rsidP="00B21859">
            <w:pPr>
              <w:textAlignment w:val="bottom"/>
              <w:rPr>
                <w:rFonts w:ascii="Times New Roman" w:eastAsia="Verdana" w:hAnsi="Times New Roman" w:cs="Times New Roman"/>
                <w:kern w:val="24"/>
                <w:sz w:val="20"/>
                <w:szCs w:val="20"/>
                <w:lang w:val="en-US"/>
                <w14:ligatures w14:val="none"/>
              </w:rPr>
            </w:pPr>
            <w:r w:rsidRPr="007E0528">
              <w:rPr>
                <w:rFonts w:ascii="Times New Roman" w:eastAsia="Verdana" w:hAnsi="Times New Roman" w:cs="Times New Roman"/>
                <w:kern w:val="24"/>
                <w:sz w:val="16"/>
                <w:szCs w:val="16"/>
                <w:lang w:val="en-US"/>
                <w14:ligatures w14:val="none"/>
              </w:rPr>
              <w:t>Other TAs: Diseases of the digestive system (9), Diseases of the visual system (8), Risk groups (8), Injury, poisoning or other consequences of external causes (7), Diseases of the genitourinary system (6), Diseases of the skin (6), Endocrine, nutritional or metabolic diseases (6), Diseases of the blood or blood-forming organs (4), Diseases of the circulatory system (4), Diseases of the respiratory system (4), Sleep-wake disorders (3), Symptoms, signs or clinical findings, not elsewhere classified (3), Developmental anomalies (1), Diseases of the immune system (1), Rare Disease (1)</w:t>
            </w:r>
          </w:p>
        </w:tc>
      </w:tr>
    </w:tbl>
    <w:p w14:paraId="68D2F951" w14:textId="77777777" w:rsidR="003F12A5" w:rsidRPr="001253BE" w:rsidRDefault="003F12A5" w:rsidP="003F12A5">
      <w:pPr>
        <w:spacing w:after="0" w:line="240" w:lineRule="auto"/>
        <w:rPr>
          <w:rFonts w:ascii="Times New Roman" w:hAnsi="Times New Roman" w:cs="Times New Roman"/>
          <w:sz w:val="20"/>
          <w:szCs w:val="20"/>
          <w:lang w:val="en-US"/>
        </w:rPr>
      </w:pPr>
    </w:p>
    <w:p w14:paraId="657D9BDA" w14:textId="77777777" w:rsidR="00AC231A" w:rsidRDefault="00AC231A" w:rsidP="001253BE">
      <w:pPr>
        <w:spacing w:after="0" w:line="240" w:lineRule="auto"/>
        <w:rPr>
          <w:rFonts w:ascii="Times New Roman" w:hAnsi="Times New Roman" w:cs="Times New Roman"/>
          <w:sz w:val="20"/>
          <w:szCs w:val="20"/>
          <w:lang w:val="en-US"/>
        </w:rPr>
      </w:pPr>
    </w:p>
    <w:p w14:paraId="6B15A8F7" w14:textId="77777777" w:rsidR="0039159B" w:rsidRDefault="0039159B">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9D7FD35" w14:textId="16AC4D14" w:rsidR="002006C0" w:rsidRDefault="00B6414C" w:rsidP="001253BE">
      <w:pPr>
        <w:spacing w:after="0" w:line="240" w:lineRule="auto"/>
        <w:rPr>
          <w:rFonts w:ascii="Times New Roman" w:hAnsi="Times New Roman" w:cs="Times New Roman"/>
          <w:sz w:val="20"/>
          <w:szCs w:val="20"/>
          <w:lang w:val="en-US"/>
        </w:rPr>
      </w:pPr>
      <w:r w:rsidRPr="001253BE">
        <w:rPr>
          <w:rFonts w:ascii="Times New Roman" w:hAnsi="Times New Roman" w:cs="Times New Roman"/>
          <w:sz w:val="20"/>
          <w:szCs w:val="20"/>
          <w:lang w:val="en-US"/>
        </w:rPr>
        <w:lastRenderedPageBreak/>
        <w:t>Table</w:t>
      </w:r>
      <w:r w:rsidR="005A34FC" w:rsidRPr="001253BE">
        <w:rPr>
          <w:rFonts w:ascii="Times New Roman" w:hAnsi="Times New Roman" w:cs="Times New Roman"/>
          <w:sz w:val="20"/>
          <w:szCs w:val="20"/>
          <w:lang w:val="en-US"/>
        </w:rPr>
        <w:t xml:space="preserve"> S</w:t>
      </w:r>
      <w:r w:rsidR="009B4E21">
        <w:rPr>
          <w:rFonts w:ascii="Times New Roman" w:hAnsi="Times New Roman" w:cs="Times New Roman"/>
          <w:sz w:val="20"/>
          <w:szCs w:val="20"/>
          <w:lang w:val="en-US"/>
        </w:rPr>
        <w:t>6</w:t>
      </w:r>
      <w:r w:rsidR="005A34FC" w:rsidRPr="001253BE">
        <w:rPr>
          <w:rFonts w:ascii="Times New Roman" w:hAnsi="Times New Roman" w:cs="Times New Roman"/>
          <w:sz w:val="20"/>
          <w:szCs w:val="20"/>
          <w:lang w:val="en-US"/>
        </w:rPr>
        <w:t xml:space="preserve">: List of 152 identified studies and </w:t>
      </w:r>
      <w:r w:rsidR="002006C0">
        <w:rPr>
          <w:rFonts w:ascii="Times New Roman" w:hAnsi="Times New Roman" w:cs="Times New Roman"/>
          <w:sz w:val="20"/>
          <w:szCs w:val="20"/>
          <w:lang w:val="en-US"/>
        </w:rPr>
        <w:t xml:space="preserve">respective instruments </w:t>
      </w:r>
      <w:r w:rsidR="006A610B">
        <w:rPr>
          <w:rFonts w:ascii="Times New Roman" w:hAnsi="Times New Roman" w:cs="Times New Roman"/>
          <w:sz w:val="20"/>
          <w:szCs w:val="20"/>
          <w:lang w:val="en-US"/>
        </w:rPr>
        <w:t>used to assess productivity measures</w:t>
      </w:r>
    </w:p>
    <w:p w14:paraId="57E3F6F4" w14:textId="22358264" w:rsidR="00B6414C" w:rsidRPr="001253BE" w:rsidRDefault="005A34FC" w:rsidP="001253BE">
      <w:pPr>
        <w:spacing w:after="0" w:line="240" w:lineRule="auto"/>
        <w:rPr>
          <w:rFonts w:ascii="Times New Roman" w:hAnsi="Times New Roman" w:cs="Times New Roman"/>
          <w:sz w:val="20"/>
          <w:szCs w:val="20"/>
          <w:lang w:val="en-US"/>
        </w:rPr>
      </w:pPr>
      <w:r w:rsidRPr="001253BE">
        <w:rPr>
          <w:rFonts w:ascii="Times New Roman" w:hAnsi="Times New Roman" w:cs="Times New Roman"/>
          <w:sz w:val="20"/>
          <w:szCs w:val="20"/>
          <w:lang w:val="en-US"/>
        </w:rPr>
        <w:t xml:space="preserve"> </w:t>
      </w:r>
    </w:p>
    <w:p w14:paraId="2E1A9DCF" w14:textId="77777777" w:rsidR="00B6414C" w:rsidRPr="001253BE" w:rsidRDefault="00B6414C" w:rsidP="001253BE">
      <w:pPr>
        <w:spacing w:after="0" w:line="240" w:lineRule="auto"/>
        <w:rPr>
          <w:rFonts w:ascii="Times New Roman" w:hAnsi="Times New Roman" w:cs="Times New Roman"/>
          <w:sz w:val="20"/>
          <w:szCs w:val="20"/>
          <w:lang w:val="en-US"/>
        </w:rPr>
      </w:pPr>
    </w:p>
    <w:tbl>
      <w:tblPr>
        <w:tblStyle w:val="TableGridLight"/>
        <w:tblW w:w="15316" w:type="dxa"/>
        <w:tblLook w:val="06A0" w:firstRow="1" w:lastRow="0" w:firstColumn="1" w:lastColumn="0" w:noHBand="1" w:noVBand="1"/>
      </w:tblPr>
      <w:tblGrid>
        <w:gridCol w:w="580"/>
        <w:gridCol w:w="8961"/>
        <w:gridCol w:w="5775"/>
      </w:tblGrid>
      <w:tr w:rsidR="00A912AF" w:rsidRPr="001253BE" w14:paraId="1F6FFF83" w14:textId="77777777" w:rsidTr="00A912AF">
        <w:trPr>
          <w:trHeight w:val="567"/>
        </w:trPr>
        <w:tc>
          <w:tcPr>
            <w:tcW w:w="0" w:type="auto"/>
            <w:hideMark/>
          </w:tcPr>
          <w:p w14:paraId="49CB4084" w14:textId="77777777" w:rsidR="00A912AF" w:rsidRPr="001253BE" w:rsidRDefault="00A912AF" w:rsidP="00A912AF">
            <w:pPr>
              <w:rPr>
                <w:rFonts w:ascii="Times New Roman" w:eastAsia="Times New Roman" w:hAnsi="Times New Roman" w:cs="Times New Roman"/>
                <w:b/>
                <w:bCs/>
                <w:kern w:val="0"/>
                <w:sz w:val="20"/>
                <w:szCs w:val="20"/>
                <w:lang w:val="en-IN" w:eastAsia="en-IN"/>
                <w14:ligatures w14:val="none"/>
              </w:rPr>
            </w:pPr>
            <w:r w:rsidRPr="001253BE">
              <w:rPr>
                <w:rFonts w:ascii="Times New Roman" w:eastAsia="Times New Roman" w:hAnsi="Times New Roman" w:cs="Times New Roman"/>
                <w:b/>
                <w:bCs/>
                <w:kern w:val="0"/>
                <w:sz w:val="20"/>
                <w:szCs w:val="20"/>
                <w:lang w:val="en-IN" w:eastAsia="en-IN"/>
                <w14:ligatures w14:val="none"/>
              </w:rPr>
              <w:t>Sr. no.</w:t>
            </w:r>
          </w:p>
        </w:tc>
        <w:tc>
          <w:tcPr>
            <w:tcW w:w="8961" w:type="dxa"/>
            <w:hideMark/>
          </w:tcPr>
          <w:p w14:paraId="1576DF19" w14:textId="77777777" w:rsidR="00A912AF" w:rsidRPr="001253BE" w:rsidRDefault="00A912AF" w:rsidP="00A912AF">
            <w:pPr>
              <w:rPr>
                <w:rFonts w:ascii="Times New Roman" w:eastAsia="Times New Roman" w:hAnsi="Times New Roman" w:cs="Times New Roman"/>
                <w:b/>
                <w:bCs/>
                <w:kern w:val="0"/>
                <w:sz w:val="20"/>
                <w:szCs w:val="20"/>
                <w:lang w:val="en-IN" w:eastAsia="en-IN"/>
                <w14:ligatures w14:val="none"/>
              </w:rPr>
            </w:pPr>
            <w:r w:rsidRPr="001253BE">
              <w:rPr>
                <w:rFonts w:ascii="Times New Roman" w:eastAsia="Times New Roman" w:hAnsi="Times New Roman" w:cs="Times New Roman"/>
                <w:b/>
                <w:bCs/>
                <w:kern w:val="0"/>
                <w:sz w:val="20"/>
                <w:szCs w:val="20"/>
                <w:lang w:val="en-IN" w:eastAsia="en-IN"/>
                <w14:ligatures w14:val="none"/>
              </w:rPr>
              <w:t>Study citation</w:t>
            </w:r>
          </w:p>
        </w:tc>
        <w:tc>
          <w:tcPr>
            <w:tcW w:w="5775" w:type="dxa"/>
            <w:hideMark/>
          </w:tcPr>
          <w:p w14:paraId="5ED4A94E" w14:textId="0082B12A" w:rsidR="00A912AF" w:rsidRPr="001253BE" w:rsidRDefault="00A912AF" w:rsidP="00A912AF">
            <w:pPr>
              <w:ind w:left="605" w:right="463"/>
              <w:rPr>
                <w:rFonts w:ascii="Times New Roman" w:eastAsia="Times New Roman" w:hAnsi="Times New Roman" w:cs="Times New Roman"/>
                <w:b/>
                <w:bCs/>
                <w:kern w:val="0"/>
                <w:sz w:val="20"/>
                <w:szCs w:val="20"/>
                <w:lang w:val="en-IN" w:eastAsia="en-IN"/>
                <w14:ligatures w14:val="none"/>
              </w:rPr>
            </w:pPr>
            <w:r w:rsidRPr="001253BE">
              <w:rPr>
                <w:rFonts w:ascii="Times New Roman" w:eastAsia="Times New Roman" w:hAnsi="Times New Roman" w:cs="Times New Roman"/>
                <w:b/>
                <w:bCs/>
                <w:kern w:val="0"/>
                <w:sz w:val="20"/>
                <w:szCs w:val="20"/>
                <w:lang w:val="en-IN" w:eastAsia="en-IN"/>
                <w14:ligatures w14:val="none"/>
              </w:rPr>
              <w:t>Measurement instrument</w:t>
            </w:r>
          </w:p>
        </w:tc>
      </w:tr>
      <w:tr w:rsidR="00A912AF" w:rsidRPr="001253BE" w14:paraId="014B27DC" w14:textId="77777777" w:rsidTr="00A912AF">
        <w:trPr>
          <w:trHeight w:val="567"/>
        </w:trPr>
        <w:tc>
          <w:tcPr>
            <w:tcW w:w="0" w:type="auto"/>
            <w:hideMark/>
          </w:tcPr>
          <w:p w14:paraId="26AA06D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w:t>
            </w:r>
          </w:p>
        </w:tc>
        <w:tc>
          <w:tcPr>
            <w:tcW w:w="8961" w:type="dxa"/>
            <w:hideMark/>
          </w:tcPr>
          <w:p w14:paraId="63D4BC5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den Brink MJ, Beelen P, Herman MC, Geomini PM, Dekker JH, Vermeulen KM, Bongers MY, Berger MY (2021) The levonorgestrel intrauterine system versus endometrial ablation for heavy menstrual bleeding: a cost-effectiveness analysis. BJOG 128:2003–2011</w:t>
            </w:r>
          </w:p>
        </w:tc>
        <w:tc>
          <w:tcPr>
            <w:tcW w:w="5775" w:type="dxa"/>
            <w:hideMark/>
          </w:tcPr>
          <w:p w14:paraId="1E0D5A3A" w14:textId="4DA38CD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Labour Questionnaire-Short Form</w:t>
            </w:r>
          </w:p>
        </w:tc>
      </w:tr>
      <w:tr w:rsidR="00A912AF" w:rsidRPr="001253BE" w14:paraId="24E76A75" w14:textId="77777777" w:rsidTr="00A912AF">
        <w:trPr>
          <w:trHeight w:val="567"/>
        </w:trPr>
        <w:tc>
          <w:tcPr>
            <w:tcW w:w="0" w:type="auto"/>
            <w:hideMark/>
          </w:tcPr>
          <w:p w14:paraId="3B44CCA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w:t>
            </w:r>
          </w:p>
        </w:tc>
        <w:tc>
          <w:tcPr>
            <w:tcW w:w="8961" w:type="dxa"/>
            <w:hideMark/>
          </w:tcPr>
          <w:p w14:paraId="596C298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McCrone P, Everitt H, Landau S, et al (2021) Cost effectiveness of therapist delivered cognitive behavioural therapy and web-based self-management in irritable bowel syndrome: the ACTIB randomised trial. BMC Gastroenterol 21:276</w:t>
            </w:r>
          </w:p>
        </w:tc>
        <w:tc>
          <w:tcPr>
            <w:tcW w:w="5775" w:type="dxa"/>
            <w:hideMark/>
          </w:tcPr>
          <w:p w14:paraId="0453FB96" w14:textId="7E88F78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Client Service Receipt Inventory</w:t>
            </w:r>
          </w:p>
        </w:tc>
      </w:tr>
      <w:tr w:rsidR="00A912AF" w:rsidRPr="001253BE" w14:paraId="55871E63" w14:textId="77777777" w:rsidTr="00A912AF">
        <w:trPr>
          <w:trHeight w:val="567"/>
        </w:trPr>
        <w:tc>
          <w:tcPr>
            <w:tcW w:w="0" w:type="auto"/>
            <w:hideMark/>
          </w:tcPr>
          <w:p w14:paraId="5CEBD07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w:t>
            </w:r>
          </w:p>
        </w:tc>
        <w:tc>
          <w:tcPr>
            <w:tcW w:w="8961" w:type="dxa"/>
            <w:hideMark/>
          </w:tcPr>
          <w:p w14:paraId="5DAA17E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Stegwee SI, Ben ÂJ, El Alili M, van der Voet LF, de Groot CJM, Bosmans JE, Huirne JAF, 2Close study group (2021) Cost-effectiveness of single-layer versus double-layer uterine closure during caesarean section on postmenstrual spotting: economic evaluation alongside a randomised controlled trial. BMJ Open 11:e044340</w:t>
            </w:r>
          </w:p>
        </w:tc>
        <w:tc>
          <w:tcPr>
            <w:tcW w:w="5775" w:type="dxa"/>
            <w:hideMark/>
          </w:tcPr>
          <w:p w14:paraId="41A0EBE9" w14:textId="03FDA62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1F67AB29" w14:textId="77777777" w:rsidTr="00A912AF">
        <w:trPr>
          <w:trHeight w:val="567"/>
        </w:trPr>
        <w:tc>
          <w:tcPr>
            <w:tcW w:w="0" w:type="auto"/>
            <w:hideMark/>
          </w:tcPr>
          <w:p w14:paraId="3BA5A68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w:t>
            </w:r>
          </w:p>
        </w:tc>
        <w:tc>
          <w:tcPr>
            <w:tcW w:w="8961" w:type="dxa"/>
            <w:hideMark/>
          </w:tcPr>
          <w:p w14:paraId="5CF1D4A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Deng X, Yan R, Li Z-Q, Tang X-W, Zhou Y, He H (2021) Economic and disease burden of Japanese encephalitis in Zhejiang Province, 2013-2018. PLoS Negl Trop Dis 15:e0009505</w:t>
            </w:r>
          </w:p>
        </w:tc>
        <w:tc>
          <w:tcPr>
            <w:tcW w:w="5775" w:type="dxa"/>
            <w:hideMark/>
          </w:tcPr>
          <w:p w14:paraId="3BCF6BCF" w14:textId="06A309F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02A983AA" w14:textId="77777777" w:rsidTr="00A912AF">
        <w:trPr>
          <w:trHeight w:val="567"/>
        </w:trPr>
        <w:tc>
          <w:tcPr>
            <w:tcW w:w="0" w:type="auto"/>
            <w:hideMark/>
          </w:tcPr>
          <w:p w14:paraId="671DF7E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w:t>
            </w:r>
          </w:p>
        </w:tc>
        <w:tc>
          <w:tcPr>
            <w:tcW w:w="8961" w:type="dxa"/>
            <w:hideMark/>
          </w:tcPr>
          <w:p w14:paraId="03BBE84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Shafie AA, Wong JHY, Ibrahim HM, Mohammed NS, Chhabra IK (2021) Economic burden in the management of transfusion-dependent thalassaemia patients in Malaysia from a societal perspective. Orphanet J Rare Dis 16:157</w:t>
            </w:r>
          </w:p>
        </w:tc>
        <w:tc>
          <w:tcPr>
            <w:tcW w:w="5775" w:type="dxa"/>
            <w:hideMark/>
          </w:tcPr>
          <w:p w14:paraId="2CA9A19B" w14:textId="31368B8A"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754C2623" w14:textId="77777777" w:rsidTr="00A912AF">
        <w:trPr>
          <w:trHeight w:val="567"/>
        </w:trPr>
        <w:tc>
          <w:tcPr>
            <w:tcW w:w="0" w:type="auto"/>
            <w:hideMark/>
          </w:tcPr>
          <w:p w14:paraId="3C2CC7C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w:t>
            </w:r>
          </w:p>
        </w:tc>
        <w:tc>
          <w:tcPr>
            <w:tcW w:w="8961" w:type="dxa"/>
            <w:hideMark/>
          </w:tcPr>
          <w:p w14:paraId="1CF81D6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Morgan A, Hartmanis S, Tsochatzis E, et al (2021) Disease burden and economic impact of diagnosed non-alcoholic steatohepatitis (NASH) in the United Kingdom (UK) in 2018. Eur J Health Econ 22:505–518</w:t>
            </w:r>
          </w:p>
        </w:tc>
        <w:tc>
          <w:tcPr>
            <w:tcW w:w="5775" w:type="dxa"/>
            <w:hideMark/>
          </w:tcPr>
          <w:p w14:paraId="170D5395" w14:textId="65A4055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2D400CDA" w14:textId="77777777" w:rsidTr="00A912AF">
        <w:trPr>
          <w:trHeight w:val="567"/>
        </w:trPr>
        <w:tc>
          <w:tcPr>
            <w:tcW w:w="0" w:type="auto"/>
            <w:hideMark/>
          </w:tcPr>
          <w:p w14:paraId="055FF09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w:t>
            </w:r>
          </w:p>
        </w:tc>
        <w:tc>
          <w:tcPr>
            <w:tcW w:w="8961" w:type="dxa"/>
            <w:hideMark/>
          </w:tcPr>
          <w:p w14:paraId="4C9DD60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Galan L, Gonzalez-Moreno J, Martínez-Sesmero JM, et al (2021) Estimating the annual economic burden for the management of patients with transthyretin amyloid polyneuropathy in Spain. Expert Rev Pharmacoecon Outcomes Res 21:967–973</w:t>
            </w:r>
          </w:p>
        </w:tc>
        <w:tc>
          <w:tcPr>
            <w:tcW w:w="5775" w:type="dxa"/>
            <w:hideMark/>
          </w:tcPr>
          <w:p w14:paraId="428CC3CB" w14:textId="6D68174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26B15BE7" w14:textId="77777777" w:rsidTr="00A912AF">
        <w:trPr>
          <w:trHeight w:val="567"/>
        </w:trPr>
        <w:tc>
          <w:tcPr>
            <w:tcW w:w="0" w:type="auto"/>
            <w:hideMark/>
          </w:tcPr>
          <w:p w14:paraId="0D39D35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w:t>
            </w:r>
          </w:p>
        </w:tc>
        <w:tc>
          <w:tcPr>
            <w:tcW w:w="8961" w:type="dxa"/>
            <w:hideMark/>
          </w:tcPr>
          <w:p w14:paraId="7E6CDF9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Afkar A, Jalilian H, Pourreza A, Mir H, Sigaroudi AE, Heydari S (2021) Cost analysis of breast cancer: a comparison between private and public hospitals in Iran. BMC Health Serv Res 21:219</w:t>
            </w:r>
          </w:p>
        </w:tc>
        <w:tc>
          <w:tcPr>
            <w:tcW w:w="5775" w:type="dxa"/>
            <w:hideMark/>
          </w:tcPr>
          <w:p w14:paraId="1DC19657" w14:textId="77DCC0F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9FF130F" w14:textId="77777777" w:rsidTr="00A912AF">
        <w:trPr>
          <w:trHeight w:val="567"/>
        </w:trPr>
        <w:tc>
          <w:tcPr>
            <w:tcW w:w="0" w:type="auto"/>
            <w:hideMark/>
          </w:tcPr>
          <w:p w14:paraId="7D1F6DA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w:t>
            </w:r>
          </w:p>
        </w:tc>
        <w:tc>
          <w:tcPr>
            <w:tcW w:w="8961" w:type="dxa"/>
            <w:hideMark/>
          </w:tcPr>
          <w:p w14:paraId="39BE9D7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Henderson C, Rehill A, Brooker D, et al (2021) Costs and cost-effectiveness of the meeting centres support programme for people living with dementia and carers in Italy, Poland and the UK: The MEETINGDEM study. Health Soc Care Community 29:1756–1768</w:t>
            </w:r>
          </w:p>
        </w:tc>
        <w:tc>
          <w:tcPr>
            <w:tcW w:w="5775" w:type="dxa"/>
            <w:hideMark/>
          </w:tcPr>
          <w:p w14:paraId="12A834D2" w14:textId="6C968B2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Client Service Receipt Inventory</w:t>
            </w:r>
          </w:p>
        </w:tc>
      </w:tr>
      <w:tr w:rsidR="00A912AF" w:rsidRPr="001253BE" w14:paraId="23DF6DAB" w14:textId="77777777" w:rsidTr="00A912AF">
        <w:trPr>
          <w:trHeight w:val="567"/>
        </w:trPr>
        <w:tc>
          <w:tcPr>
            <w:tcW w:w="0" w:type="auto"/>
            <w:hideMark/>
          </w:tcPr>
          <w:p w14:paraId="298B1E3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w:t>
            </w:r>
          </w:p>
        </w:tc>
        <w:tc>
          <w:tcPr>
            <w:tcW w:w="8961" w:type="dxa"/>
            <w:hideMark/>
          </w:tcPr>
          <w:p w14:paraId="5911D4F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Howard R, Gathercole R, Bradley R, et al (2021) The effectiveness and cost-effectiveness of assistive technology and telecare for independent living in dementia: a randomised controlled trial. Age Ageing 50:882–890</w:t>
            </w:r>
          </w:p>
        </w:tc>
        <w:tc>
          <w:tcPr>
            <w:tcW w:w="5775" w:type="dxa"/>
            <w:hideMark/>
          </w:tcPr>
          <w:p w14:paraId="1E6BAD2E" w14:textId="0D387781"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35B902DB" w14:textId="77777777" w:rsidTr="00A912AF">
        <w:trPr>
          <w:trHeight w:val="567"/>
        </w:trPr>
        <w:tc>
          <w:tcPr>
            <w:tcW w:w="0" w:type="auto"/>
            <w:hideMark/>
          </w:tcPr>
          <w:p w14:paraId="4D7EF63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w:t>
            </w:r>
          </w:p>
        </w:tc>
        <w:tc>
          <w:tcPr>
            <w:tcW w:w="8961" w:type="dxa"/>
            <w:hideMark/>
          </w:tcPr>
          <w:p w14:paraId="1AB76AB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Grobet CE, Glanzmann MC, Eichler K, Rickenbacher D, Meier F, Brunner B, Audigé L (2021) Cost-utility analysis of total shoulder arthroplasty: a prospective health economic study using real-world data. J Shoulder Elbow Surg 30:1998–2006</w:t>
            </w:r>
          </w:p>
        </w:tc>
        <w:tc>
          <w:tcPr>
            <w:tcW w:w="5775" w:type="dxa"/>
            <w:hideMark/>
          </w:tcPr>
          <w:p w14:paraId="3F51871C" w14:textId="42943E3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264A4DB2" w14:textId="77777777" w:rsidTr="00A912AF">
        <w:trPr>
          <w:trHeight w:val="567"/>
        </w:trPr>
        <w:tc>
          <w:tcPr>
            <w:tcW w:w="0" w:type="auto"/>
            <w:hideMark/>
          </w:tcPr>
          <w:p w14:paraId="15AF628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w:t>
            </w:r>
          </w:p>
        </w:tc>
        <w:tc>
          <w:tcPr>
            <w:tcW w:w="8961" w:type="dxa"/>
            <w:hideMark/>
          </w:tcPr>
          <w:p w14:paraId="046490A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Nathalie L-M, Mulligen VE, Maria WAEA, Wilhelmina HJM, Pieter  de JPH, tREACH group investigators (2021) Comparing cost-utility of DMARDs in autoantibody-negative rheumatoid arthritis patients. Rheumatology (Oxford) 60:5765–5774</w:t>
            </w:r>
          </w:p>
        </w:tc>
        <w:tc>
          <w:tcPr>
            <w:tcW w:w="5775" w:type="dxa"/>
            <w:hideMark/>
          </w:tcPr>
          <w:p w14:paraId="7D404955" w14:textId="11C10AE9"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053147E3" w14:textId="77777777" w:rsidTr="00A912AF">
        <w:trPr>
          <w:trHeight w:val="567"/>
        </w:trPr>
        <w:tc>
          <w:tcPr>
            <w:tcW w:w="0" w:type="auto"/>
            <w:hideMark/>
          </w:tcPr>
          <w:p w14:paraId="0B937D6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w:t>
            </w:r>
          </w:p>
        </w:tc>
        <w:tc>
          <w:tcPr>
            <w:tcW w:w="8961" w:type="dxa"/>
            <w:hideMark/>
          </w:tcPr>
          <w:p w14:paraId="343ECD2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Dorhout BG, Haveman-Nies A, van Dongen EJI, Wezenbeek NLW, Doets EL, Bulten A, de Wit GA, de Groot LCPGM (2021) Cost-effectiveness of a Diet and Resistance Exercise Intervention in Community-Dwelling Older Adults: ProMuscle in Practice. J Am Med Dir Assoc 22:792-802.e2</w:t>
            </w:r>
          </w:p>
        </w:tc>
        <w:tc>
          <w:tcPr>
            <w:tcW w:w="5775" w:type="dxa"/>
            <w:hideMark/>
          </w:tcPr>
          <w:p w14:paraId="389347AB" w14:textId="645EC47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3DE3B540" w14:textId="77777777" w:rsidTr="00A912AF">
        <w:trPr>
          <w:trHeight w:val="567"/>
        </w:trPr>
        <w:tc>
          <w:tcPr>
            <w:tcW w:w="0" w:type="auto"/>
            <w:hideMark/>
          </w:tcPr>
          <w:p w14:paraId="4E9F7DF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14</w:t>
            </w:r>
          </w:p>
        </w:tc>
        <w:tc>
          <w:tcPr>
            <w:tcW w:w="8961" w:type="dxa"/>
            <w:hideMark/>
          </w:tcPr>
          <w:p w14:paraId="57B171C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Reneman MF, Beemster TT, Welling SJ, Mierau JO, Dijk HH (2021) Vocational Rehabilitation for Patients with Chronic Musculoskeletal Pain With or Without a Work Module: An Economic Evaluation. J Occup Rehabil 31:84–91</w:t>
            </w:r>
          </w:p>
        </w:tc>
        <w:tc>
          <w:tcPr>
            <w:tcW w:w="5775" w:type="dxa"/>
            <w:hideMark/>
          </w:tcPr>
          <w:p w14:paraId="4BA61796" w14:textId="65F138C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41020B0F" w14:textId="77777777" w:rsidTr="00A912AF">
        <w:trPr>
          <w:trHeight w:val="567"/>
        </w:trPr>
        <w:tc>
          <w:tcPr>
            <w:tcW w:w="0" w:type="auto"/>
            <w:hideMark/>
          </w:tcPr>
          <w:p w14:paraId="63AD375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15</w:t>
            </w:r>
          </w:p>
        </w:tc>
        <w:tc>
          <w:tcPr>
            <w:tcW w:w="8961" w:type="dxa"/>
            <w:hideMark/>
          </w:tcPr>
          <w:p w14:paraId="0730A4F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Verhoeven MMA, Tekstra J, van Laar JM, Pethö-Schramm A, Borm MEA, Bijlsma JWJ, Jacobs JWG, Lafeber FPJG, Welsing PMJ (2021) Effect on Costs and Quality-adjusted Life-years of Treat-to-target Treatment Strategies Initiating Methotrexate, or Tocilizumab, or Their Combination in Early Rheumatoid Arthritis. J Rheumatol 48:495–503</w:t>
            </w:r>
          </w:p>
        </w:tc>
        <w:tc>
          <w:tcPr>
            <w:tcW w:w="5775" w:type="dxa"/>
            <w:hideMark/>
          </w:tcPr>
          <w:p w14:paraId="7E9BFB3B" w14:textId="76FE5FDB"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3D515A51" w14:textId="77777777" w:rsidTr="00A912AF">
        <w:trPr>
          <w:trHeight w:val="567"/>
        </w:trPr>
        <w:tc>
          <w:tcPr>
            <w:tcW w:w="0" w:type="auto"/>
            <w:hideMark/>
          </w:tcPr>
          <w:p w14:paraId="066F056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16</w:t>
            </w:r>
          </w:p>
        </w:tc>
        <w:tc>
          <w:tcPr>
            <w:tcW w:w="8961" w:type="dxa"/>
            <w:hideMark/>
          </w:tcPr>
          <w:p w14:paraId="6C2F412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Wallén H, Lindfors P, Andersson E, Hedman-Lagerlöf E, Hesser H, Lindefors N, Svanborg C, Ljótsson B (2021) Return on investment of internet delivered exposure therapy for irritable bowel syndrome: a randomized controlled trial. BMC Gastroenterol 21:289</w:t>
            </w:r>
          </w:p>
        </w:tc>
        <w:tc>
          <w:tcPr>
            <w:tcW w:w="5775" w:type="dxa"/>
            <w:hideMark/>
          </w:tcPr>
          <w:p w14:paraId="7002FA83" w14:textId="4258D46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038CECB1" w14:textId="77777777" w:rsidTr="00A912AF">
        <w:trPr>
          <w:trHeight w:val="567"/>
        </w:trPr>
        <w:tc>
          <w:tcPr>
            <w:tcW w:w="0" w:type="auto"/>
            <w:hideMark/>
          </w:tcPr>
          <w:p w14:paraId="7502B07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17</w:t>
            </w:r>
          </w:p>
        </w:tc>
        <w:tc>
          <w:tcPr>
            <w:tcW w:w="8961" w:type="dxa"/>
            <w:hideMark/>
          </w:tcPr>
          <w:p w14:paraId="0338934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Sale D, Amos HD (2021) Assessing the Cost Burden of Pediatric Neurosurgery in Kaduna, Nigeria. World Neurosurg 152:e708–e712</w:t>
            </w:r>
          </w:p>
        </w:tc>
        <w:tc>
          <w:tcPr>
            <w:tcW w:w="5775" w:type="dxa"/>
            <w:hideMark/>
          </w:tcPr>
          <w:p w14:paraId="02D0139C" w14:textId="283DD8F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925E685" w14:textId="77777777" w:rsidTr="00A912AF">
        <w:trPr>
          <w:trHeight w:val="567"/>
        </w:trPr>
        <w:tc>
          <w:tcPr>
            <w:tcW w:w="0" w:type="auto"/>
            <w:hideMark/>
          </w:tcPr>
          <w:p w14:paraId="5060EB7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18</w:t>
            </w:r>
          </w:p>
        </w:tc>
        <w:tc>
          <w:tcPr>
            <w:tcW w:w="8961" w:type="dxa"/>
            <w:hideMark/>
          </w:tcPr>
          <w:p w14:paraId="31350DC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Veen M, Koekkoek B, Teerenstra S, Adang E, Mulder CL (2021) Effectiveness and cost effectiveness of interpersonal community psychiatric treatment (ICPT) for people with long-term severe non-psychotic mental disorders: a multi-Centre randomized controlled trial. BMC Psychiatry 21:261</w:t>
            </w:r>
          </w:p>
        </w:tc>
        <w:tc>
          <w:tcPr>
            <w:tcW w:w="5775" w:type="dxa"/>
            <w:hideMark/>
          </w:tcPr>
          <w:p w14:paraId="3F494697" w14:textId="22DF2E5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47A90463" w14:textId="77777777" w:rsidTr="00A912AF">
        <w:trPr>
          <w:trHeight w:val="567"/>
        </w:trPr>
        <w:tc>
          <w:tcPr>
            <w:tcW w:w="0" w:type="auto"/>
            <w:hideMark/>
          </w:tcPr>
          <w:p w14:paraId="3E096A1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19</w:t>
            </w:r>
          </w:p>
        </w:tc>
        <w:tc>
          <w:tcPr>
            <w:tcW w:w="8961" w:type="dxa"/>
            <w:hideMark/>
          </w:tcPr>
          <w:p w14:paraId="0A37ABE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Rochanathimoke O, Riewpaiboon A, Praditsitthikorn N, Tharmaphornpilas P, Jiamsiri S, Thavorncharoensap M, Postma MJ (2021) Economic evaluation of rotavirus vaccination: an important step of the introduction to the national immunization program in Thailand. Expert Rev Pharmacoecon Outcomes Res 21:811–819</w:t>
            </w:r>
          </w:p>
        </w:tc>
        <w:tc>
          <w:tcPr>
            <w:tcW w:w="5775" w:type="dxa"/>
            <w:hideMark/>
          </w:tcPr>
          <w:p w14:paraId="1F7ADE25" w14:textId="3EF62F4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Literature/DB analysis</w:t>
            </w:r>
          </w:p>
        </w:tc>
      </w:tr>
      <w:tr w:rsidR="00A912AF" w:rsidRPr="001253BE" w14:paraId="0385074F" w14:textId="77777777" w:rsidTr="00A912AF">
        <w:trPr>
          <w:trHeight w:val="567"/>
        </w:trPr>
        <w:tc>
          <w:tcPr>
            <w:tcW w:w="0" w:type="auto"/>
            <w:hideMark/>
          </w:tcPr>
          <w:p w14:paraId="3A1A26B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20</w:t>
            </w:r>
          </w:p>
        </w:tc>
        <w:tc>
          <w:tcPr>
            <w:tcW w:w="8961" w:type="dxa"/>
            <w:hideMark/>
          </w:tcPr>
          <w:p w14:paraId="184C827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Mahon R, Lang A, Vo P, Huels J, Cooney P, Danyliv A, Vudumula U, Vadapalle S, Maniyar F, Goadsby PJ (2021) Cost-Effectiveness of Erenumab for the Preventive Treatment of Migraine in Patients with Prior Treatment Failures in Sweden. Pharmacoeconomics 39:357–372</w:t>
            </w:r>
          </w:p>
        </w:tc>
        <w:tc>
          <w:tcPr>
            <w:tcW w:w="5775" w:type="dxa"/>
            <w:hideMark/>
          </w:tcPr>
          <w:p w14:paraId="17A72D64" w14:textId="50003A8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Migraine Disability Assessment Test</w:t>
            </w:r>
          </w:p>
        </w:tc>
      </w:tr>
      <w:tr w:rsidR="00A912AF" w:rsidRPr="001253BE" w14:paraId="01D139F8" w14:textId="77777777" w:rsidTr="00A912AF">
        <w:trPr>
          <w:trHeight w:val="567"/>
        </w:trPr>
        <w:tc>
          <w:tcPr>
            <w:tcW w:w="0" w:type="auto"/>
            <w:hideMark/>
          </w:tcPr>
          <w:p w14:paraId="21761B1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21</w:t>
            </w:r>
          </w:p>
        </w:tc>
        <w:tc>
          <w:tcPr>
            <w:tcW w:w="8961" w:type="dxa"/>
            <w:hideMark/>
          </w:tcPr>
          <w:p w14:paraId="4AFA46C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Benson C, Singer D, Carpinella CM, Shawi M, Alphs L (2021) The Health-Related Quality of Life, Work Productivity, Healthcare Resource Utilization, and Economic Burden Associated with Levels of Suicidal Ideation Among Patients Self-Reporting Moderately Severe or Severe Major Depressive Disorder in a National Survey. Neuropsychiatr Dis Treat 17:111–123</w:t>
            </w:r>
          </w:p>
        </w:tc>
        <w:tc>
          <w:tcPr>
            <w:tcW w:w="5775" w:type="dxa"/>
            <w:hideMark/>
          </w:tcPr>
          <w:p w14:paraId="279E5FE2" w14:textId="25D33C9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5F0FBEE5" w14:textId="77777777" w:rsidTr="00A912AF">
        <w:trPr>
          <w:trHeight w:val="567"/>
        </w:trPr>
        <w:tc>
          <w:tcPr>
            <w:tcW w:w="0" w:type="auto"/>
            <w:hideMark/>
          </w:tcPr>
          <w:p w14:paraId="52A9A2E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22</w:t>
            </w:r>
          </w:p>
        </w:tc>
        <w:tc>
          <w:tcPr>
            <w:tcW w:w="8961" w:type="dxa"/>
            <w:hideMark/>
          </w:tcPr>
          <w:p w14:paraId="50DB608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Alipour V, Zandian H, Yazdi-Feyzabadi V, Avesta L, Moghadam TZ (2021) Economic burden of cardiovascular diseases before and after Iran’s health transformation plan: evidence from a referral hospital of Iran. Cost Eff Resour Alloc 19:1</w:t>
            </w:r>
          </w:p>
        </w:tc>
        <w:tc>
          <w:tcPr>
            <w:tcW w:w="5775" w:type="dxa"/>
            <w:hideMark/>
          </w:tcPr>
          <w:p w14:paraId="45E0E075" w14:textId="2A2C743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17BF643A" w14:textId="77777777" w:rsidTr="00A912AF">
        <w:trPr>
          <w:trHeight w:val="567"/>
        </w:trPr>
        <w:tc>
          <w:tcPr>
            <w:tcW w:w="0" w:type="auto"/>
            <w:hideMark/>
          </w:tcPr>
          <w:p w14:paraId="7A1B419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23</w:t>
            </w:r>
          </w:p>
        </w:tc>
        <w:tc>
          <w:tcPr>
            <w:tcW w:w="8961" w:type="dxa"/>
            <w:hideMark/>
          </w:tcPr>
          <w:p w14:paraId="02B0150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Girolomoni G, Luger T, Nosbaum A, Gruben D, Romero W, Llamado LJ, DiBonaventura M (2021) The Economic and Psychosocial Comorbidity Burden Among Adults with Moderate-to-Severe Atopic Dermatitis in Europe: Analysis of a Cross-Sectional Survey. Dermatol Ther (Heidelb) 11:117–130</w:t>
            </w:r>
          </w:p>
        </w:tc>
        <w:tc>
          <w:tcPr>
            <w:tcW w:w="5775" w:type="dxa"/>
            <w:hideMark/>
          </w:tcPr>
          <w:p w14:paraId="0F7507F8" w14:textId="0467A51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615CA7F8" w14:textId="77777777" w:rsidTr="00A912AF">
        <w:trPr>
          <w:trHeight w:val="567"/>
        </w:trPr>
        <w:tc>
          <w:tcPr>
            <w:tcW w:w="0" w:type="auto"/>
            <w:hideMark/>
          </w:tcPr>
          <w:p w14:paraId="2474C23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24</w:t>
            </w:r>
          </w:p>
        </w:tc>
        <w:tc>
          <w:tcPr>
            <w:tcW w:w="8961" w:type="dxa"/>
            <w:hideMark/>
          </w:tcPr>
          <w:p w14:paraId="2E4B73D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Ur Rehman A, Hassali MAA, Muhammad SA, Shakeel S, Chin OS, Ali IABH, Muneswarao J, Hussain R (2021) Economic Burden of Chronic Obstructive Pulmonary Disease Patients in Malaysia: A Longitudinal Study. Pharmacoecon Open 5:35–44</w:t>
            </w:r>
          </w:p>
        </w:tc>
        <w:tc>
          <w:tcPr>
            <w:tcW w:w="5775" w:type="dxa"/>
            <w:hideMark/>
          </w:tcPr>
          <w:p w14:paraId="075BA1D9" w14:textId="5E098D3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COPD-specifc V2.0</w:t>
            </w:r>
          </w:p>
        </w:tc>
      </w:tr>
      <w:tr w:rsidR="00A912AF" w:rsidRPr="001253BE" w14:paraId="0B32AB19" w14:textId="77777777" w:rsidTr="00A912AF">
        <w:trPr>
          <w:trHeight w:val="567"/>
        </w:trPr>
        <w:tc>
          <w:tcPr>
            <w:tcW w:w="0" w:type="auto"/>
            <w:hideMark/>
          </w:tcPr>
          <w:p w14:paraId="3AA4C06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25</w:t>
            </w:r>
          </w:p>
        </w:tc>
        <w:tc>
          <w:tcPr>
            <w:tcW w:w="8961" w:type="dxa"/>
            <w:hideMark/>
          </w:tcPr>
          <w:p w14:paraId="5D759A5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Watanabe K, Aouadj C, Hiratsuka Y, Yamamoto S, Murakami A (2023) Quality of Life and Economic Impacts of Retinitis Pigmentosa on Japanese Patients: A Non-interventional Cross-sectional Study. Adv Ther 40:2375–2393</w:t>
            </w:r>
          </w:p>
        </w:tc>
        <w:tc>
          <w:tcPr>
            <w:tcW w:w="5775" w:type="dxa"/>
            <w:hideMark/>
          </w:tcPr>
          <w:p w14:paraId="10183194" w14:textId="02C210A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523EF5E8" w14:textId="77777777" w:rsidTr="00A912AF">
        <w:trPr>
          <w:trHeight w:val="567"/>
        </w:trPr>
        <w:tc>
          <w:tcPr>
            <w:tcW w:w="0" w:type="auto"/>
            <w:hideMark/>
          </w:tcPr>
          <w:p w14:paraId="31DA97A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26</w:t>
            </w:r>
          </w:p>
        </w:tc>
        <w:tc>
          <w:tcPr>
            <w:tcW w:w="8961" w:type="dxa"/>
            <w:hideMark/>
          </w:tcPr>
          <w:p w14:paraId="29F7C22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Wijnen A, Seeber GH, Dietz G, et al (2023) Effectiveness of rehabilitation for working-age patients after a total hip arthroplasty: a comparison of usual care between the Netherlands and Germany. BMC Musculoskelet Disord 24:525</w:t>
            </w:r>
          </w:p>
        </w:tc>
        <w:tc>
          <w:tcPr>
            <w:tcW w:w="5775" w:type="dxa"/>
            <w:hideMark/>
          </w:tcPr>
          <w:p w14:paraId="254B3BB9" w14:textId="5CA92FE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Resource use Questionnaire</w:t>
            </w:r>
          </w:p>
        </w:tc>
      </w:tr>
      <w:tr w:rsidR="00A912AF" w:rsidRPr="001253BE" w14:paraId="10C7C2BA" w14:textId="77777777" w:rsidTr="00A912AF">
        <w:trPr>
          <w:trHeight w:val="567"/>
        </w:trPr>
        <w:tc>
          <w:tcPr>
            <w:tcW w:w="0" w:type="auto"/>
            <w:hideMark/>
          </w:tcPr>
          <w:p w14:paraId="546CACF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27</w:t>
            </w:r>
          </w:p>
        </w:tc>
        <w:tc>
          <w:tcPr>
            <w:tcW w:w="8961" w:type="dxa"/>
            <w:hideMark/>
          </w:tcPr>
          <w:p w14:paraId="6835020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Koeser L, Rost F, Gabrio A, Booker T, Taylor D, Fonagy P, Goldberg D, Knapp M, McCrone P (2023) Cost-effectiveness of long-term psychoanalytic psychotherapy for treatment-resistant depression: RCT evidence from the Tavistock Adult Depression Study (TADS). J Affect Disord 335:313–321</w:t>
            </w:r>
          </w:p>
        </w:tc>
        <w:tc>
          <w:tcPr>
            <w:tcW w:w="5775" w:type="dxa"/>
            <w:hideMark/>
          </w:tcPr>
          <w:p w14:paraId="7CD19ED8" w14:textId="5B17F51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Client Service Receipt Inventory</w:t>
            </w:r>
          </w:p>
        </w:tc>
      </w:tr>
      <w:tr w:rsidR="00A912AF" w:rsidRPr="001253BE" w14:paraId="15A38B2F" w14:textId="77777777" w:rsidTr="00A912AF">
        <w:trPr>
          <w:trHeight w:val="567"/>
        </w:trPr>
        <w:tc>
          <w:tcPr>
            <w:tcW w:w="0" w:type="auto"/>
            <w:hideMark/>
          </w:tcPr>
          <w:p w14:paraId="5A860F9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28</w:t>
            </w:r>
          </w:p>
        </w:tc>
        <w:tc>
          <w:tcPr>
            <w:tcW w:w="8961" w:type="dxa"/>
            <w:hideMark/>
          </w:tcPr>
          <w:p w14:paraId="641112A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Kavelaars R, Ward H, Mackie  deMauri S, Modi KM, Mohandas A (2023) The burden of anxiety among a nationally representative US adult population. J Affect Disord 336:81–91</w:t>
            </w:r>
          </w:p>
        </w:tc>
        <w:tc>
          <w:tcPr>
            <w:tcW w:w="5775" w:type="dxa"/>
            <w:hideMark/>
          </w:tcPr>
          <w:p w14:paraId="7A0E6772" w14:textId="3CCF8FB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30C2F32D" w14:textId="77777777" w:rsidTr="00A912AF">
        <w:trPr>
          <w:trHeight w:val="567"/>
        </w:trPr>
        <w:tc>
          <w:tcPr>
            <w:tcW w:w="0" w:type="auto"/>
            <w:hideMark/>
          </w:tcPr>
          <w:p w14:paraId="3E1F4CD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29</w:t>
            </w:r>
          </w:p>
        </w:tc>
        <w:tc>
          <w:tcPr>
            <w:tcW w:w="8961" w:type="dxa"/>
            <w:hideMark/>
          </w:tcPr>
          <w:p w14:paraId="51D3818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Gill SD, Stella J, Chatterton ML, et al (2023) Economic consequences of injury in female Australian footballers: A prospective observational study of emergency department presentations. Emerg Med Australas 35:496–503</w:t>
            </w:r>
          </w:p>
        </w:tc>
        <w:tc>
          <w:tcPr>
            <w:tcW w:w="5775" w:type="dxa"/>
            <w:hideMark/>
          </w:tcPr>
          <w:p w14:paraId="09AF9A66" w14:textId="20246AE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Resource use Questionnaire</w:t>
            </w:r>
          </w:p>
        </w:tc>
      </w:tr>
      <w:tr w:rsidR="00A912AF" w:rsidRPr="001253BE" w14:paraId="5DAD2F92" w14:textId="77777777" w:rsidTr="00A912AF">
        <w:trPr>
          <w:trHeight w:val="567"/>
        </w:trPr>
        <w:tc>
          <w:tcPr>
            <w:tcW w:w="0" w:type="auto"/>
            <w:hideMark/>
          </w:tcPr>
          <w:p w14:paraId="41F7E10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30</w:t>
            </w:r>
          </w:p>
        </w:tc>
        <w:tc>
          <w:tcPr>
            <w:tcW w:w="8961" w:type="dxa"/>
            <w:hideMark/>
          </w:tcPr>
          <w:p w14:paraId="5D81E2E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Chen F, Siego CV, Jasik CB, Norwood T, Beresford L, Yang Z, Dall TM (2023) The value of virtual physical therapy for musculoskeletal care. Am J Manag Care 29:e169–e175</w:t>
            </w:r>
          </w:p>
        </w:tc>
        <w:tc>
          <w:tcPr>
            <w:tcW w:w="5775" w:type="dxa"/>
            <w:hideMark/>
          </w:tcPr>
          <w:p w14:paraId="3B5597CC" w14:textId="5F3E1637"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72245A53" w14:textId="77777777" w:rsidTr="00A912AF">
        <w:trPr>
          <w:trHeight w:val="567"/>
        </w:trPr>
        <w:tc>
          <w:tcPr>
            <w:tcW w:w="0" w:type="auto"/>
            <w:hideMark/>
          </w:tcPr>
          <w:p w14:paraId="5806D24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31</w:t>
            </w:r>
          </w:p>
        </w:tc>
        <w:tc>
          <w:tcPr>
            <w:tcW w:w="8961" w:type="dxa"/>
            <w:hideMark/>
          </w:tcPr>
          <w:p w14:paraId="18BE9AC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Toonders S a. J, van Westrienen PE, de Wit NJ, van Dongen JM, Gerrits M, Pisters MF, Veenhof C (2023) The cost-effectiveness of an indicated blended care intervention in primary care compared to usual care in patients with moderate persistent somatic symptoms. J Psychosom Res 171:111387</w:t>
            </w:r>
          </w:p>
        </w:tc>
        <w:tc>
          <w:tcPr>
            <w:tcW w:w="5775" w:type="dxa"/>
            <w:hideMark/>
          </w:tcPr>
          <w:p w14:paraId="6B713C54" w14:textId="7A18775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5EF54B11" w14:textId="77777777" w:rsidTr="00A912AF">
        <w:trPr>
          <w:trHeight w:val="567"/>
        </w:trPr>
        <w:tc>
          <w:tcPr>
            <w:tcW w:w="0" w:type="auto"/>
            <w:hideMark/>
          </w:tcPr>
          <w:p w14:paraId="77AA0D1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32</w:t>
            </w:r>
          </w:p>
        </w:tc>
        <w:tc>
          <w:tcPr>
            <w:tcW w:w="8961" w:type="dxa"/>
            <w:hideMark/>
          </w:tcPr>
          <w:p w14:paraId="51C4738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Gorasso V, Van der Heyden J, De Pauw R, et al (2023) The health and economic burden of musculoskeletal disorders in Belgium from 2013 to 2018. Popul Health Metr 21:4</w:t>
            </w:r>
          </w:p>
        </w:tc>
        <w:tc>
          <w:tcPr>
            <w:tcW w:w="5775" w:type="dxa"/>
            <w:hideMark/>
          </w:tcPr>
          <w:p w14:paraId="1532F532" w14:textId="1B0C0D29"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792CE5F0" w14:textId="77777777" w:rsidTr="00A912AF">
        <w:trPr>
          <w:trHeight w:val="567"/>
        </w:trPr>
        <w:tc>
          <w:tcPr>
            <w:tcW w:w="0" w:type="auto"/>
            <w:hideMark/>
          </w:tcPr>
          <w:p w14:paraId="034DA51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33</w:t>
            </w:r>
          </w:p>
        </w:tc>
        <w:tc>
          <w:tcPr>
            <w:tcW w:w="8961" w:type="dxa"/>
            <w:hideMark/>
          </w:tcPr>
          <w:p w14:paraId="54C33BF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Penning D, Sanders FRK, van Dieren S, Roukema GR, Vermeulen J, Winkelhagen J, Goslings JC, Schepers T, RODEO collaborator group (2023) Cost-effectiveness of on-demand removal of syndesmotic screws. Eur J Trauma Emerg Surg 49:921–928</w:t>
            </w:r>
          </w:p>
        </w:tc>
        <w:tc>
          <w:tcPr>
            <w:tcW w:w="5775" w:type="dxa"/>
            <w:hideMark/>
          </w:tcPr>
          <w:p w14:paraId="6F28540A" w14:textId="4B82339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6393A508" w14:textId="77777777" w:rsidTr="00A912AF">
        <w:trPr>
          <w:trHeight w:val="567"/>
        </w:trPr>
        <w:tc>
          <w:tcPr>
            <w:tcW w:w="0" w:type="auto"/>
            <w:hideMark/>
          </w:tcPr>
          <w:p w14:paraId="4A7E0E0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34</w:t>
            </w:r>
          </w:p>
        </w:tc>
        <w:tc>
          <w:tcPr>
            <w:tcW w:w="8961" w:type="dxa"/>
            <w:hideMark/>
          </w:tcPr>
          <w:p w14:paraId="60EC839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Seyedrezazadeh E, Gilani N, Ansarin K, Yousefi M, Sharifi A, Jafari Rouhi AH, Aftabi Y, Najmi M, Dastan I, Pour Moghaddam M (2023) Economic Burden of Asthma in Northwest Iran. Iran J Med Sci 48:156–166</w:t>
            </w:r>
          </w:p>
        </w:tc>
        <w:tc>
          <w:tcPr>
            <w:tcW w:w="5775" w:type="dxa"/>
            <w:hideMark/>
          </w:tcPr>
          <w:p w14:paraId="190EB071" w14:textId="580CB9E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Asthma-specifc</w:t>
            </w:r>
          </w:p>
        </w:tc>
      </w:tr>
      <w:tr w:rsidR="00A912AF" w:rsidRPr="001253BE" w14:paraId="4B52F548" w14:textId="77777777" w:rsidTr="00A912AF">
        <w:trPr>
          <w:trHeight w:val="567"/>
        </w:trPr>
        <w:tc>
          <w:tcPr>
            <w:tcW w:w="0" w:type="auto"/>
            <w:hideMark/>
          </w:tcPr>
          <w:p w14:paraId="322F16C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35</w:t>
            </w:r>
          </w:p>
        </w:tc>
        <w:tc>
          <w:tcPr>
            <w:tcW w:w="8961" w:type="dxa"/>
            <w:hideMark/>
          </w:tcPr>
          <w:p w14:paraId="53896ED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Ryen L, Lundqvist S, Cider Å, Börjesson M, Larsson MEH, Hagberg L (2023) Cost-Effectiveness of Prolonged Physical Activity on Prescription in Previously Non-Complying Patients: Impact of Physical Activity Mediators. Int J Environ Res Public Health 20:3801</w:t>
            </w:r>
          </w:p>
        </w:tc>
        <w:tc>
          <w:tcPr>
            <w:tcW w:w="5775" w:type="dxa"/>
            <w:hideMark/>
          </w:tcPr>
          <w:p w14:paraId="5DE5935B" w14:textId="3B2504B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3293CF3" w14:textId="77777777" w:rsidTr="00A912AF">
        <w:trPr>
          <w:trHeight w:val="567"/>
        </w:trPr>
        <w:tc>
          <w:tcPr>
            <w:tcW w:w="0" w:type="auto"/>
            <w:hideMark/>
          </w:tcPr>
          <w:p w14:paraId="4898A23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36</w:t>
            </w:r>
          </w:p>
        </w:tc>
        <w:tc>
          <w:tcPr>
            <w:tcW w:w="8961" w:type="dxa"/>
            <w:hideMark/>
          </w:tcPr>
          <w:p w14:paraId="2294411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Kullberg M-LJ, Schoorl M, Oprel DAC, Hoeboer CM, Smit F, van der Does W, de Kleine RA, van Minnen A, van den Hout W (2023) Exposure-based treatments for childhood abuse-related post-traumatic stress disorder in adults: a health-economic evaluation. Eur J Psychotraumatol 14:2171752</w:t>
            </w:r>
          </w:p>
        </w:tc>
        <w:tc>
          <w:tcPr>
            <w:tcW w:w="5775" w:type="dxa"/>
            <w:hideMark/>
          </w:tcPr>
          <w:p w14:paraId="6B4B4F2C" w14:textId="0E93528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2C40ACF3" w14:textId="77777777" w:rsidTr="00A912AF">
        <w:trPr>
          <w:trHeight w:val="567"/>
        </w:trPr>
        <w:tc>
          <w:tcPr>
            <w:tcW w:w="0" w:type="auto"/>
            <w:hideMark/>
          </w:tcPr>
          <w:p w14:paraId="20141AC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37</w:t>
            </w:r>
          </w:p>
        </w:tc>
        <w:tc>
          <w:tcPr>
            <w:tcW w:w="8961" w:type="dxa"/>
            <w:hideMark/>
          </w:tcPr>
          <w:p w14:paraId="3E534E3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Simons RWP, Dunker SL, Dickman MM, Nuijts RMMA, van den Biggelaar FJHM, Dirksen CD, DMEK versus DSAEK Study Group (2023) Trial-based cost-effectiveness analysis of Descemet membrane endothelial keratoplasty (DMEK) versus ultrathin Descemet stripping automated endothelial keratoplasty (UT-DSAEK). Acta Ophthalmol 101:319–329</w:t>
            </w:r>
          </w:p>
        </w:tc>
        <w:tc>
          <w:tcPr>
            <w:tcW w:w="5775" w:type="dxa"/>
            <w:hideMark/>
          </w:tcPr>
          <w:p w14:paraId="27F9911C" w14:textId="5DB4DAF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Resource use Questionnaire</w:t>
            </w:r>
          </w:p>
        </w:tc>
      </w:tr>
      <w:tr w:rsidR="00A912AF" w:rsidRPr="001253BE" w14:paraId="3B7821DC" w14:textId="77777777" w:rsidTr="00A912AF">
        <w:trPr>
          <w:trHeight w:val="567"/>
        </w:trPr>
        <w:tc>
          <w:tcPr>
            <w:tcW w:w="0" w:type="auto"/>
            <w:hideMark/>
          </w:tcPr>
          <w:p w14:paraId="4837AE9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38</w:t>
            </w:r>
          </w:p>
        </w:tc>
        <w:tc>
          <w:tcPr>
            <w:tcW w:w="8961" w:type="dxa"/>
            <w:hideMark/>
          </w:tcPr>
          <w:p w14:paraId="1B316ED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Al Ismail H, Herzallah NH, Al-Otaibi ST (2023) What are the predictors and costs of nurse absenteeism at select multicenter government hospitals? A cross-sectional study. Front Public Health 11:1073832</w:t>
            </w:r>
          </w:p>
        </w:tc>
        <w:tc>
          <w:tcPr>
            <w:tcW w:w="5775" w:type="dxa"/>
            <w:hideMark/>
          </w:tcPr>
          <w:p w14:paraId="3BFB8708" w14:textId="4C3FB38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3FF0A40" w14:textId="77777777" w:rsidTr="00A912AF">
        <w:trPr>
          <w:trHeight w:val="567"/>
        </w:trPr>
        <w:tc>
          <w:tcPr>
            <w:tcW w:w="0" w:type="auto"/>
            <w:hideMark/>
          </w:tcPr>
          <w:p w14:paraId="0AB7DA9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39</w:t>
            </w:r>
          </w:p>
        </w:tc>
        <w:tc>
          <w:tcPr>
            <w:tcW w:w="8961" w:type="dxa"/>
            <w:hideMark/>
          </w:tcPr>
          <w:p w14:paraId="4A4A0C1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der Veen A, van der Meulen MP, Seesing MFJ, et al (2023) Cost-effectiveness of Laparoscopic vs Open Gastrectomy for Gastric Cancer: An Economic Evaluation Alongside a Randomized Clinical Trial. JAMA Surg 158:120–128</w:t>
            </w:r>
          </w:p>
        </w:tc>
        <w:tc>
          <w:tcPr>
            <w:tcW w:w="5775" w:type="dxa"/>
            <w:hideMark/>
          </w:tcPr>
          <w:p w14:paraId="55E241B1" w14:textId="6F3F263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Labour Questionnaire-Short Form</w:t>
            </w:r>
          </w:p>
        </w:tc>
      </w:tr>
      <w:tr w:rsidR="00A912AF" w:rsidRPr="001253BE" w14:paraId="3A576576" w14:textId="77777777" w:rsidTr="00A912AF">
        <w:trPr>
          <w:trHeight w:val="567"/>
        </w:trPr>
        <w:tc>
          <w:tcPr>
            <w:tcW w:w="0" w:type="auto"/>
            <w:hideMark/>
          </w:tcPr>
          <w:p w14:paraId="4A3936F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40</w:t>
            </w:r>
          </w:p>
        </w:tc>
        <w:tc>
          <w:tcPr>
            <w:tcW w:w="8961" w:type="dxa"/>
            <w:hideMark/>
          </w:tcPr>
          <w:p w14:paraId="0FFF0D1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Bindra J, Chopra I, Hayes K, Niewoehner J, Panaccio M, Wan GJ (2023) Cost-Effectiveness of Acthar Gel Versus Standard of Care for the Treatment of Exacerbations in Moderate-to-Severe Systemic Lupus Erythematosus. Adv Ther 40:194–210</w:t>
            </w:r>
          </w:p>
        </w:tc>
        <w:tc>
          <w:tcPr>
            <w:tcW w:w="5775" w:type="dxa"/>
            <w:hideMark/>
          </w:tcPr>
          <w:p w14:paraId="55AF1F7A" w14:textId="1791F34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60109266" w14:textId="77777777" w:rsidTr="00A912AF">
        <w:trPr>
          <w:trHeight w:val="567"/>
        </w:trPr>
        <w:tc>
          <w:tcPr>
            <w:tcW w:w="0" w:type="auto"/>
            <w:hideMark/>
          </w:tcPr>
          <w:p w14:paraId="45DC270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41</w:t>
            </w:r>
          </w:p>
        </w:tc>
        <w:tc>
          <w:tcPr>
            <w:tcW w:w="8961" w:type="dxa"/>
            <w:hideMark/>
          </w:tcPr>
          <w:p w14:paraId="29D2E6A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Takaki S, Miyama H, Iwasaki M (2023) Cost-effectiveness analysis of intradiscal condoliase injection vs. surgical or conservative treatment for lumbar disc herniation. J Med Econ 26:233–242</w:t>
            </w:r>
          </w:p>
        </w:tc>
        <w:tc>
          <w:tcPr>
            <w:tcW w:w="5775" w:type="dxa"/>
            <w:hideMark/>
          </w:tcPr>
          <w:p w14:paraId="6D11D476" w14:textId="630565E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AFD41EE" w14:textId="77777777" w:rsidTr="00A912AF">
        <w:trPr>
          <w:trHeight w:val="567"/>
        </w:trPr>
        <w:tc>
          <w:tcPr>
            <w:tcW w:w="0" w:type="auto"/>
            <w:hideMark/>
          </w:tcPr>
          <w:p w14:paraId="76CD43A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42</w:t>
            </w:r>
          </w:p>
        </w:tc>
        <w:tc>
          <w:tcPr>
            <w:tcW w:w="8961" w:type="dxa"/>
            <w:hideMark/>
          </w:tcPr>
          <w:p w14:paraId="3BA9F78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Williams JTW, Bell KJL, Morton RL, Dieng M (2023) Exploring the Integration of Environmental Impacts in the Cost Analysis of the Pilot MEL-SELF Trial of Patient-Led Melanoma Surveillance. Appl Health Econ Health Policy 21:23–30</w:t>
            </w:r>
          </w:p>
        </w:tc>
        <w:tc>
          <w:tcPr>
            <w:tcW w:w="5775" w:type="dxa"/>
            <w:hideMark/>
          </w:tcPr>
          <w:p w14:paraId="02A7D0AE" w14:textId="7BF0877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dairy</w:t>
            </w:r>
          </w:p>
        </w:tc>
      </w:tr>
      <w:tr w:rsidR="00A912AF" w:rsidRPr="001253BE" w14:paraId="39137267" w14:textId="77777777" w:rsidTr="00A912AF">
        <w:trPr>
          <w:trHeight w:val="567"/>
        </w:trPr>
        <w:tc>
          <w:tcPr>
            <w:tcW w:w="0" w:type="auto"/>
            <w:hideMark/>
          </w:tcPr>
          <w:p w14:paraId="60D7336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43</w:t>
            </w:r>
          </w:p>
        </w:tc>
        <w:tc>
          <w:tcPr>
            <w:tcW w:w="8961" w:type="dxa"/>
            <w:hideMark/>
          </w:tcPr>
          <w:p w14:paraId="3ADD105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Lenhard F, Aspvall K, Andersson E, Ahlen J, Serlachius E, Lavner M, Brodin A, Mataix-Cols D (2023) The Cost of Obsessive-Compulsive Disorder in Swedish Youth. Child Psychiatry Hum Dev 54:248–254</w:t>
            </w:r>
          </w:p>
        </w:tc>
        <w:tc>
          <w:tcPr>
            <w:tcW w:w="5775" w:type="dxa"/>
            <w:hideMark/>
          </w:tcPr>
          <w:p w14:paraId="4124BA7F" w14:textId="1A47B4A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43B334CA" w14:textId="77777777" w:rsidTr="00A912AF">
        <w:trPr>
          <w:trHeight w:val="567"/>
        </w:trPr>
        <w:tc>
          <w:tcPr>
            <w:tcW w:w="0" w:type="auto"/>
            <w:hideMark/>
          </w:tcPr>
          <w:p w14:paraId="3A18B23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44</w:t>
            </w:r>
          </w:p>
        </w:tc>
        <w:tc>
          <w:tcPr>
            <w:tcW w:w="8961" w:type="dxa"/>
            <w:hideMark/>
          </w:tcPr>
          <w:p w14:paraId="60797E7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Wilson R, Abbott JH, Mellor R, Grimaldi A, Bennell K, Vicenzino B (2023) Education plus exercise for persistent gluteal tendinopathy improves quality of life and is cost-effective compared with corticosteroid injection and wait and see: economic evaluation of a randomised trial. J Physiother 69:35–41</w:t>
            </w:r>
          </w:p>
        </w:tc>
        <w:tc>
          <w:tcPr>
            <w:tcW w:w="5775" w:type="dxa"/>
            <w:hideMark/>
          </w:tcPr>
          <w:p w14:paraId="680C8766" w14:textId="16C44521"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21764ECB" w14:textId="77777777" w:rsidTr="00A912AF">
        <w:trPr>
          <w:trHeight w:val="567"/>
        </w:trPr>
        <w:tc>
          <w:tcPr>
            <w:tcW w:w="0" w:type="auto"/>
            <w:hideMark/>
          </w:tcPr>
          <w:p w14:paraId="4CFCEFF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45</w:t>
            </w:r>
          </w:p>
        </w:tc>
        <w:tc>
          <w:tcPr>
            <w:tcW w:w="8961" w:type="dxa"/>
            <w:hideMark/>
          </w:tcPr>
          <w:p w14:paraId="1E8EB49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Haal S, Guman MSS, de Brauw LM, Schouten R, van Veen RN, Fockens P, Gerdes VEA, Voermans RP, Dijkgraaf MGW (2022) Cost-effectiveness of ursodeoxycholic acid in preventing new-onset symptomatic gallstone disease after Roux-en-Y gastric bypass surgery. Br J Surg 109:1116–1123</w:t>
            </w:r>
          </w:p>
        </w:tc>
        <w:tc>
          <w:tcPr>
            <w:tcW w:w="5775" w:type="dxa"/>
            <w:hideMark/>
          </w:tcPr>
          <w:p w14:paraId="4BEEC131" w14:textId="23CE33D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32D6B55D" w14:textId="77777777" w:rsidTr="00A912AF">
        <w:trPr>
          <w:trHeight w:val="567"/>
        </w:trPr>
        <w:tc>
          <w:tcPr>
            <w:tcW w:w="0" w:type="auto"/>
            <w:hideMark/>
          </w:tcPr>
          <w:p w14:paraId="52B97AF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46</w:t>
            </w:r>
          </w:p>
        </w:tc>
        <w:tc>
          <w:tcPr>
            <w:tcW w:w="8961" w:type="dxa"/>
            <w:hideMark/>
          </w:tcPr>
          <w:p w14:paraId="30B0336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Mastrigt G, van Heugten C, Visser-Meily A, Bremmers L, Evers S (2022) Estimating the Burden of Stroke: Two-Year Societal Costs and Generic Health-Related Quality of Life of the Restore4Stroke Cohort. Int J Environ Res Public Health 19:11110</w:t>
            </w:r>
          </w:p>
        </w:tc>
        <w:tc>
          <w:tcPr>
            <w:tcW w:w="5775" w:type="dxa"/>
            <w:hideMark/>
          </w:tcPr>
          <w:p w14:paraId="354F0099" w14:textId="518F3F36"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1F175A4B" w14:textId="77777777" w:rsidTr="00A912AF">
        <w:trPr>
          <w:trHeight w:val="567"/>
        </w:trPr>
        <w:tc>
          <w:tcPr>
            <w:tcW w:w="0" w:type="auto"/>
            <w:hideMark/>
          </w:tcPr>
          <w:p w14:paraId="71F88B1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47</w:t>
            </w:r>
          </w:p>
        </w:tc>
        <w:tc>
          <w:tcPr>
            <w:tcW w:w="8961" w:type="dxa"/>
            <w:hideMark/>
          </w:tcPr>
          <w:p w14:paraId="66FC2D0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Chatterton ML, Harris M, Burgess P, et al (2022) Economic evaluation of a Decision Support Tool to guide intensity of mental health care in general practice: the Link-me pragmatic randomised controlled trial. BMC Prim Care 23:236</w:t>
            </w:r>
          </w:p>
        </w:tc>
        <w:tc>
          <w:tcPr>
            <w:tcW w:w="5775" w:type="dxa"/>
            <w:hideMark/>
          </w:tcPr>
          <w:p w14:paraId="01E3E6BC" w14:textId="1F6C15D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Resource use Questionnaire</w:t>
            </w:r>
          </w:p>
        </w:tc>
      </w:tr>
      <w:tr w:rsidR="00A912AF" w:rsidRPr="001253BE" w14:paraId="3FC4EA02" w14:textId="77777777" w:rsidTr="00A912AF">
        <w:trPr>
          <w:trHeight w:val="567"/>
        </w:trPr>
        <w:tc>
          <w:tcPr>
            <w:tcW w:w="0" w:type="auto"/>
            <w:hideMark/>
          </w:tcPr>
          <w:p w14:paraId="5DEFB83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48</w:t>
            </w:r>
          </w:p>
        </w:tc>
        <w:tc>
          <w:tcPr>
            <w:tcW w:w="8961" w:type="dxa"/>
            <w:hideMark/>
          </w:tcPr>
          <w:p w14:paraId="507B76C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Engelgeer A, van Westrhenen A, Thijs RD, Evers SMAA (2022) An economic evaluation of the NightWatch for children with refractory epilepsy: Insight into the cost-effectiveness and cost-utility. Seizure 101:156–161</w:t>
            </w:r>
          </w:p>
        </w:tc>
        <w:tc>
          <w:tcPr>
            <w:tcW w:w="5775" w:type="dxa"/>
            <w:hideMark/>
          </w:tcPr>
          <w:p w14:paraId="5172E4EB" w14:textId="500BC1B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73E5754A" w14:textId="77777777" w:rsidTr="00A912AF">
        <w:trPr>
          <w:trHeight w:val="567"/>
        </w:trPr>
        <w:tc>
          <w:tcPr>
            <w:tcW w:w="0" w:type="auto"/>
            <w:hideMark/>
          </w:tcPr>
          <w:p w14:paraId="0052120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49</w:t>
            </w:r>
          </w:p>
        </w:tc>
        <w:tc>
          <w:tcPr>
            <w:tcW w:w="8961" w:type="dxa"/>
            <w:hideMark/>
          </w:tcPr>
          <w:p w14:paraId="6789DB4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Chala TK, Lemma TD, Godana KT, Arefayine MB, Abdissa A, Gudina EK (2022) The Cost of Suspected and Confirmed Bacterial Meningitis Cases Treated at Jimma University Medical Center, Ethiopia. Ethiop J Health Sci 32:765–772</w:t>
            </w:r>
          </w:p>
        </w:tc>
        <w:tc>
          <w:tcPr>
            <w:tcW w:w="5775" w:type="dxa"/>
            <w:hideMark/>
          </w:tcPr>
          <w:p w14:paraId="55FA06D8" w14:textId="7416292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2698613" w14:textId="77777777" w:rsidTr="00A912AF">
        <w:trPr>
          <w:trHeight w:val="567"/>
        </w:trPr>
        <w:tc>
          <w:tcPr>
            <w:tcW w:w="0" w:type="auto"/>
            <w:hideMark/>
          </w:tcPr>
          <w:p w14:paraId="44D19C8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50</w:t>
            </w:r>
          </w:p>
        </w:tc>
        <w:tc>
          <w:tcPr>
            <w:tcW w:w="8961" w:type="dxa"/>
            <w:hideMark/>
          </w:tcPr>
          <w:p w14:paraId="386DEE2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Calabrò GE, Basile M, Varano M, Amore F, Ricciardi R, Bandello F, Cicchetti A (2022) Economic Aspects in the Management of Diabetic Macular Edema in Italy. Front Public Health 10:938987</w:t>
            </w:r>
          </w:p>
        </w:tc>
        <w:tc>
          <w:tcPr>
            <w:tcW w:w="5775" w:type="dxa"/>
            <w:hideMark/>
          </w:tcPr>
          <w:p w14:paraId="1828DB15" w14:textId="63A6966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D242374" w14:textId="77777777" w:rsidTr="00A912AF">
        <w:trPr>
          <w:trHeight w:val="567"/>
        </w:trPr>
        <w:tc>
          <w:tcPr>
            <w:tcW w:w="0" w:type="auto"/>
            <w:hideMark/>
          </w:tcPr>
          <w:p w14:paraId="554971C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51</w:t>
            </w:r>
          </w:p>
        </w:tc>
        <w:tc>
          <w:tcPr>
            <w:tcW w:w="8961" w:type="dxa"/>
            <w:hideMark/>
          </w:tcPr>
          <w:p w14:paraId="7D9DAD7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Jalali A, Jeng PJ, Polsky D, Poole S, Ku Y-C, Woody GE, Murphy SM (2022) Cost-effectiveness of extended-release injectable naltrexone among incarcerated persons with opioid use disorder before release from prison versus after release. J Subst Abuse Treat 141:108835</w:t>
            </w:r>
          </w:p>
        </w:tc>
        <w:tc>
          <w:tcPr>
            <w:tcW w:w="5775" w:type="dxa"/>
            <w:hideMark/>
          </w:tcPr>
          <w:p w14:paraId="04196429" w14:textId="26954C9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2213023B" w14:textId="77777777" w:rsidTr="00A912AF">
        <w:trPr>
          <w:trHeight w:val="567"/>
        </w:trPr>
        <w:tc>
          <w:tcPr>
            <w:tcW w:w="0" w:type="auto"/>
            <w:hideMark/>
          </w:tcPr>
          <w:p w14:paraId="4E70F99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52</w:t>
            </w:r>
          </w:p>
        </w:tc>
        <w:tc>
          <w:tcPr>
            <w:tcW w:w="8961" w:type="dxa"/>
            <w:hideMark/>
          </w:tcPr>
          <w:p w14:paraId="5F234D7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Karami Matin B, Amrollahi-Sharifabadi M, Rezaei S, Heidari A, Kazemi-Karyani A (2022) Epidemiology and Economic Burden of an Outbreak of Cyclopeptide-Containing Mushroom Poisoning in the West of Iran. Front Public Health 10:910024</w:t>
            </w:r>
          </w:p>
        </w:tc>
        <w:tc>
          <w:tcPr>
            <w:tcW w:w="5775" w:type="dxa"/>
            <w:hideMark/>
          </w:tcPr>
          <w:p w14:paraId="29CFC05A" w14:textId="704E00E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23466CF2" w14:textId="77777777" w:rsidTr="00A912AF">
        <w:trPr>
          <w:trHeight w:val="567"/>
        </w:trPr>
        <w:tc>
          <w:tcPr>
            <w:tcW w:w="0" w:type="auto"/>
            <w:hideMark/>
          </w:tcPr>
          <w:p w14:paraId="4E495A7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53</w:t>
            </w:r>
          </w:p>
        </w:tc>
        <w:tc>
          <w:tcPr>
            <w:tcW w:w="8961" w:type="dxa"/>
            <w:hideMark/>
          </w:tcPr>
          <w:p w14:paraId="6F214B1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Zhao X, Yang H, Wei T, Zhao J, Liu J, Huang Z, Zhu L, Zhao Y, Li W (2022) Cost-effectiveness analysis of prolonged-release fampridine to treat walking disability of multiple sclerosis in China. J Comp Eff Res 11:1057–1069</w:t>
            </w:r>
          </w:p>
        </w:tc>
        <w:tc>
          <w:tcPr>
            <w:tcW w:w="5775" w:type="dxa"/>
            <w:hideMark/>
          </w:tcPr>
          <w:p w14:paraId="3AEFF994" w14:textId="7A8A13D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98D4E29" w14:textId="77777777" w:rsidTr="00A912AF">
        <w:trPr>
          <w:trHeight w:val="567"/>
        </w:trPr>
        <w:tc>
          <w:tcPr>
            <w:tcW w:w="0" w:type="auto"/>
            <w:hideMark/>
          </w:tcPr>
          <w:p w14:paraId="5FCE530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54</w:t>
            </w:r>
          </w:p>
        </w:tc>
        <w:tc>
          <w:tcPr>
            <w:tcW w:w="8961" w:type="dxa"/>
            <w:hideMark/>
          </w:tcPr>
          <w:p w14:paraId="09535E6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Fernandes S, Pinto M, Barros L, Moreira MEL, de Araújo TVB, Lyra TM, Valongueiro S, Jofre-Bonet M, Kuper H (2022) The economic burden of congenital Zika Syndrome in Brazil: an overview at 5 years and 10 years. BMJ Glob Health 7:e008784</w:t>
            </w:r>
          </w:p>
        </w:tc>
        <w:tc>
          <w:tcPr>
            <w:tcW w:w="5775" w:type="dxa"/>
            <w:hideMark/>
          </w:tcPr>
          <w:p w14:paraId="57E00E31" w14:textId="04236D0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348F6808" w14:textId="77777777" w:rsidTr="00A912AF">
        <w:trPr>
          <w:trHeight w:val="567"/>
        </w:trPr>
        <w:tc>
          <w:tcPr>
            <w:tcW w:w="0" w:type="auto"/>
            <w:hideMark/>
          </w:tcPr>
          <w:p w14:paraId="4CFC450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55</w:t>
            </w:r>
          </w:p>
        </w:tc>
        <w:tc>
          <w:tcPr>
            <w:tcW w:w="8961" w:type="dxa"/>
            <w:hideMark/>
          </w:tcPr>
          <w:p w14:paraId="04EFDD2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Rohrbach PJ, Dingemans AE, van Furth EF, Spinhoven P, van Ginkel JR, Bauer S, van den Akker-Van Marle ME (2022) Cost-effectiveness of three internet-based interventions for eating disorders: A randomized controlled trial. Int J Eat Disord 55:1143–1155</w:t>
            </w:r>
          </w:p>
        </w:tc>
        <w:tc>
          <w:tcPr>
            <w:tcW w:w="5775" w:type="dxa"/>
            <w:hideMark/>
          </w:tcPr>
          <w:p w14:paraId="15B3FA20" w14:textId="0E3B379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2815A6D2" w14:textId="77777777" w:rsidTr="00A912AF">
        <w:trPr>
          <w:trHeight w:val="567"/>
        </w:trPr>
        <w:tc>
          <w:tcPr>
            <w:tcW w:w="0" w:type="auto"/>
            <w:hideMark/>
          </w:tcPr>
          <w:p w14:paraId="7C96BC8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56</w:t>
            </w:r>
          </w:p>
        </w:tc>
        <w:tc>
          <w:tcPr>
            <w:tcW w:w="8961" w:type="dxa"/>
            <w:hideMark/>
          </w:tcPr>
          <w:p w14:paraId="3DCBFED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Castillo-Rodríguez L, Malo-Sánchez D, Díaz-Jiménez D, García-Velásquez I, Pulido P, Castañeda-Orjuela C (2022) Economic costs of severe seasonal influenza in Colombia, 2017-2019: A multi-center analysis. PLoS One 17:e0270086</w:t>
            </w:r>
          </w:p>
        </w:tc>
        <w:tc>
          <w:tcPr>
            <w:tcW w:w="5775" w:type="dxa"/>
            <w:hideMark/>
          </w:tcPr>
          <w:p w14:paraId="5A166460" w14:textId="3806A9A2"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160FDF2" w14:textId="77777777" w:rsidTr="00A912AF">
        <w:trPr>
          <w:trHeight w:val="567"/>
        </w:trPr>
        <w:tc>
          <w:tcPr>
            <w:tcW w:w="0" w:type="auto"/>
            <w:hideMark/>
          </w:tcPr>
          <w:p w14:paraId="61AD880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57</w:t>
            </w:r>
          </w:p>
        </w:tc>
        <w:tc>
          <w:tcPr>
            <w:tcW w:w="8961" w:type="dxa"/>
            <w:hideMark/>
          </w:tcPr>
          <w:p w14:paraId="59474D4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Lindenberg MA, Retèl VP, van der Poel HG, Bandstra F, Wijburg C, van Harten WH (2022) Cost-utility analysis on robot-assisted and laparoscopic prostatectomy based on long-term functional outcomes. Sci Rep 12:7658</w:t>
            </w:r>
          </w:p>
        </w:tc>
        <w:tc>
          <w:tcPr>
            <w:tcW w:w="5775" w:type="dxa"/>
            <w:hideMark/>
          </w:tcPr>
          <w:p w14:paraId="74EDC9BB" w14:textId="79BCC4F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34DABDAF" w14:textId="77777777" w:rsidTr="00A912AF">
        <w:trPr>
          <w:trHeight w:val="567"/>
        </w:trPr>
        <w:tc>
          <w:tcPr>
            <w:tcW w:w="0" w:type="auto"/>
            <w:hideMark/>
          </w:tcPr>
          <w:p w14:paraId="60FB263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58</w:t>
            </w:r>
          </w:p>
        </w:tc>
        <w:tc>
          <w:tcPr>
            <w:tcW w:w="8961" w:type="dxa"/>
            <w:hideMark/>
          </w:tcPr>
          <w:p w14:paraId="1DF6357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Passias PG, Ahmad W, Kummer N, et al (2022) Examination of the Economic Burden of Frailty in Patients With Adult Spinal Deformity Undergoing Surgical Intervention. Neurosurgery 90:148–153</w:t>
            </w:r>
          </w:p>
        </w:tc>
        <w:tc>
          <w:tcPr>
            <w:tcW w:w="5775" w:type="dxa"/>
            <w:hideMark/>
          </w:tcPr>
          <w:p w14:paraId="5623C21D" w14:textId="0F03B64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Scoliosis Research Society Outcomes Questionnaire</w:t>
            </w:r>
          </w:p>
        </w:tc>
      </w:tr>
      <w:tr w:rsidR="00A912AF" w:rsidRPr="001253BE" w14:paraId="247BF1FE" w14:textId="77777777" w:rsidTr="00A912AF">
        <w:trPr>
          <w:trHeight w:val="567"/>
        </w:trPr>
        <w:tc>
          <w:tcPr>
            <w:tcW w:w="0" w:type="auto"/>
            <w:hideMark/>
          </w:tcPr>
          <w:p w14:paraId="46ABB2A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59</w:t>
            </w:r>
          </w:p>
        </w:tc>
        <w:tc>
          <w:tcPr>
            <w:tcW w:w="8961" w:type="dxa"/>
            <w:hideMark/>
          </w:tcPr>
          <w:p w14:paraId="43F250F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Rodriguez-Santana I, DasMahapatra P, Burke T, Hakimi Z, Bartelt-Hofer J, Nazir J, O’Hara J (2022) Health-related quality of life, direct medical and societal costs among children with moderate or severe haemophilia in Europe: multivariable models of the CHESS-PAEDs study. Orphanet J Rare Dis 17:150</w:t>
            </w:r>
          </w:p>
        </w:tc>
        <w:tc>
          <w:tcPr>
            <w:tcW w:w="5775" w:type="dxa"/>
            <w:hideMark/>
          </w:tcPr>
          <w:p w14:paraId="7639DA63" w14:textId="50F68A0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392A16AE" w14:textId="77777777" w:rsidTr="00A912AF">
        <w:trPr>
          <w:trHeight w:val="567"/>
        </w:trPr>
        <w:tc>
          <w:tcPr>
            <w:tcW w:w="0" w:type="auto"/>
            <w:hideMark/>
          </w:tcPr>
          <w:p w14:paraId="41FF51A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60</w:t>
            </w:r>
          </w:p>
        </w:tc>
        <w:tc>
          <w:tcPr>
            <w:tcW w:w="8961" w:type="dxa"/>
            <w:hideMark/>
          </w:tcPr>
          <w:p w14:paraId="7AEC25D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Ma Y, Wen Y, Zhong H, et al (2022) Healthcare utilization and economic burden of myopia in urban China: A nationwide cost-of-illness study. J Glob Health 12:11003</w:t>
            </w:r>
          </w:p>
        </w:tc>
        <w:tc>
          <w:tcPr>
            <w:tcW w:w="5775" w:type="dxa"/>
            <w:hideMark/>
          </w:tcPr>
          <w:p w14:paraId="4B633D0E" w14:textId="3C47CED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281476A1" w14:textId="77777777" w:rsidTr="00A912AF">
        <w:trPr>
          <w:trHeight w:val="567"/>
        </w:trPr>
        <w:tc>
          <w:tcPr>
            <w:tcW w:w="0" w:type="auto"/>
            <w:hideMark/>
          </w:tcPr>
          <w:p w14:paraId="1EB4EDD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61</w:t>
            </w:r>
          </w:p>
        </w:tc>
        <w:tc>
          <w:tcPr>
            <w:tcW w:w="8961" w:type="dxa"/>
            <w:hideMark/>
          </w:tcPr>
          <w:p w14:paraId="1E147E9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Hafner M, Yerushalmi E, Andersson FL, Burtea T (2023) Partially different? The importance of general equilibrium in health economic evaluations: An application to nocturia. Health Econ 32:654–674</w:t>
            </w:r>
          </w:p>
        </w:tc>
        <w:tc>
          <w:tcPr>
            <w:tcW w:w="5775" w:type="dxa"/>
            <w:hideMark/>
          </w:tcPr>
          <w:p w14:paraId="6E39523A" w14:textId="12EBE3E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24D560E8" w14:textId="77777777" w:rsidTr="00A912AF">
        <w:trPr>
          <w:trHeight w:val="567"/>
        </w:trPr>
        <w:tc>
          <w:tcPr>
            <w:tcW w:w="0" w:type="auto"/>
            <w:hideMark/>
          </w:tcPr>
          <w:p w14:paraId="3417C63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62</w:t>
            </w:r>
          </w:p>
        </w:tc>
        <w:tc>
          <w:tcPr>
            <w:tcW w:w="8961" w:type="dxa"/>
            <w:hideMark/>
          </w:tcPr>
          <w:p w14:paraId="0F1B3F7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Lambert-Obry V, Lafrance J-P, Savoie M, Lachaine J (2022) The Impact of Hypoglycemia on Productivity Loss and Utility in Patients With Type 2 Diabetes Treated With Insulin in Real-world Canadian Practice: Protocol for a Prospective Study. JMIR Res Protoc 11:e35461</w:t>
            </w:r>
          </w:p>
        </w:tc>
        <w:tc>
          <w:tcPr>
            <w:tcW w:w="5775" w:type="dxa"/>
            <w:hideMark/>
          </w:tcPr>
          <w:p w14:paraId="1BF1C313" w14:textId="7B3C840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4BD77D19" w14:textId="77777777" w:rsidTr="00A912AF">
        <w:trPr>
          <w:trHeight w:val="567"/>
        </w:trPr>
        <w:tc>
          <w:tcPr>
            <w:tcW w:w="0" w:type="auto"/>
            <w:hideMark/>
          </w:tcPr>
          <w:p w14:paraId="28F3762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63</w:t>
            </w:r>
          </w:p>
        </w:tc>
        <w:tc>
          <w:tcPr>
            <w:tcW w:w="8961" w:type="dxa"/>
            <w:hideMark/>
          </w:tcPr>
          <w:p w14:paraId="1F098AA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Walter E, Traunfellner M, Gleitsmann M, Zalesak M, Helmenstein C (2023) The cost-of-illness and burden-of-disease of treatment-resistant depression in Austria. J Med Econ 26:1432–1444</w:t>
            </w:r>
          </w:p>
        </w:tc>
        <w:tc>
          <w:tcPr>
            <w:tcW w:w="5775" w:type="dxa"/>
            <w:hideMark/>
          </w:tcPr>
          <w:p w14:paraId="4596F8E7" w14:textId="7FC48732"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47FE59C6" w14:textId="77777777" w:rsidTr="00A912AF">
        <w:trPr>
          <w:trHeight w:val="567"/>
        </w:trPr>
        <w:tc>
          <w:tcPr>
            <w:tcW w:w="0" w:type="auto"/>
            <w:hideMark/>
          </w:tcPr>
          <w:p w14:paraId="24E7175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64</w:t>
            </w:r>
          </w:p>
        </w:tc>
        <w:tc>
          <w:tcPr>
            <w:tcW w:w="8961" w:type="dxa"/>
            <w:hideMark/>
          </w:tcPr>
          <w:p w14:paraId="5077A76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Geerts M, Hoeijmakers JGJ, van Eijk-Hustings Y, Brandts L, Gorissen-Brouwers CML, Merkies ISJ, Joore MA, Faber CG (2024) Cost of illness of patients with small fiber neuropathy in the Netherlands. Pain 165:153–163</w:t>
            </w:r>
          </w:p>
        </w:tc>
        <w:tc>
          <w:tcPr>
            <w:tcW w:w="5775" w:type="dxa"/>
            <w:hideMark/>
          </w:tcPr>
          <w:p w14:paraId="08BCA479" w14:textId="1E538BA9"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1960F6DC" w14:textId="77777777" w:rsidTr="00A912AF">
        <w:trPr>
          <w:trHeight w:val="567"/>
        </w:trPr>
        <w:tc>
          <w:tcPr>
            <w:tcW w:w="0" w:type="auto"/>
            <w:hideMark/>
          </w:tcPr>
          <w:p w14:paraId="03C6D40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65</w:t>
            </w:r>
          </w:p>
        </w:tc>
        <w:tc>
          <w:tcPr>
            <w:tcW w:w="8961" w:type="dxa"/>
            <w:hideMark/>
          </w:tcPr>
          <w:p w14:paraId="7DC0D4E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Vos JAM, El Alili M, Duineveld LAM, et al (2023) Cost-effectiveness of general practitioner- versus surgeon-led colon cancer survivorship care: an economic evaluation alongside a randomised controlled trial. J Cancer Surviv. https://doi.org/10.1007/s11764-023-01383-4</w:t>
            </w:r>
          </w:p>
        </w:tc>
        <w:tc>
          <w:tcPr>
            <w:tcW w:w="5775" w:type="dxa"/>
            <w:hideMark/>
          </w:tcPr>
          <w:p w14:paraId="7E5837C8" w14:textId="4F392C4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Labour Questionnaire-Short Form</w:t>
            </w:r>
          </w:p>
        </w:tc>
      </w:tr>
      <w:tr w:rsidR="00A912AF" w:rsidRPr="001253BE" w14:paraId="251BCC0D" w14:textId="77777777" w:rsidTr="00A912AF">
        <w:trPr>
          <w:trHeight w:val="567"/>
        </w:trPr>
        <w:tc>
          <w:tcPr>
            <w:tcW w:w="0" w:type="auto"/>
            <w:hideMark/>
          </w:tcPr>
          <w:p w14:paraId="37EB0B7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66</w:t>
            </w:r>
          </w:p>
        </w:tc>
        <w:tc>
          <w:tcPr>
            <w:tcW w:w="8961" w:type="dxa"/>
            <w:hideMark/>
          </w:tcPr>
          <w:p w14:paraId="4F24DC1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Gadjradj PS, Broulikova HM, van Dongen JM, et al (2022) Cost-effectiveness of full endoscopic versus open discectomy for sciatica. Br J Sports Med 56:1018–1025</w:t>
            </w:r>
          </w:p>
        </w:tc>
        <w:tc>
          <w:tcPr>
            <w:tcW w:w="5775" w:type="dxa"/>
            <w:hideMark/>
          </w:tcPr>
          <w:p w14:paraId="39AFB767" w14:textId="147F833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Work Performance Questionnaire</w:t>
            </w:r>
          </w:p>
        </w:tc>
      </w:tr>
      <w:tr w:rsidR="00A912AF" w:rsidRPr="001253BE" w14:paraId="54148D1C" w14:textId="77777777" w:rsidTr="00A912AF">
        <w:trPr>
          <w:trHeight w:val="567"/>
        </w:trPr>
        <w:tc>
          <w:tcPr>
            <w:tcW w:w="0" w:type="auto"/>
            <w:hideMark/>
          </w:tcPr>
          <w:p w14:paraId="366FDC3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67</w:t>
            </w:r>
          </w:p>
        </w:tc>
        <w:tc>
          <w:tcPr>
            <w:tcW w:w="8961" w:type="dxa"/>
            <w:hideMark/>
          </w:tcPr>
          <w:p w14:paraId="7C5F635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Hamel CC, Snijders MPLM, Coppus SFPJ, Vandenbussche FPHA, Braat DDM, Adang EMM (2022) Economic evaluation of a randomized controlled trial comparing mifepristone and misoprostol with misoprostol alone in the treatment of early pregnancy loss. PLoS One 17:e0262894</w:t>
            </w:r>
          </w:p>
        </w:tc>
        <w:tc>
          <w:tcPr>
            <w:tcW w:w="5775" w:type="dxa"/>
            <w:hideMark/>
          </w:tcPr>
          <w:p w14:paraId="166C4EB7" w14:textId="61AB886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27C3CAC7" w14:textId="77777777" w:rsidTr="00A912AF">
        <w:trPr>
          <w:trHeight w:val="567"/>
        </w:trPr>
        <w:tc>
          <w:tcPr>
            <w:tcW w:w="0" w:type="auto"/>
            <w:hideMark/>
          </w:tcPr>
          <w:p w14:paraId="337641B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68</w:t>
            </w:r>
          </w:p>
        </w:tc>
        <w:tc>
          <w:tcPr>
            <w:tcW w:w="8961" w:type="dxa"/>
            <w:hideMark/>
          </w:tcPr>
          <w:p w14:paraId="5AC3DB7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Henrichs J, de Jonge A, Westerneng M, Verfaille V, Franx A, van der Horst HE, Bosmans JE, On Behalf Of The Iris Study Group  null (2022) Cost-Effectiveness of Routine Third Trimester Ultrasound Screening for Fetal Growth Restriction Compared to Care as Usual in Low-Risk Pregnancies: A Pragmatic Nationwide Stepped-Wedge Cluster-Randomized Trial in The Netherlands (the IRIS Study). Int J Environ Res Public Health 19:3312</w:t>
            </w:r>
          </w:p>
        </w:tc>
        <w:tc>
          <w:tcPr>
            <w:tcW w:w="5775" w:type="dxa"/>
            <w:hideMark/>
          </w:tcPr>
          <w:p w14:paraId="61702EE4" w14:textId="132F47B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261B7081" w14:textId="77777777" w:rsidTr="00A912AF">
        <w:trPr>
          <w:trHeight w:val="567"/>
        </w:trPr>
        <w:tc>
          <w:tcPr>
            <w:tcW w:w="0" w:type="auto"/>
            <w:hideMark/>
          </w:tcPr>
          <w:p w14:paraId="1D4707F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69</w:t>
            </w:r>
          </w:p>
        </w:tc>
        <w:tc>
          <w:tcPr>
            <w:tcW w:w="8961" w:type="dxa"/>
            <w:hideMark/>
          </w:tcPr>
          <w:p w14:paraId="490A4AA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Mujcic A, Blankers M, Boon B, Verdonck-de Leeuw IM, Smit F, van Laar M, Engels R (2022) Effectiveness, Cost-effectiveness, and Cost-Utility of a Digital Smoking Cessation Intervention for Cancer Survivors: Health Economic Evaluation and Outcomes of a Pragmatic Randomized Controlled Trial. J Med Internet Res 24:e27588</w:t>
            </w:r>
          </w:p>
        </w:tc>
        <w:tc>
          <w:tcPr>
            <w:tcW w:w="5775" w:type="dxa"/>
            <w:hideMark/>
          </w:tcPr>
          <w:p w14:paraId="46437CE6" w14:textId="708C33F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7DA686B3" w14:textId="77777777" w:rsidTr="00A912AF">
        <w:trPr>
          <w:trHeight w:val="567"/>
        </w:trPr>
        <w:tc>
          <w:tcPr>
            <w:tcW w:w="0" w:type="auto"/>
            <w:hideMark/>
          </w:tcPr>
          <w:p w14:paraId="05B7BC6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70</w:t>
            </w:r>
          </w:p>
        </w:tc>
        <w:tc>
          <w:tcPr>
            <w:tcW w:w="8961" w:type="dxa"/>
            <w:hideMark/>
          </w:tcPr>
          <w:p w14:paraId="74C2EC4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Mujcic A, Blankers M, Boon B, Berman AH, Riper H, van Laar M, Engels R (2022) Effectiveness, Cost-effectiveness, and Cost-Utility of a Digital Alcohol Moderation Intervention for Cancer Survivors: Health Economic Evaluation and Outcomes of a Pragmatic Randomized Controlled Trial. J Med Internet Res 24:e30095</w:t>
            </w:r>
          </w:p>
        </w:tc>
        <w:tc>
          <w:tcPr>
            <w:tcW w:w="5775" w:type="dxa"/>
            <w:hideMark/>
          </w:tcPr>
          <w:p w14:paraId="01B0FB54" w14:textId="7BDE4B0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0F72FADE" w14:textId="77777777" w:rsidTr="00A912AF">
        <w:trPr>
          <w:trHeight w:val="567"/>
        </w:trPr>
        <w:tc>
          <w:tcPr>
            <w:tcW w:w="0" w:type="auto"/>
            <w:hideMark/>
          </w:tcPr>
          <w:p w14:paraId="788A824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71</w:t>
            </w:r>
          </w:p>
        </w:tc>
        <w:tc>
          <w:tcPr>
            <w:tcW w:w="8961" w:type="dxa"/>
            <w:hideMark/>
          </w:tcPr>
          <w:p w14:paraId="74B4DB4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Kalmet P, Andriessen MT, Maduro CV, et al (2022) The economic burden of the postoperative management in surgically treated trauma patients with peri- and/or intra-articular fractures of the lower extremities: A prospective multicenter cohort study. Injury 53:713–718</w:t>
            </w:r>
          </w:p>
        </w:tc>
        <w:tc>
          <w:tcPr>
            <w:tcW w:w="5775" w:type="dxa"/>
            <w:hideMark/>
          </w:tcPr>
          <w:p w14:paraId="39B27D05" w14:textId="782DA86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0E47D51C" w14:textId="77777777" w:rsidTr="00A912AF">
        <w:trPr>
          <w:trHeight w:val="567"/>
        </w:trPr>
        <w:tc>
          <w:tcPr>
            <w:tcW w:w="0" w:type="auto"/>
            <w:hideMark/>
          </w:tcPr>
          <w:p w14:paraId="490EC62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72</w:t>
            </w:r>
          </w:p>
        </w:tc>
        <w:tc>
          <w:tcPr>
            <w:tcW w:w="8961" w:type="dxa"/>
            <w:hideMark/>
          </w:tcPr>
          <w:p w14:paraId="56D4A62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Wagner T, Assmann N, Köhne S, Schaich A, Alvarez-Fischer D, Borgwardt S, Arntz A, Schweiger U, Fassbinder E (2022) The societal cost of treatment-seeking patients with borderline personality disorder in Germany. Eur Arch Psychiatry Clin Neurosci 272:741–752</w:t>
            </w:r>
          </w:p>
        </w:tc>
        <w:tc>
          <w:tcPr>
            <w:tcW w:w="5775" w:type="dxa"/>
            <w:hideMark/>
          </w:tcPr>
          <w:p w14:paraId="59D2FD2F" w14:textId="1181326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6872416" w14:textId="77777777" w:rsidTr="00A912AF">
        <w:trPr>
          <w:trHeight w:val="567"/>
        </w:trPr>
        <w:tc>
          <w:tcPr>
            <w:tcW w:w="0" w:type="auto"/>
            <w:hideMark/>
          </w:tcPr>
          <w:p w14:paraId="74C74F4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73</w:t>
            </w:r>
          </w:p>
        </w:tc>
        <w:tc>
          <w:tcPr>
            <w:tcW w:w="8961" w:type="dxa"/>
            <w:hideMark/>
          </w:tcPr>
          <w:p w14:paraId="1D38B11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Rein DB, Wittenborn JS, Zhang P, Sublett F, Lamuda PA, Lundeen EA, Saaddine J (2022) The Economic Burden of Vision Loss and Blindness in the United States. Ophthalmology 129:369–378</w:t>
            </w:r>
          </w:p>
        </w:tc>
        <w:tc>
          <w:tcPr>
            <w:tcW w:w="5775" w:type="dxa"/>
            <w:hideMark/>
          </w:tcPr>
          <w:p w14:paraId="49E0F796" w14:textId="5AFCA3D9"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4A02869F" w14:textId="77777777" w:rsidTr="00A912AF">
        <w:trPr>
          <w:trHeight w:val="567"/>
        </w:trPr>
        <w:tc>
          <w:tcPr>
            <w:tcW w:w="0" w:type="auto"/>
            <w:hideMark/>
          </w:tcPr>
          <w:p w14:paraId="19803DB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74</w:t>
            </w:r>
          </w:p>
        </w:tc>
        <w:tc>
          <w:tcPr>
            <w:tcW w:w="8961" w:type="dxa"/>
            <w:hideMark/>
          </w:tcPr>
          <w:p w14:paraId="67CCEB5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Brouwers RWM, van der Poort EKJ, Kemps HMC, van den Akker-van Marle ME, Kraal JJ (2021) Cost-effectiveness of Cardiac Telerehabilitation With Relapse Prevention for the Treatment of Patients With Coronary Artery Disease in the Netherlands. JAMA Netw Open 4:e2136652</w:t>
            </w:r>
          </w:p>
        </w:tc>
        <w:tc>
          <w:tcPr>
            <w:tcW w:w="5775" w:type="dxa"/>
            <w:hideMark/>
          </w:tcPr>
          <w:p w14:paraId="2035C63B" w14:textId="5E2686F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3A06ABF6" w14:textId="77777777" w:rsidTr="00A912AF">
        <w:trPr>
          <w:trHeight w:val="567"/>
        </w:trPr>
        <w:tc>
          <w:tcPr>
            <w:tcW w:w="0" w:type="auto"/>
            <w:hideMark/>
          </w:tcPr>
          <w:p w14:paraId="5DF35CA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75</w:t>
            </w:r>
          </w:p>
        </w:tc>
        <w:tc>
          <w:tcPr>
            <w:tcW w:w="8961" w:type="dxa"/>
            <w:hideMark/>
          </w:tcPr>
          <w:p w14:paraId="5C3632C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Holdford D, Vendetti N, Sop DM, Johnson S, Smith WR (2021) Indirect Economic Burden of Sickle Cell Disease. Value Health 24:1095–1101</w:t>
            </w:r>
          </w:p>
        </w:tc>
        <w:tc>
          <w:tcPr>
            <w:tcW w:w="5775" w:type="dxa"/>
            <w:hideMark/>
          </w:tcPr>
          <w:p w14:paraId="1D289C73" w14:textId="36447F5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17574497" w14:textId="77777777" w:rsidTr="00A912AF">
        <w:trPr>
          <w:trHeight w:val="567"/>
        </w:trPr>
        <w:tc>
          <w:tcPr>
            <w:tcW w:w="0" w:type="auto"/>
            <w:hideMark/>
          </w:tcPr>
          <w:p w14:paraId="2CFFE17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76</w:t>
            </w:r>
          </w:p>
        </w:tc>
        <w:tc>
          <w:tcPr>
            <w:tcW w:w="8961" w:type="dxa"/>
            <w:hideMark/>
          </w:tcPr>
          <w:p w14:paraId="6F78AD8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Dahham J, Hiligsmann M, Kremer I, Khoury SJ, Darwish H, Hosseini H, Evers S, Rizk R (2023) The societal costs of multiple sclerosis in Lebanon: a cross-sectional study. Expert Rev Pharmacoecon Outcomes Res 23:419–430</w:t>
            </w:r>
          </w:p>
        </w:tc>
        <w:tc>
          <w:tcPr>
            <w:tcW w:w="5775" w:type="dxa"/>
            <w:hideMark/>
          </w:tcPr>
          <w:p w14:paraId="15D7EACC" w14:textId="5BB96DE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024981CC" w14:textId="77777777" w:rsidTr="00A912AF">
        <w:trPr>
          <w:trHeight w:val="567"/>
        </w:trPr>
        <w:tc>
          <w:tcPr>
            <w:tcW w:w="0" w:type="auto"/>
            <w:hideMark/>
          </w:tcPr>
          <w:p w14:paraId="09EF1C5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77</w:t>
            </w:r>
          </w:p>
        </w:tc>
        <w:tc>
          <w:tcPr>
            <w:tcW w:w="8961" w:type="dxa"/>
            <w:hideMark/>
          </w:tcPr>
          <w:p w14:paraId="351EF40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Wu C-H, Ku L-JE, Lin C-Y, Chung T-J, Liu H-J, Chao T-H, Yang S-C (2023) Estimating time and transportation costs associated with lung cancer screening and diagnostic lung procedures in Taiwan: a cross-sectional survey in a medical centre. BMJ Open 13:e070647</w:t>
            </w:r>
          </w:p>
        </w:tc>
        <w:tc>
          <w:tcPr>
            <w:tcW w:w="5775" w:type="dxa"/>
            <w:hideMark/>
          </w:tcPr>
          <w:p w14:paraId="3803BBD4" w14:textId="1C1D011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7A2CA42" w14:textId="77777777" w:rsidTr="00A912AF">
        <w:trPr>
          <w:trHeight w:val="567"/>
        </w:trPr>
        <w:tc>
          <w:tcPr>
            <w:tcW w:w="0" w:type="auto"/>
            <w:hideMark/>
          </w:tcPr>
          <w:p w14:paraId="5905110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78</w:t>
            </w:r>
          </w:p>
        </w:tc>
        <w:tc>
          <w:tcPr>
            <w:tcW w:w="8961" w:type="dxa"/>
            <w:hideMark/>
          </w:tcPr>
          <w:p w14:paraId="326C046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Knoop J, Esser J, Dekker J, de Joode JW, Ostelo RWJG, van Dongen JM (2023) No evidence for stratified exercise therapy being cost-effective compared to usual exercise therapy in patients with knee osteoarthritis: Economic evaluation alongside cluster randomized controlled trial. Braz J Phys Ther 27:100469</w:t>
            </w:r>
          </w:p>
        </w:tc>
        <w:tc>
          <w:tcPr>
            <w:tcW w:w="5775" w:type="dxa"/>
            <w:hideMark/>
          </w:tcPr>
          <w:p w14:paraId="698C54EC" w14:textId="73664C7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Ability Index-Single Item Scale</w:t>
            </w:r>
          </w:p>
        </w:tc>
      </w:tr>
      <w:tr w:rsidR="00A912AF" w:rsidRPr="001253BE" w14:paraId="73E4941E" w14:textId="77777777" w:rsidTr="00A912AF">
        <w:trPr>
          <w:trHeight w:val="567"/>
        </w:trPr>
        <w:tc>
          <w:tcPr>
            <w:tcW w:w="0" w:type="auto"/>
            <w:hideMark/>
          </w:tcPr>
          <w:p w14:paraId="4B362EB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79</w:t>
            </w:r>
          </w:p>
        </w:tc>
        <w:tc>
          <w:tcPr>
            <w:tcW w:w="8961" w:type="dxa"/>
            <w:hideMark/>
          </w:tcPr>
          <w:p w14:paraId="78AB6CD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Bloudek L, Eichenfield LF, Silverberg JI, Joish VN, Lofland JH, Sun K, Augustin M, Migliaccio-Walle K, Sullivan SD (2023) Impact of Ruxolitinib Cream on Work Productivity and Activity Impairment and Associated Indirect Costs in Patients with Atopic Dermatitis: Pooled Results From Two Phase III Studies. Am J Clin Dermatol 24:109–117</w:t>
            </w:r>
          </w:p>
        </w:tc>
        <w:tc>
          <w:tcPr>
            <w:tcW w:w="5775" w:type="dxa"/>
            <w:hideMark/>
          </w:tcPr>
          <w:p w14:paraId="3EAC5278" w14:textId="61B51A8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3238E611" w14:textId="77777777" w:rsidTr="00A912AF">
        <w:trPr>
          <w:trHeight w:val="567"/>
        </w:trPr>
        <w:tc>
          <w:tcPr>
            <w:tcW w:w="0" w:type="auto"/>
            <w:hideMark/>
          </w:tcPr>
          <w:p w14:paraId="23132A8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80</w:t>
            </w:r>
          </w:p>
        </w:tc>
        <w:tc>
          <w:tcPr>
            <w:tcW w:w="8961" w:type="dxa"/>
            <w:hideMark/>
          </w:tcPr>
          <w:p w14:paraId="3153389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Ghazy RM, Sallam M, Ashmawy R, Elzorkany AM, Reyad OA, Hamdy NA, Khedr H, Mosallam RA (2023) Catastrophic Costs among Tuberculosis-Affected Households in Egypt: Magnitude, Cost Drivers, and Coping Strategies. Int J Environ Res Public Health 20:2640</w:t>
            </w:r>
          </w:p>
        </w:tc>
        <w:tc>
          <w:tcPr>
            <w:tcW w:w="5775" w:type="dxa"/>
            <w:hideMark/>
          </w:tcPr>
          <w:p w14:paraId="698BC607" w14:textId="3736F11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WHO generic TB patient cost survey instrument</w:t>
            </w:r>
          </w:p>
        </w:tc>
      </w:tr>
      <w:tr w:rsidR="00A912AF" w:rsidRPr="001253BE" w14:paraId="20B0DE59" w14:textId="77777777" w:rsidTr="00A912AF">
        <w:trPr>
          <w:trHeight w:val="567"/>
        </w:trPr>
        <w:tc>
          <w:tcPr>
            <w:tcW w:w="0" w:type="auto"/>
            <w:hideMark/>
          </w:tcPr>
          <w:p w14:paraId="4BDEE6C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81</w:t>
            </w:r>
          </w:p>
        </w:tc>
        <w:tc>
          <w:tcPr>
            <w:tcW w:w="8961" w:type="dxa"/>
            <w:hideMark/>
          </w:tcPr>
          <w:p w14:paraId="4147460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Visser LA, den Uijl I, Redekop WK, Sunamura M, Lenzen M, Boersma E, Brouwers RWM, Kemps HMC, van den Berg-Emons HJG, Ter Hoeve N (2023) Cost-Effectiveness of a Cardiac Rehabilitation Program Specifically Designed for Patients With Obesity Within the OPTICARE XL Randomized Controlled Trial. Arch Phys Med Rehabil 104:855–862</w:t>
            </w:r>
          </w:p>
        </w:tc>
        <w:tc>
          <w:tcPr>
            <w:tcW w:w="5775" w:type="dxa"/>
            <w:hideMark/>
          </w:tcPr>
          <w:p w14:paraId="1797414D" w14:textId="0A82162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076EDC3D" w14:textId="77777777" w:rsidTr="00A912AF">
        <w:trPr>
          <w:trHeight w:val="567"/>
        </w:trPr>
        <w:tc>
          <w:tcPr>
            <w:tcW w:w="0" w:type="auto"/>
            <w:hideMark/>
          </w:tcPr>
          <w:p w14:paraId="3C4EB8B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82</w:t>
            </w:r>
          </w:p>
        </w:tc>
        <w:tc>
          <w:tcPr>
            <w:tcW w:w="8961" w:type="dxa"/>
            <w:hideMark/>
          </w:tcPr>
          <w:p w14:paraId="33117A7B"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Gathercole R, Bradley R, Harper E, et al (2021) Assistive technology and telecare to maintain independent living at home for people with dementia: the ATTILA RCT. Health Technol Assess 25:1–156</w:t>
            </w:r>
          </w:p>
        </w:tc>
        <w:tc>
          <w:tcPr>
            <w:tcW w:w="5775" w:type="dxa"/>
            <w:hideMark/>
          </w:tcPr>
          <w:p w14:paraId="7F8AB5D6" w14:textId="43EB17F4"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Client Service Receipt Inventory-modified version</w:t>
            </w:r>
          </w:p>
        </w:tc>
      </w:tr>
      <w:tr w:rsidR="00A912AF" w:rsidRPr="001253BE" w14:paraId="58EA9A79" w14:textId="77777777" w:rsidTr="00A912AF">
        <w:trPr>
          <w:trHeight w:val="567"/>
        </w:trPr>
        <w:tc>
          <w:tcPr>
            <w:tcW w:w="0" w:type="auto"/>
            <w:hideMark/>
          </w:tcPr>
          <w:p w14:paraId="4303CFA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83</w:t>
            </w:r>
          </w:p>
        </w:tc>
        <w:tc>
          <w:tcPr>
            <w:tcW w:w="8961" w:type="dxa"/>
            <w:hideMark/>
          </w:tcPr>
          <w:p w14:paraId="0441013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Guliani H, Witt J, Peynenburg V, Wilhelms A, Nugent M, Dear BF, Titov N, Hadjistavropoulos HD (2022) Cost-effectiveness of varying degrees and models of therapist-assisted transdiagnostic internet-delivered cognitive behaviour therapy: Evidence from a randomized controlled trial. Internet Interventions 29:100567</w:t>
            </w:r>
          </w:p>
        </w:tc>
        <w:tc>
          <w:tcPr>
            <w:tcW w:w="5775" w:type="dxa"/>
            <w:hideMark/>
          </w:tcPr>
          <w:p w14:paraId="3ACCABE1" w14:textId="5EA3CE4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Trimbos/iMTA Questionnaire for Costs associated with Psychiatric Illness</w:t>
            </w:r>
          </w:p>
        </w:tc>
      </w:tr>
      <w:tr w:rsidR="00A912AF" w:rsidRPr="001253BE" w14:paraId="21A8BA84" w14:textId="77777777" w:rsidTr="00A912AF">
        <w:trPr>
          <w:trHeight w:val="567"/>
        </w:trPr>
        <w:tc>
          <w:tcPr>
            <w:tcW w:w="0" w:type="auto"/>
            <w:hideMark/>
          </w:tcPr>
          <w:p w14:paraId="3B34F59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84</w:t>
            </w:r>
          </w:p>
        </w:tc>
        <w:tc>
          <w:tcPr>
            <w:tcW w:w="8961" w:type="dxa"/>
            <w:hideMark/>
          </w:tcPr>
          <w:p w14:paraId="79BE6F5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Prica A, Hay AE, Crump M, et al (2021) Evaluating the Indirect Costs of Care Associated with Salvage Chemotherapy for Relapsed and Refractory Aggressive-Histology Lymphoma: A Subset Analysis of the Canadian Cancer Trials Group (CCTG) LY.12 Clinical Trial. Curr Oncol 28:1256–1261</w:t>
            </w:r>
          </w:p>
        </w:tc>
        <w:tc>
          <w:tcPr>
            <w:tcW w:w="5775" w:type="dxa"/>
            <w:hideMark/>
          </w:tcPr>
          <w:p w14:paraId="13EA6170" w14:textId="390BB3D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2184D034" w14:textId="77777777" w:rsidTr="00A912AF">
        <w:trPr>
          <w:trHeight w:val="567"/>
        </w:trPr>
        <w:tc>
          <w:tcPr>
            <w:tcW w:w="0" w:type="auto"/>
            <w:hideMark/>
          </w:tcPr>
          <w:p w14:paraId="61080F9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85</w:t>
            </w:r>
          </w:p>
        </w:tc>
        <w:tc>
          <w:tcPr>
            <w:tcW w:w="8961" w:type="dxa"/>
            <w:hideMark/>
          </w:tcPr>
          <w:p w14:paraId="0D4B62E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Amiche A, Tanriover MD, Bellier L, Ugur B, Akin L (2021) Cost Utility of Switching From Trivalent to Quadrivalent Influenza Vaccine in Turkey. Value in Health Regional Issues 25:15–22</w:t>
            </w:r>
          </w:p>
        </w:tc>
        <w:tc>
          <w:tcPr>
            <w:tcW w:w="5775" w:type="dxa"/>
            <w:hideMark/>
          </w:tcPr>
          <w:p w14:paraId="44057C78" w14:textId="4A59A15C"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565900A3" w14:textId="77777777" w:rsidTr="00A912AF">
        <w:trPr>
          <w:trHeight w:val="567"/>
        </w:trPr>
        <w:tc>
          <w:tcPr>
            <w:tcW w:w="0" w:type="auto"/>
            <w:hideMark/>
          </w:tcPr>
          <w:p w14:paraId="7F340EB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86</w:t>
            </w:r>
          </w:p>
        </w:tc>
        <w:tc>
          <w:tcPr>
            <w:tcW w:w="8961" w:type="dxa"/>
            <w:hideMark/>
          </w:tcPr>
          <w:p w14:paraId="0B265D2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Murota H, Koike Y, Morisaki H, Matsumoto M, Takenaka M (2022) Exacerbating factors and disease burden in patients with atopic dermatitis. Allergol Int 71:25–30</w:t>
            </w:r>
          </w:p>
        </w:tc>
        <w:tc>
          <w:tcPr>
            <w:tcW w:w="5775" w:type="dxa"/>
            <w:hideMark/>
          </w:tcPr>
          <w:p w14:paraId="30736791" w14:textId="60138BA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11F04D69" w14:textId="77777777" w:rsidTr="00A912AF">
        <w:trPr>
          <w:trHeight w:val="567"/>
        </w:trPr>
        <w:tc>
          <w:tcPr>
            <w:tcW w:w="0" w:type="auto"/>
            <w:hideMark/>
          </w:tcPr>
          <w:p w14:paraId="2F7A5AB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87</w:t>
            </w:r>
          </w:p>
        </w:tc>
        <w:tc>
          <w:tcPr>
            <w:tcW w:w="8961" w:type="dxa"/>
            <w:hideMark/>
          </w:tcPr>
          <w:p w14:paraId="03F5D3E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Bernfort L, Persson J, Linderoth C, Ekberg K (2021) Supervisor ratings of productivity loss associated with presenteeism and sick leave due to musculoskeletal disorders and common mental disorders in Sweden. Work 68:1091–1100</w:t>
            </w:r>
          </w:p>
        </w:tc>
        <w:tc>
          <w:tcPr>
            <w:tcW w:w="5775" w:type="dxa"/>
            <w:hideMark/>
          </w:tcPr>
          <w:p w14:paraId="32020115" w14:textId="25DDF52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Impairment:General Health</w:t>
            </w:r>
          </w:p>
        </w:tc>
      </w:tr>
      <w:tr w:rsidR="00A912AF" w:rsidRPr="001253BE" w14:paraId="1101BE88" w14:textId="77777777" w:rsidTr="00A912AF">
        <w:trPr>
          <w:trHeight w:val="567"/>
        </w:trPr>
        <w:tc>
          <w:tcPr>
            <w:tcW w:w="0" w:type="auto"/>
            <w:hideMark/>
          </w:tcPr>
          <w:p w14:paraId="4AD6734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88</w:t>
            </w:r>
          </w:p>
        </w:tc>
        <w:tc>
          <w:tcPr>
            <w:tcW w:w="8961" w:type="dxa"/>
            <w:hideMark/>
          </w:tcPr>
          <w:p w14:paraId="20109B1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Lakatos PL, Kaplan GG, Bressler B, Khanna R, Targownik L, Jones J, Rahal Y, McHugh K, Panaccione R (2022) Cost-Effectiveness of Tight Control for Crohn’s Disease With Adalimumab-Based Treatment: Economic Evaluation of the CALM Trial From a Canadian Perspective. J Can Assoc Gastroenterol 5:169–176</w:t>
            </w:r>
          </w:p>
        </w:tc>
        <w:tc>
          <w:tcPr>
            <w:tcW w:w="5775" w:type="dxa"/>
            <w:hideMark/>
          </w:tcPr>
          <w:p w14:paraId="03E205B6" w14:textId="0F7D6EB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CD specific</w:t>
            </w:r>
          </w:p>
        </w:tc>
      </w:tr>
      <w:tr w:rsidR="00A912AF" w:rsidRPr="001253BE" w14:paraId="15CD5276" w14:textId="77777777" w:rsidTr="00A912AF">
        <w:trPr>
          <w:trHeight w:val="567"/>
        </w:trPr>
        <w:tc>
          <w:tcPr>
            <w:tcW w:w="0" w:type="auto"/>
            <w:hideMark/>
          </w:tcPr>
          <w:p w14:paraId="0AF72FB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89</w:t>
            </w:r>
          </w:p>
        </w:tc>
        <w:tc>
          <w:tcPr>
            <w:tcW w:w="8961" w:type="dxa"/>
            <w:hideMark/>
          </w:tcPr>
          <w:p w14:paraId="47EE3DD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Teng L, Mizukami A, Ng C, Giannelos N, Curran D, Sato T, Lee C, Matsuki T (2022) Cost-Effectiveness Analysis Update of the Adjuvanted Recombinant Zoster Vaccine in Japanese Older Adults. Dermatol Ther (Heidelb) 12:1447–1467</w:t>
            </w:r>
          </w:p>
        </w:tc>
        <w:tc>
          <w:tcPr>
            <w:tcW w:w="5775" w:type="dxa"/>
            <w:hideMark/>
          </w:tcPr>
          <w:p w14:paraId="3BC1D320" w14:textId="147A2D46"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6E33CA8B" w14:textId="77777777" w:rsidTr="00A912AF">
        <w:trPr>
          <w:trHeight w:val="567"/>
        </w:trPr>
        <w:tc>
          <w:tcPr>
            <w:tcW w:w="0" w:type="auto"/>
            <w:hideMark/>
          </w:tcPr>
          <w:p w14:paraId="00E1388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90</w:t>
            </w:r>
          </w:p>
        </w:tc>
        <w:tc>
          <w:tcPr>
            <w:tcW w:w="8961" w:type="dxa"/>
            <w:hideMark/>
          </w:tcPr>
          <w:p w14:paraId="5B43888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Png ME, Petrou S, Knight R, Masters J, Achten J, Costa ML (2022) Economic outcomes associated with deep surgical site infection from lower limb fractures following major trauma. Bone Jt Open 3:398–403</w:t>
            </w:r>
          </w:p>
        </w:tc>
        <w:tc>
          <w:tcPr>
            <w:tcW w:w="5775" w:type="dxa"/>
            <w:hideMark/>
          </w:tcPr>
          <w:p w14:paraId="3662250A" w14:textId="2243974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1B378737" w14:textId="77777777" w:rsidTr="00A912AF">
        <w:trPr>
          <w:trHeight w:val="567"/>
        </w:trPr>
        <w:tc>
          <w:tcPr>
            <w:tcW w:w="0" w:type="auto"/>
            <w:hideMark/>
          </w:tcPr>
          <w:p w14:paraId="53EE358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91</w:t>
            </w:r>
          </w:p>
        </w:tc>
        <w:tc>
          <w:tcPr>
            <w:tcW w:w="8961" w:type="dxa"/>
            <w:hideMark/>
          </w:tcPr>
          <w:p w14:paraId="748744D7"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Endale H, Mulugeta T, Habte T (2022) The Socioeconomic Impact of Cervical Cancer on Patients in Ethiopia: Evidence from Tikur Anbessa Specialized Hospital. Cancer Manag Res 14:1615–1625</w:t>
            </w:r>
          </w:p>
        </w:tc>
        <w:tc>
          <w:tcPr>
            <w:tcW w:w="5775" w:type="dxa"/>
            <w:hideMark/>
          </w:tcPr>
          <w:p w14:paraId="1739B092" w14:textId="79F5881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EB8CC29" w14:textId="77777777" w:rsidTr="00A912AF">
        <w:trPr>
          <w:trHeight w:val="567"/>
        </w:trPr>
        <w:tc>
          <w:tcPr>
            <w:tcW w:w="0" w:type="auto"/>
            <w:hideMark/>
          </w:tcPr>
          <w:p w14:paraId="3C4B08F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92</w:t>
            </w:r>
          </w:p>
        </w:tc>
        <w:tc>
          <w:tcPr>
            <w:tcW w:w="8961" w:type="dxa"/>
            <w:hideMark/>
          </w:tcPr>
          <w:p w14:paraId="25A3F09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Mehta R, Mantri N, Goel AD, Gupta MK, Joshi NK, Bhardwaj P (2022) Out-of-pocket spending on hypertension and diabetes among patients reporting in a health -care teaching institute of the Western Rajasthan. J Family Med Prim Care 11:1083–1088</w:t>
            </w:r>
          </w:p>
        </w:tc>
        <w:tc>
          <w:tcPr>
            <w:tcW w:w="5775" w:type="dxa"/>
            <w:hideMark/>
          </w:tcPr>
          <w:p w14:paraId="2B971978" w14:textId="0DED834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D8678D1" w14:textId="77777777" w:rsidTr="00A912AF">
        <w:trPr>
          <w:trHeight w:val="567"/>
        </w:trPr>
        <w:tc>
          <w:tcPr>
            <w:tcW w:w="0" w:type="auto"/>
            <w:hideMark/>
          </w:tcPr>
          <w:p w14:paraId="727D2A3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93</w:t>
            </w:r>
          </w:p>
        </w:tc>
        <w:tc>
          <w:tcPr>
            <w:tcW w:w="8961" w:type="dxa"/>
            <w:hideMark/>
          </w:tcPr>
          <w:p w14:paraId="46CA753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Bouleau A, Dulong C, Schwerer CA, et al (2022) The socioeconomic impact of multiple sclerosis in France: Results from the PETALS study. Mult Scler J Exp Transl Clin 8:20552173221093219</w:t>
            </w:r>
          </w:p>
        </w:tc>
        <w:tc>
          <w:tcPr>
            <w:tcW w:w="5775" w:type="dxa"/>
            <w:hideMark/>
          </w:tcPr>
          <w:p w14:paraId="3FD79BF2" w14:textId="012475A4"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1BDD8742" w14:textId="77777777" w:rsidTr="00A912AF">
        <w:trPr>
          <w:trHeight w:val="567"/>
        </w:trPr>
        <w:tc>
          <w:tcPr>
            <w:tcW w:w="0" w:type="auto"/>
            <w:hideMark/>
          </w:tcPr>
          <w:p w14:paraId="3AD5C4F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94</w:t>
            </w:r>
          </w:p>
        </w:tc>
        <w:tc>
          <w:tcPr>
            <w:tcW w:w="8961" w:type="dxa"/>
            <w:hideMark/>
          </w:tcPr>
          <w:p w14:paraId="35F205C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Li X, Xu X, Li J, Huang Y, Wang C, Zhang Y, Zhang L (2022) Direct and indirect costs of allergic and non-allergic rhinitis to adults in Beijing, China. Clin Transl Allergy 12:e12148</w:t>
            </w:r>
          </w:p>
        </w:tc>
        <w:tc>
          <w:tcPr>
            <w:tcW w:w="5775" w:type="dxa"/>
            <w:hideMark/>
          </w:tcPr>
          <w:p w14:paraId="2FE268DC" w14:textId="1AD9D62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04EF1F5F" w14:textId="77777777" w:rsidTr="00A912AF">
        <w:trPr>
          <w:trHeight w:val="567"/>
        </w:trPr>
        <w:tc>
          <w:tcPr>
            <w:tcW w:w="0" w:type="auto"/>
            <w:hideMark/>
          </w:tcPr>
          <w:p w14:paraId="1C9A9F7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95</w:t>
            </w:r>
          </w:p>
        </w:tc>
        <w:tc>
          <w:tcPr>
            <w:tcW w:w="8961" w:type="dxa"/>
            <w:hideMark/>
          </w:tcPr>
          <w:p w14:paraId="72E412F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Tohiar MAH, Jaafar S, Aizuddin AN, Leong TK, Abdul Rahim AS (2022) Workplace influenza vaccination in private hospital setting: a cost-benefit analysis. Ann Occup Environ Med 34:e3</w:t>
            </w:r>
          </w:p>
        </w:tc>
        <w:tc>
          <w:tcPr>
            <w:tcW w:w="5775" w:type="dxa"/>
            <w:hideMark/>
          </w:tcPr>
          <w:p w14:paraId="393D6F99" w14:textId="1BC59AB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2C2BFF1" w14:textId="77777777" w:rsidTr="00A912AF">
        <w:trPr>
          <w:trHeight w:val="567"/>
        </w:trPr>
        <w:tc>
          <w:tcPr>
            <w:tcW w:w="0" w:type="auto"/>
            <w:hideMark/>
          </w:tcPr>
          <w:p w14:paraId="64932A5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96</w:t>
            </w:r>
          </w:p>
        </w:tc>
        <w:tc>
          <w:tcPr>
            <w:tcW w:w="8961" w:type="dxa"/>
            <w:hideMark/>
          </w:tcPr>
          <w:p w14:paraId="7CCD547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Labisa P, Andreozzi V, Mota M, et al (2022) Cost of Illness in Patients with Duchenne Muscular Dystrophy in Portugal: The COIDUCH Study. Pharmacoecon Open 6:211–218</w:t>
            </w:r>
          </w:p>
        </w:tc>
        <w:tc>
          <w:tcPr>
            <w:tcW w:w="5775" w:type="dxa"/>
            <w:hideMark/>
          </w:tcPr>
          <w:p w14:paraId="5B9E4B7C" w14:textId="5EB5E59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2D90FD77" w14:textId="77777777" w:rsidTr="00A912AF">
        <w:trPr>
          <w:trHeight w:val="567"/>
        </w:trPr>
        <w:tc>
          <w:tcPr>
            <w:tcW w:w="0" w:type="auto"/>
            <w:hideMark/>
          </w:tcPr>
          <w:p w14:paraId="644A6FF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97</w:t>
            </w:r>
          </w:p>
        </w:tc>
        <w:tc>
          <w:tcPr>
            <w:tcW w:w="8961" w:type="dxa"/>
            <w:hideMark/>
          </w:tcPr>
          <w:p w14:paraId="16B65AC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Yang W, Tang Z, Wang X, et al (2021) The cost of obsessive-compulsive disorder (OCD) in China: a multi-center cross-sectional survey based on hospitals. Gen Psychiatr 34:e100632</w:t>
            </w:r>
          </w:p>
        </w:tc>
        <w:tc>
          <w:tcPr>
            <w:tcW w:w="5775" w:type="dxa"/>
            <w:hideMark/>
          </w:tcPr>
          <w:p w14:paraId="7DD3487E" w14:textId="3C66EC06"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4FFD126A" w14:textId="77777777" w:rsidTr="00A912AF">
        <w:trPr>
          <w:trHeight w:val="567"/>
        </w:trPr>
        <w:tc>
          <w:tcPr>
            <w:tcW w:w="0" w:type="auto"/>
            <w:hideMark/>
          </w:tcPr>
          <w:p w14:paraId="2E58831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98</w:t>
            </w:r>
          </w:p>
        </w:tc>
        <w:tc>
          <w:tcPr>
            <w:tcW w:w="8961" w:type="dxa"/>
            <w:hideMark/>
          </w:tcPr>
          <w:p w14:paraId="14A9E06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Katanyoo K, Chaikledkaew U, Thavorncharoensap M, Riewpaiboon A (2021) Cost-Effectiveness Analysis of Diagnostic Tests for Para-Aortic Lymph Node Detection in Locally Advanced Cervical Cancer. Clinicoecon Outcomes Res 13:943–955</w:t>
            </w:r>
          </w:p>
        </w:tc>
        <w:tc>
          <w:tcPr>
            <w:tcW w:w="5775" w:type="dxa"/>
            <w:hideMark/>
          </w:tcPr>
          <w:p w14:paraId="68B056C1" w14:textId="15BAAC5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01631F9B" w14:textId="77777777" w:rsidTr="00A912AF">
        <w:trPr>
          <w:trHeight w:val="567"/>
        </w:trPr>
        <w:tc>
          <w:tcPr>
            <w:tcW w:w="0" w:type="auto"/>
            <w:hideMark/>
          </w:tcPr>
          <w:p w14:paraId="3AB8405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99</w:t>
            </w:r>
          </w:p>
        </w:tc>
        <w:tc>
          <w:tcPr>
            <w:tcW w:w="8961" w:type="dxa"/>
            <w:hideMark/>
          </w:tcPr>
          <w:p w14:paraId="4989A05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Roberts HJ, Donnelley CA, Haonga BT, Kramer E, Eliezer EN, Morshed S, Shearer D (2021) Intramedullary nailing versus external fixation for open tibia fractures in Tanzania: a cost analysis. OTA Int 4:e146</w:t>
            </w:r>
          </w:p>
        </w:tc>
        <w:tc>
          <w:tcPr>
            <w:tcW w:w="5775" w:type="dxa"/>
            <w:hideMark/>
          </w:tcPr>
          <w:p w14:paraId="22BB2ABB" w14:textId="56BA22C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2C50067F" w14:textId="77777777" w:rsidTr="00A912AF">
        <w:trPr>
          <w:trHeight w:val="567"/>
        </w:trPr>
        <w:tc>
          <w:tcPr>
            <w:tcW w:w="0" w:type="auto"/>
            <w:hideMark/>
          </w:tcPr>
          <w:p w14:paraId="52C01E5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100</w:t>
            </w:r>
          </w:p>
        </w:tc>
        <w:tc>
          <w:tcPr>
            <w:tcW w:w="8961" w:type="dxa"/>
            <w:hideMark/>
          </w:tcPr>
          <w:p w14:paraId="2F59408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Geerdink TH, Geerdink NJ, van Dongen JM, Haverlag R, Goslings JC, van Veen RN, Virtual Fracture Care Study Collaborative  (2021) Cost-effectiveness of direct discharge from the emergency department of patients with simple stable injuries in the Netherlands. Trauma Surg Acute Care Open 6:e000763</w:t>
            </w:r>
          </w:p>
        </w:tc>
        <w:tc>
          <w:tcPr>
            <w:tcW w:w="5775" w:type="dxa"/>
            <w:hideMark/>
          </w:tcPr>
          <w:p w14:paraId="1CD82D56" w14:textId="286313B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BDCA9AF" w14:textId="77777777" w:rsidTr="00A912AF">
        <w:trPr>
          <w:trHeight w:val="567"/>
        </w:trPr>
        <w:tc>
          <w:tcPr>
            <w:tcW w:w="0" w:type="auto"/>
            <w:hideMark/>
          </w:tcPr>
          <w:p w14:paraId="1516103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101</w:t>
            </w:r>
          </w:p>
        </w:tc>
        <w:tc>
          <w:tcPr>
            <w:tcW w:w="8961" w:type="dxa"/>
            <w:hideMark/>
          </w:tcPr>
          <w:p w14:paraId="0A785B1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Chan C, Ziai S, Myageri V, Burns JG, Prokopich CL (2021) Economic burden and loss of quality of life from dry eye disease in Canada. BMJ Open Ophthalmol 6:e000709</w:t>
            </w:r>
          </w:p>
        </w:tc>
        <w:tc>
          <w:tcPr>
            <w:tcW w:w="5775" w:type="dxa"/>
            <w:hideMark/>
          </w:tcPr>
          <w:p w14:paraId="1E15F820" w14:textId="7BCCCA8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53B85C49" w14:textId="77777777" w:rsidTr="00A912AF">
        <w:trPr>
          <w:trHeight w:val="567"/>
        </w:trPr>
        <w:tc>
          <w:tcPr>
            <w:tcW w:w="0" w:type="auto"/>
            <w:hideMark/>
          </w:tcPr>
          <w:p w14:paraId="6B66720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102</w:t>
            </w:r>
          </w:p>
        </w:tc>
        <w:tc>
          <w:tcPr>
            <w:tcW w:w="8961" w:type="dxa"/>
            <w:hideMark/>
          </w:tcPr>
          <w:p w14:paraId="5431F72C"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Lu ZK, Xiong X, Brown J, Horras A, Yuan J, Li M (2021) Impact of Cost-Related Medication Nonadherence on Economic Burdens, Productivity Loss, and Functional Abilities: Management of Cancer Survivors in Medicare. Front Pharmacol 12:706289</w:t>
            </w:r>
          </w:p>
        </w:tc>
        <w:tc>
          <w:tcPr>
            <w:tcW w:w="5775" w:type="dxa"/>
            <w:hideMark/>
          </w:tcPr>
          <w:p w14:paraId="1A79F4FD" w14:textId="55FB2DC2"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5698479" w14:textId="77777777" w:rsidTr="00A912AF">
        <w:trPr>
          <w:trHeight w:val="567"/>
        </w:trPr>
        <w:tc>
          <w:tcPr>
            <w:tcW w:w="0" w:type="auto"/>
            <w:hideMark/>
          </w:tcPr>
          <w:p w14:paraId="62B9363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103</w:t>
            </w:r>
          </w:p>
        </w:tc>
        <w:tc>
          <w:tcPr>
            <w:tcW w:w="8961" w:type="dxa"/>
            <w:hideMark/>
          </w:tcPr>
          <w:p w14:paraId="7661795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Li S, Li J, Peng L, Li Y, Wan X (2021) Cost-Effectiveness of Baricitinib for Patients with Moderate-to-Severe Rheumatoid Arthritis After Methotrexate Failed in China. Rheumatol Ther 8:863–876</w:t>
            </w:r>
          </w:p>
        </w:tc>
        <w:tc>
          <w:tcPr>
            <w:tcW w:w="5775" w:type="dxa"/>
            <w:hideMark/>
          </w:tcPr>
          <w:p w14:paraId="6702E71F" w14:textId="3B79DBA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Literature/DB analysis</w:t>
            </w:r>
          </w:p>
        </w:tc>
      </w:tr>
      <w:tr w:rsidR="00A912AF" w:rsidRPr="001253BE" w14:paraId="7E322AE6" w14:textId="77777777" w:rsidTr="00A912AF">
        <w:trPr>
          <w:trHeight w:val="567"/>
        </w:trPr>
        <w:tc>
          <w:tcPr>
            <w:tcW w:w="0" w:type="auto"/>
            <w:hideMark/>
          </w:tcPr>
          <w:p w14:paraId="6C0C0B9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104</w:t>
            </w:r>
          </w:p>
        </w:tc>
        <w:tc>
          <w:tcPr>
            <w:tcW w:w="8961" w:type="dxa"/>
            <w:hideMark/>
          </w:tcPr>
          <w:p w14:paraId="2525A6F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Li S, Li J, Peng L, Li Y, Wan X (2021) Cost-effectiveness of Triple Therapy vs. Biologic Treatment Sequence as First-line Therapy for Rheumatoid Arthritis Patients after Methotrexate Failure. Rheumatol Ther 8:775–791</w:t>
            </w:r>
          </w:p>
        </w:tc>
        <w:tc>
          <w:tcPr>
            <w:tcW w:w="5775" w:type="dxa"/>
            <w:hideMark/>
          </w:tcPr>
          <w:p w14:paraId="074F09A8" w14:textId="4C52A0B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Literature/DB analysis</w:t>
            </w:r>
          </w:p>
        </w:tc>
      </w:tr>
      <w:tr w:rsidR="00A912AF" w:rsidRPr="001253BE" w14:paraId="40F7DBAC" w14:textId="77777777" w:rsidTr="00A912AF">
        <w:trPr>
          <w:trHeight w:val="567"/>
        </w:trPr>
        <w:tc>
          <w:tcPr>
            <w:tcW w:w="0" w:type="auto"/>
            <w:hideMark/>
          </w:tcPr>
          <w:p w14:paraId="65A4B49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105</w:t>
            </w:r>
          </w:p>
        </w:tc>
        <w:tc>
          <w:tcPr>
            <w:tcW w:w="8961" w:type="dxa"/>
            <w:hideMark/>
          </w:tcPr>
          <w:p w14:paraId="7AB0C23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Kondapura MB, Manjunatha N, Nagaraj AKM, Praharaj SK, Kumar CN, Math SB, Rao GN (2023) Cost of Illness Analysis of Common Mental Disorders: A Study from an Indian Academic Tertiary Care Hospital. Indian J Psychol Med 45:519–525</w:t>
            </w:r>
          </w:p>
        </w:tc>
        <w:tc>
          <w:tcPr>
            <w:tcW w:w="5775" w:type="dxa"/>
            <w:hideMark/>
          </w:tcPr>
          <w:p w14:paraId="746E27C0" w14:textId="778ED25D"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22E87208" w14:textId="77777777" w:rsidTr="00A912AF">
        <w:trPr>
          <w:trHeight w:val="567"/>
        </w:trPr>
        <w:tc>
          <w:tcPr>
            <w:tcW w:w="0" w:type="auto"/>
            <w:hideMark/>
          </w:tcPr>
          <w:p w14:paraId="7FB3371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106</w:t>
            </w:r>
          </w:p>
        </w:tc>
        <w:tc>
          <w:tcPr>
            <w:tcW w:w="8961" w:type="dxa"/>
            <w:hideMark/>
          </w:tcPr>
          <w:p w14:paraId="1956476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Pourfarzi F, Zahirian Moghadam T, Zandian H, Malekzadeh R, Yazdanbod A (2021) Cost-effectiveness analysis of two routine therapeutic methods for Helicobacter pylori eradication: a Persian cohort-based study. Gastroenterol Hepatol Bed Bench 14:250–259</w:t>
            </w:r>
          </w:p>
        </w:tc>
        <w:tc>
          <w:tcPr>
            <w:tcW w:w="5775" w:type="dxa"/>
            <w:hideMark/>
          </w:tcPr>
          <w:p w14:paraId="0294D628" w14:textId="77D26AD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B1B91A4" w14:textId="77777777" w:rsidTr="00A912AF">
        <w:trPr>
          <w:trHeight w:val="567"/>
        </w:trPr>
        <w:tc>
          <w:tcPr>
            <w:tcW w:w="0" w:type="auto"/>
            <w:hideMark/>
          </w:tcPr>
          <w:p w14:paraId="4A6B6AE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107</w:t>
            </w:r>
          </w:p>
        </w:tc>
        <w:tc>
          <w:tcPr>
            <w:tcW w:w="8961" w:type="dxa"/>
            <w:hideMark/>
          </w:tcPr>
          <w:p w14:paraId="15F13A7F"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Cobos-Campos R, Mar J, Apiñaniz A, de Lafuente AS, Parraza N, Aizpuru F, Orive G (2021) Cost-effectiveness analysis of text messaging to support health advice for smoking cessation. Cost Eff Resour Alloc 19:9</w:t>
            </w:r>
          </w:p>
        </w:tc>
        <w:tc>
          <w:tcPr>
            <w:tcW w:w="5775" w:type="dxa"/>
            <w:hideMark/>
          </w:tcPr>
          <w:p w14:paraId="01DB74C6" w14:textId="1C7C413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73525D6" w14:textId="77777777" w:rsidTr="00A912AF">
        <w:trPr>
          <w:trHeight w:val="567"/>
        </w:trPr>
        <w:tc>
          <w:tcPr>
            <w:tcW w:w="0" w:type="auto"/>
            <w:hideMark/>
          </w:tcPr>
          <w:p w14:paraId="4BAF25E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108</w:t>
            </w:r>
          </w:p>
        </w:tc>
        <w:tc>
          <w:tcPr>
            <w:tcW w:w="8961" w:type="dxa"/>
            <w:hideMark/>
          </w:tcPr>
          <w:p w14:paraId="194D2FC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Al-Atawi S, Alghamdi A, Alzahrani K (2023) The Lifetime Expenditure in People with Keratoconus in Saudi Arabia. Vision (Basel) 7:52</w:t>
            </w:r>
          </w:p>
        </w:tc>
        <w:tc>
          <w:tcPr>
            <w:tcW w:w="5775" w:type="dxa"/>
            <w:hideMark/>
          </w:tcPr>
          <w:p w14:paraId="3503A09B" w14:textId="70328135"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5AEE5ED5" w14:textId="77777777" w:rsidTr="00A912AF">
        <w:trPr>
          <w:trHeight w:val="567"/>
        </w:trPr>
        <w:tc>
          <w:tcPr>
            <w:tcW w:w="0" w:type="auto"/>
            <w:hideMark/>
          </w:tcPr>
          <w:p w14:paraId="7CF9602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109</w:t>
            </w:r>
          </w:p>
        </w:tc>
        <w:tc>
          <w:tcPr>
            <w:tcW w:w="8961" w:type="dxa"/>
            <w:hideMark/>
          </w:tcPr>
          <w:p w14:paraId="05EB8B9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Yang X, Luo J, Wang P, He Y, Wang C, Yang L, Sun J, Li Z (2023) Characteristics and economic burden of patients with somatoform disorders in Chinese general hospitals: a multicenter cross-sectional study. Ann Gen Psychiatry 22:30</w:t>
            </w:r>
          </w:p>
        </w:tc>
        <w:tc>
          <w:tcPr>
            <w:tcW w:w="5775" w:type="dxa"/>
            <w:hideMark/>
          </w:tcPr>
          <w:p w14:paraId="71F4E47C" w14:textId="2CEE55A1"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51DE99AA" w14:textId="77777777" w:rsidTr="00A912AF">
        <w:trPr>
          <w:trHeight w:val="567"/>
        </w:trPr>
        <w:tc>
          <w:tcPr>
            <w:tcW w:w="0" w:type="auto"/>
            <w:hideMark/>
          </w:tcPr>
          <w:p w14:paraId="05B8FFE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110</w:t>
            </w:r>
          </w:p>
        </w:tc>
        <w:tc>
          <w:tcPr>
            <w:tcW w:w="8961" w:type="dxa"/>
            <w:hideMark/>
          </w:tcPr>
          <w:p w14:paraId="253DF15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den Dries CJ, van der Meulen MP, Frederix GWJ, Hoes AW, Moons KGM, Geersing G-J (2023) Managing the Increasing Burden of Atrial Fibrillation through Integrated Care in Primary Care: A Cost-Effectiveness Analysis. Int J Integr Care 23:9</w:t>
            </w:r>
          </w:p>
        </w:tc>
        <w:tc>
          <w:tcPr>
            <w:tcW w:w="5775" w:type="dxa"/>
            <w:hideMark/>
          </w:tcPr>
          <w:p w14:paraId="00798B38" w14:textId="44F30EC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4E68EA04" w14:textId="77777777" w:rsidTr="00A912AF">
        <w:trPr>
          <w:trHeight w:val="567"/>
        </w:trPr>
        <w:tc>
          <w:tcPr>
            <w:tcW w:w="0" w:type="auto"/>
            <w:hideMark/>
          </w:tcPr>
          <w:p w14:paraId="63BA030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111</w:t>
            </w:r>
          </w:p>
        </w:tc>
        <w:tc>
          <w:tcPr>
            <w:tcW w:w="8961" w:type="dxa"/>
            <w:hideMark/>
          </w:tcPr>
          <w:p w14:paraId="7213C51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Tops SCM, Kolwijck E, Koldewijn EL, et al (2023) Cost Effectiveness of Rectal Culture-based Antibiotic Prophylaxis in Transrectal Prostate Biopsy: The Results from a Randomized, Nonblinded, Multicenter Trial. Eur Urol Open Sci 50:70–77</w:t>
            </w:r>
          </w:p>
        </w:tc>
        <w:tc>
          <w:tcPr>
            <w:tcW w:w="5775" w:type="dxa"/>
            <w:hideMark/>
          </w:tcPr>
          <w:p w14:paraId="27C1BC7E" w14:textId="7122032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6DC37405" w14:textId="77777777" w:rsidTr="00A912AF">
        <w:trPr>
          <w:trHeight w:val="567"/>
        </w:trPr>
        <w:tc>
          <w:tcPr>
            <w:tcW w:w="0" w:type="auto"/>
            <w:hideMark/>
          </w:tcPr>
          <w:p w14:paraId="29E676C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112</w:t>
            </w:r>
          </w:p>
        </w:tc>
        <w:tc>
          <w:tcPr>
            <w:tcW w:w="8961" w:type="dxa"/>
            <w:hideMark/>
          </w:tcPr>
          <w:p w14:paraId="09680D5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Bio RB, Akweongo P, Adomah-Afari A, Koduah A (2023) Determinants of tuberculosis treatment support costs to the treatment supporters in rural Ghana. AIMS Public Health 10:78–93</w:t>
            </w:r>
          </w:p>
        </w:tc>
        <w:tc>
          <w:tcPr>
            <w:tcW w:w="5775" w:type="dxa"/>
            <w:hideMark/>
          </w:tcPr>
          <w:p w14:paraId="54376FA8" w14:textId="7828DD79"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0A02938C" w14:textId="77777777" w:rsidTr="00A912AF">
        <w:trPr>
          <w:trHeight w:val="567"/>
        </w:trPr>
        <w:tc>
          <w:tcPr>
            <w:tcW w:w="0" w:type="auto"/>
            <w:hideMark/>
          </w:tcPr>
          <w:p w14:paraId="7E46C48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113</w:t>
            </w:r>
          </w:p>
        </w:tc>
        <w:tc>
          <w:tcPr>
            <w:tcW w:w="8961" w:type="dxa"/>
            <w:hideMark/>
          </w:tcPr>
          <w:p w14:paraId="7BEF1BE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Ament JD, Leon A, Kim KD, Johnson JP, Vokshoor A (2023) Intraoperative neuromonitoring in spine surgery: large database analysis of cost-effectiveness. N Am Spine Soc J 14:100206</w:t>
            </w:r>
          </w:p>
        </w:tc>
        <w:tc>
          <w:tcPr>
            <w:tcW w:w="5775" w:type="dxa"/>
            <w:hideMark/>
          </w:tcPr>
          <w:p w14:paraId="70E48656" w14:textId="7C19E54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383B3C62" w14:textId="77777777" w:rsidTr="00A912AF">
        <w:trPr>
          <w:trHeight w:val="567"/>
        </w:trPr>
        <w:tc>
          <w:tcPr>
            <w:tcW w:w="0" w:type="auto"/>
            <w:hideMark/>
          </w:tcPr>
          <w:p w14:paraId="1FE3108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114</w:t>
            </w:r>
          </w:p>
        </w:tc>
        <w:tc>
          <w:tcPr>
            <w:tcW w:w="8961" w:type="dxa"/>
            <w:hideMark/>
          </w:tcPr>
          <w:p w14:paraId="64FE5E3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Adanu KK, Bansah EC, Adedia D, Aikins M (2022) Household treatment cost of breast cancer and cost coping strategies from a tertiary facility in Ghana. PLOS Glob Public Health 2:e0000268</w:t>
            </w:r>
          </w:p>
        </w:tc>
        <w:tc>
          <w:tcPr>
            <w:tcW w:w="5775" w:type="dxa"/>
            <w:hideMark/>
          </w:tcPr>
          <w:p w14:paraId="22D3F3C3" w14:textId="6DF3F91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8A3FFE7" w14:textId="77777777" w:rsidTr="00A912AF">
        <w:trPr>
          <w:trHeight w:val="567"/>
        </w:trPr>
        <w:tc>
          <w:tcPr>
            <w:tcW w:w="0" w:type="auto"/>
            <w:hideMark/>
          </w:tcPr>
          <w:p w14:paraId="53884C7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115</w:t>
            </w:r>
          </w:p>
        </w:tc>
        <w:tc>
          <w:tcPr>
            <w:tcW w:w="8961" w:type="dxa"/>
            <w:hideMark/>
          </w:tcPr>
          <w:p w14:paraId="2EE9B13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Lee J-E, Jung I-C, Lee S-Y, Lim J-H, Kim B-K, Cho E (2022) The Cost-Effectiveness Analysis of Gamiguibi-Tang versus Hwangryunhaedok-Tang for Patients with Insomnia Disorder Based on a Randomized Controlled Trial. Healthcare (Basel) 10:2157</w:t>
            </w:r>
          </w:p>
        </w:tc>
        <w:tc>
          <w:tcPr>
            <w:tcW w:w="5775" w:type="dxa"/>
            <w:hideMark/>
          </w:tcPr>
          <w:p w14:paraId="578A1DBF" w14:textId="0C39F9C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08C7CCFC" w14:textId="77777777" w:rsidTr="00A912AF">
        <w:trPr>
          <w:trHeight w:val="567"/>
        </w:trPr>
        <w:tc>
          <w:tcPr>
            <w:tcW w:w="0" w:type="auto"/>
            <w:hideMark/>
          </w:tcPr>
          <w:p w14:paraId="769D20C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116</w:t>
            </w:r>
          </w:p>
        </w:tc>
        <w:tc>
          <w:tcPr>
            <w:tcW w:w="8961" w:type="dxa"/>
            <w:hideMark/>
          </w:tcPr>
          <w:p w14:paraId="04FE4BC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Khan I, Parker SL, Bow H, Sivaganesan A, Pennings JS, Stephens Ii BF, Steinle AM, Gupta R, Devin CJ (2022) Clinical and Cost-Effectiveness of Lumbar Interbody Fusion Using Tritanium Posterolateral Cage (vs. Propensity-Matched Cohort of PEEK Cage). Spine Surg Relat Res 6:671–680</w:t>
            </w:r>
          </w:p>
        </w:tc>
        <w:tc>
          <w:tcPr>
            <w:tcW w:w="5775" w:type="dxa"/>
            <w:hideMark/>
          </w:tcPr>
          <w:p w14:paraId="69700049" w14:textId="52726AD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91E1335" w14:textId="77777777" w:rsidTr="00A912AF">
        <w:trPr>
          <w:trHeight w:val="567"/>
        </w:trPr>
        <w:tc>
          <w:tcPr>
            <w:tcW w:w="0" w:type="auto"/>
            <w:hideMark/>
          </w:tcPr>
          <w:p w14:paraId="740F989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117</w:t>
            </w:r>
          </w:p>
        </w:tc>
        <w:tc>
          <w:tcPr>
            <w:tcW w:w="8961" w:type="dxa"/>
            <w:hideMark/>
          </w:tcPr>
          <w:p w14:paraId="155CD54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Esmaeilzadeh F, Ahmadi B, Vahedi S, Barzegari S, Rajabi A (2022) Major Thalassemia, Screening or Treatment: An Economic Evaluation Study in Iran. Int J Health Policy Manag 11:1112–1119</w:t>
            </w:r>
          </w:p>
        </w:tc>
        <w:tc>
          <w:tcPr>
            <w:tcW w:w="5775" w:type="dxa"/>
            <w:hideMark/>
          </w:tcPr>
          <w:p w14:paraId="66EACF42" w14:textId="68D66AB6"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3489511" w14:textId="77777777" w:rsidTr="00A912AF">
        <w:trPr>
          <w:trHeight w:val="567"/>
        </w:trPr>
        <w:tc>
          <w:tcPr>
            <w:tcW w:w="0" w:type="auto"/>
            <w:hideMark/>
          </w:tcPr>
          <w:p w14:paraId="71D3B83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118</w:t>
            </w:r>
          </w:p>
        </w:tc>
        <w:tc>
          <w:tcPr>
            <w:tcW w:w="8961" w:type="dxa"/>
            <w:hideMark/>
          </w:tcPr>
          <w:p w14:paraId="624FC9C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Varmaghani M, Amiri M, Ebrahimpour H, Salek R, Javan-Noughabi J (2023) The cost effectiveness of intensity-modulated radiation therapy and three-dimensional conformal radiotherapy in the treatment of head and neck cancers. Radiat Oncol 18:138</w:t>
            </w:r>
          </w:p>
        </w:tc>
        <w:tc>
          <w:tcPr>
            <w:tcW w:w="5775" w:type="dxa"/>
            <w:hideMark/>
          </w:tcPr>
          <w:p w14:paraId="5D507941" w14:textId="25FBE07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390AC2C" w14:textId="77777777" w:rsidTr="00A912AF">
        <w:trPr>
          <w:trHeight w:val="567"/>
        </w:trPr>
        <w:tc>
          <w:tcPr>
            <w:tcW w:w="0" w:type="auto"/>
            <w:hideMark/>
          </w:tcPr>
          <w:p w14:paraId="428BA0F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119</w:t>
            </w:r>
          </w:p>
        </w:tc>
        <w:tc>
          <w:tcPr>
            <w:tcW w:w="8961" w:type="dxa"/>
            <w:hideMark/>
          </w:tcPr>
          <w:p w14:paraId="01AA097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Bosman MHMA, Weerts ZZRM, Snijkers JTW, Vork L, Mujagic Z, Masclee AAM, Jonkers DMAE, Keszthelyi D (2023) The Socioeconomic Impact of Irritable Bowel Syndrome: An Analysis of Direct and Indirect Health Care Costs. Clin Gastroenterol Hepatol 21:2660–2669</w:t>
            </w:r>
          </w:p>
        </w:tc>
        <w:tc>
          <w:tcPr>
            <w:tcW w:w="5775" w:type="dxa"/>
            <w:hideMark/>
          </w:tcPr>
          <w:p w14:paraId="454E9AAD" w14:textId="0A0A69DE"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56DA934E" w14:textId="77777777" w:rsidTr="00A912AF">
        <w:trPr>
          <w:trHeight w:val="567"/>
        </w:trPr>
        <w:tc>
          <w:tcPr>
            <w:tcW w:w="0" w:type="auto"/>
            <w:hideMark/>
          </w:tcPr>
          <w:p w14:paraId="1029FF3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120</w:t>
            </w:r>
          </w:p>
        </w:tc>
        <w:tc>
          <w:tcPr>
            <w:tcW w:w="8961" w:type="dxa"/>
            <w:hideMark/>
          </w:tcPr>
          <w:p w14:paraId="36306B6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Min S, Wang D, Xia J, Lin X, Jiang G (2023) The economic burden and quality of life of patients with psoriasis treated with biologics in China. J Dermatolog Treat 34:2247106</w:t>
            </w:r>
          </w:p>
        </w:tc>
        <w:tc>
          <w:tcPr>
            <w:tcW w:w="5775" w:type="dxa"/>
            <w:hideMark/>
          </w:tcPr>
          <w:p w14:paraId="4540827B" w14:textId="3945A3C4"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AC34DB0" w14:textId="77777777" w:rsidTr="00A912AF">
        <w:trPr>
          <w:trHeight w:val="567"/>
        </w:trPr>
        <w:tc>
          <w:tcPr>
            <w:tcW w:w="0" w:type="auto"/>
            <w:hideMark/>
          </w:tcPr>
          <w:p w14:paraId="1A52036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121</w:t>
            </w:r>
          </w:p>
        </w:tc>
        <w:tc>
          <w:tcPr>
            <w:tcW w:w="8961" w:type="dxa"/>
            <w:hideMark/>
          </w:tcPr>
          <w:p w14:paraId="57589D9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Beretzky Z, Koszorú K, Rencz F, Hajdu K, Borza J, Bodai K, Feifei X, Szegedi A, Sárdy M, Brodszky V (2023) Societal costs and health related quality of life in adult atopic dermatitis. BMC Health Serv Res 23:859</w:t>
            </w:r>
          </w:p>
        </w:tc>
        <w:tc>
          <w:tcPr>
            <w:tcW w:w="5775" w:type="dxa"/>
            <w:hideMark/>
          </w:tcPr>
          <w:p w14:paraId="3D21F510" w14:textId="3DA2735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420782B6" w14:textId="77777777" w:rsidTr="00A912AF">
        <w:trPr>
          <w:trHeight w:val="567"/>
        </w:trPr>
        <w:tc>
          <w:tcPr>
            <w:tcW w:w="0" w:type="auto"/>
            <w:hideMark/>
          </w:tcPr>
          <w:p w14:paraId="118841D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122</w:t>
            </w:r>
          </w:p>
        </w:tc>
        <w:tc>
          <w:tcPr>
            <w:tcW w:w="8961" w:type="dxa"/>
            <w:hideMark/>
          </w:tcPr>
          <w:p w14:paraId="335293F9"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Fijen LM, Klein PCG, Cohn DM, Kanters TA (2023) The Disease Burden and Societal Costs of Hereditary Angioedema. J Allergy Clin Immunol Pract 11:2468-2475.e2</w:t>
            </w:r>
          </w:p>
        </w:tc>
        <w:tc>
          <w:tcPr>
            <w:tcW w:w="5775" w:type="dxa"/>
            <w:hideMark/>
          </w:tcPr>
          <w:p w14:paraId="27820506" w14:textId="0EDE33A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7B586E6B" w14:textId="77777777" w:rsidTr="00A912AF">
        <w:trPr>
          <w:trHeight w:val="567"/>
        </w:trPr>
        <w:tc>
          <w:tcPr>
            <w:tcW w:w="0" w:type="auto"/>
            <w:hideMark/>
          </w:tcPr>
          <w:p w14:paraId="352E459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123</w:t>
            </w:r>
          </w:p>
        </w:tc>
        <w:tc>
          <w:tcPr>
            <w:tcW w:w="8961" w:type="dxa"/>
            <w:hideMark/>
          </w:tcPr>
          <w:p w14:paraId="4B3000D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Willems R, Verhaeghe N, Perronne C, Borgermans L, Annemans L (2023) Cost of illness in patients with post-treatment Lyme disease syndrome in Belgium. Eur J Public Health 33:668–674</w:t>
            </w:r>
          </w:p>
        </w:tc>
        <w:tc>
          <w:tcPr>
            <w:tcW w:w="5775" w:type="dxa"/>
            <w:hideMark/>
          </w:tcPr>
          <w:p w14:paraId="38ADB729" w14:textId="57C4CB80"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74CD714" w14:textId="77777777" w:rsidTr="00A912AF">
        <w:trPr>
          <w:trHeight w:val="567"/>
        </w:trPr>
        <w:tc>
          <w:tcPr>
            <w:tcW w:w="0" w:type="auto"/>
            <w:hideMark/>
          </w:tcPr>
          <w:p w14:paraId="0A90E68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124</w:t>
            </w:r>
          </w:p>
        </w:tc>
        <w:tc>
          <w:tcPr>
            <w:tcW w:w="8961" w:type="dxa"/>
            <w:hideMark/>
          </w:tcPr>
          <w:p w14:paraId="73E7781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Hezik-Wester V, de Groot S, Kanters T, Versteegh M, Wagner L, Ardesch J, Brouwer W, van Exel J (2022) Burden of illness in people with medically refractory epilepsy who suffer from daily to weekly seizures: 12-month follow-up of participants in the EPISODE study. Front Neurol 13:1012486</w:t>
            </w:r>
          </w:p>
        </w:tc>
        <w:tc>
          <w:tcPr>
            <w:tcW w:w="5775" w:type="dxa"/>
            <w:hideMark/>
          </w:tcPr>
          <w:p w14:paraId="488311C0" w14:textId="5E74B01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71B5FB61" w14:textId="77777777" w:rsidTr="00A912AF">
        <w:trPr>
          <w:trHeight w:val="567"/>
        </w:trPr>
        <w:tc>
          <w:tcPr>
            <w:tcW w:w="0" w:type="auto"/>
            <w:hideMark/>
          </w:tcPr>
          <w:p w14:paraId="09E3FC6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125</w:t>
            </w:r>
          </w:p>
        </w:tc>
        <w:tc>
          <w:tcPr>
            <w:tcW w:w="8961" w:type="dxa"/>
            <w:hideMark/>
          </w:tcPr>
          <w:p w14:paraId="0A57932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Lee YY, Mihalopoulos C, Chatterton ML, et al (2022) Economic evaluation of the Target-D platform to match depression management to severity prognosis in primary care: A within-trial cost-utility analysis. PLoS One 17:e0268948</w:t>
            </w:r>
          </w:p>
        </w:tc>
        <w:tc>
          <w:tcPr>
            <w:tcW w:w="5775" w:type="dxa"/>
            <w:hideMark/>
          </w:tcPr>
          <w:p w14:paraId="0D723709" w14:textId="12B548E4"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Resource use Questionnaire</w:t>
            </w:r>
          </w:p>
        </w:tc>
      </w:tr>
      <w:tr w:rsidR="00A912AF" w:rsidRPr="001253BE" w14:paraId="73FDD989" w14:textId="77777777" w:rsidTr="00A912AF">
        <w:trPr>
          <w:trHeight w:val="567"/>
        </w:trPr>
        <w:tc>
          <w:tcPr>
            <w:tcW w:w="0" w:type="auto"/>
            <w:hideMark/>
          </w:tcPr>
          <w:p w14:paraId="6D79B16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126</w:t>
            </w:r>
          </w:p>
        </w:tc>
        <w:tc>
          <w:tcPr>
            <w:tcW w:w="8961" w:type="dxa"/>
            <w:hideMark/>
          </w:tcPr>
          <w:p w14:paraId="709764F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Hook SA, Jeon S, Niesobecki SA, et al (2022) Economic Burden of Reported Lyme Disease in High-Incidence Areas, United States, 2014-2016. Emerg Infect Dis 28:1170–1179</w:t>
            </w:r>
          </w:p>
        </w:tc>
        <w:tc>
          <w:tcPr>
            <w:tcW w:w="5775" w:type="dxa"/>
            <w:hideMark/>
          </w:tcPr>
          <w:p w14:paraId="30422122" w14:textId="321187A9"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C39E178" w14:textId="77777777" w:rsidTr="00A912AF">
        <w:trPr>
          <w:trHeight w:val="567"/>
        </w:trPr>
        <w:tc>
          <w:tcPr>
            <w:tcW w:w="0" w:type="auto"/>
            <w:hideMark/>
          </w:tcPr>
          <w:p w14:paraId="6C8F41D8"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127</w:t>
            </w:r>
          </w:p>
        </w:tc>
        <w:tc>
          <w:tcPr>
            <w:tcW w:w="8961" w:type="dxa"/>
            <w:hideMark/>
          </w:tcPr>
          <w:p w14:paraId="4EDDFD0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Battaglia MA, Bezzini D, Cecchini I, et al (2022) Patients with multiple sclerosis: a burden and cost of illness study. J Neurol 269:5127–5135</w:t>
            </w:r>
          </w:p>
        </w:tc>
        <w:tc>
          <w:tcPr>
            <w:tcW w:w="5775" w:type="dxa"/>
            <w:hideMark/>
          </w:tcPr>
          <w:p w14:paraId="3E69CF13" w14:textId="1A1EA75B"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57C02698" w14:textId="77777777" w:rsidTr="00A912AF">
        <w:trPr>
          <w:trHeight w:val="567"/>
        </w:trPr>
        <w:tc>
          <w:tcPr>
            <w:tcW w:w="0" w:type="auto"/>
            <w:hideMark/>
          </w:tcPr>
          <w:p w14:paraId="538BA31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128</w:t>
            </w:r>
          </w:p>
        </w:tc>
        <w:tc>
          <w:tcPr>
            <w:tcW w:w="8961" w:type="dxa"/>
            <w:hideMark/>
          </w:tcPr>
          <w:p w14:paraId="2EFBA15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Putri S, Setiawan E, Saldi SRF, Khoe LC, Sari ER, Megraini A, Nadjib M, Sastroasmoro S, Armansyah A (2022) Adding rituximab to chemotherapy for diffuse large B-cell lymphoma patients in Indonesia: a cost utility and budget impact analysis. BMC Health Serv Res 22:553</w:t>
            </w:r>
          </w:p>
        </w:tc>
        <w:tc>
          <w:tcPr>
            <w:tcW w:w="5775" w:type="dxa"/>
            <w:hideMark/>
          </w:tcPr>
          <w:p w14:paraId="477E6A48" w14:textId="1CDA9E0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7BE72186" w14:textId="77777777" w:rsidTr="00A912AF">
        <w:trPr>
          <w:trHeight w:val="567"/>
        </w:trPr>
        <w:tc>
          <w:tcPr>
            <w:tcW w:w="0" w:type="auto"/>
            <w:hideMark/>
          </w:tcPr>
          <w:p w14:paraId="0195784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129</w:t>
            </w:r>
          </w:p>
        </w:tc>
        <w:tc>
          <w:tcPr>
            <w:tcW w:w="8961" w:type="dxa"/>
            <w:hideMark/>
          </w:tcPr>
          <w:p w14:paraId="5E33F43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Loohuis AMM, Van Der Worp H, Wessels NJ, Dekker JH, Slieker-Ten Hove MCP, Berger MY, Vermeulen KM, Blanker MH (2022) Cost-effectiveness of an app-based treatment for urinary incontinence in comparison with care-as-usual in Dutch general practice: a pragmatic randomised controlled trial over 12 months. BJOG 129:1538–1545</w:t>
            </w:r>
          </w:p>
        </w:tc>
        <w:tc>
          <w:tcPr>
            <w:tcW w:w="5775" w:type="dxa"/>
            <w:hideMark/>
          </w:tcPr>
          <w:p w14:paraId="0009329B" w14:textId="6C3F83C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4F415F50" w14:textId="77777777" w:rsidTr="00A912AF">
        <w:trPr>
          <w:trHeight w:val="567"/>
        </w:trPr>
        <w:tc>
          <w:tcPr>
            <w:tcW w:w="0" w:type="auto"/>
            <w:hideMark/>
          </w:tcPr>
          <w:p w14:paraId="6CFDFAE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130</w:t>
            </w:r>
          </w:p>
        </w:tc>
        <w:tc>
          <w:tcPr>
            <w:tcW w:w="8961" w:type="dxa"/>
            <w:hideMark/>
          </w:tcPr>
          <w:p w14:paraId="668E724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de Koster EJ, Vriens D, van Aken MO, Dijkhorst-Oei L-T, Oyen WJG, Peeters RP, Schepers A, de Geus-Oei L-F, van den Hout WB, EfFECTS trial study group (2022) FDG-PET/CT in indeterminate thyroid nodules: cost-utility analysis alongside a randomised controlled trial. Eur J Nucl Med Mol Imaging 49:3452–3469</w:t>
            </w:r>
          </w:p>
        </w:tc>
        <w:tc>
          <w:tcPr>
            <w:tcW w:w="5775" w:type="dxa"/>
            <w:hideMark/>
          </w:tcPr>
          <w:p w14:paraId="1B455E5A" w14:textId="216CED2B"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4F8D3B6D" w14:textId="77777777" w:rsidTr="00A912AF">
        <w:trPr>
          <w:trHeight w:val="567"/>
        </w:trPr>
        <w:tc>
          <w:tcPr>
            <w:tcW w:w="0" w:type="auto"/>
            <w:hideMark/>
          </w:tcPr>
          <w:p w14:paraId="19F257E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131</w:t>
            </w:r>
          </w:p>
        </w:tc>
        <w:tc>
          <w:tcPr>
            <w:tcW w:w="8961" w:type="dxa"/>
            <w:hideMark/>
          </w:tcPr>
          <w:p w14:paraId="0122281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Yang G, Cintina I, Pariser A, Oehrlein E, Sullivan J, Kennedy A (2022) The national economic burden of rare disease in the United States in 2019. Orphanet J Rare Dis 17:163</w:t>
            </w:r>
          </w:p>
        </w:tc>
        <w:tc>
          <w:tcPr>
            <w:tcW w:w="5775" w:type="dxa"/>
            <w:hideMark/>
          </w:tcPr>
          <w:p w14:paraId="0A934A12" w14:textId="1B36FAE6"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69C24DB3" w14:textId="77777777" w:rsidTr="00A912AF">
        <w:trPr>
          <w:trHeight w:val="567"/>
        </w:trPr>
        <w:tc>
          <w:tcPr>
            <w:tcW w:w="0" w:type="auto"/>
            <w:hideMark/>
          </w:tcPr>
          <w:p w14:paraId="782DA8D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132</w:t>
            </w:r>
          </w:p>
        </w:tc>
        <w:tc>
          <w:tcPr>
            <w:tcW w:w="8961" w:type="dxa"/>
            <w:hideMark/>
          </w:tcPr>
          <w:p w14:paraId="0AB38E6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Elsamany S, Elsisi GH, Hassanin F, Jafal M (2021) Budget impact analysis of subcutaneous trastuzumab compared to intravenous trastuzumab in Saudi HER2-positive breast cancer patients. Expert Rev Pharmacoecon Outcomes Res 21:511–518</w:t>
            </w:r>
          </w:p>
        </w:tc>
        <w:tc>
          <w:tcPr>
            <w:tcW w:w="5775" w:type="dxa"/>
            <w:hideMark/>
          </w:tcPr>
          <w:p w14:paraId="641A8DE4" w14:textId="6E5E1B99"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5856EDB4" w14:textId="77777777" w:rsidTr="00A912AF">
        <w:trPr>
          <w:trHeight w:val="567"/>
        </w:trPr>
        <w:tc>
          <w:tcPr>
            <w:tcW w:w="0" w:type="auto"/>
            <w:hideMark/>
          </w:tcPr>
          <w:p w14:paraId="5E2BBF1E"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133</w:t>
            </w:r>
          </w:p>
        </w:tc>
        <w:tc>
          <w:tcPr>
            <w:tcW w:w="8961" w:type="dxa"/>
            <w:hideMark/>
          </w:tcPr>
          <w:p w14:paraId="4F4FBBBD"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Edoka I, Kohli-Lynch C, Fraser H, Hofman K, Tempia S, McMorrow M, Ramkrishna W, Lambach P, Hutubessy R, Cohen C (2021) A cost-effectiveness analysis of South Africa’s seasonal influenza vaccination programme. Vaccine 39:412–422</w:t>
            </w:r>
          </w:p>
        </w:tc>
        <w:tc>
          <w:tcPr>
            <w:tcW w:w="5775" w:type="dxa"/>
            <w:hideMark/>
          </w:tcPr>
          <w:p w14:paraId="6F818EFA" w14:textId="76ED0676"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6CFA2D2C" w14:textId="77777777" w:rsidTr="00A912AF">
        <w:trPr>
          <w:trHeight w:val="567"/>
        </w:trPr>
        <w:tc>
          <w:tcPr>
            <w:tcW w:w="0" w:type="auto"/>
            <w:hideMark/>
          </w:tcPr>
          <w:p w14:paraId="19E9FDE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134</w:t>
            </w:r>
          </w:p>
        </w:tc>
        <w:tc>
          <w:tcPr>
            <w:tcW w:w="8961" w:type="dxa"/>
            <w:hideMark/>
          </w:tcPr>
          <w:p w14:paraId="40BEC69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Darden M, Espie CA, Carl JR, Henry AL, Kanady JC, Krystal AD, Miller CB (2021) Cost-effectiveness of digital cognitive behavioral therapy (Sleepio) for insomnia: a Markov simulation model in the United States. Sleep 44:zsaa223</w:t>
            </w:r>
          </w:p>
        </w:tc>
        <w:tc>
          <w:tcPr>
            <w:tcW w:w="5775" w:type="dxa"/>
            <w:hideMark/>
          </w:tcPr>
          <w:p w14:paraId="79632E75" w14:textId="13EE6D9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Literature/DB analysis</w:t>
            </w:r>
          </w:p>
        </w:tc>
      </w:tr>
      <w:tr w:rsidR="00A912AF" w:rsidRPr="001253BE" w14:paraId="557F2C83" w14:textId="77777777" w:rsidTr="00A912AF">
        <w:trPr>
          <w:trHeight w:val="567"/>
        </w:trPr>
        <w:tc>
          <w:tcPr>
            <w:tcW w:w="0" w:type="auto"/>
            <w:hideMark/>
          </w:tcPr>
          <w:p w14:paraId="54A3D5C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135</w:t>
            </w:r>
          </w:p>
        </w:tc>
        <w:tc>
          <w:tcPr>
            <w:tcW w:w="8961" w:type="dxa"/>
            <w:hideMark/>
          </w:tcPr>
          <w:p w14:paraId="2C4C7F85"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Broadbent DM, Wang A, Cheyne CP, et al (2021) Safety and cost-effectiveness of individualised screening for diabetic retinopathy: the ISDR open-label, equivalence RCT. Diabetologia 64:56–69</w:t>
            </w:r>
          </w:p>
        </w:tc>
        <w:tc>
          <w:tcPr>
            <w:tcW w:w="5775" w:type="dxa"/>
            <w:hideMark/>
          </w:tcPr>
          <w:p w14:paraId="02782063" w14:textId="1458808A"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Bespoke Questionnaire</w:t>
            </w:r>
          </w:p>
        </w:tc>
      </w:tr>
      <w:tr w:rsidR="00A912AF" w:rsidRPr="001253BE" w14:paraId="1607699F" w14:textId="77777777" w:rsidTr="00A912AF">
        <w:trPr>
          <w:trHeight w:val="567"/>
        </w:trPr>
        <w:tc>
          <w:tcPr>
            <w:tcW w:w="0" w:type="auto"/>
            <w:hideMark/>
          </w:tcPr>
          <w:p w14:paraId="0ADB806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136</w:t>
            </w:r>
          </w:p>
        </w:tc>
        <w:tc>
          <w:tcPr>
            <w:tcW w:w="8961" w:type="dxa"/>
            <w:hideMark/>
          </w:tcPr>
          <w:p w14:paraId="21DA901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Piscitelli E, Massa M, De Martino BM, Serio CS, Guglielmi G, Colacicco G, Tuccillo F, Habetswallner F (2021) Economic evaluation of subcutaneous versus intravenous immunoglobulin therapy in chronic inflammatory demyelinating polyneuropathy: a real-life study. Eur J Hosp Pharm 28:e115–e119</w:t>
            </w:r>
          </w:p>
        </w:tc>
        <w:tc>
          <w:tcPr>
            <w:tcW w:w="5775" w:type="dxa"/>
            <w:hideMark/>
          </w:tcPr>
          <w:p w14:paraId="44CD60CD" w14:textId="3B5C0732"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9693670" w14:textId="77777777" w:rsidTr="00A912AF">
        <w:trPr>
          <w:trHeight w:val="567"/>
        </w:trPr>
        <w:tc>
          <w:tcPr>
            <w:tcW w:w="0" w:type="auto"/>
            <w:hideMark/>
          </w:tcPr>
          <w:p w14:paraId="356BC7B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137</w:t>
            </w:r>
          </w:p>
        </w:tc>
        <w:tc>
          <w:tcPr>
            <w:tcW w:w="8961" w:type="dxa"/>
            <w:hideMark/>
          </w:tcPr>
          <w:p w14:paraId="02DA6260"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der Linden N, Van Olst S, Nekeman S, Uyl-de Groot CA (2021) The cost-effectiveness of dapagliflozin compared to DPP-4 inhibitors in the treatment of type 2 diabetes mellitus in the Netherlands. Diabet Med 38:e14371</w:t>
            </w:r>
          </w:p>
        </w:tc>
        <w:tc>
          <w:tcPr>
            <w:tcW w:w="5775" w:type="dxa"/>
            <w:hideMark/>
          </w:tcPr>
          <w:p w14:paraId="2829DF53" w14:textId="3D32406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Literature/DB analysis</w:t>
            </w:r>
          </w:p>
        </w:tc>
      </w:tr>
      <w:tr w:rsidR="00A912AF" w:rsidRPr="001253BE" w14:paraId="734E4F04" w14:textId="77777777" w:rsidTr="00A912AF">
        <w:trPr>
          <w:trHeight w:val="567"/>
        </w:trPr>
        <w:tc>
          <w:tcPr>
            <w:tcW w:w="0" w:type="auto"/>
            <w:hideMark/>
          </w:tcPr>
          <w:p w14:paraId="045A44E0"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138</w:t>
            </w:r>
          </w:p>
        </w:tc>
        <w:tc>
          <w:tcPr>
            <w:tcW w:w="8961" w:type="dxa"/>
            <w:hideMark/>
          </w:tcPr>
          <w:p w14:paraId="16110537"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van der Hout A, Jansen F, van Uden-Kraan CF, et al (2021) Cost-utility of an eHealth application “Oncokompas” that supports cancer survivors in self-management: results of a randomised controlled trial. J Cancer Surviv 15:77–86</w:t>
            </w:r>
          </w:p>
        </w:tc>
        <w:tc>
          <w:tcPr>
            <w:tcW w:w="5775" w:type="dxa"/>
            <w:hideMark/>
          </w:tcPr>
          <w:p w14:paraId="69E78E63" w14:textId="28C8D989"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637FA444" w14:textId="77777777" w:rsidTr="00A912AF">
        <w:trPr>
          <w:trHeight w:val="567"/>
        </w:trPr>
        <w:tc>
          <w:tcPr>
            <w:tcW w:w="0" w:type="auto"/>
            <w:hideMark/>
          </w:tcPr>
          <w:p w14:paraId="1E3A519A"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139</w:t>
            </w:r>
          </w:p>
        </w:tc>
        <w:tc>
          <w:tcPr>
            <w:tcW w:w="8961" w:type="dxa"/>
            <w:hideMark/>
          </w:tcPr>
          <w:p w14:paraId="3E59523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Molassiotis A, Dawkins B, Longo R, Suen LK, Cheng HL, Mok T, Hulme CT, Yeo W (2021) Economic evaluation alongside a randomised controlled trial to assess the effectiveness and cost-effectiveness of acupuncture in the management of chemotherapy-induced peripheral neuropathy. Acupunct Med 39:41–52</w:t>
            </w:r>
          </w:p>
        </w:tc>
        <w:tc>
          <w:tcPr>
            <w:tcW w:w="5775" w:type="dxa"/>
            <w:hideMark/>
          </w:tcPr>
          <w:p w14:paraId="34D4D1C1" w14:textId="1B50615C"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Bespoke Questionnaire</w:t>
            </w:r>
          </w:p>
        </w:tc>
      </w:tr>
      <w:tr w:rsidR="00A912AF" w:rsidRPr="001253BE" w14:paraId="5F588FB4" w14:textId="77777777" w:rsidTr="00A912AF">
        <w:trPr>
          <w:trHeight w:val="567"/>
        </w:trPr>
        <w:tc>
          <w:tcPr>
            <w:tcW w:w="0" w:type="auto"/>
            <w:hideMark/>
          </w:tcPr>
          <w:p w14:paraId="32CDA5A9"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140</w:t>
            </w:r>
          </w:p>
        </w:tc>
        <w:tc>
          <w:tcPr>
            <w:tcW w:w="8961" w:type="dxa"/>
            <w:hideMark/>
          </w:tcPr>
          <w:p w14:paraId="16591FE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Shearer J, Metrebian N, Weaver T, et al (2023) The Cost-Effectiveness of Financial Incentives to Achieve Heroin Abstinence in Individuals With Heroin Use Disorder Starting New Treatment Episodes: A Cluster Randomized Trial-Based Economic Evaluation. Value Health 26:658–665</w:t>
            </w:r>
          </w:p>
        </w:tc>
        <w:tc>
          <w:tcPr>
            <w:tcW w:w="5775" w:type="dxa"/>
            <w:hideMark/>
          </w:tcPr>
          <w:p w14:paraId="6FE92C62" w14:textId="0EF76FCD"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Work Performance Questionnaire</w:t>
            </w:r>
          </w:p>
        </w:tc>
      </w:tr>
      <w:tr w:rsidR="00A912AF" w:rsidRPr="001253BE" w14:paraId="324E02CB" w14:textId="77777777" w:rsidTr="00A912AF">
        <w:trPr>
          <w:trHeight w:val="567"/>
        </w:trPr>
        <w:tc>
          <w:tcPr>
            <w:tcW w:w="0" w:type="auto"/>
            <w:hideMark/>
          </w:tcPr>
          <w:p w14:paraId="638DE001"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141</w:t>
            </w:r>
          </w:p>
        </w:tc>
        <w:tc>
          <w:tcPr>
            <w:tcW w:w="8961" w:type="dxa"/>
            <w:hideMark/>
          </w:tcPr>
          <w:p w14:paraId="54D76A9E"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Wu D, Jing R, Zheng H, He K, Li Y, Yu W, Yin Z, Fang H (2023) Health and Economic Evaluation of Vaccination Against Pertussis in China: A 40-Year Analysis. Value Health 26:666–675</w:t>
            </w:r>
          </w:p>
        </w:tc>
        <w:tc>
          <w:tcPr>
            <w:tcW w:w="5775" w:type="dxa"/>
            <w:hideMark/>
          </w:tcPr>
          <w:p w14:paraId="7A448923" w14:textId="2C84E5C2"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018696E" w14:textId="77777777" w:rsidTr="00A912AF">
        <w:trPr>
          <w:trHeight w:val="567"/>
        </w:trPr>
        <w:tc>
          <w:tcPr>
            <w:tcW w:w="0" w:type="auto"/>
            <w:hideMark/>
          </w:tcPr>
          <w:p w14:paraId="75CE01FB"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142</w:t>
            </w:r>
          </w:p>
        </w:tc>
        <w:tc>
          <w:tcPr>
            <w:tcW w:w="8961" w:type="dxa"/>
            <w:hideMark/>
          </w:tcPr>
          <w:p w14:paraId="7B2EEB0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Chaput J-P, Janssen I, Sampasa-Kanyinga H, Carney CE, Dang-Vu TT, Davidson JR, Robillard R, Morin CM (2023) Economic burden of insomnia symptoms in Canada. Sleep Health 9:185–189</w:t>
            </w:r>
          </w:p>
        </w:tc>
        <w:tc>
          <w:tcPr>
            <w:tcW w:w="5775" w:type="dxa"/>
            <w:hideMark/>
          </w:tcPr>
          <w:p w14:paraId="50AEE1C7" w14:textId="5B2CA7E8"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026209E0" w14:textId="77777777" w:rsidTr="00A912AF">
        <w:trPr>
          <w:trHeight w:val="567"/>
        </w:trPr>
        <w:tc>
          <w:tcPr>
            <w:tcW w:w="0" w:type="auto"/>
            <w:hideMark/>
          </w:tcPr>
          <w:p w14:paraId="23918E82"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143</w:t>
            </w:r>
          </w:p>
        </w:tc>
        <w:tc>
          <w:tcPr>
            <w:tcW w:w="8961" w:type="dxa"/>
            <w:hideMark/>
          </w:tcPr>
          <w:p w14:paraId="2214DA2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Mao Z, Li X, Dacosta-Urbieta A, et al (2023) Economic burden and health-related quality-of-life among infants with respiratory syncytial virus infection: A multi-country prospective cohort study in Europe. Vaccine 41:2707–2715</w:t>
            </w:r>
          </w:p>
        </w:tc>
        <w:tc>
          <w:tcPr>
            <w:tcW w:w="5775" w:type="dxa"/>
            <w:hideMark/>
          </w:tcPr>
          <w:p w14:paraId="73A0FEF6" w14:textId="4C6E351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dairy</w:t>
            </w:r>
          </w:p>
        </w:tc>
      </w:tr>
      <w:tr w:rsidR="00A912AF" w:rsidRPr="001253BE" w14:paraId="2A2991BE" w14:textId="77777777" w:rsidTr="00A912AF">
        <w:trPr>
          <w:trHeight w:val="567"/>
        </w:trPr>
        <w:tc>
          <w:tcPr>
            <w:tcW w:w="0" w:type="auto"/>
            <w:hideMark/>
          </w:tcPr>
          <w:p w14:paraId="0621761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144</w:t>
            </w:r>
          </w:p>
        </w:tc>
        <w:tc>
          <w:tcPr>
            <w:tcW w:w="8961" w:type="dxa"/>
            <w:hideMark/>
          </w:tcPr>
          <w:p w14:paraId="4CBB640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Siregar AYM, Habibie I, Sihotang RB, Allo RP, Kusumawardana R, Sunjaya DK, Remi SS (2023) Costs of providing hospital-based psychotic disorder treatment in Indonesia. J Ment Health 32:443–451</w:t>
            </w:r>
          </w:p>
        </w:tc>
        <w:tc>
          <w:tcPr>
            <w:tcW w:w="5775" w:type="dxa"/>
            <w:hideMark/>
          </w:tcPr>
          <w:p w14:paraId="0EC8030C" w14:textId="302693D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6B3026C1" w14:textId="77777777" w:rsidTr="00A912AF">
        <w:trPr>
          <w:trHeight w:val="567"/>
        </w:trPr>
        <w:tc>
          <w:tcPr>
            <w:tcW w:w="0" w:type="auto"/>
            <w:hideMark/>
          </w:tcPr>
          <w:p w14:paraId="17C8EA36"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145</w:t>
            </w:r>
          </w:p>
        </w:tc>
        <w:tc>
          <w:tcPr>
            <w:tcW w:w="8961" w:type="dxa"/>
            <w:hideMark/>
          </w:tcPr>
          <w:p w14:paraId="11CDD856"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Kempeneers MA, Issa Y, Bruno MJ, van Santvoort HC, Besselink MG, Boermeester MA, Dijkgraaf MG, Dutch Pancreatitis Study Group (2023) Cost-effectiveness of Early Surgery Versus Endoscopy-first Approach for Painful Chronic Pancreatitis in the ESCAPE Trial. Ann Surg 277:e878–e884</w:t>
            </w:r>
          </w:p>
        </w:tc>
        <w:tc>
          <w:tcPr>
            <w:tcW w:w="5775" w:type="dxa"/>
            <w:hideMark/>
          </w:tcPr>
          <w:p w14:paraId="65BBA830" w14:textId="12B5510F"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Labor Questionnaire</w:t>
            </w:r>
          </w:p>
        </w:tc>
      </w:tr>
      <w:tr w:rsidR="00A912AF" w:rsidRPr="001253BE" w14:paraId="68BCAFD2" w14:textId="77777777" w:rsidTr="00A912AF">
        <w:trPr>
          <w:trHeight w:val="567"/>
        </w:trPr>
        <w:tc>
          <w:tcPr>
            <w:tcW w:w="0" w:type="auto"/>
            <w:hideMark/>
          </w:tcPr>
          <w:p w14:paraId="314BBAD7"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146</w:t>
            </w:r>
          </w:p>
        </w:tc>
        <w:tc>
          <w:tcPr>
            <w:tcW w:w="8961" w:type="dxa"/>
            <w:hideMark/>
          </w:tcPr>
          <w:p w14:paraId="414BA658"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Liu B, Cao B, Wang C, Sun T, Miao Y, Zhang S, Zhao T, Cui F (2023) Cost-minimization analysis of DTaP-IPV-Hib combination vaccine in China: A nationwide cross-sectional study. J Med Virol 95:e28358</w:t>
            </w:r>
          </w:p>
        </w:tc>
        <w:tc>
          <w:tcPr>
            <w:tcW w:w="5775" w:type="dxa"/>
            <w:hideMark/>
          </w:tcPr>
          <w:p w14:paraId="4A0CD10D" w14:textId="2260A808"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Research-specific questionnaire</w:t>
            </w:r>
          </w:p>
        </w:tc>
      </w:tr>
      <w:tr w:rsidR="00A912AF" w:rsidRPr="001253BE" w14:paraId="1D304646" w14:textId="77777777" w:rsidTr="00A912AF">
        <w:trPr>
          <w:trHeight w:val="567"/>
        </w:trPr>
        <w:tc>
          <w:tcPr>
            <w:tcW w:w="0" w:type="auto"/>
            <w:hideMark/>
          </w:tcPr>
          <w:p w14:paraId="29B1EBCC"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147</w:t>
            </w:r>
          </w:p>
        </w:tc>
        <w:tc>
          <w:tcPr>
            <w:tcW w:w="8961" w:type="dxa"/>
            <w:hideMark/>
          </w:tcPr>
          <w:p w14:paraId="29AFC927"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Verma M, Grover S, Chakrabarti S (2021) Cost of the Illness of Treatment-Resistant Schizophrenia: A Mirror Image Study Comparing Clozapine With Other Antipsychotics. J Clin Psychopharmacol 41:36–44</w:t>
            </w:r>
          </w:p>
        </w:tc>
        <w:tc>
          <w:tcPr>
            <w:tcW w:w="5775" w:type="dxa"/>
            <w:hideMark/>
          </w:tcPr>
          <w:p w14:paraId="68B90636" w14:textId="368A5523" w:rsidR="00A912AF" w:rsidRPr="001253BE" w:rsidRDefault="00607F0E" w:rsidP="00A912AF">
            <w:pPr>
              <w:rPr>
                <w:rFonts w:ascii="Times New Roman" w:eastAsia="Times New Roman" w:hAnsi="Times New Roman" w:cs="Times New Roman"/>
                <w:kern w:val="0"/>
                <w:sz w:val="20"/>
                <w:szCs w:val="20"/>
                <w:lang w:val="en-IN" w:eastAsia="en-IN"/>
                <w14:ligatures w14:val="none"/>
              </w:rPr>
            </w:pPr>
            <w:r>
              <w:rPr>
                <w:rFonts w:ascii="Times New Roman" w:hAnsi="Times New Roman" w:cs="Times New Roman"/>
                <w:sz w:val="20"/>
                <w:szCs w:val="20"/>
              </w:rPr>
              <w:t>Others</w:t>
            </w:r>
          </w:p>
        </w:tc>
      </w:tr>
      <w:tr w:rsidR="00A912AF" w:rsidRPr="001253BE" w14:paraId="4A7F4048" w14:textId="77777777" w:rsidTr="00A912AF">
        <w:trPr>
          <w:trHeight w:val="567"/>
        </w:trPr>
        <w:tc>
          <w:tcPr>
            <w:tcW w:w="0" w:type="auto"/>
            <w:hideMark/>
          </w:tcPr>
          <w:p w14:paraId="60049A2F"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148</w:t>
            </w:r>
          </w:p>
        </w:tc>
        <w:tc>
          <w:tcPr>
            <w:tcW w:w="8961" w:type="dxa"/>
            <w:hideMark/>
          </w:tcPr>
          <w:p w14:paraId="2B9BE41A"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Hartmanis SL, Baker EK, Godler DE, Liew D (2023) Estimating the impact of Angelman syndrome on parental productivity in Australia using productivity-adjusted life years. Disabil Health J 16:101423</w:t>
            </w:r>
          </w:p>
        </w:tc>
        <w:tc>
          <w:tcPr>
            <w:tcW w:w="5775" w:type="dxa"/>
            <w:hideMark/>
          </w:tcPr>
          <w:p w14:paraId="71CFC32B" w14:textId="0A16B83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 (no version specified)</w:t>
            </w:r>
          </w:p>
        </w:tc>
      </w:tr>
      <w:tr w:rsidR="00A912AF" w:rsidRPr="001253BE" w14:paraId="7D95F117" w14:textId="77777777" w:rsidTr="00A912AF">
        <w:trPr>
          <w:trHeight w:val="567"/>
        </w:trPr>
        <w:tc>
          <w:tcPr>
            <w:tcW w:w="0" w:type="auto"/>
            <w:hideMark/>
          </w:tcPr>
          <w:p w14:paraId="0ED1E725"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149</w:t>
            </w:r>
          </w:p>
        </w:tc>
        <w:tc>
          <w:tcPr>
            <w:tcW w:w="8961" w:type="dxa"/>
            <w:hideMark/>
          </w:tcPr>
          <w:p w14:paraId="259D39E1"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McKibben NS, O’Hara NN, Slobogean GP, et al (2024) Work Productivity Loss After Minimally Displaced Complete Lateral Compression Pelvis Fractures. J Orthop Trauma 38:42–48</w:t>
            </w:r>
          </w:p>
        </w:tc>
        <w:tc>
          <w:tcPr>
            <w:tcW w:w="5775" w:type="dxa"/>
            <w:hideMark/>
          </w:tcPr>
          <w:p w14:paraId="007402A4" w14:textId="71601A53"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196F7D83" w14:textId="77777777" w:rsidTr="00A912AF">
        <w:trPr>
          <w:trHeight w:val="567"/>
        </w:trPr>
        <w:tc>
          <w:tcPr>
            <w:tcW w:w="0" w:type="auto"/>
            <w:hideMark/>
          </w:tcPr>
          <w:p w14:paraId="7C4F034D"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150</w:t>
            </w:r>
          </w:p>
        </w:tc>
        <w:tc>
          <w:tcPr>
            <w:tcW w:w="8961" w:type="dxa"/>
            <w:hideMark/>
          </w:tcPr>
          <w:p w14:paraId="7E3EA7C4"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Yeaman C, Desai R, Sharma D, Zillioux J, Balkrishnan R, Rapp DE (2022) Economic Impact of Urological Conditions in Men and Women in Belize. Urol Pract 9:543–549</w:t>
            </w:r>
          </w:p>
        </w:tc>
        <w:tc>
          <w:tcPr>
            <w:tcW w:w="5775" w:type="dxa"/>
            <w:hideMark/>
          </w:tcPr>
          <w:p w14:paraId="225E5F01" w14:textId="15542931"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Work Productivity and Activity Impairment:Specific Health Problem</w:t>
            </w:r>
          </w:p>
        </w:tc>
      </w:tr>
      <w:tr w:rsidR="00A912AF" w:rsidRPr="001253BE" w14:paraId="315FEF7E" w14:textId="77777777" w:rsidTr="00A912AF">
        <w:trPr>
          <w:trHeight w:val="567"/>
        </w:trPr>
        <w:tc>
          <w:tcPr>
            <w:tcW w:w="0" w:type="auto"/>
            <w:hideMark/>
          </w:tcPr>
          <w:p w14:paraId="652EBD64"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151</w:t>
            </w:r>
          </w:p>
        </w:tc>
        <w:tc>
          <w:tcPr>
            <w:tcW w:w="8961" w:type="dxa"/>
            <w:hideMark/>
          </w:tcPr>
          <w:p w14:paraId="4D248503"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Jamal M, Kuijper TM, Hazes J, Lopes Barreto D, Weel A (2024) A trial-based economic evaluation of the CaFaSpA referral strategy for axial spondyloarthritis. Scand J Rheumatol 53:1–9</w:t>
            </w:r>
          </w:p>
        </w:tc>
        <w:tc>
          <w:tcPr>
            <w:tcW w:w="5775" w:type="dxa"/>
            <w:hideMark/>
          </w:tcPr>
          <w:p w14:paraId="7EEBA683" w14:textId="63D63FE7"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iMTA Productivity Cost Questionnaire</w:t>
            </w:r>
          </w:p>
        </w:tc>
      </w:tr>
      <w:tr w:rsidR="00A912AF" w:rsidRPr="001253BE" w14:paraId="49E8B091" w14:textId="77777777" w:rsidTr="00A912AF">
        <w:trPr>
          <w:trHeight w:val="567"/>
        </w:trPr>
        <w:tc>
          <w:tcPr>
            <w:tcW w:w="0" w:type="auto"/>
            <w:hideMark/>
          </w:tcPr>
          <w:p w14:paraId="48739103" w14:textId="77777777" w:rsidR="00A912AF" w:rsidRPr="001253BE" w:rsidRDefault="00A912AF" w:rsidP="00A912AF">
            <w:pPr>
              <w:jc w:val="right"/>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lastRenderedPageBreak/>
              <w:t>152</w:t>
            </w:r>
          </w:p>
        </w:tc>
        <w:tc>
          <w:tcPr>
            <w:tcW w:w="8961" w:type="dxa"/>
            <w:hideMark/>
          </w:tcPr>
          <w:p w14:paraId="148EEA92" w14:textId="77777777" w:rsidR="00A912AF" w:rsidRPr="001253BE" w:rsidRDefault="00A912AF" w:rsidP="00A912AF">
            <w:pPr>
              <w:rPr>
                <w:rFonts w:ascii="Times New Roman" w:eastAsia="Times New Roman" w:hAnsi="Times New Roman" w:cs="Times New Roman"/>
                <w:color w:val="000000"/>
                <w:kern w:val="0"/>
                <w:sz w:val="20"/>
                <w:szCs w:val="20"/>
                <w:lang w:val="en-IN" w:eastAsia="en-IN"/>
                <w14:ligatures w14:val="none"/>
              </w:rPr>
            </w:pPr>
            <w:r w:rsidRPr="001253BE">
              <w:rPr>
                <w:rFonts w:ascii="Times New Roman" w:eastAsia="Times New Roman" w:hAnsi="Times New Roman" w:cs="Times New Roman"/>
                <w:color w:val="000000"/>
                <w:kern w:val="0"/>
                <w:sz w:val="20"/>
                <w:szCs w:val="20"/>
                <w:lang w:val="en-IN" w:eastAsia="en-IN"/>
                <w14:ligatures w14:val="none"/>
              </w:rPr>
              <w:t>Michaud TL, Wilson KE, Katula JA, You W, Estabrooks PA (2023) Cost and cost-effectiveness analysis of a digital diabetes prevention program: results from the PREDICTS trial. Transl Behav Med 13:501–510</w:t>
            </w:r>
          </w:p>
        </w:tc>
        <w:tc>
          <w:tcPr>
            <w:tcW w:w="5775" w:type="dxa"/>
            <w:hideMark/>
          </w:tcPr>
          <w:p w14:paraId="39248AAC" w14:textId="19EBDDB5" w:rsidR="00A912AF" w:rsidRPr="001253BE" w:rsidRDefault="00A912AF" w:rsidP="00A912AF">
            <w:pPr>
              <w:rPr>
                <w:rFonts w:ascii="Times New Roman" w:eastAsia="Times New Roman" w:hAnsi="Times New Roman" w:cs="Times New Roman"/>
                <w:kern w:val="0"/>
                <w:sz w:val="20"/>
                <w:szCs w:val="20"/>
                <w:lang w:val="en-IN" w:eastAsia="en-IN"/>
                <w14:ligatures w14:val="none"/>
              </w:rPr>
            </w:pPr>
            <w:r w:rsidRPr="001253BE">
              <w:rPr>
                <w:rFonts w:ascii="Times New Roman" w:hAnsi="Times New Roman" w:cs="Times New Roman"/>
                <w:sz w:val="20"/>
                <w:szCs w:val="20"/>
              </w:rPr>
              <w:t>Health and Work Performance Questionnaire</w:t>
            </w:r>
          </w:p>
        </w:tc>
      </w:tr>
    </w:tbl>
    <w:p w14:paraId="76DE50B6" w14:textId="77777777" w:rsidR="00B6414C" w:rsidRDefault="00B6414C" w:rsidP="001253BE">
      <w:pPr>
        <w:spacing w:after="0" w:line="240" w:lineRule="auto"/>
        <w:rPr>
          <w:rFonts w:ascii="Times New Roman" w:hAnsi="Times New Roman" w:cs="Times New Roman"/>
          <w:sz w:val="20"/>
          <w:szCs w:val="20"/>
          <w:lang w:val="en-US"/>
        </w:rPr>
      </w:pPr>
    </w:p>
    <w:p w14:paraId="4D3B0D8B" w14:textId="77777777" w:rsidR="00997420" w:rsidRDefault="00997420" w:rsidP="00E84D27">
      <w:pPr>
        <w:spacing w:after="0" w:line="240" w:lineRule="auto"/>
        <w:rPr>
          <w:rFonts w:ascii="Times New Roman" w:hAnsi="Times New Roman" w:cs="Times New Roman"/>
          <w:sz w:val="20"/>
          <w:szCs w:val="20"/>
          <w:lang w:val="en-US"/>
        </w:rPr>
      </w:pPr>
    </w:p>
    <w:p w14:paraId="0ED92AD2" w14:textId="77777777" w:rsidR="0039159B" w:rsidRDefault="0039159B">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1FCDC861" w14:textId="1AD23F75" w:rsidR="00452220" w:rsidRDefault="00452220" w:rsidP="0045222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Table S7: Components and method of calculation of the most commonly used instruments</w:t>
      </w:r>
    </w:p>
    <w:p w14:paraId="348CEFBB" w14:textId="77777777" w:rsidR="00452220" w:rsidRDefault="00452220" w:rsidP="00452220">
      <w:pPr>
        <w:spacing w:after="0" w:line="24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248"/>
        <w:gridCol w:w="5386"/>
        <w:gridCol w:w="6060"/>
      </w:tblGrid>
      <w:tr w:rsidR="00452220" w14:paraId="201C5458" w14:textId="77777777" w:rsidTr="00176524">
        <w:tc>
          <w:tcPr>
            <w:tcW w:w="4248" w:type="dxa"/>
          </w:tcPr>
          <w:p w14:paraId="1DD59F25" w14:textId="77777777" w:rsidR="00452220" w:rsidRPr="00452220" w:rsidRDefault="00452220" w:rsidP="00176524">
            <w:pPr>
              <w:rPr>
                <w:rFonts w:ascii="Times New Roman" w:hAnsi="Times New Roman" w:cs="Times New Roman"/>
                <w:b/>
                <w:bCs/>
                <w:sz w:val="20"/>
                <w:szCs w:val="20"/>
                <w:lang w:val="en-US"/>
              </w:rPr>
            </w:pPr>
            <w:r w:rsidRPr="00452220">
              <w:rPr>
                <w:rFonts w:ascii="Times New Roman" w:hAnsi="Times New Roman" w:cs="Times New Roman"/>
                <w:b/>
                <w:bCs/>
                <w:sz w:val="20"/>
                <w:szCs w:val="20"/>
                <w:lang w:val="en-US"/>
              </w:rPr>
              <w:t>Instrument name</w:t>
            </w:r>
          </w:p>
        </w:tc>
        <w:tc>
          <w:tcPr>
            <w:tcW w:w="5386" w:type="dxa"/>
          </w:tcPr>
          <w:p w14:paraId="2747097D" w14:textId="77777777" w:rsidR="00452220" w:rsidRPr="00452220" w:rsidRDefault="00452220" w:rsidP="00176524">
            <w:pPr>
              <w:rPr>
                <w:rFonts w:ascii="Times New Roman" w:hAnsi="Times New Roman" w:cs="Times New Roman"/>
                <w:b/>
                <w:bCs/>
                <w:sz w:val="20"/>
                <w:szCs w:val="20"/>
                <w:lang w:val="en-US"/>
              </w:rPr>
            </w:pPr>
            <w:r w:rsidRPr="00452220">
              <w:rPr>
                <w:rFonts w:ascii="Times New Roman" w:hAnsi="Times New Roman" w:cs="Times New Roman"/>
                <w:b/>
                <w:bCs/>
                <w:sz w:val="20"/>
                <w:szCs w:val="20"/>
                <w:lang w:val="en-US"/>
              </w:rPr>
              <w:t>Components</w:t>
            </w:r>
          </w:p>
        </w:tc>
        <w:tc>
          <w:tcPr>
            <w:tcW w:w="6060" w:type="dxa"/>
          </w:tcPr>
          <w:p w14:paraId="6B43B8FB" w14:textId="77777777" w:rsidR="00452220" w:rsidRPr="00452220" w:rsidRDefault="00452220" w:rsidP="00176524">
            <w:pPr>
              <w:rPr>
                <w:rFonts w:ascii="Times New Roman" w:hAnsi="Times New Roman" w:cs="Times New Roman"/>
                <w:b/>
                <w:bCs/>
                <w:sz w:val="20"/>
                <w:szCs w:val="20"/>
                <w:lang w:val="en-US"/>
              </w:rPr>
            </w:pPr>
            <w:r w:rsidRPr="00452220">
              <w:rPr>
                <w:rFonts w:ascii="Times New Roman" w:hAnsi="Times New Roman" w:cs="Times New Roman"/>
                <w:b/>
                <w:bCs/>
                <w:sz w:val="20"/>
                <w:szCs w:val="20"/>
                <w:lang w:val="en-US"/>
              </w:rPr>
              <w:t>Calculation</w:t>
            </w:r>
          </w:p>
        </w:tc>
      </w:tr>
      <w:tr w:rsidR="00452220" w14:paraId="511FAE66" w14:textId="77777777" w:rsidTr="00176524">
        <w:tc>
          <w:tcPr>
            <w:tcW w:w="4248" w:type="dxa"/>
          </w:tcPr>
          <w:p w14:paraId="79DC81D1"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i/>
                <w:sz w:val="20"/>
                <w:szCs w:val="20"/>
              </w:rPr>
              <w:t>Work and Productivity, Activity, Impairment Questionnaire</w:t>
            </w:r>
          </w:p>
        </w:tc>
        <w:tc>
          <w:tcPr>
            <w:tcW w:w="5386" w:type="dxa"/>
          </w:tcPr>
          <w:p w14:paraId="1B6D2491"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The questionnaire comprises six questions (Q1 = current employment status; Q2a = number of hours missed due to health problems (currently specified problem and other health issues); Q2b = hours missed due to other reasons; Q3 = hours actually worked; Q4a = degree health affected productivity while working (using a 0 to 10 Visual Analogue Scale (VAS)); Q4b = degree of productivity impairment due to health problem (VAS); Q5a = degree problem affected regular activities; Q5b = degree other health problems affected regular activities.</w:t>
            </w:r>
          </w:p>
          <w:p w14:paraId="4520890C"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The outcomes are calculated as: </w:t>
            </w:r>
          </w:p>
          <w:p w14:paraId="0C3657F2"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1) percent work time missed due to problem = Q2a/(Q2a+Q2b+Q3) for those who were currently employed; </w:t>
            </w:r>
          </w:p>
          <w:p w14:paraId="1BD89670"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2) percent impairment while working due to health = Q4a/10 for those who were currently employed and actually worked in the past seven days; </w:t>
            </w:r>
          </w:p>
          <w:p w14:paraId="5F101104"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3) percent overall work impairment due to health = Q2a/(Q2a+Q2b+Q3) + ((1-(Q2a+Q2b)/(Q2a+Q2b+Q3)) x Q4a/10 for those who were currently employed; </w:t>
            </w:r>
          </w:p>
          <w:p w14:paraId="0669A77D"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sz w:val="20"/>
                <w:szCs w:val="20"/>
              </w:rPr>
              <w:t xml:space="preserve">4) percent activity impairment due to health = Q5a/10 for all respondents. </w:t>
            </w:r>
          </w:p>
        </w:tc>
        <w:tc>
          <w:tcPr>
            <w:tcW w:w="6060" w:type="dxa"/>
          </w:tcPr>
          <w:p w14:paraId="1E4B2281"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The outcomes are calculated as: </w:t>
            </w:r>
          </w:p>
          <w:p w14:paraId="43777C44"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1) percent work time missed due to problem = Q2a/(Q2a+Q2b+Q3) for those who were currently employed; </w:t>
            </w:r>
          </w:p>
          <w:p w14:paraId="59E70888"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2) percent impairment while working due to health = Q4a/10 for those who were currently employed and actually worked in the past seven days; </w:t>
            </w:r>
          </w:p>
          <w:p w14:paraId="0F3F1C5B"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3) percent overall work impairment due to health = Q2a/(Q2a+Q2b+Q3) + ((1-(Q2a+Q2b)/(Q2a+Q2b+Q3)) x Q4a/10 for those who were currently employed; </w:t>
            </w:r>
          </w:p>
          <w:p w14:paraId="032F8576" w14:textId="77777777" w:rsidR="00452220" w:rsidRPr="00452220" w:rsidRDefault="00452220" w:rsidP="00176524">
            <w:pPr>
              <w:rPr>
                <w:rFonts w:ascii="Times New Roman" w:hAnsi="Times New Roman" w:cs="Times New Roman"/>
                <w:sz w:val="20"/>
                <w:szCs w:val="20"/>
              </w:rPr>
            </w:pPr>
            <w:r w:rsidRPr="00452220">
              <w:rPr>
                <w:rFonts w:ascii="Times New Roman" w:hAnsi="Times New Roman" w:cs="Times New Roman"/>
                <w:sz w:val="20"/>
                <w:szCs w:val="20"/>
              </w:rPr>
              <w:t xml:space="preserve">4) percent activity impairment due to health = Q5a/10 for all respondents. </w:t>
            </w:r>
          </w:p>
        </w:tc>
      </w:tr>
      <w:tr w:rsidR="00452220" w14:paraId="7C57979E" w14:textId="77777777" w:rsidTr="00176524">
        <w:tc>
          <w:tcPr>
            <w:tcW w:w="4248" w:type="dxa"/>
          </w:tcPr>
          <w:p w14:paraId="4772512E"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i/>
                <w:iCs/>
                <w:sz w:val="20"/>
                <w:szCs w:val="20"/>
              </w:rPr>
              <w:t>iMTA Productivity Cost Questionnaire (iPCQ)</w:t>
            </w:r>
          </w:p>
        </w:tc>
        <w:tc>
          <w:tcPr>
            <w:tcW w:w="5386" w:type="dxa"/>
          </w:tcPr>
          <w:p w14:paraId="07A11F31" w14:textId="77777777" w:rsidR="00452220" w:rsidRPr="00452220" w:rsidRDefault="00452220" w:rsidP="00176524">
            <w:pPr>
              <w:rPr>
                <w:rFonts w:ascii="Times New Roman" w:hAnsi="Times New Roman" w:cs="Times New Roman"/>
                <w:sz w:val="20"/>
                <w:szCs w:val="20"/>
                <w:lang w:val="en-US"/>
              </w:rPr>
            </w:pPr>
            <w:r w:rsidRPr="004A2EBB">
              <w:rPr>
                <w:rFonts w:ascii="Times New Roman" w:hAnsi="Times New Roman" w:cs="Times New Roman"/>
                <w:sz w:val="20"/>
                <w:szCs w:val="20"/>
              </w:rPr>
              <w:t>The questionnaire comprises</w:t>
            </w:r>
            <w:r w:rsidRPr="00956138">
              <w:rPr>
                <w:rFonts w:ascii="Times New Roman" w:hAnsi="Times New Roman" w:cs="Times New Roman"/>
                <w:sz w:val="20"/>
                <w:szCs w:val="20"/>
              </w:rPr>
              <w:t xml:space="preserve"> 18</w:t>
            </w:r>
            <w:r w:rsidRPr="00452220">
              <w:rPr>
                <w:rFonts w:ascii="Times New Roman" w:hAnsi="Times New Roman" w:cs="Times New Roman"/>
                <w:sz w:val="20"/>
                <w:szCs w:val="20"/>
              </w:rPr>
              <w:t xml:space="preserve"> questions, of which collect demographic information (age, sex, and respondents’ work status (e.g., number of hours per week of paid work and number of working days a week)). Productivity losses are measured in three separate modules (absenteeism, presenteeism and loss of unpaid work), allowing the option of leaving out specific types of productivity losses when these are not relevant for a specific population.</w:t>
            </w:r>
          </w:p>
        </w:tc>
        <w:tc>
          <w:tcPr>
            <w:tcW w:w="6060" w:type="dxa"/>
          </w:tcPr>
          <w:p w14:paraId="4B36473C"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sz w:val="20"/>
                <w:szCs w:val="20"/>
              </w:rPr>
              <w:t>To calculate productivity costs, 8 core items are used. The value of absenteeism is calculated from items 2, 3, 4, and 6; presenteeism from items 2, 3, 8, and 9; and unpaid work productivity loss from items 11 and 12. The costs of productivity loss are valued in hours.</w:t>
            </w:r>
          </w:p>
        </w:tc>
      </w:tr>
      <w:tr w:rsidR="00452220" w14:paraId="741A696B" w14:textId="77777777" w:rsidTr="00176524">
        <w:tc>
          <w:tcPr>
            <w:tcW w:w="4248" w:type="dxa"/>
          </w:tcPr>
          <w:p w14:paraId="47608BE6"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i/>
                <w:iCs/>
                <w:sz w:val="20"/>
                <w:szCs w:val="20"/>
              </w:rPr>
              <w:t>Trimbos/iMTA Questionnaire for Costs associated with Psychiatric Illness​ (TIC-P)</w:t>
            </w:r>
          </w:p>
        </w:tc>
        <w:tc>
          <w:tcPr>
            <w:tcW w:w="5386" w:type="dxa"/>
          </w:tcPr>
          <w:p w14:paraId="5DE3C800" w14:textId="77777777" w:rsidR="00452220" w:rsidRPr="00452220" w:rsidRDefault="00452220" w:rsidP="00176524">
            <w:pPr>
              <w:rPr>
                <w:rFonts w:ascii="Times New Roman" w:hAnsi="Times New Roman" w:cs="Times New Roman"/>
                <w:sz w:val="20"/>
                <w:szCs w:val="20"/>
                <w:lang w:val="en-US"/>
              </w:rPr>
            </w:pPr>
            <w:r w:rsidRPr="00452220">
              <w:rPr>
                <w:rFonts w:ascii="Times New Roman" w:hAnsi="Times New Roman" w:cs="Times New Roman"/>
                <w:sz w:val="20"/>
                <w:szCs w:val="20"/>
              </w:rPr>
              <w:t xml:space="preserve">The questionnaire comprises </w:t>
            </w:r>
            <w:r w:rsidRPr="00452220">
              <w:rPr>
                <w:rFonts w:ascii="Times New Roman" w:hAnsi="Times New Roman" w:cs="Times New Roman"/>
                <w:sz w:val="20"/>
                <w:szCs w:val="20"/>
                <w:shd w:val="clear" w:color="auto" w:fill="FFFFFF"/>
              </w:rPr>
              <w:t>two parts</w:t>
            </w:r>
            <w:r w:rsidRPr="00452220">
              <w:rPr>
                <w:rFonts w:ascii="Times New Roman" w:hAnsi="Times New Roman" w:cs="Times New Roman"/>
                <w:color w:val="4D5156"/>
                <w:sz w:val="20"/>
                <w:szCs w:val="20"/>
                <w:shd w:val="clear" w:color="auto" w:fill="FFFFFF"/>
              </w:rPr>
              <w:t xml:space="preserve">. </w:t>
            </w:r>
            <w:r w:rsidRPr="00452220">
              <w:rPr>
                <w:rFonts w:ascii="Times New Roman" w:hAnsi="Times New Roman" w:cs="Times New Roman"/>
                <w:sz w:val="20"/>
                <w:szCs w:val="20"/>
                <w:shd w:val="clear" w:color="auto" w:fill="FFFFFF"/>
              </w:rPr>
              <w:t>Part 1 includes 14 structured yes/no questions for medical resource utilisation, while part 2 comprises of Short Form-Health and Labour Questionnaire (SF-HLQ) to collect data on productivity losses due to health problems. The SF-HLQ measures absence from work and loss of efficiency in paid and unpaid work.</w:t>
            </w:r>
          </w:p>
        </w:tc>
        <w:tc>
          <w:tcPr>
            <w:tcW w:w="6060" w:type="dxa"/>
          </w:tcPr>
          <w:p w14:paraId="067C92DA" w14:textId="77777777" w:rsidR="00452220" w:rsidRPr="00452220" w:rsidRDefault="00452220" w:rsidP="00176524">
            <w:pPr>
              <w:rPr>
                <w:rFonts w:ascii="Times New Roman" w:hAnsi="Times New Roman" w:cs="Times New Roman"/>
                <w:sz w:val="20"/>
                <w:szCs w:val="20"/>
                <w:lang w:val="en-US"/>
              </w:rPr>
            </w:pPr>
          </w:p>
        </w:tc>
      </w:tr>
    </w:tbl>
    <w:p w14:paraId="5C87F8FE" w14:textId="77777777" w:rsidR="002C6D87" w:rsidRDefault="002C6D87" w:rsidP="00E84D27">
      <w:pPr>
        <w:spacing w:after="0" w:line="240" w:lineRule="auto"/>
        <w:rPr>
          <w:rFonts w:ascii="Times New Roman" w:hAnsi="Times New Roman" w:cs="Times New Roman"/>
          <w:sz w:val="20"/>
          <w:szCs w:val="20"/>
          <w:lang w:val="en-US"/>
        </w:rPr>
      </w:pPr>
    </w:p>
    <w:p w14:paraId="1B2B5886" w14:textId="77777777" w:rsidR="00456A7A" w:rsidRDefault="00456A7A" w:rsidP="00E84D27">
      <w:pPr>
        <w:spacing w:after="0" w:line="240" w:lineRule="auto"/>
        <w:rPr>
          <w:rFonts w:ascii="Times New Roman" w:hAnsi="Times New Roman" w:cs="Times New Roman"/>
          <w:sz w:val="20"/>
          <w:szCs w:val="20"/>
          <w:lang w:val="en-US"/>
        </w:rPr>
      </w:pPr>
    </w:p>
    <w:p w14:paraId="599D348C" w14:textId="77777777" w:rsidR="00370FD2" w:rsidRDefault="00370FD2">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2CD0589E" w14:textId="0D7EEED6" w:rsidR="006E6E17" w:rsidRDefault="00456A7A" w:rsidP="006E6E17">
      <w:pPr>
        <w:spacing w:before="120"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Figure </w:t>
      </w:r>
      <w:r w:rsidR="006E6E17">
        <w:rPr>
          <w:rFonts w:ascii="Times New Roman" w:hAnsi="Times New Roman" w:cs="Times New Roman"/>
          <w:sz w:val="20"/>
          <w:szCs w:val="20"/>
          <w:lang w:val="en-US"/>
        </w:rPr>
        <w:t xml:space="preserve">S1: </w:t>
      </w:r>
      <w:r w:rsidR="006E6E17" w:rsidRPr="006E6E17">
        <w:rPr>
          <w:rFonts w:ascii="Times New Roman" w:hAnsi="Times New Roman" w:cs="Times New Roman"/>
          <w:sz w:val="20"/>
          <w:szCs w:val="20"/>
          <w:lang w:val="en-US"/>
        </w:rPr>
        <w:t>Distribution of shortlisted instruments by use of productivity component</w:t>
      </w:r>
    </w:p>
    <w:p w14:paraId="53467233" w14:textId="030E039B" w:rsidR="00456A7A" w:rsidRDefault="00E85CB8" w:rsidP="00E84D27">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5F33F236" wp14:editId="281E3A5D">
            <wp:extent cx="6692400" cy="3792515"/>
            <wp:effectExtent l="19050" t="19050" r="13335" b="17780"/>
            <wp:docPr id="1582119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400" cy="3792515"/>
                    </a:xfrm>
                    <a:prstGeom prst="rect">
                      <a:avLst/>
                    </a:prstGeom>
                    <a:noFill/>
                    <a:ln w="19050">
                      <a:solidFill>
                        <a:schemeClr val="accent1">
                          <a:lumMod val="50000"/>
                        </a:schemeClr>
                      </a:solidFill>
                    </a:ln>
                  </pic:spPr>
                </pic:pic>
              </a:graphicData>
            </a:graphic>
          </wp:inline>
        </w:drawing>
      </w:r>
    </w:p>
    <w:p w14:paraId="26FF22D0" w14:textId="77777777" w:rsidR="00EB4F8D" w:rsidRDefault="00EB4F8D" w:rsidP="00E84D27">
      <w:pPr>
        <w:spacing w:after="0" w:line="240" w:lineRule="auto"/>
        <w:rPr>
          <w:rFonts w:ascii="Times New Roman" w:hAnsi="Times New Roman" w:cs="Times New Roman"/>
          <w:sz w:val="20"/>
          <w:szCs w:val="20"/>
          <w:lang w:val="en-US"/>
        </w:rPr>
      </w:pPr>
    </w:p>
    <w:p w14:paraId="407AAAF0" w14:textId="77777777" w:rsidR="00445F21" w:rsidRDefault="00445F21">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55A684C0" w14:textId="39E5D073" w:rsidR="00EB4F8D" w:rsidRDefault="00EB4F8D" w:rsidP="00E84D2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Figure S2:</w:t>
      </w:r>
      <w:r w:rsidR="00B86081">
        <w:rPr>
          <w:rFonts w:ascii="Times New Roman" w:hAnsi="Times New Roman" w:cs="Times New Roman"/>
          <w:sz w:val="20"/>
          <w:szCs w:val="20"/>
          <w:lang w:val="en-US"/>
        </w:rPr>
        <w:t xml:space="preserve"> </w:t>
      </w:r>
      <w:r w:rsidR="00B86081" w:rsidRPr="00B86081">
        <w:rPr>
          <w:rFonts w:ascii="Times New Roman" w:hAnsi="Times New Roman" w:cs="Times New Roman"/>
          <w:sz w:val="20"/>
          <w:szCs w:val="20"/>
          <w:lang w:val="en-US"/>
        </w:rPr>
        <w:t>Distribution of shortlisted instruments by valuation method</w:t>
      </w:r>
    </w:p>
    <w:p w14:paraId="1E3D24C2" w14:textId="77777777" w:rsidR="00EB4F8D" w:rsidRDefault="00EB4F8D" w:rsidP="00E84D27">
      <w:pPr>
        <w:spacing w:after="0" w:line="240" w:lineRule="auto"/>
        <w:rPr>
          <w:rFonts w:ascii="Times New Roman" w:hAnsi="Times New Roman" w:cs="Times New Roman"/>
          <w:sz w:val="20"/>
          <w:szCs w:val="20"/>
          <w:lang w:val="en-US"/>
        </w:rPr>
      </w:pPr>
    </w:p>
    <w:p w14:paraId="6EB4C352" w14:textId="0AAB2C13" w:rsidR="00EB4F8D" w:rsidRPr="00456A7A" w:rsidRDefault="000248EA" w:rsidP="00E84D27">
      <w:pPr>
        <w:spacing w:after="0" w:line="240" w:lineRule="auto"/>
        <w:rPr>
          <w:rFonts w:ascii="Times New Roman" w:hAnsi="Times New Roman" w:cs="Times New Roman"/>
          <w:sz w:val="20"/>
          <w:szCs w:val="20"/>
          <w:lang w:val="en-US"/>
        </w:rPr>
      </w:pPr>
      <w:r w:rsidRPr="000248EA">
        <w:rPr>
          <w:rFonts w:ascii="Times New Roman" w:hAnsi="Times New Roman" w:cs="Times New Roman"/>
          <w:noProof/>
          <w:sz w:val="20"/>
          <w:szCs w:val="20"/>
          <w:lang w:val="en-US"/>
        </w:rPr>
        <w:drawing>
          <wp:inline distT="0" distB="0" distL="0" distR="0" wp14:anchorId="63C67F3C" wp14:editId="3E525F8A">
            <wp:extent cx="6693244" cy="4445228"/>
            <wp:effectExtent l="0" t="0" r="0" b="0"/>
            <wp:docPr id="1906358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58382" name=""/>
                    <pic:cNvPicPr/>
                  </pic:nvPicPr>
                  <pic:blipFill>
                    <a:blip r:embed="rId9"/>
                    <a:stretch>
                      <a:fillRect/>
                    </a:stretch>
                  </pic:blipFill>
                  <pic:spPr>
                    <a:xfrm>
                      <a:off x="0" y="0"/>
                      <a:ext cx="6693244" cy="4445228"/>
                    </a:xfrm>
                    <a:prstGeom prst="rect">
                      <a:avLst/>
                    </a:prstGeom>
                  </pic:spPr>
                </pic:pic>
              </a:graphicData>
            </a:graphic>
          </wp:inline>
        </w:drawing>
      </w:r>
    </w:p>
    <w:sectPr w:rsidR="00EB4F8D" w:rsidRPr="00456A7A" w:rsidSect="008B629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A7329" w14:textId="77777777" w:rsidR="007F7631" w:rsidRDefault="007F7631" w:rsidP="009038C3">
      <w:pPr>
        <w:spacing w:after="0" w:line="240" w:lineRule="auto"/>
      </w:pPr>
      <w:r>
        <w:separator/>
      </w:r>
    </w:p>
  </w:endnote>
  <w:endnote w:type="continuationSeparator" w:id="0">
    <w:p w14:paraId="4760B679" w14:textId="77777777" w:rsidR="007F7631" w:rsidRDefault="007F7631" w:rsidP="0090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23A2" w14:textId="77777777" w:rsidR="007F7631" w:rsidRDefault="007F7631" w:rsidP="009038C3">
      <w:pPr>
        <w:spacing w:after="0" w:line="240" w:lineRule="auto"/>
      </w:pPr>
      <w:r>
        <w:separator/>
      </w:r>
    </w:p>
  </w:footnote>
  <w:footnote w:type="continuationSeparator" w:id="0">
    <w:p w14:paraId="2CB8C8D9" w14:textId="77777777" w:rsidR="007F7631" w:rsidRDefault="007F7631" w:rsidP="00903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02D1"/>
    <w:multiLevelType w:val="hybridMultilevel"/>
    <w:tmpl w:val="6CFA4460"/>
    <w:lvl w:ilvl="0" w:tplc="9056E11C">
      <w:start w:val="1"/>
      <w:numFmt w:val="bullet"/>
      <w:lvlText w:val="•"/>
      <w:lvlJc w:val="left"/>
      <w:pPr>
        <w:tabs>
          <w:tab w:val="num" w:pos="720"/>
        </w:tabs>
        <w:ind w:left="720" w:hanging="360"/>
      </w:pPr>
      <w:rPr>
        <w:rFonts w:ascii="Arial" w:hAnsi="Arial" w:hint="default"/>
      </w:rPr>
    </w:lvl>
    <w:lvl w:ilvl="1" w:tplc="72E8B966" w:tentative="1">
      <w:start w:val="1"/>
      <w:numFmt w:val="bullet"/>
      <w:lvlText w:val="•"/>
      <w:lvlJc w:val="left"/>
      <w:pPr>
        <w:tabs>
          <w:tab w:val="num" w:pos="1440"/>
        </w:tabs>
        <w:ind w:left="1440" w:hanging="360"/>
      </w:pPr>
      <w:rPr>
        <w:rFonts w:ascii="Arial" w:hAnsi="Arial" w:hint="default"/>
      </w:rPr>
    </w:lvl>
    <w:lvl w:ilvl="2" w:tplc="F61E7A68" w:tentative="1">
      <w:start w:val="1"/>
      <w:numFmt w:val="bullet"/>
      <w:lvlText w:val="•"/>
      <w:lvlJc w:val="left"/>
      <w:pPr>
        <w:tabs>
          <w:tab w:val="num" w:pos="2160"/>
        </w:tabs>
        <w:ind w:left="2160" w:hanging="360"/>
      </w:pPr>
      <w:rPr>
        <w:rFonts w:ascii="Arial" w:hAnsi="Arial" w:hint="default"/>
      </w:rPr>
    </w:lvl>
    <w:lvl w:ilvl="3" w:tplc="5DCCE988" w:tentative="1">
      <w:start w:val="1"/>
      <w:numFmt w:val="bullet"/>
      <w:lvlText w:val="•"/>
      <w:lvlJc w:val="left"/>
      <w:pPr>
        <w:tabs>
          <w:tab w:val="num" w:pos="2880"/>
        </w:tabs>
        <w:ind w:left="2880" w:hanging="360"/>
      </w:pPr>
      <w:rPr>
        <w:rFonts w:ascii="Arial" w:hAnsi="Arial" w:hint="default"/>
      </w:rPr>
    </w:lvl>
    <w:lvl w:ilvl="4" w:tplc="89DC35D2" w:tentative="1">
      <w:start w:val="1"/>
      <w:numFmt w:val="bullet"/>
      <w:lvlText w:val="•"/>
      <w:lvlJc w:val="left"/>
      <w:pPr>
        <w:tabs>
          <w:tab w:val="num" w:pos="3600"/>
        </w:tabs>
        <w:ind w:left="3600" w:hanging="360"/>
      </w:pPr>
      <w:rPr>
        <w:rFonts w:ascii="Arial" w:hAnsi="Arial" w:hint="default"/>
      </w:rPr>
    </w:lvl>
    <w:lvl w:ilvl="5" w:tplc="181E8E80" w:tentative="1">
      <w:start w:val="1"/>
      <w:numFmt w:val="bullet"/>
      <w:lvlText w:val="•"/>
      <w:lvlJc w:val="left"/>
      <w:pPr>
        <w:tabs>
          <w:tab w:val="num" w:pos="4320"/>
        </w:tabs>
        <w:ind w:left="4320" w:hanging="360"/>
      </w:pPr>
      <w:rPr>
        <w:rFonts w:ascii="Arial" w:hAnsi="Arial" w:hint="default"/>
      </w:rPr>
    </w:lvl>
    <w:lvl w:ilvl="6" w:tplc="3D649838" w:tentative="1">
      <w:start w:val="1"/>
      <w:numFmt w:val="bullet"/>
      <w:lvlText w:val="•"/>
      <w:lvlJc w:val="left"/>
      <w:pPr>
        <w:tabs>
          <w:tab w:val="num" w:pos="5040"/>
        </w:tabs>
        <w:ind w:left="5040" w:hanging="360"/>
      </w:pPr>
      <w:rPr>
        <w:rFonts w:ascii="Arial" w:hAnsi="Arial" w:hint="default"/>
      </w:rPr>
    </w:lvl>
    <w:lvl w:ilvl="7" w:tplc="25CA0114" w:tentative="1">
      <w:start w:val="1"/>
      <w:numFmt w:val="bullet"/>
      <w:lvlText w:val="•"/>
      <w:lvlJc w:val="left"/>
      <w:pPr>
        <w:tabs>
          <w:tab w:val="num" w:pos="5760"/>
        </w:tabs>
        <w:ind w:left="5760" w:hanging="360"/>
      </w:pPr>
      <w:rPr>
        <w:rFonts w:ascii="Arial" w:hAnsi="Arial" w:hint="default"/>
      </w:rPr>
    </w:lvl>
    <w:lvl w:ilvl="8" w:tplc="ADB6CA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291E0E"/>
    <w:multiLevelType w:val="hybridMultilevel"/>
    <w:tmpl w:val="597A147E"/>
    <w:lvl w:ilvl="0" w:tplc="924A9FC4">
      <w:start w:val="1"/>
      <w:numFmt w:val="bullet"/>
      <w:lvlText w:val="•"/>
      <w:lvlJc w:val="left"/>
      <w:pPr>
        <w:tabs>
          <w:tab w:val="num" w:pos="720"/>
        </w:tabs>
        <w:ind w:left="720" w:hanging="360"/>
      </w:pPr>
      <w:rPr>
        <w:rFonts w:ascii="Arial" w:hAnsi="Arial" w:hint="default"/>
      </w:rPr>
    </w:lvl>
    <w:lvl w:ilvl="1" w:tplc="9EBE5108" w:tentative="1">
      <w:start w:val="1"/>
      <w:numFmt w:val="bullet"/>
      <w:lvlText w:val="•"/>
      <w:lvlJc w:val="left"/>
      <w:pPr>
        <w:tabs>
          <w:tab w:val="num" w:pos="1440"/>
        </w:tabs>
        <w:ind w:left="1440" w:hanging="360"/>
      </w:pPr>
      <w:rPr>
        <w:rFonts w:ascii="Arial" w:hAnsi="Arial" w:hint="default"/>
      </w:rPr>
    </w:lvl>
    <w:lvl w:ilvl="2" w:tplc="1E3A149A" w:tentative="1">
      <w:start w:val="1"/>
      <w:numFmt w:val="bullet"/>
      <w:lvlText w:val="•"/>
      <w:lvlJc w:val="left"/>
      <w:pPr>
        <w:tabs>
          <w:tab w:val="num" w:pos="2160"/>
        </w:tabs>
        <w:ind w:left="2160" w:hanging="360"/>
      </w:pPr>
      <w:rPr>
        <w:rFonts w:ascii="Arial" w:hAnsi="Arial" w:hint="default"/>
      </w:rPr>
    </w:lvl>
    <w:lvl w:ilvl="3" w:tplc="D37E03F4" w:tentative="1">
      <w:start w:val="1"/>
      <w:numFmt w:val="bullet"/>
      <w:lvlText w:val="•"/>
      <w:lvlJc w:val="left"/>
      <w:pPr>
        <w:tabs>
          <w:tab w:val="num" w:pos="2880"/>
        </w:tabs>
        <w:ind w:left="2880" w:hanging="360"/>
      </w:pPr>
      <w:rPr>
        <w:rFonts w:ascii="Arial" w:hAnsi="Arial" w:hint="default"/>
      </w:rPr>
    </w:lvl>
    <w:lvl w:ilvl="4" w:tplc="FF38D5A6" w:tentative="1">
      <w:start w:val="1"/>
      <w:numFmt w:val="bullet"/>
      <w:lvlText w:val="•"/>
      <w:lvlJc w:val="left"/>
      <w:pPr>
        <w:tabs>
          <w:tab w:val="num" w:pos="3600"/>
        </w:tabs>
        <w:ind w:left="3600" w:hanging="360"/>
      </w:pPr>
      <w:rPr>
        <w:rFonts w:ascii="Arial" w:hAnsi="Arial" w:hint="default"/>
      </w:rPr>
    </w:lvl>
    <w:lvl w:ilvl="5" w:tplc="016AB952" w:tentative="1">
      <w:start w:val="1"/>
      <w:numFmt w:val="bullet"/>
      <w:lvlText w:val="•"/>
      <w:lvlJc w:val="left"/>
      <w:pPr>
        <w:tabs>
          <w:tab w:val="num" w:pos="4320"/>
        </w:tabs>
        <w:ind w:left="4320" w:hanging="360"/>
      </w:pPr>
      <w:rPr>
        <w:rFonts w:ascii="Arial" w:hAnsi="Arial" w:hint="default"/>
      </w:rPr>
    </w:lvl>
    <w:lvl w:ilvl="6" w:tplc="0BC863FA" w:tentative="1">
      <w:start w:val="1"/>
      <w:numFmt w:val="bullet"/>
      <w:lvlText w:val="•"/>
      <w:lvlJc w:val="left"/>
      <w:pPr>
        <w:tabs>
          <w:tab w:val="num" w:pos="5040"/>
        </w:tabs>
        <w:ind w:left="5040" w:hanging="360"/>
      </w:pPr>
      <w:rPr>
        <w:rFonts w:ascii="Arial" w:hAnsi="Arial" w:hint="default"/>
      </w:rPr>
    </w:lvl>
    <w:lvl w:ilvl="7" w:tplc="E0C0DF2E" w:tentative="1">
      <w:start w:val="1"/>
      <w:numFmt w:val="bullet"/>
      <w:lvlText w:val="•"/>
      <w:lvlJc w:val="left"/>
      <w:pPr>
        <w:tabs>
          <w:tab w:val="num" w:pos="5760"/>
        </w:tabs>
        <w:ind w:left="5760" w:hanging="360"/>
      </w:pPr>
      <w:rPr>
        <w:rFonts w:ascii="Arial" w:hAnsi="Arial" w:hint="default"/>
      </w:rPr>
    </w:lvl>
    <w:lvl w:ilvl="8" w:tplc="6F0CC32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C60D25"/>
    <w:multiLevelType w:val="hybridMultilevel"/>
    <w:tmpl w:val="F50EA33E"/>
    <w:lvl w:ilvl="0" w:tplc="F19C70AE">
      <w:start w:val="1"/>
      <w:numFmt w:val="bullet"/>
      <w:lvlText w:val="•"/>
      <w:lvlJc w:val="left"/>
      <w:pPr>
        <w:tabs>
          <w:tab w:val="num" w:pos="720"/>
        </w:tabs>
        <w:ind w:left="720" w:hanging="360"/>
      </w:pPr>
      <w:rPr>
        <w:rFonts w:ascii="Arial" w:hAnsi="Arial" w:hint="default"/>
      </w:rPr>
    </w:lvl>
    <w:lvl w:ilvl="1" w:tplc="36582410" w:tentative="1">
      <w:start w:val="1"/>
      <w:numFmt w:val="bullet"/>
      <w:lvlText w:val="•"/>
      <w:lvlJc w:val="left"/>
      <w:pPr>
        <w:tabs>
          <w:tab w:val="num" w:pos="1440"/>
        </w:tabs>
        <w:ind w:left="1440" w:hanging="360"/>
      </w:pPr>
      <w:rPr>
        <w:rFonts w:ascii="Arial" w:hAnsi="Arial" w:hint="default"/>
      </w:rPr>
    </w:lvl>
    <w:lvl w:ilvl="2" w:tplc="CFF471E4" w:tentative="1">
      <w:start w:val="1"/>
      <w:numFmt w:val="bullet"/>
      <w:lvlText w:val="•"/>
      <w:lvlJc w:val="left"/>
      <w:pPr>
        <w:tabs>
          <w:tab w:val="num" w:pos="2160"/>
        </w:tabs>
        <w:ind w:left="2160" w:hanging="360"/>
      </w:pPr>
      <w:rPr>
        <w:rFonts w:ascii="Arial" w:hAnsi="Arial" w:hint="default"/>
      </w:rPr>
    </w:lvl>
    <w:lvl w:ilvl="3" w:tplc="D5BC3BE4" w:tentative="1">
      <w:start w:val="1"/>
      <w:numFmt w:val="bullet"/>
      <w:lvlText w:val="•"/>
      <w:lvlJc w:val="left"/>
      <w:pPr>
        <w:tabs>
          <w:tab w:val="num" w:pos="2880"/>
        </w:tabs>
        <w:ind w:left="2880" w:hanging="360"/>
      </w:pPr>
      <w:rPr>
        <w:rFonts w:ascii="Arial" w:hAnsi="Arial" w:hint="default"/>
      </w:rPr>
    </w:lvl>
    <w:lvl w:ilvl="4" w:tplc="24820378" w:tentative="1">
      <w:start w:val="1"/>
      <w:numFmt w:val="bullet"/>
      <w:lvlText w:val="•"/>
      <w:lvlJc w:val="left"/>
      <w:pPr>
        <w:tabs>
          <w:tab w:val="num" w:pos="3600"/>
        </w:tabs>
        <w:ind w:left="3600" w:hanging="360"/>
      </w:pPr>
      <w:rPr>
        <w:rFonts w:ascii="Arial" w:hAnsi="Arial" w:hint="default"/>
      </w:rPr>
    </w:lvl>
    <w:lvl w:ilvl="5" w:tplc="75EE93B2" w:tentative="1">
      <w:start w:val="1"/>
      <w:numFmt w:val="bullet"/>
      <w:lvlText w:val="•"/>
      <w:lvlJc w:val="left"/>
      <w:pPr>
        <w:tabs>
          <w:tab w:val="num" w:pos="4320"/>
        </w:tabs>
        <w:ind w:left="4320" w:hanging="360"/>
      </w:pPr>
      <w:rPr>
        <w:rFonts w:ascii="Arial" w:hAnsi="Arial" w:hint="default"/>
      </w:rPr>
    </w:lvl>
    <w:lvl w:ilvl="6" w:tplc="812AB43E" w:tentative="1">
      <w:start w:val="1"/>
      <w:numFmt w:val="bullet"/>
      <w:lvlText w:val="•"/>
      <w:lvlJc w:val="left"/>
      <w:pPr>
        <w:tabs>
          <w:tab w:val="num" w:pos="5040"/>
        </w:tabs>
        <w:ind w:left="5040" w:hanging="360"/>
      </w:pPr>
      <w:rPr>
        <w:rFonts w:ascii="Arial" w:hAnsi="Arial" w:hint="default"/>
      </w:rPr>
    </w:lvl>
    <w:lvl w:ilvl="7" w:tplc="1FEE565C" w:tentative="1">
      <w:start w:val="1"/>
      <w:numFmt w:val="bullet"/>
      <w:lvlText w:val="•"/>
      <w:lvlJc w:val="left"/>
      <w:pPr>
        <w:tabs>
          <w:tab w:val="num" w:pos="5760"/>
        </w:tabs>
        <w:ind w:left="5760" w:hanging="360"/>
      </w:pPr>
      <w:rPr>
        <w:rFonts w:ascii="Arial" w:hAnsi="Arial" w:hint="default"/>
      </w:rPr>
    </w:lvl>
    <w:lvl w:ilvl="8" w:tplc="A260B9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B70A84"/>
    <w:multiLevelType w:val="hybridMultilevel"/>
    <w:tmpl w:val="22E06A0C"/>
    <w:lvl w:ilvl="0" w:tplc="B55869A2">
      <w:start w:val="1"/>
      <w:numFmt w:val="bullet"/>
      <w:lvlText w:val="•"/>
      <w:lvlJc w:val="left"/>
      <w:pPr>
        <w:tabs>
          <w:tab w:val="num" w:pos="720"/>
        </w:tabs>
        <w:ind w:left="720" w:hanging="360"/>
      </w:pPr>
      <w:rPr>
        <w:rFonts w:ascii="Arial" w:hAnsi="Arial" w:hint="default"/>
      </w:rPr>
    </w:lvl>
    <w:lvl w:ilvl="1" w:tplc="E04C74DA" w:tentative="1">
      <w:start w:val="1"/>
      <w:numFmt w:val="bullet"/>
      <w:lvlText w:val="•"/>
      <w:lvlJc w:val="left"/>
      <w:pPr>
        <w:tabs>
          <w:tab w:val="num" w:pos="1440"/>
        </w:tabs>
        <w:ind w:left="1440" w:hanging="360"/>
      </w:pPr>
      <w:rPr>
        <w:rFonts w:ascii="Arial" w:hAnsi="Arial" w:hint="default"/>
      </w:rPr>
    </w:lvl>
    <w:lvl w:ilvl="2" w:tplc="70B413F8" w:tentative="1">
      <w:start w:val="1"/>
      <w:numFmt w:val="bullet"/>
      <w:lvlText w:val="•"/>
      <w:lvlJc w:val="left"/>
      <w:pPr>
        <w:tabs>
          <w:tab w:val="num" w:pos="2160"/>
        </w:tabs>
        <w:ind w:left="2160" w:hanging="360"/>
      </w:pPr>
      <w:rPr>
        <w:rFonts w:ascii="Arial" w:hAnsi="Arial" w:hint="default"/>
      </w:rPr>
    </w:lvl>
    <w:lvl w:ilvl="3" w:tplc="8FFACD2E" w:tentative="1">
      <w:start w:val="1"/>
      <w:numFmt w:val="bullet"/>
      <w:lvlText w:val="•"/>
      <w:lvlJc w:val="left"/>
      <w:pPr>
        <w:tabs>
          <w:tab w:val="num" w:pos="2880"/>
        </w:tabs>
        <w:ind w:left="2880" w:hanging="360"/>
      </w:pPr>
      <w:rPr>
        <w:rFonts w:ascii="Arial" w:hAnsi="Arial" w:hint="default"/>
      </w:rPr>
    </w:lvl>
    <w:lvl w:ilvl="4" w:tplc="04C41CF2" w:tentative="1">
      <w:start w:val="1"/>
      <w:numFmt w:val="bullet"/>
      <w:lvlText w:val="•"/>
      <w:lvlJc w:val="left"/>
      <w:pPr>
        <w:tabs>
          <w:tab w:val="num" w:pos="3600"/>
        </w:tabs>
        <w:ind w:left="3600" w:hanging="360"/>
      </w:pPr>
      <w:rPr>
        <w:rFonts w:ascii="Arial" w:hAnsi="Arial" w:hint="default"/>
      </w:rPr>
    </w:lvl>
    <w:lvl w:ilvl="5" w:tplc="DE10CDE6" w:tentative="1">
      <w:start w:val="1"/>
      <w:numFmt w:val="bullet"/>
      <w:lvlText w:val="•"/>
      <w:lvlJc w:val="left"/>
      <w:pPr>
        <w:tabs>
          <w:tab w:val="num" w:pos="4320"/>
        </w:tabs>
        <w:ind w:left="4320" w:hanging="360"/>
      </w:pPr>
      <w:rPr>
        <w:rFonts w:ascii="Arial" w:hAnsi="Arial" w:hint="default"/>
      </w:rPr>
    </w:lvl>
    <w:lvl w:ilvl="6" w:tplc="74647B48" w:tentative="1">
      <w:start w:val="1"/>
      <w:numFmt w:val="bullet"/>
      <w:lvlText w:val="•"/>
      <w:lvlJc w:val="left"/>
      <w:pPr>
        <w:tabs>
          <w:tab w:val="num" w:pos="5040"/>
        </w:tabs>
        <w:ind w:left="5040" w:hanging="360"/>
      </w:pPr>
      <w:rPr>
        <w:rFonts w:ascii="Arial" w:hAnsi="Arial" w:hint="default"/>
      </w:rPr>
    </w:lvl>
    <w:lvl w:ilvl="7" w:tplc="DF9E3D30" w:tentative="1">
      <w:start w:val="1"/>
      <w:numFmt w:val="bullet"/>
      <w:lvlText w:val="•"/>
      <w:lvlJc w:val="left"/>
      <w:pPr>
        <w:tabs>
          <w:tab w:val="num" w:pos="5760"/>
        </w:tabs>
        <w:ind w:left="5760" w:hanging="360"/>
      </w:pPr>
      <w:rPr>
        <w:rFonts w:ascii="Arial" w:hAnsi="Arial" w:hint="default"/>
      </w:rPr>
    </w:lvl>
    <w:lvl w:ilvl="8" w:tplc="DD6284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7064343"/>
    <w:multiLevelType w:val="hybridMultilevel"/>
    <w:tmpl w:val="3000C0FC"/>
    <w:lvl w:ilvl="0" w:tplc="00786AD4">
      <w:start w:val="1"/>
      <w:numFmt w:val="bullet"/>
      <w:lvlText w:val="•"/>
      <w:lvlJc w:val="left"/>
      <w:pPr>
        <w:tabs>
          <w:tab w:val="num" w:pos="720"/>
        </w:tabs>
        <w:ind w:left="720" w:hanging="360"/>
      </w:pPr>
      <w:rPr>
        <w:rFonts w:ascii="Arial" w:hAnsi="Arial" w:hint="default"/>
      </w:rPr>
    </w:lvl>
    <w:lvl w:ilvl="1" w:tplc="D7A43138" w:tentative="1">
      <w:start w:val="1"/>
      <w:numFmt w:val="bullet"/>
      <w:lvlText w:val="•"/>
      <w:lvlJc w:val="left"/>
      <w:pPr>
        <w:tabs>
          <w:tab w:val="num" w:pos="1440"/>
        </w:tabs>
        <w:ind w:left="1440" w:hanging="360"/>
      </w:pPr>
      <w:rPr>
        <w:rFonts w:ascii="Arial" w:hAnsi="Arial" w:hint="default"/>
      </w:rPr>
    </w:lvl>
    <w:lvl w:ilvl="2" w:tplc="94AADED4" w:tentative="1">
      <w:start w:val="1"/>
      <w:numFmt w:val="bullet"/>
      <w:lvlText w:val="•"/>
      <w:lvlJc w:val="left"/>
      <w:pPr>
        <w:tabs>
          <w:tab w:val="num" w:pos="2160"/>
        </w:tabs>
        <w:ind w:left="2160" w:hanging="360"/>
      </w:pPr>
      <w:rPr>
        <w:rFonts w:ascii="Arial" w:hAnsi="Arial" w:hint="default"/>
      </w:rPr>
    </w:lvl>
    <w:lvl w:ilvl="3" w:tplc="1F5C6E42" w:tentative="1">
      <w:start w:val="1"/>
      <w:numFmt w:val="bullet"/>
      <w:lvlText w:val="•"/>
      <w:lvlJc w:val="left"/>
      <w:pPr>
        <w:tabs>
          <w:tab w:val="num" w:pos="2880"/>
        </w:tabs>
        <w:ind w:left="2880" w:hanging="360"/>
      </w:pPr>
      <w:rPr>
        <w:rFonts w:ascii="Arial" w:hAnsi="Arial" w:hint="default"/>
      </w:rPr>
    </w:lvl>
    <w:lvl w:ilvl="4" w:tplc="380C74B0" w:tentative="1">
      <w:start w:val="1"/>
      <w:numFmt w:val="bullet"/>
      <w:lvlText w:val="•"/>
      <w:lvlJc w:val="left"/>
      <w:pPr>
        <w:tabs>
          <w:tab w:val="num" w:pos="3600"/>
        </w:tabs>
        <w:ind w:left="3600" w:hanging="360"/>
      </w:pPr>
      <w:rPr>
        <w:rFonts w:ascii="Arial" w:hAnsi="Arial" w:hint="default"/>
      </w:rPr>
    </w:lvl>
    <w:lvl w:ilvl="5" w:tplc="168A24A6" w:tentative="1">
      <w:start w:val="1"/>
      <w:numFmt w:val="bullet"/>
      <w:lvlText w:val="•"/>
      <w:lvlJc w:val="left"/>
      <w:pPr>
        <w:tabs>
          <w:tab w:val="num" w:pos="4320"/>
        </w:tabs>
        <w:ind w:left="4320" w:hanging="360"/>
      </w:pPr>
      <w:rPr>
        <w:rFonts w:ascii="Arial" w:hAnsi="Arial" w:hint="default"/>
      </w:rPr>
    </w:lvl>
    <w:lvl w:ilvl="6" w:tplc="4DA4E022" w:tentative="1">
      <w:start w:val="1"/>
      <w:numFmt w:val="bullet"/>
      <w:lvlText w:val="•"/>
      <w:lvlJc w:val="left"/>
      <w:pPr>
        <w:tabs>
          <w:tab w:val="num" w:pos="5040"/>
        </w:tabs>
        <w:ind w:left="5040" w:hanging="360"/>
      </w:pPr>
      <w:rPr>
        <w:rFonts w:ascii="Arial" w:hAnsi="Arial" w:hint="default"/>
      </w:rPr>
    </w:lvl>
    <w:lvl w:ilvl="7" w:tplc="2826B2DE" w:tentative="1">
      <w:start w:val="1"/>
      <w:numFmt w:val="bullet"/>
      <w:lvlText w:val="•"/>
      <w:lvlJc w:val="left"/>
      <w:pPr>
        <w:tabs>
          <w:tab w:val="num" w:pos="5760"/>
        </w:tabs>
        <w:ind w:left="5760" w:hanging="360"/>
      </w:pPr>
      <w:rPr>
        <w:rFonts w:ascii="Arial" w:hAnsi="Arial" w:hint="default"/>
      </w:rPr>
    </w:lvl>
    <w:lvl w:ilvl="8" w:tplc="6A06EE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7EB671A"/>
    <w:multiLevelType w:val="hybridMultilevel"/>
    <w:tmpl w:val="28B41012"/>
    <w:lvl w:ilvl="0" w:tplc="F6CA4356">
      <w:start w:val="1"/>
      <w:numFmt w:val="bullet"/>
      <w:lvlText w:val="•"/>
      <w:lvlJc w:val="left"/>
      <w:pPr>
        <w:tabs>
          <w:tab w:val="num" w:pos="720"/>
        </w:tabs>
        <w:ind w:left="720" w:hanging="360"/>
      </w:pPr>
      <w:rPr>
        <w:rFonts w:ascii="Arial" w:hAnsi="Arial" w:hint="default"/>
      </w:rPr>
    </w:lvl>
    <w:lvl w:ilvl="1" w:tplc="C1F45818" w:tentative="1">
      <w:start w:val="1"/>
      <w:numFmt w:val="bullet"/>
      <w:lvlText w:val="•"/>
      <w:lvlJc w:val="left"/>
      <w:pPr>
        <w:tabs>
          <w:tab w:val="num" w:pos="1440"/>
        </w:tabs>
        <w:ind w:left="1440" w:hanging="360"/>
      </w:pPr>
      <w:rPr>
        <w:rFonts w:ascii="Arial" w:hAnsi="Arial" w:hint="default"/>
      </w:rPr>
    </w:lvl>
    <w:lvl w:ilvl="2" w:tplc="136800E2" w:tentative="1">
      <w:start w:val="1"/>
      <w:numFmt w:val="bullet"/>
      <w:lvlText w:val="•"/>
      <w:lvlJc w:val="left"/>
      <w:pPr>
        <w:tabs>
          <w:tab w:val="num" w:pos="2160"/>
        </w:tabs>
        <w:ind w:left="2160" w:hanging="360"/>
      </w:pPr>
      <w:rPr>
        <w:rFonts w:ascii="Arial" w:hAnsi="Arial" w:hint="default"/>
      </w:rPr>
    </w:lvl>
    <w:lvl w:ilvl="3" w:tplc="34E477F6" w:tentative="1">
      <w:start w:val="1"/>
      <w:numFmt w:val="bullet"/>
      <w:lvlText w:val="•"/>
      <w:lvlJc w:val="left"/>
      <w:pPr>
        <w:tabs>
          <w:tab w:val="num" w:pos="2880"/>
        </w:tabs>
        <w:ind w:left="2880" w:hanging="360"/>
      </w:pPr>
      <w:rPr>
        <w:rFonts w:ascii="Arial" w:hAnsi="Arial" w:hint="default"/>
      </w:rPr>
    </w:lvl>
    <w:lvl w:ilvl="4" w:tplc="A6B87E36" w:tentative="1">
      <w:start w:val="1"/>
      <w:numFmt w:val="bullet"/>
      <w:lvlText w:val="•"/>
      <w:lvlJc w:val="left"/>
      <w:pPr>
        <w:tabs>
          <w:tab w:val="num" w:pos="3600"/>
        </w:tabs>
        <w:ind w:left="3600" w:hanging="360"/>
      </w:pPr>
      <w:rPr>
        <w:rFonts w:ascii="Arial" w:hAnsi="Arial" w:hint="default"/>
      </w:rPr>
    </w:lvl>
    <w:lvl w:ilvl="5" w:tplc="4DF8B6E4" w:tentative="1">
      <w:start w:val="1"/>
      <w:numFmt w:val="bullet"/>
      <w:lvlText w:val="•"/>
      <w:lvlJc w:val="left"/>
      <w:pPr>
        <w:tabs>
          <w:tab w:val="num" w:pos="4320"/>
        </w:tabs>
        <w:ind w:left="4320" w:hanging="360"/>
      </w:pPr>
      <w:rPr>
        <w:rFonts w:ascii="Arial" w:hAnsi="Arial" w:hint="default"/>
      </w:rPr>
    </w:lvl>
    <w:lvl w:ilvl="6" w:tplc="B73C172E" w:tentative="1">
      <w:start w:val="1"/>
      <w:numFmt w:val="bullet"/>
      <w:lvlText w:val="•"/>
      <w:lvlJc w:val="left"/>
      <w:pPr>
        <w:tabs>
          <w:tab w:val="num" w:pos="5040"/>
        </w:tabs>
        <w:ind w:left="5040" w:hanging="360"/>
      </w:pPr>
      <w:rPr>
        <w:rFonts w:ascii="Arial" w:hAnsi="Arial" w:hint="default"/>
      </w:rPr>
    </w:lvl>
    <w:lvl w:ilvl="7" w:tplc="C3F62F14" w:tentative="1">
      <w:start w:val="1"/>
      <w:numFmt w:val="bullet"/>
      <w:lvlText w:val="•"/>
      <w:lvlJc w:val="left"/>
      <w:pPr>
        <w:tabs>
          <w:tab w:val="num" w:pos="5760"/>
        </w:tabs>
        <w:ind w:left="5760" w:hanging="360"/>
      </w:pPr>
      <w:rPr>
        <w:rFonts w:ascii="Arial" w:hAnsi="Arial" w:hint="default"/>
      </w:rPr>
    </w:lvl>
    <w:lvl w:ilvl="8" w:tplc="7D2A3F74" w:tentative="1">
      <w:start w:val="1"/>
      <w:numFmt w:val="bullet"/>
      <w:lvlText w:val="•"/>
      <w:lvlJc w:val="left"/>
      <w:pPr>
        <w:tabs>
          <w:tab w:val="num" w:pos="6480"/>
        </w:tabs>
        <w:ind w:left="6480" w:hanging="360"/>
      </w:pPr>
      <w:rPr>
        <w:rFonts w:ascii="Arial" w:hAnsi="Arial" w:hint="default"/>
      </w:rPr>
    </w:lvl>
  </w:abstractNum>
  <w:num w:numId="1" w16cid:durableId="1438211723">
    <w:abstractNumId w:val="1"/>
  </w:num>
  <w:num w:numId="2" w16cid:durableId="1627277543">
    <w:abstractNumId w:val="5"/>
  </w:num>
  <w:num w:numId="3" w16cid:durableId="906694288">
    <w:abstractNumId w:val="2"/>
  </w:num>
  <w:num w:numId="4" w16cid:durableId="2135783041">
    <w:abstractNumId w:val="3"/>
  </w:num>
  <w:num w:numId="5" w16cid:durableId="1511217876">
    <w:abstractNumId w:val="4"/>
  </w:num>
  <w:num w:numId="6" w16cid:durableId="204270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F8"/>
    <w:rsid w:val="000248EA"/>
    <w:rsid w:val="00097664"/>
    <w:rsid w:val="000B3198"/>
    <w:rsid w:val="000E7BD3"/>
    <w:rsid w:val="000F02F0"/>
    <w:rsid w:val="00105AC9"/>
    <w:rsid w:val="001253BE"/>
    <w:rsid w:val="001441A1"/>
    <w:rsid w:val="00151098"/>
    <w:rsid w:val="0019347A"/>
    <w:rsid w:val="00196865"/>
    <w:rsid w:val="001B5150"/>
    <w:rsid w:val="001F7028"/>
    <w:rsid w:val="002006C0"/>
    <w:rsid w:val="00263532"/>
    <w:rsid w:val="00266A82"/>
    <w:rsid w:val="002C6D87"/>
    <w:rsid w:val="002F5C2C"/>
    <w:rsid w:val="00317F65"/>
    <w:rsid w:val="00342A53"/>
    <w:rsid w:val="00370FD2"/>
    <w:rsid w:val="00382BF0"/>
    <w:rsid w:val="0039159B"/>
    <w:rsid w:val="003964B9"/>
    <w:rsid w:val="003D3426"/>
    <w:rsid w:val="003F12A5"/>
    <w:rsid w:val="003F17BC"/>
    <w:rsid w:val="0040402C"/>
    <w:rsid w:val="00410182"/>
    <w:rsid w:val="00445F21"/>
    <w:rsid w:val="00452220"/>
    <w:rsid w:val="00452964"/>
    <w:rsid w:val="00456A7A"/>
    <w:rsid w:val="004602A8"/>
    <w:rsid w:val="00472795"/>
    <w:rsid w:val="004A2EBB"/>
    <w:rsid w:val="004E0499"/>
    <w:rsid w:val="004F2E8C"/>
    <w:rsid w:val="00501066"/>
    <w:rsid w:val="005A04B9"/>
    <w:rsid w:val="005A34FC"/>
    <w:rsid w:val="005A7B08"/>
    <w:rsid w:val="005D7DCA"/>
    <w:rsid w:val="005F1279"/>
    <w:rsid w:val="00607F0E"/>
    <w:rsid w:val="00617E99"/>
    <w:rsid w:val="006A610B"/>
    <w:rsid w:val="006B019C"/>
    <w:rsid w:val="006E6E17"/>
    <w:rsid w:val="00750FF5"/>
    <w:rsid w:val="00751D6C"/>
    <w:rsid w:val="00793F2A"/>
    <w:rsid w:val="00794793"/>
    <w:rsid w:val="007C7479"/>
    <w:rsid w:val="007E0528"/>
    <w:rsid w:val="007E1D02"/>
    <w:rsid w:val="007E582D"/>
    <w:rsid w:val="007F7631"/>
    <w:rsid w:val="0085507E"/>
    <w:rsid w:val="008763C1"/>
    <w:rsid w:val="00883D94"/>
    <w:rsid w:val="00890BA8"/>
    <w:rsid w:val="008A1188"/>
    <w:rsid w:val="008B6293"/>
    <w:rsid w:val="008F5FD3"/>
    <w:rsid w:val="00900CFE"/>
    <w:rsid w:val="009038C3"/>
    <w:rsid w:val="009157FF"/>
    <w:rsid w:val="00916752"/>
    <w:rsid w:val="00953F66"/>
    <w:rsid w:val="00956138"/>
    <w:rsid w:val="00977656"/>
    <w:rsid w:val="00997420"/>
    <w:rsid w:val="009B4E21"/>
    <w:rsid w:val="009D32A4"/>
    <w:rsid w:val="00A12C88"/>
    <w:rsid w:val="00A63505"/>
    <w:rsid w:val="00A814C5"/>
    <w:rsid w:val="00A912AF"/>
    <w:rsid w:val="00A92B84"/>
    <w:rsid w:val="00AC231A"/>
    <w:rsid w:val="00AD1ABD"/>
    <w:rsid w:val="00AF06CF"/>
    <w:rsid w:val="00AF0A5D"/>
    <w:rsid w:val="00B6414C"/>
    <w:rsid w:val="00B86081"/>
    <w:rsid w:val="00B8729E"/>
    <w:rsid w:val="00BC06E4"/>
    <w:rsid w:val="00BC4562"/>
    <w:rsid w:val="00BC6534"/>
    <w:rsid w:val="00BD32ED"/>
    <w:rsid w:val="00BE4AFE"/>
    <w:rsid w:val="00C26845"/>
    <w:rsid w:val="00C414A2"/>
    <w:rsid w:val="00C55CB4"/>
    <w:rsid w:val="00C95244"/>
    <w:rsid w:val="00CA154E"/>
    <w:rsid w:val="00CC2945"/>
    <w:rsid w:val="00CC4F51"/>
    <w:rsid w:val="00CD73EF"/>
    <w:rsid w:val="00CF3796"/>
    <w:rsid w:val="00D43D83"/>
    <w:rsid w:val="00D6671E"/>
    <w:rsid w:val="00D76C62"/>
    <w:rsid w:val="00D96FED"/>
    <w:rsid w:val="00DE3CF8"/>
    <w:rsid w:val="00E03B06"/>
    <w:rsid w:val="00E05E58"/>
    <w:rsid w:val="00E10323"/>
    <w:rsid w:val="00E13D26"/>
    <w:rsid w:val="00E13F7A"/>
    <w:rsid w:val="00E44891"/>
    <w:rsid w:val="00E73D9A"/>
    <w:rsid w:val="00E73FB4"/>
    <w:rsid w:val="00E84D27"/>
    <w:rsid w:val="00E85CB8"/>
    <w:rsid w:val="00EB4F8D"/>
    <w:rsid w:val="00EC6BBE"/>
    <w:rsid w:val="00ED0735"/>
    <w:rsid w:val="00ED685F"/>
    <w:rsid w:val="00F5445D"/>
    <w:rsid w:val="00F57745"/>
    <w:rsid w:val="00F81768"/>
    <w:rsid w:val="00FD0D19"/>
    <w:rsid w:val="00FF0564"/>
    <w:rsid w:val="0A4DDC42"/>
    <w:rsid w:val="193A9AE3"/>
    <w:rsid w:val="1DF95519"/>
    <w:rsid w:val="2C952123"/>
    <w:rsid w:val="4BAEF77E"/>
    <w:rsid w:val="76D75D5C"/>
  </w:rsids>
  <m:mathPr>
    <m:mathFont m:val="Cambria Math"/>
    <m:brkBin m:val="before"/>
    <m:brkBinSub m:val="--"/>
    <m:smallFrac m:val="0"/>
    <m:dispDef/>
    <m:lMargin m:val="0"/>
    <m:rMargin m:val="0"/>
    <m:defJc m:val="centerGroup"/>
    <m:wrapIndent m:val="1440"/>
    <m:intLim m:val="subSup"/>
    <m:naryLim m:val="undOvr"/>
  </m:mathPr>
  <w:themeFontLang w:val="en-IN"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584F8"/>
  <w15:chartTrackingRefBased/>
  <w15:docId w15:val="{CA3827D1-DFD9-4080-BC72-19ED61BB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3CF8"/>
    <w:rPr>
      <w:color w:val="0563C1"/>
      <w:u w:val="single"/>
    </w:rPr>
  </w:style>
  <w:style w:type="character" w:styleId="FollowedHyperlink">
    <w:name w:val="FollowedHyperlink"/>
    <w:basedOn w:val="DefaultParagraphFont"/>
    <w:uiPriority w:val="99"/>
    <w:semiHidden/>
    <w:unhideWhenUsed/>
    <w:rsid w:val="00DE3CF8"/>
    <w:rPr>
      <w:color w:val="954F72"/>
      <w:u w:val="single"/>
    </w:rPr>
  </w:style>
  <w:style w:type="paragraph" w:customStyle="1" w:styleId="msonormal0">
    <w:name w:val="msonormal"/>
    <w:basedOn w:val="Normal"/>
    <w:rsid w:val="00DE3CF8"/>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paragraph" w:customStyle="1" w:styleId="xl65">
    <w:name w:val="xl65"/>
    <w:basedOn w:val="Normal"/>
    <w:rsid w:val="00DE3CF8"/>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paragraph" w:customStyle="1" w:styleId="xl66">
    <w:name w:val="xl66"/>
    <w:basedOn w:val="Normal"/>
    <w:rsid w:val="00DE3CF8"/>
    <w:pPr>
      <w:pBdr>
        <w:top w:val="single" w:sz="4" w:space="0" w:color="auto"/>
        <w:left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b/>
      <w:bCs/>
      <w:kern w:val="0"/>
      <w:sz w:val="24"/>
      <w:szCs w:val="24"/>
      <w:lang w:val="en-IN" w:eastAsia="en-IN"/>
      <w14:ligatures w14:val="none"/>
    </w:rPr>
  </w:style>
  <w:style w:type="paragraph" w:customStyle="1" w:styleId="xl67">
    <w:name w:val="xl67"/>
    <w:basedOn w:val="Normal"/>
    <w:rsid w:val="00DE3CF8"/>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paragraph" w:customStyle="1" w:styleId="xl68">
    <w:name w:val="xl68"/>
    <w:basedOn w:val="Normal"/>
    <w:rsid w:val="00DE3CF8"/>
    <w:pPr>
      <w:spacing w:before="100" w:beforeAutospacing="1" w:after="100" w:afterAutospacing="1" w:line="240" w:lineRule="auto"/>
      <w:textAlignment w:val="center"/>
    </w:pPr>
    <w:rPr>
      <w:rFonts w:ascii="Times New Roman" w:eastAsia="Times New Roman" w:hAnsi="Times New Roman" w:cs="Times New Roman"/>
      <w:kern w:val="0"/>
      <w:sz w:val="24"/>
      <w:szCs w:val="24"/>
      <w:lang w:val="en-IN" w:eastAsia="en-IN"/>
      <w14:ligatures w14:val="none"/>
    </w:rPr>
  </w:style>
  <w:style w:type="paragraph" w:customStyle="1" w:styleId="xl69">
    <w:name w:val="xl69"/>
    <w:basedOn w:val="Normal"/>
    <w:rsid w:val="00DE3CF8"/>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kern w:val="0"/>
      <w:sz w:val="24"/>
      <w:szCs w:val="24"/>
      <w:lang w:val="en-IN" w:eastAsia="en-IN"/>
      <w14:ligatures w14:val="none"/>
    </w:rPr>
  </w:style>
  <w:style w:type="paragraph" w:customStyle="1" w:styleId="xl70">
    <w:name w:val="xl70"/>
    <w:basedOn w:val="Normal"/>
    <w:rsid w:val="00DE3CF8"/>
    <w:pPr>
      <w:spacing w:before="100" w:beforeAutospacing="1" w:after="100" w:afterAutospacing="1" w:line="240" w:lineRule="auto"/>
    </w:pPr>
    <w:rPr>
      <w:rFonts w:ascii="Times New Roman" w:eastAsia="Times New Roman" w:hAnsi="Times New Roman" w:cs="Times New Roman"/>
      <w:b/>
      <w:bCs/>
      <w:kern w:val="0"/>
      <w:sz w:val="24"/>
      <w:szCs w:val="24"/>
      <w:lang w:val="en-IN" w:eastAsia="en-IN"/>
      <w14:ligatures w14:val="none"/>
    </w:rPr>
  </w:style>
  <w:style w:type="table" w:styleId="TableGrid">
    <w:name w:val="Table Grid"/>
    <w:basedOn w:val="TableNormal"/>
    <w:uiPriority w:val="39"/>
    <w:rsid w:val="00DE3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1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63505"/>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A63505"/>
    <w:rPr>
      <w:b/>
      <w:bCs/>
    </w:rPr>
  </w:style>
  <w:style w:type="character" w:customStyle="1" w:styleId="CommentSubjectChar">
    <w:name w:val="Comment Subject Char"/>
    <w:basedOn w:val="CommentTextChar"/>
    <w:link w:val="CommentSubject"/>
    <w:uiPriority w:val="99"/>
    <w:semiHidden/>
    <w:rsid w:val="00A63505"/>
    <w:rPr>
      <w:b/>
      <w:bCs/>
      <w:sz w:val="20"/>
      <w:szCs w:val="20"/>
      <w:lang w:val="en-GB"/>
    </w:rPr>
  </w:style>
  <w:style w:type="paragraph" w:styleId="NormalWeb">
    <w:name w:val="Normal (Web)"/>
    <w:basedOn w:val="Normal"/>
    <w:uiPriority w:val="99"/>
    <w:semiHidden/>
    <w:unhideWhenUsed/>
    <w:rsid w:val="008F5FD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750FF5"/>
    <w:rPr>
      <w:rFonts w:ascii="Segoe UI" w:hAnsi="Segoe UI" w:cs="Segoe UI" w:hint="default"/>
      <w:sz w:val="18"/>
      <w:szCs w:val="18"/>
    </w:rPr>
  </w:style>
  <w:style w:type="character" w:styleId="UnresolvedMention">
    <w:name w:val="Unresolved Mention"/>
    <w:basedOn w:val="DefaultParagraphFont"/>
    <w:uiPriority w:val="99"/>
    <w:semiHidden/>
    <w:unhideWhenUsed/>
    <w:rsid w:val="00A92B84"/>
    <w:rPr>
      <w:color w:val="605E5C"/>
      <w:shd w:val="clear" w:color="auto" w:fill="E1DFDD"/>
    </w:rPr>
  </w:style>
  <w:style w:type="paragraph" w:styleId="Header">
    <w:name w:val="header"/>
    <w:basedOn w:val="Normal"/>
    <w:link w:val="HeaderChar"/>
    <w:uiPriority w:val="99"/>
    <w:unhideWhenUsed/>
    <w:rsid w:val="00903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8C3"/>
    <w:rPr>
      <w:lang w:val="en-GB"/>
    </w:rPr>
  </w:style>
  <w:style w:type="paragraph" w:styleId="Footer">
    <w:name w:val="footer"/>
    <w:basedOn w:val="Normal"/>
    <w:link w:val="FooterChar"/>
    <w:uiPriority w:val="99"/>
    <w:unhideWhenUsed/>
    <w:rsid w:val="00903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8C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6778">
      <w:bodyDiv w:val="1"/>
      <w:marLeft w:val="0"/>
      <w:marRight w:val="0"/>
      <w:marTop w:val="0"/>
      <w:marBottom w:val="0"/>
      <w:divBdr>
        <w:top w:val="none" w:sz="0" w:space="0" w:color="auto"/>
        <w:left w:val="none" w:sz="0" w:space="0" w:color="auto"/>
        <w:bottom w:val="none" w:sz="0" w:space="0" w:color="auto"/>
        <w:right w:val="none" w:sz="0" w:space="0" w:color="auto"/>
      </w:divBdr>
    </w:div>
    <w:div w:id="124322717">
      <w:bodyDiv w:val="1"/>
      <w:marLeft w:val="0"/>
      <w:marRight w:val="0"/>
      <w:marTop w:val="0"/>
      <w:marBottom w:val="0"/>
      <w:divBdr>
        <w:top w:val="none" w:sz="0" w:space="0" w:color="auto"/>
        <w:left w:val="none" w:sz="0" w:space="0" w:color="auto"/>
        <w:bottom w:val="none" w:sz="0" w:space="0" w:color="auto"/>
        <w:right w:val="none" w:sz="0" w:space="0" w:color="auto"/>
      </w:divBdr>
    </w:div>
    <w:div w:id="131334368">
      <w:bodyDiv w:val="1"/>
      <w:marLeft w:val="0"/>
      <w:marRight w:val="0"/>
      <w:marTop w:val="0"/>
      <w:marBottom w:val="0"/>
      <w:divBdr>
        <w:top w:val="none" w:sz="0" w:space="0" w:color="auto"/>
        <w:left w:val="none" w:sz="0" w:space="0" w:color="auto"/>
        <w:bottom w:val="none" w:sz="0" w:space="0" w:color="auto"/>
        <w:right w:val="none" w:sz="0" w:space="0" w:color="auto"/>
      </w:divBdr>
    </w:div>
    <w:div w:id="300816630">
      <w:bodyDiv w:val="1"/>
      <w:marLeft w:val="0"/>
      <w:marRight w:val="0"/>
      <w:marTop w:val="0"/>
      <w:marBottom w:val="0"/>
      <w:divBdr>
        <w:top w:val="none" w:sz="0" w:space="0" w:color="auto"/>
        <w:left w:val="none" w:sz="0" w:space="0" w:color="auto"/>
        <w:bottom w:val="none" w:sz="0" w:space="0" w:color="auto"/>
        <w:right w:val="none" w:sz="0" w:space="0" w:color="auto"/>
      </w:divBdr>
    </w:div>
    <w:div w:id="496650991">
      <w:bodyDiv w:val="1"/>
      <w:marLeft w:val="0"/>
      <w:marRight w:val="0"/>
      <w:marTop w:val="0"/>
      <w:marBottom w:val="0"/>
      <w:divBdr>
        <w:top w:val="none" w:sz="0" w:space="0" w:color="auto"/>
        <w:left w:val="none" w:sz="0" w:space="0" w:color="auto"/>
        <w:bottom w:val="none" w:sz="0" w:space="0" w:color="auto"/>
        <w:right w:val="none" w:sz="0" w:space="0" w:color="auto"/>
      </w:divBdr>
    </w:div>
    <w:div w:id="505872479">
      <w:bodyDiv w:val="1"/>
      <w:marLeft w:val="0"/>
      <w:marRight w:val="0"/>
      <w:marTop w:val="0"/>
      <w:marBottom w:val="0"/>
      <w:divBdr>
        <w:top w:val="none" w:sz="0" w:space="0" w:color="auto"/>
        <w:left w:val="none" w:sz="0" w:space="0" w:color="auto"/>
        <w:bottom w:val="none" w:sz="0" w:space="0" w:color="auto"/>
        <w:right w:val="none" w:sz="0" w:space="0" w:color="auto"/>
      </w:divBdr>
      <w:divsChild>
        <w:div w:id="198206777">
          <w:marLeft w:val="274"/>
          <w:marRight w:val="0"/>
          <w:marTop w:val="0"/>
          <w:marBottom w:val="0"/>
          <w:divBdr>
            <w:top w:val="none" w:sz="0" w:space="0" w:color="auto"/>
            <w:left w:val="none" w:sz="0" w:space="0" w:color="auto"/>
            <w:bottom w:val="none" w:sz="0" w:space="0" w:color="auto"/>
            <w:right w:val="none" w:sz="0" w:space="0" w:color="auto"/>
          </w:divBdr>
        </w:div>
        <w:div w:id="1229417777">
          <w:marLeft w:val="274"/>
          <w:marRight w:val="0"/>
          <w:marTop w:val="0"/>
          <w:marBottom w:val="0"/>
          <w:divBdr>
            <w:top w:val="none" w:sz="0" w:space="0" w:color="auto"/>
            <w:left w:val="none" w:sz="0" w:space="0" w:color="auto"/>
            <w:bottom w:val="none" w:sz="0" w:space="0" w:color="auto"/>
            <w:right w:val="none" w:sz="0" w:space="0" w:color="auto"/>
          </w:divBdr>
        </w:div>
        <w:div w:id="32310779">
          <w:marLeft w:val="274"/>
          <w:marRight w:val="0"/>
          <w:marTop w:val="0"/>
          <w:marBottom w:val="0"/>
          <w:divBdr>
            <w:top w:val="none" w:sz="0" w:space="0" w:color="auto"/>
            <w:left w:val="none" w:sz="0" w:space="0" w:color="auto"/>
            <w:bottom w:val="none" w:sz="0" w:space="0" w:color="auto"/>
            <w:right w:val="none" w:sz="0" w:space="0" w:color="auto"/>
          </w:divBdr>
        </w:div>
        <w:div w:id="47925228">
          <w:marLeft w:val="274"/>
          <w:marRight w:val="0"/>
          <w:marTop w:val="0"/>
          <w:marBottom w:val="0"/>
          <w:divBdr>
            <w:top w:val="none" w:sz="0" w:space="0" w:color="auto"/>
            <w:left w:val="none" w:sz="0" w:space="0" w:color="auto"/>
            <w:bottom w:val="none" w:sz="0" w:space="0" w:color="auto"/>
            <w:right w:val="none" w:sz="0" w:space="0" w:color="auto"/>
          </w:divBdr>
        </w:div>
        <w:div w:id="1014267487">
          <w:marLeft w:val="274"/>
          <w:marRight w:val="0"/>
          <w:marTop w:val="0"/>
          <w:marBottom w:val="0"/>
          <w:divBdr>
            <w:top w:val="none" w:sz="0" w:space="0" w:color="auto"/>
            <w:left w:val="none" w:sz="0" w:space="0" w:color="auto"/>
            <w:bottom w:val="none" w:sz="0" w:space="0" w:color="auto"/>
            <w:right w:val="none" w:sz="0" w:space="0" w:color="auto"/>
          </w:divBdr>
        </w:div>
        <w:div w:id="1385174333">
          <w:marLeft w:val="274"/>
          <w:marRight w:val="0"/>
          <w:marTop w:val="0"/>
          <w:marBottom w:val="0"/>
          <w:divBdr>
            <w:top w:val="none" w:sz="0" w:space="0" w:color="auto"/>
            <w:left w:val="none" w:sz="0" w:space="0" w:color="auto"/>
            <w:bottom w:val="none" w:sz="0" w:space="0" w:color="auto"/>
            <w:right w:val="none" w:sz="0" w:space="0" w:color="auto"/>
          </w:divBdr>
        </w:div>
        <w:div w:id="808284037">
          <w:marLeft w:val="274"/>
          <w:marRight w:val="0"/>
          <w:marTop w:val="0"/>
          <w:marBottom w:val="0"/>
          <w:divBdr>
            <w:top w:val="none" w:sz="0" w:space="0" w:color="auto"/>
            <w:left w:val="none" w:sz="0" w:space="0" w:color="auto"/>
            <w:bottom w:val="none" w:sz="0" w:space="0" w:color="auto"/>
            <w:right w:val="none" w:sz="0" w:space="0" w:color="auto"/>
          </w:divBdr>
        </w:div>
        <w:div w:id="1314138434">
          <w:marLeft w:val="274"/>
          <w:marRight w:val="0"/>
          <w:marTop w:val="0"/>
          <w:marBottom w:val="0"/>
          <w:divBdr>
            <w:top w:val="none" w:sz="0" w:space="0" w:color="auto"/>
            <w:left w:val="none" w:sz="0" w:space="0" w:color="auto"/>
            <w:bottom w:val="none" w:sz="0" w:space="0" w:color="auto"/>
            <w:right w:val="none" w:sz="0" w:space="0" w:color="auto"/>
          </w:divBdr>
        </w:div>
        <w:div w:id="543835634">
          <w:marLeft w:val="274"/>
          <w:marRight w:val="0"/>
          <w:marTop w:val="0"/>
          <w:marBottom w:val="0"/>
          <w:divBdr>
            <w:top w:val="none" w:sz="0" w:space="0" w:color="auto"/>
            <w:left w:val="none" w:sz="0" w:space="0" w:color="auto"/>
            <w:bottom w:val="none" w:sz="0" w:space="0" w:color="auto"/>
            <w:right w:val="none" w:sz="0" w:space="0" w:color="auto"/>
          </w:divBdr>
        </w:div>
        <w:div w:id="1357999627">
          <w:marLeft w:val="274"/>
          <w:marRight w:val="0"/>
          <w:marTop w:val="0"/>
          <w:marBottom w:val="0"/>
          <w:divBdr>
            <w:top w:val="none" w:sz="0" w:space="0" w:color="auto"/>
            <w:left w:val="none" w:sz="0" w:space="0" w:color="auto"/>
            <w:bottom w:val="none" w:sz="0" w:space="0" w:color="auto"/>
            <w:right w:val="none" w:sz="0" w:space="0" w:color="auto"/>
          </w:divBdr>
        </w:div>
        <w:div w:id="644774196">
          <w:marLeft w:val="274"/>
          <w:marRight w:val="0"/>
          <w:marTop w:val="0"/>
          <w:marBottom w:val="0"/>
          <w:divBdr>
            <w:top w:val="none" w:sz="0" w:space="0" w:color="auto"/>
            <w:left w:val="none" w:sz="0" w:space="0" w:color="auto"/>
            <w:bottom w:val="none" w:sz="0" w:space="0" w:color="auto"/>
            <w:right w:val="none" w:sz="0" w:space="0" w:color="auto"/>
          </w:divBdr>
        </w:div>
        <w:div w:id="669909645">
          <w:marLeft w:val="274"/>
          <w:marRight w:val="0"/>
          <w:marTop w:val="0"/>
          <w:marBottom w:val="0"/>
          <w:divBdr>
            <w:top w:val="none" w:sz="0" w:space="0" w:color="auto"/>
            <w:left w:val="none" w:sz="0" w:space="0" w:color="auto"/>
            <w:bottom w:val="none" w:sz="0" w:space="0" w:color="auto"/>
            <w:right w:val="none" w:sz="0" w:space="0" w:color="auto"/>
          </w:divBdr>
        </w:div>
        <w:div w:id="1058357904">
          <w:marLeft w:val="274"/>
          <w:marRight w:val="0"/>
          <w:marTop w:val="0"/>
          <w:marBottom w:val="0"/>
          <w:divBdr>
            <w:top w:val="none" w:sz="0" w:space="0" w:color="auto"/>
            <w:left w:val="none" w:sz="0" w:space="0" w:color="auto"/>
            <w:bottom w:val="none" w:sz="0" w:space="0" w:color="auto"/>
            <w:right w:val="none" w:sz="0" w:space="0" w:color="auto"/>
          </w:divBdr>
        </w:div>
        <w:div w:id="451873094">
          <w:marLeft w:val="274"/>
          <w:marRight w:val="0"/>
          <w:marTop w:val="0"/>
          <w:marBottom w:val="0"/>
          <w:divBdr>
            <w:top w:val="none" w:sz="0" w:space="0" w:color="auto"/>
            <w:left w:val="none" w:sz="0" w:space="0" w:color="auto"/>
            <w:bottom w:val="none" w:sz="0" w:space="0" w:color="auto"/>
            <w:right w:val="none" w:sz="0" w:space="0" w:color="auto"/>
          </w:divBdr>
        </w:div>
        <w:div w:id="274824850">
          <w:marLeft w:val="274"/>
          <w:marRight w:val="0"/>
          <w:marTop w:val="0"/>
          <w:marBottom w:val="0"/>
          <w:divBdr>
            <w:top w:val="none" w:sz="0" w:space="0" w:color="auto"/>
            <w:left w:val="none" w:sz="0" w:space="0" w:color="auto"/>
            <w:bottom w:val="none" w:sz="0" w:space="0" w:color="auto"/>
            <w:right w:val="none" w:sz="0" w:space="0" w:color="auto"/>
          </w:divBdr>
        </w:div>
      </w:divsChild>
    </w:div>
    <w:div w:id="705369371">
      <w:bodyDiv w:val="1"/>
      <w:marLeft w:val="0"/>
      <w:marRight w:val="0"/>
      <w:marTop w:val="0"/>
      <w:marBottom w:val="0"/>
      <w:divBdr>
        <w:top w:val="none" w:sz="0" w:space="0" w:color="auto"/>
        <w:left w:val="none" w:sz="0" w:space="0" w:color="auto"/>
        <w:bottom w:val="none" w:sz="0" w:space="0" w:color="auto"/>
        <w:right w:val="none" w:sz="0" w:space="0" w:color="auto"/>
      </w:divBdr>
    </w:div>
    <w:div w:id="802622785">
      <w:bodyDiv w:val="1"/>
      <w:marLeft w:val="0"/>
      <w:marRight w:val="0"/>
      <w:marTop w:val="0"/>
      <w:marBottom w:val="0"/>
      <w:divBdr>
        <w:top w:val="none" w:sz="0" w:space="0" w:color="auto"/>
        <w:left w:val="none" w:sz="0" w:space="0" w:color="auto"/>
        <w:bottom w:val="none" w:sz="0" w:space="0" w:color="auto"/>
        <w:right w:val="none" w:sz="0" w:space="0" w:color="auto"/>
      </w:divBdr>
    </w:div>
    <w:div w:id="834154438">
      <w:bodyDiv w:val="1"/>
      <w:marLeft w:val="0"/>
      <w:marRight w:val="0"/>
      <w:marTop w:val="0"/>
      <w:marBottom w:val="0"/>
      <w:divBdr>
        <w:top w:val="none" w:sz="0" w:space="0" w:color="auto"/>
        <w:left w:val="none" w:sz="0" w:space="0" w:color="auto"/>
        <w:bottom w:val="none" w:sz="0" w:space="0" w:color="auto"/>
        <w:right w:val="none" w:sz="0" w:space="0" w:color="auto"/>
      </w:divBdr>
    </w:div>
    <w:div w:id="857236601">
      <w:bodyDiv w:val="1"/>
      <w:marLeft w:val="0"/>
      <w:marRight w:val="0"/>
      <w:marTop w:val="0"/>
      <w:marBottom w:val="0"/>
      <w:divBdr>
        <w:top w:val="none" w:sz="0" w:space="0" w:color="auto"/>
        <w:left w:val="none" w:sz="0" w:space="0" w:color="auto"/>
        <w:bottom w:val="none" w:sz="0" w:space="0" w:color="auto"/>
        <w:right w:val="none" w:sz="0" w:space="0" w:color="auto"/>
      </w:divBdr>
    </w:div>
    <w:div w:id="884756483">
      <w:bodyDiv w:val="1"/>
      <w:marLeft w:val="0"/>
      <w:marRight w:val="0"/>
      <w:marTop w:val="0"/>
      <w:marBottom w:val="0"/>
      <w:divBdr>
        <w:top w:val="none" w:sz="0" w:space="0" w:color="auto"/>
        <w:left w:val="none" w:sz="0" w:space="0" w:color="auto"/>
        <w:bottom w:val="none" w:sz="0" w:space="0" w:color="auto"/>
        <w:right w:val="none" w:sz="0" w:space="0" w:color="auto"/>
      </w:divBdr>
    </w:div>
    <w:div w:id="1194852478">
      <w:bodyDiv w:val="1"/>
      <w:marLeft w:val="0"/>
      <w:marRight w:val="0"/>
      <w:marTop w:val="0"/>
      <w:marBottom w:val="0"/>
      <w:divBdr>
        <w:top w:val="none" w:sz="0" w:space="0" w:color="auto"/>
        <w:left w:val="none" w:sz="0" w:space="0" w:color="auto"/>
        <w:bottom w:val="none" w:sz="0" w:space="0" w:color="auto"/>
        <w:right w:val="none" w:sz="0" w:space="0" w:color="auto"/>
      </w:divBdr>
    </w:div>
    <w:div w:id="1305740317">
      <w:bodyDiv w:val="1"/>
      <w:marLeft w:val="0"/>
      <w:marRight w:val="0"/>
      <w:marTop w:val="0"/>
      <w:marBottom w:val="0"/>
      <w:divBdr>
        <w:top w:val="none" w:sz="0" w:space="0" w:color="auto"/>
        <w:left w:val="none" w:sz="0" w:space="0" w:color="auto"/>
        <w:bottom w:val="none" w:sz="0" w:space="0" w:color="auto"/>
        <w:right w:val="none" w:sz="0" w:space="0" w:color="auto"/>
      </w:divBdr>
    </w:div>
    <w:div w:id="1521896871">
      <w:bodyDiv w:val="1"/>
      <w:marLeft w:val="0"/>
      <w:marRight w:val="0"/>
      <w:marTop w:val="0"/>
      <w:marBottom w:val="0"/>
      <w:divBdr>
        <w:top w:val="none" w:sz="0" w:space="0" w:color="auto"/>
        <w:left w:val="none" w:sz="0" w:space="0" w:color="auto"/>
        <w:bottom w:val="none" w:sz="0" w:space="0" w:color="auto"/>
        <w:right w:val="none" w:sz="0" w:space="0" w:color="auto"/>
      </w:divBdr>
    </w:div>
    <w:div w:id="1655135276">
      <w:bodyDiv w:val="1"/>
      <w:marLeft w:val="0"/>
      <w:marRight w:val="0"/>
      <w:marTop w:val="0"/>
      <w:marBottom w:val="0"/>
      <w:divBdr>
        <w:top w:val="none" w:sz="0" w:space="0" w:color="auto"/>
        <w:left w:val="none" w:sz="0" w:space="0" w:color="auto"/>
        <w:bottom w:val="none" w:sz="0" w:space="0" w:color="auto"/>
        <w:right w:val="none" w:sz="0" w:space="0" w:color="auto"/>
      </w:divBdr>
    </w:div>
    <w:div w:id="2099865061">
      <w:bodyDiv w:val="1"/>
      <w:marLeft w:val="0"/>
      <w:marRight w:val="0"/>
      <w:marTop w:val="0"/>
      <w:marBottom w:val="0"/>
      <w:divBdr>
        <w:top w:val="none" w:sz="0" w:space="0" w:color="auto"/>
        <w:left w:val="none" w:sz="0" w:space="0" w:color="auto"/>
        <w:bottom w:val="none" w:sz="0" w:space="0" w:color="auto"/>
        <w:right w:val="none" w:sz="0" w:space="0" w:color="auto"/>
      </w:divBdr>
      <w:divsChild>
        <w:div w:id="267855844">
          <w:marLeft w:val="274"/>
          <w:marRight w:val="0"/>
          <w:marTop w:val="0"/>
          <w:marBottom w:val="0"/>
          <w:divBdr>
            <w:top w:val="none" w:sz="0" w:space="0" w:color="auto"/>
            <w:left w:val="none" w:sz="0" w:space="0" w:color="auto"/>
            <w:bottom w:val="none" w:sz="0" w:space="0" w:color="auto"/>
            <w:right w:val="none" w:sz="0" w:space="0" w:color="auto"/>
          </w:divBdr>
        </w:div>
        <w:div w:id="689336938">
          <w:marLeft w:val="274"/>
          <w:marRight w:val="0"/>
          <w:marTop w:val="0"/>
          <w:marBottom w:val="0"/>
          <w:divBdr>
            <w:top w:val="none" w:sz="0" w:space="0" w:color="auto"/>
            <w:left w:val="none" w:sz="0" w:space="0" w:color="auto"/>
            <w:bottom w:val="none" w:sz="0" w:space="0" w:color="auto"/>
            <w:right w:val="none" w:sz="0" w:space="0" w:color="auto"/>
          </w:divBdr>
        </w:div>
        <w:div w:id="181627455">
          <w:marLeft w:val="274"/>
          <w:marRight w:val="0"/>
          <w:marTop w:val="0"/>
          <w:marBottom w:val="0"/>
          <w:divBdr>
            <w:top w:val="none" w:sz="0" w:space="0" w:color="auto"/>
            <w:left w:val="none" w:sz="0" w:space="0" w:color="auto"/>
            <w:bottom w:val="none" w:sz="0" w:space="0" w:color="auto"/>
            <w:right w:val="none" w:sz="0" w:space="0" w:color="auto"/>
          </w:divBdr>
        </w:div>
        <w:div w:id="190728705">
          <w:marLeft w:val="274"/>
          <w:marRight w:val="0"/>
          <w:marTop w:val="0"/>
          <w:marBottom w:val="0"/>
          <w:divBdr>
            <w:top w:val="none" w:sz="0" w:space="0" w:color="auto"/>
            <w:left w:val="none" w:sz="0" w:space="0" w:color="auto"/>
            <w:bottom w:val="none" w:sz="0" w:space="0" w:color="auto"/>
            <w:right w:val="none" w:sz="0" w:space="0" w:color="auto"/>
          </w:divBdr>
        </w:div>
        <w:div w:id="1871527548">
          <w:marLeft w:val="274"/>
          <w:marRight w:val="0"/>
          <w:marTop w:val="0"/>
          <w:marBottom w:val="0"/>
          <w:divBdr>
            <w:top w:val="none" w:sz="0" w:space="0" w:color="auto"/>
            <w:left w:val="none" w:sz="0" w:space="0" w:color="auto"/>
            <w:bottom w:val="none" w:sz="0" w:space="0" w:color="auto"/>
            <w:right w:val="none" w:sz="0" w:space="0" w:color="auto"/>
          </w:divBdr>
        </w:div>
        <w:div w:id="1709796946">
          <w:marLeft w:val="274"/>
          <w:marRight w:val="0"/>
          <w:marTop w:val="0"/>
          <w:marBottom w:val="0"/>
          <w:divBdr>
            <w:top w:val="none" w:sz="0" w:space="0" w:color="auto"/>
            <w:left w:val="none" w:sz="0" w:space="0" w:color="auto"/>
            <w:bottom w:val="none" w:sz="0" w:space="0" w:color="auto"/>
            <w:right w:val="none" w:sz="0" w:space="0" w:color="auto"/>
          </w:divBdr>
        </w:div>
        <w:div w:id="1986664730">
          <w:marLeft w:val="274"/>
          <w:marRight w:val="0"/>
          <w:marTop w:val="0"/>
          <w:marBottom w:val="0"/>
          <w:divBdr>
            <w:top w:val="none" w:sz="0" w:space="0" w:color="auto"/>
            <w:left w:val="none" w:sz="0" w:space="0" w:color="auto"/>
            <w:bottom w:val="none" w:sz="0" w:space="0" w:color="auto"/>
            <w:right w:val="none" w:sz="0" w:space="0" w:color="auto"/>
          </w:divBdr>
        </w:div>
        <w:div w:id="1569152916">
          <w:marLeft w:val="274"/>
          <w:marRight w:val="0"/>
          <w:marTop w:val="0"/>
          <w:marBottom w:val="0"/>
          <w:divBdr>
            <w:top w:val="none" w:sz="0" w:space="0" w:color="auto"/>
            <w:left w:val="none" w:sz="0" w:space="0" w:color="auto"/>
            <w:bottom w:val="none" w:sz="0" w:space="0" w:color="auto"/>
            <w:right w:val="none" w:sz="0" w:space="0" w:color="auto"/>
          </w:divBdr>
        </w:div>
        <w:div w:id="1146581948">
          <w:marLeft w:val="274"/>
          <w:marRight w:val="0"/>
          <w:marTop w:val="0"/>
          <w:marBottom w:val="0"/>
          <w:divBdr>
            <w:top w:val="none" w:sz="0" w:space="0" w:color="auto"/>
            <w:left w:val="none" w:sz="0" w:space="0" w:color="auto"/>
            <w:bottom w:val="none" w:sz="0" w:space="0" w:color="auto"/>
            <w:right w:val="none" w:sz="0" w:space="0" w:color="auto"/>
          </w:divBdr>
        </w:div>
        <w:div w:id="1730767768">
          <w:marLeft w:val="274"/>
          <w:marRight w:val="0"/>
          <w:marTop w:val="0"/>
          <w:marBottom w:val="0"/>
          <w:divBdr>
            <w:top w:val="none" w:sz="0" w:space="0" w:color="auto"/>
            <w:left w:val="none" w:sz="0" w:space="0" w:color="auto"/>
            <w:bottom w:val="none" w:sz="0" w:space="0" w:color="auto"/>
            <w:right w:val="none" w:sz="0" w:space="0" w:color="auto"/>
          </w:divBdr>
        </w:div>
        <w:div w:id="16547558">
          <w:marLeft w:val="274"/>
          <w:marRight w:val="0"/>
          <w:marTop w:val="0"/>
          <w:marBottom w:val="0"/>
          <w:divBdr>
            <w:top w:val="none" w:sz="0" w:space="0" w:color="auto"/>
            <w:left w:val="none" w:sz="0" w:space="0" w:color="auto"/>
            <w:bottom w:val="none" w:sz="0" w:space="0" w:color="auto"/>
            <w:right w:val="none" w:sz="0" w:space="0" w:color="auto"/>
          </w:divBdr>
        </w:div>
        <w:div w:id="38286841">
          <w:marLeft w:val="274"/>
          <w:marRight w:val="0"/>
          <w:marTop w:val="0"/>
          <w:marBottom w:val="0"/>
          <w:divBdr>
            <w:top w:val="none" w:sz="0" w:space="0" w:color="auto"/>
            <w:left w:val="none" w:sz="0" w:space="0" w:color="auto"/>
            <w:bottom w:val="none" w:sz="0" w:space="0" w:color="auto"/>
            <w:right w:val="none" w:sz="0" w:space="0" w:color="auto"/>
          </w:divBdr>
        </w:div>
        <w:div w:id="2060324712">
          <w:marLeft w:val="274"/>
          <w:marRight w:val="0"/>
          <w:marTop w:val="0"/>
          <w:marBottom w:val="0"/>
          <w:divBdr>
            <w:top w:val="none" w:sz="0" w:space="0" w:color="auto"/>
            <w:left w:val="none" w:sz="0" w:space="0" w:color="auto"/>
            <w:bottom w:val="none" w:sz="0" w:space="0" w:color="auto"/>
            <w:right w:val="none" w:sz="0" w:space="0" w:color="auto"/>
          </w:divBdr>
        </w:div>
        <w:div w:id="2093965117">
          <w:marLeft w:val="274"/>
          <w:marRight w:val="0"/>
          <w:marTop w:val="0"/>
          <w:marBottom w:val="0"/>
          <w:divBdr>
            <w:top w:val="none" w:sz="0" w:space="0" w:color="auto"/>
            <w:left w:val="none" w:sz="0" w:space="0" w:color="auto"/>
            <w:bottom w:val="none" w:sz="0" w:space="0" w:color="auto"/>
            <w:right w:val="none" w:sz="0" w:space="0" w:color="auto"/>
          </w:divBdr>
        </w:div>
        <w:div w:id="1605697580">
          <w:marLeft w:val="274"/>
          <w:marRight w:val="0"/>
          <w:marTop w:val="0"/>
          <w:marBottom w:val="0"/>
          <w:divBdr>
            <w:top w:val="none" w:sz="0" w:space="0" w:color="auto"/>
            <w:left w:val="none" w:sz="0" w:space="0" w:color="auto"/>
            <w:bottom w:val="none" w:sz="0" w:space="0" w:color="auto"/>
            <w:right w:val="none" w:sz="0" w:space="0" w:color="auto"/>
          </w:divBdr>
        </w:div>
      </w:divsChild>
    </w:div>
    <w:div w:id="21299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KWattan1@ITS.JNJ.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21</Pages>
  <Words>8016</Words>
  <Characters>47055</Characters>
  <Application>Microsoft Office Word</Application>
  <DocSecurity>0</DocSecurity>
  <Lines>1271</Lines>
  <Paragraphs>902</Paragraphs>
  <ScaleCrop>false</ScaleCrop>
  <Company/>
  <LinksUpToDate>false</LinksUpToDate>
  <CharactersWithSpaces>54169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Deshpande</dc:creator>
  <cp:keywords/>
  <dc:description/>
  <cp:lastModifiedBy>Neha Deshpande</cp:lastModifiedBy>
  <cp:revision>21</cp:revision>
  <dcterms:created xsi:type="dcterms:W3CDTF">2024-12-06T06:46:00Z</dcterms:created>
  <dcterms:modified xsi:type="dcterms:W3CDTF">2025-05-12T11:23:00Z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83a05ae0-2086-45c5-9f29-27213324655a</vt:lpwstr>
  </property>
</Properties>
</file>