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0F04" w14:textId="1C9AA361" w:rsidR="0047320A" w:rsidRPr="0047320A" w:rsidRDefault="0047320A" w:rsidP="0047320A">
      <w:pPr>
        <w:pStyle w:val="NormalWeb"/>
        <w:spacing w:line="360" w:lineRule="auto"/>
        <w:rPr>
          <w:rFonts w:asciiTheme="minorHAnsi" w:hAnsiTheme="minorHAnsi" w:cstheme="minorHAnsi"/>
          <w:iCs/>
          <w:color w:val="000000"/>
        </w:rPr>
      </w:pPr>
      <w:r>
        <w:rPr>
          <w:rFonts w:asciiTheme="minorHAnsi" w:hAnsiTheme="minorHAnsi" w:cstheme="minorHAnsi"/>
          <w:b/>
          <w:bCs/>
          <w:iCs/>
          <w:color w:val="000000"/>
        </w:rPr>
        <w:t xml:space="preserve">Journal: </w:t>
      </w:r>
      <w:r>
        <w:rPr>
          <w:rFonts w:asciiTheme="minorHAnsi" w:hAnsiTheme="minorHAnsi" w:cstheme="minorHAnsi"/>
          <w:iCs/>
          <w:color w:val="000000"/>
        </w:rPr>
        <w:t xml:space="preserve">PharmacoEconomics Open </w:t>
      </w:r>
    </w:p>
    <w:p w14:paraId="636E26A6" w14:textId="6EDDF057" w:rsidR="0047320A" w:rsidRDefault="0047320A" w:rsidP="0047320A">
      <w:pPr>
        <w:pStyle w:val="NormalWeb"/>
        <w:spacing w:line="360" w:lineRule="auto"/>
        <w:rPr>
          <w:rFonts w:asciiTheme="minorHAnsi" w:hAnsiTheme="minorHAnsi" w:cstheme="minorHAnsi"/>
          <w:iCs/>
          <w:color w:val="000000"/>
        </w:rPr>
      </w:pPr>
      <w:r w:rsidRPr="00822A05">
        <w:rPr>
          <w:rFonts w:asciiTheme="minorHAnsi" w:hAnsiTheme="minorHAnsi" w:cstheme="minorHAnsi"/>
          <w:b/>
          <w:bCs/>
          <w:iCs/>
          <w:color w:val="000000"/>
        </w:rPr>
        <w:t xml:space="preserve">Title: </w:t>
      </w:r>
      <w:r w:rsidRPr="00822A05">
        <w:rPr>
          <w:rFonts w:asciiTheme="minorHAnsi" w:hAnsiTheme="minorHAnsi" w:cstheme="minorHAnsi"/>
          <w:iCs/>
          <w:color w:val="000000"/>
        </w:rPr>
        <w:t xml:space="preserve">A budget impact model of treatment of primary immune deficiency with </w:t>
      </w:r>
      <w:r w:rsidRPr="00AD73DE">
        <w:rPr>
          <w:rFonts w:asciiTheme="minorHAnsi" w:hAnsiTheme="minorHAnsi" w:cstheme="minorHAnsi"/>
          <w:iCs/>
          <w:color w:val="000000"/>
        </w:rPr>
        <w:t xml:space="preserve">immune globulin subcutaneous (human), 20% </w:t>
      </w:r>
      <w:r>
        <w:rPr>
          <w:rFonts w:asciiTheme="minorHAnsi" w:hAnsiTheme="minorHAnsi" w:cstheme="minorHAnsi"/>
          <w:iCs/>
          <w:color w:val="000000"/>
        </w:rPr>
        <w:t>(</w:t>
      </w:r>
      <w:r w:rsidRPr="00822A05">
        <w:rPr>
          <w:rFonts w:asciiTheme="minorHAnsi" w:hAnsiTheme="minorHAnsi" w:cstheme="minorHAnsi"/>
          <w:iCs/>
          <w:color w:val="000000"/>
        </w:rPr>
        <w:t>IgPro20</w:t>
      </w:r>
      <w:r>
        <w:rPr>
          <w:rFonts w:asciiTheme="minorHAnsi" w:hAnsiTheme="minorHAnsi" w:cstheme="minorHAnsi"/>
          <w:iCs/>
          <w:color w:val="000000"/>
        </w:rPr>
        <w:t>)</w:t>
      </w:r>
      <w:r w:rsidRPr="00822A05">
        <w:rPr>
          <w:rFonts w:asciiTheme="minorHAnsi" w:hAnsiTheme="minorHAnsi" w:cstheme="minorHAnsi"/>
          <w:iCs/>
          <w:color w:val="000000"/>
        </w:rPr>
        <w:t xml:space="preserve"> (Hizentra) </w:t>
      </w:r>
    </w:p>
    <w:p w14:paraId="4F48C0F9" w14:textId="77777777" w:rsidR="0047320A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Cs/>
          <w:color w:val="000000"/>
        </w:rPr>
      </w:pPr>
      <w:r w:rsidRPr="00822A05">
        <w:rPr>
          <w:rFonts w:asciiTheme="minorHAnsi" w:hAnsiTheme="minorHAnsi" w:cstheme="minorHAnsi"/>
          <w:b/>
          <w:bCs/>
          <w:iCs/>
          <w:color w:val="000000"/>
        </w:rPr>
        <w:t>Authors:</w:t>
      </w:r>
      <w:r>
        <w:rPr>
          <w:rFonts w:asciiTheme="minorHAnsi" w:hAnsiTheme="minorHAnsi" w:cstheme="minorHAnsi"/>
          <w:b/>
          <w:bCs/>
          <w:iCs/>
          <w:color w:val="000000"/>
        </w:rPr>
        <w:t xml:space="preserve"> </w:t>
      </w:r>
    </w:p>
    <w:p w14:paraId="351FFF6D" w14:textId="44CC7B88" w:rsidR="0047320A" w:rsidRPr="00822A05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Cs/>
          <w:color w:val="000000"/>
        </w:rPr>
      </w:pPr>
      <w:r w:rsidRPr="00822A05">
        <w:rPr>
          <w:rFonts w:asciiTheme="minorHAnsi" w:hAnsiTheme="minorHAnsi" w:cstheme="minorHAnsi"/>
          <w:iCs/>
          <w:color w:val="000000"/>
        </w:rPr>
        <w:t>Rajiv Mallick, PhD</w:t>
      </w:r>
      <w:r>
        <w:rPr>
          <w:rFonts w:asciiTheme="minorHAnsi" w:hAnsiTheme="minorHAnsi" w:cstheme="minorHAnsi"/>
          <w:iCs/>
          <w:color w:val="000000"/>
        </w:rPr>
        <w:t>;</w:t>
      </w:r>
      <w:r w:rsidRPr="00822A05">
        <w:rPr>
          <w:rFonts w:asciiTheme="minorHAnsi" w:hAnsiTheme="minorHAnsi" w:cstheme="minorHAnsi"/>
          <w:iCs/>
          <w:color w:val="000000"/>
        </w:rPr>
        <w:t xml:space="preserve"> CSL Behring</w:t>
      </w:r>
      <w:r>
        <w:rPr>
          <w:rFonts w:asciiTheme="minorHAnsi" w:hAnsiTheme="minorHAnsi" w:cstheme="minorHAnsi"/>
          <w:iCs/>
          <w:color w:val="000000"/>
        </w:rPr>
        <w:t xml:space="preserve">, </w:t>
      </w:r>
      <w:r w:rsidRPr="00822A05">
        <w:rPr>
          <w:rFonts w:asciiTheme="minorHAnsi" w:hAnsiTheme="minorHAnsi" w:cstheme="minorHAnsi"/>
          <w:iCs/>
          <w:color w:val="000000"/>
        </w:rPr>
        <w:t>1020 First Avenue, King of Prussia, PA 19406</w:t>
      </w:r>
      <w:r>
        <w:rPr>
          <w:rFonts w:asciiTheme="minorHAnsi" w:hAnsiTheme="minorHAnsi" w:cstheme="minorHAnsi"/>
          <w:iCs/>
          <w:color w:val="000000"/>
        </w:rPr>
        <w:t xml:space="preserve"> </w:t>
      </w:r>
    </w:p>
    <w:p w14:paraId="2796D2D0" w14:textId="278DCA4F" w:rsidR="0047320A" w:rsidRPr="00822A05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Cs/>
          <w:color w:val="000000"/>
        </w:rPr>
      </w:pPr>
      <w:r w:rsidRPr="00822A05">
        <w:rPr>
          <w:rFonts w:asciiTheme="minorHAnsi" w:hAnsiTheme="minorHAnsi" w:cstheme="minorHAnsi"/>
          <w:iCs/>
          <w:color w:val="000000"/>
        </w:rPr>
        <w:t>Rashad Carlton, PharmD, MSPH</w:t>
      </w:r>
      <w:r>
        <w:rPr>
          <w:rFonts w:asciiTheme="minorHAnsi" w:hAnsiTheme="minorHAnsi" w:cstheme="minorHAnsi"/>
          <w:iCs/>
          <w:color w:val="000000"/>
        </w:rPr>
        <w:t>;</w:t>
      </w:r>
      <w:r w:rsidRPr="00822A05">
        <w:rPr>
          <w:rFonts w:asciiTheme="minorHAnsi" w:hAnsiTheme="minorHAnsi" w:cstheme="minorHAnsi"/>
          <w:iCs/>
          <w:color w:val="000000"/>
        </w:rPr>
        <w:t xml:space="preserve"> </w:t>
      </w:r>
      <w:r>
        <w:rPr>
          <w:rFonts w:asciiTheme="minorHAnsi" w:hAnsiTheme="minorHAnsi" w:cstheme="minorHAnsi"/>
          <w:iCs/>
          <w:color w:val="000000"/>
        </w:rPr>
        <w:t>Cencora</w:t>
      </w:r>
      <w:r w:rsidRPr="00822A05">
        <w:rPr>
          <w:rFonts w:asciiTheme="minorHAnsi" w:hAnsiTheme="minorHAnsi" w:cstheme="minorHAnsi"/>
          <w:iCs/>
          <w:color w:val="000000"/>
        </w:rPr>
        <w:t xml:space="preserve">, </w:t>
      </w:r>
      <w:r>
        <w:rPr>
          <w:rFonts w:asciiTheme="minorHAnsi" w:hAnsiTheme="minorHAnsi" w:cstheme="minorHAnsi"/>
          <w:iCs/>
          <w:color w:val="000000"/>
        </w:rPr>
        <w:t>1 West First Avenue</w:t>
      </w:r>
      <w:r w:rsidRPr="00822A05">
        <w:rPr>
          <w:rFonts w:asciiTheme="minorHAnsi" w:hAnsiTheme="minorHAnsi" w:cstheme="minorHAnsi"/>
          <w:iCs/>
          <w:color w:val="000000"/>
        </w:rPr>
        <w:t xml:space="preserve">, </w:t>
      </w:r>
      <w:r w:rsidRPr="00DB0AE5">
        <w:rPr>
          <w:rFonts w:asciiTheme="minorHAnsi" w:hAnsiTheme="minorHAnsi" w:cstheme="minorHAnsi"/>
          <w:iCs/>
          <w:color w:val="000000"/>
        </w:rPr>
        <w:t>Conshohocken</w:t>
      </w:r>
      <w:r w:rsidRPr="00822A05">
        <w:rPr>
          <w:rFonts w:asciiTheme="minorHAnsi" w:hAnsiTheme="minorHAnsi" w:cstheme="minorHAnsi"/>
          <w:iCs/>
          <w:color w:val="000000"/>
        </w:rPr>
        <w:t xml:space="preserve">, </w:t>
      </w:r>
      <w:r w:rsidRPr="000F256F">
        <w:rPr>
          <w:rFonts w:asciiTheme="minorHAnsi" w:hAnsiTheme="minorHAnsi" w:cstheme="minorHAnsi"/>
          <w:iCs/>
          <w:color w:val="000000"/>
        </w:rPr>
        <w:t>PA 19428</w:t>
      </w:r>
    </w:p>
    <w:p w14:paraId="602243B6" w14:textId="77777777" w:rsidR="0047320A" w:rsidRPr="00822A05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Cs/>
          <w:color w:val="000000"/>
        </w:rPr>
      </w:pPr>
    </w:p>
    <w:p w14:paraId="1D8C8844" w14:textId="77777777" w:rsidR="0047320A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Cs/>
          <w:color w:val="000000"/>
        </w:rPr>
      </w:pPr>
      <w:r w:rsidRPr="00822A05">
        <w:rPr>
          <w:rFonts w:asciiTheme="minorHAnsi" w:hAnsiTheme="minorHAnsi" w:cstheme="minorHAnsi"/>
          <w:b/>
          <w:bCs/>
          <w:iCs/>
          <w:color w:val="000000"/>
        </w:rPr>
        <w:t xml:space="preserve">Corresponding </w:t>
      </w:r>
      <w:r>
        <w:rPr>
          <w:rFonts w:asciiTheme="minorHAnsi" w:hAnsiTheme="minorHAnsi" w:cstheme="minorHAnsi"/>
          <w:b/>
          <w:bCs/>
          <w:iCs/>
          <w:color w:val="000000"/>
        </w:rPr>
        <w:t>a</w:t>
      </w:r>
      <w:r w:rsidRPr="00822A05">
        <w:rPr>
          <w:rFonts w:asciiTheme="minorHAnsi" w:hAnsiTheme="minorHAnsi" w:cstheme="minorHAnsi"/>
          <w:b/>
          <w:bCs/>
          <w:iCs/>
          <w:color w:val="000000"/>
        </w:rPr>
        <w:t xml:space="preserve">uthor: </w:t>
      </w:r>
    </w:p>
    <w:p w14:paraId="335468CD" w14:textId="77777777" w:rsidR="0047320A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Cs/>
          <w:color w:val="000000"/>
        </w:rPr>
      </w:pPr>
      <w:r w:rsidRPr="00822A05">
        <w:rPr>
          <w:rFonts w:asciiTheme="minorHAnsi" w:hAnsiTheme="minorHAnsi" w:cstheme="minorHAnsi"/>
          <w:iCs/>
          <w:color w:val="000000"/>
        </w:rPr>
        <w:t>Rashad Carlton, PharmD, MSPH</w:t>
      </w:r>
    </w:p>
    <w:p w14:paraId="484560FB" w14:textId="77777777" w:rsidR="0047320A" w:rsidRDefault="0047320A" w:rsidP="0047320A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iCs/>
          <w:color w:val="000000"/>
        </w:rPr>
      </w:pPr>
      <w:r w:rsidRPr="000F256F">
        <w:rPr>
          <w:rFonts w:asciiTheme="minorHAnsi" w:hAnsiTheme="minorHAnsi" w:cstheme="minorHAnsi"/>
          <w:iCs/>
          <w:color w:val="000000"/>
        </w:rPr>
        <w:t>Cencora, 1 West First Avenue, Conshohocken, PA 19428</w:t>
      </w:r>
    </w:p>
    <w:p w14:paraId="075B5341" w14:textId="0018A594" w:rsidR="00BF68A7" w:rsidRDefault="0047320A" w:rsidP="00BF68A7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Cs/>
          <w:color w:val="000000"/>
        </w:rPr>
      </w:pPr>
      <w:r>
        <w:rPr>
          <w:rFonts w:asciiTheme="minorHAnsi" w:hAnsiTheme="minorHAnsi" w:cstheme="minorHAnsi"/>
          <w:iCs/>
          <w:color w:val="000000"/>
        </w:rPr>
        <w:t>Rashad.carlton@cencora.com</w:t>
      </w:r>
    </w:p>
    <w:p w14:paraId="02FC5597" w14:textId="77777777" w:rsidR="00BF68A7" w:rsidRPr="00BF68A7" w:rsidRDefault="00BF68A7" w:rsidP="00BF68A7">
      <w:pPr>
        <w:pStyle w:val="NormalWeb"/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iCs/>
          <w:color w:val="000000"/>
        </w:rPr>
      </w:pPr>
    </w:p>
    <w:p w14:paraId="5595953E" w14:textId="77777777" w:rsidR="00BF68A7" w:rsidRDefault="00BF68A7" w:rsidP="00BF68A7">
      <w:pPr>
        <w:pStyle w:val="NormalWeb"/>
        <w:spacing w:before="24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</w:rPr>
      </w:pPr>
      <w:r w:rsidRPr="00822A05">
        <w:rPr>
          <w:rFonts w:asciiTheme="minorHAnsi" w:hAnsiTheme="minorHAnsi" w:cstheme="minorHAnsi"/>
          <w:b/>
          <w:bCs/>
          <w:color w:val="000000"/>
        </w:rPr>
        <w:t>Funding:</w:t>
      </w:r>
      <w:r>
        <w:rPr>
          <w:rFonts w:asciiTheme="minorHAnsi" w:hAnsiTheme="minorHAnsi" w:cstheme="minorHAnsi"/>
          <w:color w:val="000000"/>
        </w:rPr>
        <w:t xml:space="preserve"> </w:t>
      </w:r>
      <w:r w:rsidRPr="00822A05">
        <w:rPr>
          <w:rFonts w:asciiTheme="minorHAnsi" w:hAnsiTheme="minorHAnsi" w:cstheme="minorHAnsi"/>
          <w:color w:val="000000"/>
        </w:rPr>
        <w:t xml:space="preserve">This study was funded by CSL Behring. </w:t>
      </w:r>
    </w:p>
    <w:p w14:paraId="668B40F1" w14:textId="77777777" w:rsidR="00BF68A7" w:rsidRDefault="00BF68A7" w:rsidP="00BF68A7">
      <w:pPr>
        <w:pStyle w:val="NormalWeb"/>
        <w:spacing w:before="240" w:beforeAutospacing="0" w:after="240" w:afterAutospacing="0" w:line="48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Conflicts of</w:t>
      </w:r>
      <w:r w:rsidRPr="00822A05">
        <w:rPr>
          <w:rFonts w:asciiTheme="minorHAnsi" w:hAnsiTheme="minorHAnsi" w:cstheme="minorHAnsi"/>
          <w:b/>
          <w:bCs/>
          <w:color w:val="000000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</w:rPr>
        <w:t>i</w:t>
      </w:r>
      <w:r w:rsidRPr="00822A05">
        <w:rPr>
          <w:rFonts w:asciiTheme="minorHAnsi" w:hAnsiTheme="minorHAnsi" w:cstheme="minorHAnsi"/>
          <w:b/>
          <w:bCs/>
          <w:color w:val="000000"/>
        </w:rPr>
        <w:t>nterest</w:t>
      </w:r>
      <w:r>
        <w:rPr>
          <w:rFonts w:asciiTheme="minorHAnsi" w:hAnsiTheme="minorHAnsi" w:cstheme="minorHAnsi"/>
          <w:b/>
          <w:bCs/>
          <w:color w:val="000000"/>
        </w:rPr>
        <w:t>s</w:t>
      </w:r>
      <w:r w:rsidRPr="00822A05">
        <w:rPr>
          <w:rFonts w:asciiTheme="minorHAnsi" w:hAnsiTheme="minorHAnsi" w:cstheme="minorHAnsi"/>
          <w:b/>
          <w:bCs/>
          <w:color w:val="000000"/>
        </w:rPr>
        <w:t>:</w:t>
      </w:r>
      <w:r w:rsidRPr="00822A05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Dr. Carlton reports employment with Cencora, which received funding from CSL Behring for this analysis. Dr. Mallick reports employment with CSL Behring at the time of the study.</w:t>
      </w:r>
    </w:p>
    <w:p w14:paraId="102055F5" w14:textId="66D4A8C4" w:rsidR="0047320A" w:rsidRDefault="0047320A" w:rsidP="0047320A">
      <w:pPr>
        <w:pStyle w:val="NormalWeb"/>
        <w:spacing w:line="360" w:lineRule="auto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br w:type="page"/>
      </w:r>
    </w:p>
    <w:p w14:paraId="7B2206DC" w14:textId="77777777" w:rsidR="0047320A" w:rsidRDefault="0047320A" w:rsidP="0047320A">
      <w:pPr>
        <w:rPr>
          <w:rFonts w:cstheme="minorHAnsi"/>
          <w:b/>
          <w:bCs/>
          <w:sz w:val="24"/>
          <w:szCs w:val="24"/>
        </w:rPr>
      </w:pPr>
    </w:p>
    <w:p w14:paraId="27AAEC6C" w14:textId="2F697108" w:rsidR="0047320A" w:rsidRDefault="0047320A" w:rsidP="0047320A">
      <w:pPr>
        <w:rPr>
          <w:rFonts w:cstheme="minorHAnsi"/>
          <w:b/>
          <w:bCs/>
          <w:sz w:val="24"/>
          <w:szCs w:val="24"/>
        </w:rPr>
      </w:pPr>
      <w:r w:rsidRPr="0062299C">
        <w:rPr>
          <w:rFonts w:cstheme="minorHAnsi"/>
          <w:b/>
          <w:bCs/>
          <w:sz w:val="24"/>
          <w:szCs w:val="24"/>
        </w:rPr>
        <w:t>Supplementary files</w:t>
      </w:r>
    </w:p>
    <w:p w14:paraId="633CA0E2" w14:textId="77777777" w:rsidR="0047320A" w:rsidRDefault="0047320A" w:rsidP="0047320A">
      <w:pPr>
        <w:rPr>
          <w:rFonts w:cstheme="minorHAnsi"/>
          <w:b/>
          <w:bCs/>
          <w:sz w:val="24"/>
          <w:szCs w:val="24"/>
        </w:rPr>
      </w:pPr>
    </w:p>
    <w:p w14:paraId="27F4DA0A" w14:textId="77777777" w:rsidR="0047320A" w:rsidRDefault="0047320A" w:rsidP="0047320A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Supplementary Table 1. Model comparators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47320A" w:rsidRPr="008C3222" w14:paraId="5A019B09" w14:textId="77777777" w:rsidTr="00363A35">
        <w:tc>
          <w:tcPr>
            <w:tcW w:w="9350" w:type="dxa"/>
            <w:gridSpan w:val="2"/>
          </w:tcPr>
          <w:p w14:paraId="775D8699" w14:textId="77777777" w:rsidR="0047320A" w:rsidRPr="008C3222" w:rsidRDefault="0047320A" w:rsidP="00363A35">
            <w:pPr>
              <w:spacing w:before="60" w:after="60"/>
              <w:rPr>
                <w:rFonts w:cstheme="minorHAnsi"/>
                <w:b/>
                <w:bCs/>
              </w:rPr>
            </w:pPr>
            <w:r w:rsidRPr="008C3222">
              <w:rPr>
                <w:rFonts w:cstheme="minorHAnsi"/>
                <w:b/>
                <w:bCs/>
              </w:rPr>
              <w:t>SCIGs</w:t>
            </w:r>
          </w:p>
        </w:tc>
      </w:tr>
      <w:tr w:rsidR="0047320A" w:rsidRPr="008C3222" w14:paraId="79E09663" w14:textId="77777777" w:rsidTr="00363A35">
        <w:tc>
          <w:tcPr>
            <w:tcW w:w="2875" w:type="dxa"/>
          </w:tcPr>
          <w:p w14:paraId="0AA58110" w14:textId="77777777" w:rsidR="0047320A" w:rsidRPr="008C3222" w:rsidRDefault="0047320A" w:rsidP="00363A35">
            <w:pPr>
              <w:spacing w:before="60" w:after="60"/>
              <w:rPr>
                <w:rFonts w:cstheme="minorHAnsi"/>
                <w:b/>
                <w:bCs/>
              </w:rPr>
            </w:pPr>
            <w:r w:rsidRPr="008C3222">
              <w:rPr>
                <w:rFonts w:cstheme="minorHAnsi"/>
                <w:b/>
                <w:bCs/>
              </w:rPr>
              <w:t>Brand name</w:t>
            </w:r>
          </w:p>
        </w:tc>
        <w:tc>
          <w:tcPr>
            <w:tcW w:w="6475" w:type="dxa"/>
          </w:tcPr>
          <w:p w14:paraId="0A54FFA8" w14:textId="77777777" w:rsidR="0047320A" w:rsidRPr="008C3222" w:rsidRDefault="0047320A" w:rsidP="00363A35">
            <w:pPr>
              <w:spacing w:before="60" w:after="60"/>
              <w:rPr>
                <w:rFonts w:cstheme="minorHAnsi"/>
                <w:b/>
                <w:bCs/>
              </w:rPr>
            </w:pPr>
            <w:r w:rsidRPr="008C3222">
              <w:rPr>
                <w:rFonts w:cstheme="minorHAnsi"/>
                <w:b/>
                <w:bCs/>
              </w:rPr>
              <w:t>Generic name</w:t>
            </w:r>
          </w:p>
        </w:tc>
      </w:tr>
      <w:tr w:rsidR="0047320A" w:rsidRPr="008C3222" w14:paraId="59980FFA" w14:textId="77777777" w:rsidTr="00363A35">
        <w:trPr>
          <w:trHeight w:val="296"/>
        </w:trPr>
        <w:tc>
          <w:tcPr>
            <w:tcW w:w="2875" w:type="dxa"/>
          </w:tcPr>
          <w:p w14:paraId="37F6434F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Cutaquig</w:t>
            </w:r>
          </w:p>
        </w:tc>
        <w:tc>
          <w:tcPr>
            <w:tcW w:w="6475" w:type="dxa"/>
          </w:tcPr>
          <w:p w14:paraId="7D81048A" w14:textId="77777777" w:rsidR="0047320A" w:rsidRPr="007B768E" w:rsidRDefault="0047320A" w:rsidP="00363A35">
            <w:pPr>
              <w:spacing w:before="60" w:after="60"/>
              <w:rPr>
                <w:rFonts w:cstheme="minorHAnsi"/>
              </w:rPr>
            </w:pPr>
            <w:r w:rsidRPr="007B768E">
              <w:rPr>
                <w:rFonts w:cstheme="minorHAnsi"/>
              </w:rPr>
              <w:t>Immune globulin SC (human)-hipp</w:t>
            </w:r>
          </w:p>
        </w:tc>
      </w:tr>
      <w:tr w:rsidR="0047320A" w:rsidRPr="008C3222" w14:paraId="7A5F2961" w14:textId="77777777" w:rsidTr="00363A35">
        <w:trPr>
          <w:trHeight w:val="296"/>
        </w:trPr>
        <w:tc>
          <w:tcPr>
            <w:tcW w:w="2875" w:type="dxa"/>
          </w:tcPr>
          <w:p w14:paraId="39A9CEC0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8C3222">
              <w:rPr>
                <w:rFonts w:cstheme="minorHAnsi"/>
              </w:rPr>
              <w:t>Cuvitru</w:t>
            </w:r>
          </w:p>
        </w:tc>
        <w:tc>
          <w:tcPr>
            <w:tcW w:w="6475" w:type="dxa"/>
          </w:tcPr>
          <w:p w14:paraId="426D68ED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8C3222">
              <w:rPr>
                <w:rFonts w:cstheme="minorHAnsi"/>
              </w:rPr>
              <w:t>Immune globulin SC (human), 20%</w:t>
            </w:r>
          </w:p>
        </w:tc>
      </w:tr>
      <w:tr w:rsidR="0047320A" w:rsidRPr="008C3222" w14:paraId="2C32E29E" w14:textId="77777777" w:rsidTr="00363A35">
        <w:trPr>
          <w:trHeight w:val="296"/>
        </w:trPr>
        <w:tc>
          <w:tcPr>
            <w:tcW w:w="2875" w:type="dxa"/>
          </w:tcPr>
          <w:p w14:paraId="2FC373E9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55768D">
              <w:rPr>
                <w:rFonts w:cstheme="minorHAnsi"/>
              </w:rPr>
              <w:t>Gammagard Liquid</w:t>
            </w:r>
          </w:p>
        </w:tc>
        <w:tc>
          <w:tcPr>
            <w:tcW w:w="6475" w:type="dxa"/>
          </w:tcPr>
          <w:p w14:paraId="78428D47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0D2C57">
              <w:rPr>
                <w:rFonts w:cstheme="minorHAnsi"/>
              </w:rPr>
              <w:t>Immune globulin infusion (human) 10%</w:t>
            </w:r>
          </w:p>
        </w:tc>
      </w:tr>
      <w:tr w:rsidR="0047320A" w:rsidRPr="008C3222" w14:paraId="5DE81791" w14:textId="77777777" w:rsidTr="00363A35">
        <w:trPr>
          <w:trHeight w:val="296"/>
        </w:trPr>
        <w:tc>
          <w:tcPr>
            <w:tcW w:w="2875" w:type="dxa"/>
          </w:tcPr>
          <w:p w14:paraId="372C8AC3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8C7E19">
              <w:rPr>
                <w:rFonts w:cstheme="minorHAnsi"/>
              </w:rPr>
              <w:t>Gamunex-C</w:t>
            </w:r>
          </w:p>
        </w:tc>
        <w:tc>
          <w:tcPr>
            <w:tcW w:w="6475" w:type="dxa"/>
          </w:tcPr>
          <w:p w14:paraId="42D419A1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3A1E53">
              <w:rPr>
                <w:rFonts w:cstheme="minorHAnsi"/>
              </w:rPr>
              <w:t>Immune globulin injection (human), 10% caprylate/‌chromatography purified</w:t>
            </w:r>
          </w:p>
        </w:tc>
      </w:tr>
      <w:tr w:rsidR="0047320A" w:rsidRPr="008C3222" w14:paraId="74B59E8B" w14:textId="77777777" w:rsidTr="00363A35">
        <w:trPr>
          <w:trHeight w:val="296"/>
        </w:trPr>
        <w:tc>
          <w:tcPr>
            <w:tcW w:w="2875" w:type="dxa"/>
          </w:tcPr>
          <w:p w14:paraId="2BDD0CF7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Hizentra (IgPro20)</w:t>
            </w:r>
          </w:p>
        </w:tc>
        <w:tc>
          <w:tcPr>
            <w:tcW w:w="6475" w:type="dxa"/>
          </w:tcPr>
          <w:p w14:paraId="5A4719CC" w14:textId="77777777" w:rsidR="0047320A" w:rsidRPr="007B768E" w:rsidRDefault="0047320A" w:rsidP="00363A35">
            <w:pPr>
              <w:spacing w:before="60" w:after="60"/>
            </w:pPr>
            <w:r w:rsidRPr="007B768E">
              <w:t xml:space="preserve">Immune globulin </w:t>
            </w:r>
            <w:r>
              <w:t>SC</w:t>
            </w:r>
            <w:r w:rsidRPr="007B768E">
              <w:t xml:space="preserve"> (human), 20%</w:t>
            </w:r>
          </w:p>
        </w:tc>
      </w:tr>
      <w:tr w:rsidR="0047320A" w:rsidRPr="008C3222" w14:paraId="2D823863" w14:textId="77777777" w:rsidTr="00363A35">
        <w:trPr>
          <w:trHeight w:val="296"/>
        </w:trPr>
        <w:tc>
          <w:tcPr>
            <w:tcW w:w="2875" w:type="dxa"/>
          </w:tcPr>
          <w:p w14:paraId="769028DD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8C3222">
              <w:rPr>
                <w:rFonts w:cstheme="minorHAnsi"/>
              </w:rPr>
              <w:t>HyQvia</w:t>
            </w:r>
          </w:p>
        </w:tc>
        <w:tc>
          <w:tcPr>
            <w:tcW w:w="6475" w:type="dxa"/>
          </w:tcPr>
          <w:p w14:paraId="137C958F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8C3222">
              <w:rPr>
                <w:rFonts w:cstheme="minorHAnsi"/>
                <w:color w:val="000000"/>
              </w:rPr>
              <w:t>Immune globulin infusion 10% (human) with recombinant human hyaluronidase</w:t>
            </w:r>
          </w:p>
        </w:tc>
      </w:tr>
      <w:tr w:rsidR="0047320A" w:rsidRPr="008C3222" w14:paraId="1F82B4A3" w14:textId="77777777" w:rsidTr="00363A35">
        <w:trPr>
          <w:trHeight w:val="296"/>
        </w:trPr>
        <w:tc>
          <w:tcPr>
            <w:tcW w:w="2875" w:type="dxa"/>
          </w:tcPr>
          <w:p w14:paraId="77B9F299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Xembify</w:t>
            </w:r>
          </w:p>
        </w:tc>
        <w:tc>
          <w:tcPr>
            <w:tcW w:w="6475" w:type="dxa"/>
          </w:tcPr>
          <w:p w14:paraId="339CC01C" w14:textId="77777777" w:rsidR="0047320A" w:rsidRPr="008C3222" w:rsidRDefault="0047320A" w:rsidP="00363A35">
            <w:pPr>
              <w:spacing w:before="60" w:after="60"/>
              <w:rPr>
                <w:rFonts w:cstheme="minorHAnsi"/>
              </w:rPr>
            </w:pPr>
            <w:r w:rsidRPr="00970F8F">
              <w:rPr>
                <w:rFonts w:cstheme="minorHAnsi"/>
              </w:rPr>
              <w:t>Immune globulin SC (human)-klhw</w:t>
            </w:r>
          </w:p>
        </w:tc>
      </w:tr>
      <w:tr w:rsidR="0047320A" w:rsidRPr="008C3222" w14:paraId="0390E459" w14:textId="77777777" w:rsidTr="00363A35">
        <w:trPr>
          <w:trHeight w:val="296"/>
        </w:trPr>
        <w:tc>
          <w:tcPr>
            <w:tcW w:w="9350" w:type="dxa"/>
            <w:gridSpan w:val="2"/>
          </w:tcPr>
          <w:p w14:paraId="7458891C" w14:textId="77777777" w:rsidR="0047320A" w:rsidRPr="008C3222" w:rsidRDefault="0047320A" w:rsidP="00363A35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IVIGs</w:t>
            </w:r>
          </w:p>
        </w:tc>
      </w:tr>
      <w:tr w:rsidR="0047320A" w:rsidRPr="00837B77" w14:paraId="35F3E6DD" w14:textId="77777777" w:rsidTr="00363A35">
        <w:trPr>
          <w:trHeight w:val="296"/>
        </w:trPr>
        <w:tc>
          <w:tcPr>
            <w:tcW w:w="2875" w:type="dxa"/>
          </w:tcPr>
          <w:p w14:paraId="6894D078" w14:textId="77777777" w:rsidR="0047320A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Flebogamma</w:t>
            </w:r>
          </w:p>
        </w:tc>
        <w:tc>
          <w:tcPr>
            <w:tcW w:w="6475" w:type="dxa"/>
          </w:tcPr>
          <w:p w14:paraId="300E76E4" w14:textId="77777777" w:rsidR="0047320A" w:rsidRPr="00DA235F" w:rsidRDefault="0047320A" w:rsidP="00363A35">
            <w:pPr>
              <w:spacing w:before="60" w:after="60"/>
              <w:rPr>
                <w:rFonts w:cstheme="minorHAnsi"/>
              </w:rPr>
            </w:pPr>
            <w:r w:rsidRPr="00C13E9D">
              <w:rPr>
                <w:rFonts w:cstheme="minorHAnsi"/>
              </w:rPr>
              <w:t>Human normal immunoglobulin</w:t>
            </w:r>
          </w:p>
        </w:tc>
      </w:tr>
      <w:tr w:rsidR="0047320A" w:rsidRPr="00837B77" w14:paraId="7CA8CC4B" w14:textId="77777777" w:rsidTr="00363A35">
        <w:trPr>
          <w:trHeight w:val="296"/>
        </w:trPr>
        <w:tc>
          <w:tcPr>
            <w:tcW w:w="2875" w:type="dxa"/>
          </w:tcPr>
          <w:p w14:paraId="68EC848C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Gammagard Liquid</w:t>
            </w:r>
          </w:p>
        </w:tc>
        <w:tc>
          <w:tcPr>
            <w:tcW w:w="6475" w:type="dxa"/>
          </w:tcPr>
          <w:p w14:paraId="54A5EE03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 w:rsidRPr="00F958DE">
              <w:rPr>
                <w:rFonts w:cstheme="minorHAnsi"/>
              </w:rPr>
              <w:t>Immune globulin infusion (human) 10%</w:t>
            </w:r>
          </w:p>
        </w:tc>
      </w:tr>
      <w:tr w:rsidR="0047320A" w:rsidRPr="00837B77" w14:paraId="0C33038B" w14:textId="77777777" w:rsidTr="00363A35">
        <w:trPr>
          <w:trHeight w:val="296"/>
        </w:trPr>
        <w:tc>
          <w:tcPr>
            <w:tcW w:w="2875" w:type="dxa"/>
          </w:tcPr>
          <w:p w14:paraId="72B245F7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 w:rsidRPr="00837B77">
              <w:rPr>
                <w:rFonts w:cstheme="minorHAnsi"/>
              </w:rPr>
              <w:t>Gamunex-C</w:t>
            </w:r>
          </w:p>
        </w:tc>
        <w:tc>
          <w:tcPr>
            <w:tcW w:w="6475" w:type="dxa"/>
          </w:tcPr>
          <w:p w14:paraId="3C330426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I</w:t>
            </w:r>
            <w:r w:rsidRPr="00837B77">
              <w:rPr>
                <w:rFonts w:cstheme="minorHAnsi"/>
              </w:rPr>
              <w:t>mmune globulin injection (human), 10% caprylate/‌chromatography purified</w:t>
            </w:r>
          </w:p>
        </w:tc>
      </w:tr>
      <w:tr w:rsidR="0047320A" w:rsidRPr="00837B77" w14:paraId="07646C5F" w14:textId="77777777" w:rsidTr="00363A35">
        <w:trPr>
          <w:trHeight w:val="296"/>
        </w:trPr>
        <w:tc>
          <w:tcPr>
            <w:tcW w:w="2875" w:type="dxa"/>
          </w:tcPr>
          <w:p w14:paraId="1C1BA7E4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Octagam</w:t>
            </w:r>
          </w:p>
        </w:tc>
        <w:tc>
          <w:tcPr>
            <w:tcW w:w="6475" w:type="dxa"/>
          </w:tcPr>
          <w:p w14:paraId="6C0498BD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 w:rsidRPr="00A7470E">
              <w:rPr>
                <w:rFonts w:cstheme="minorHAnsi"/>
              </w:rPr>
              <w:t>Immune globulin IV (human)</w:t>
            </w:r>
          </w:p>
        </w:tc>
      </w:tr>
      <w:tr w:rsidR="0047320A" w:rsidRPr="00837B77" w14:paraId="19741765" w14:textId="77777777" w:rsidTr="00363A35">
        <w:trPr>
          <w:trHeight w:val="296"/>
        </w:trPr>
        <w:tc>
          <w:tcPr>
            <w:tcW w:w="2875" w:type="dxa"/>
          </w:tcPr>
          <w:p w14:paraId="329E2698" w14:textId="77777777" w:rsidR="0047320A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Panzyga</w:t>
            </w:r>
          </w:p>
        </w:tc>
        <w:tc>
          <w:tcPr>
            <w:tcW w:w="6475" w:type="dxa"/>
          </w:tcPr>
          <w:p w14:paraId="783B63E4" w14:textId="77777777" w:rsidR="0047320A" w:rsidRPr="00A7470E" w:rsidRDefault="0047320A" w:rsidP="00363A35">
            <w:pPr>
              <w:spacing w:before="60" w:after="60"/>
              <w:rPr>
                <w:rFonts w:cstheme="minorHAnsi"/>
              </w:rPr>
            </w:pPr>
            <w:r w:rsidRPr="00DA235F">
              <w:rPr>
                <w:rFonts w:cstheme="minorHAnsi"/>
              </w:rPr>
              <w:t>Immune globulin IV (human)-ifas</w:t>
            </w:r>
          </w:p>
        </w:tc>
      </w:tr>
      <w:tr w:rsidR="0047320A" w:rsidRPr="00837B77" w14:paraId="169212DB" w14:textId="77777777" w:rsidTr="00363A35">
        <w:trPr>
          <w:trHeight w:val="296"/>
        </w:trPr>
        <w:tc>
          <w:tcPr>
            <w:tcW w:w="2875" w:type="dxa"/>
          </w:tcPr>
          <w:p w14:paraId="15B23105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t>Privigen</w:t>
            </w:r>
          </w:p>
        </w:tc>
        <w:tc>
          <w:tcPr>
            <w:tcW w:w="6475" w:type="dxa"/>
          </w:tcPr>
          <w:p w14:paraId="700F508D" w14:textId="77777777" w:rsidR="0047320A" w:rsidRPr="00837B77" w:rsidRDefault="0047320A" w:rsidP="00363A35">
            <w:pPr>
              <w:spacing w:before="60" w:after="60"/>
              <w:rPr>
                <w:rFonts w:cstheme="minorHAnsi"/>
              </w:rPr>
            </w:pPr>
            <w:r w:rsidRPr="00522AAA">
              <w:rPr>
                <w:rFonts w:cstheme="minorHAnsi"/>
              </w:rPr>
              <w:t>Immune globulin IV (human) 10%</w:t>
            </w:r>
          </w:p>
        </w:tc>
      </w:tr>
    </w:tbl>
    <w:p w14:paraId="7CEA291B" w14:textId="77777777" w:rsidR="0047320A" w:rsidRDefault="0047320A" w:rsidP="0047320A">
      <w:pPr>
        <w:rPr>
          <w:rFonts w:cstheme="minorHAnsi"/>
          <w:sz w:val="18"/>
          <w:szCs w:val="18"/>
        </w:rPr>
      </w:pPr>
      <w:r w:rsidRPr="00107314">
        <w:rPr>
          <w:rFonts w:cstheme="minorHAnsi"/>
          <w:sz w:val="18"/>
          <w:szCs w:val="18"/>
        </w:rPr>
        <w:t>Key: IV – intravenous; IVIG – intravenous immunoglobulin; SC – subcutaneous; SCIG – subcutaneous immunoglobulin</w:t>
      </w:r>
      <w:r>
        <w:rPr>
          <w:rFonts w:cstheme="minorHAnsi"/>
          <w:sz w:val="18"/>
          <w:szCs w:val="18"/>
        </w:rPr>
        <w:t>.</w:t>
      </w:r>
    </w:p>
    <w:p w14:paraId="3E37F0F0" w14:textId="77777777" w:rsidR="0047320A" w:rsidRDefault="0047320A" w:rsidP="0047320A">
      <w:pPr>
        <w:rPr>
          <w:rFonts w:cstheme="minorHAnsi"/>
          <w:sz w:val="18"/>
          <w:szCs w:val="18"/>
        </w:rPr>
      </w:pPr>
    </w:p>
    <w:p w14:paraId="0322F20B" w14:textId="77777777" w:rsidR="0047320A" w:rsidRDefault="0047320A" w:rsidP="0047320A">
      <w:pPr>
        <w:rPr>
          <w:rFonts w:cstheme="minorHAnsi"/>
          <w:sz w:val="18"/>
          <w:szCs w:val="18"/>
        </w:rPr>
      </w:pPr>
    </w:p>
    <w:p w14:paraId="6EAC5514" w14:textId="77777777" w:rsidR="0047320A" w:rsidRDefault="0047320A" w:rsidP="0047320A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6448CC3D" w14:textId="77777777" w:rsidR="0047320A" w:rsidRPr="001513FD" w:rsidRDefault="0047320A" w:rsidP="0047320A">
      <w:pPr>
        <w:rPr>
          <w:rFonts w:cstheme="minorHAnsi"/>
          <w:b/>
          <w:bCs/>
          <w:sz w:val="24"/>
          <w:szCs w:val="24"/>
        </w:rPr>
      </w:pPr>
      <w:r w:rsidRPr="001513FD">
        <w:rPr>
          <w:rFonts w:cstheme="minorHAnsi"/>
          <w:b/>
          <w:bCs/>
          <w:sz w:val="24"/>
          <w:szCs w:val="24"/>
        </w:rPr>
        <w:lastRenderedPageBreak/>
        <w:t>Supplementary Section 1</w:t>
      </w:r>
      <w:r>
        <w:rPr>
          <w:rFonts w:cstheme="minorHAnsi"/>
          <w:b/>
          <w:bCs/>
          <w:sz w:val="24"/>
          <w:szCs w:val="24"/>
        </w:rPr>
        <w:t>. Sensitivity analyses – additional scenarios: Results</w:t>
      </w:r>
    </w:p>
    <w:p w14:paraId="57D0272F" w14:textId="77777777" w:rsidR="0047320A" w:rsidRPr="000B3E17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000000"/>
        </w:rPr>
        <w:t xml:space="preserve">In addition to the primary alternative scenario presented in the body of the paper, we also investigated 4 additional alternative scenarios. </w:t>
      </w:r>
      <w:r w:rsidRPr="00190CA3">
        <w:rPr>
          <w:rFonts w:asciiTheme="minorHAnsi" w:hAnsiTheme="minorHAnsi" w:cstheme="minorHAnsi"/>
        </w:rPr>
        <w:t xml:space="preserve">The first </w:t>
      </w:r>
      <w:r>
        <w:rPr>
          <w:rFonts w:asciiTheme="minorHAnsi" w:hAnsiTheme="minorHAnsi" w:cstheme="minorHAnsi"/>
        </w:rPr>
        <w:t xml:space="preserve">additional alternative </w:t>
      </w:r>
      <w:r w:rsidRPr="00190CA3">
        <w:rPr>
          <w:rFonts w:asciiTheme="minorHAnsi" w:hAnsiTheme="minorHAnsi" w:cstheme="minorHAnsi"/>
        </w:rPr>
        <w:t xml:space="preserve">scenario </w:t>
      </w:r>
      <w:r>
        <w:rPr>
          <w:rFonts w:asciiTheme="minorHAnsi" w:hAnsiTheme="minorHAnsi" w:cstheme="minorHAnsi"/>
        </w:rPr>
        <w:t xml:space="preserve">differs from the base case in that it </w:t>
      </w:r>
      <w:r w:rsidRPr="00190CA3">
        <w:rPr>
          <w:rFonts w:asciiTheme="minorHAnsi" w:hAnsiTheme="minorHAnsi" w:cstheme="minorHAnsi"/>
        </w:rPr>
        <w:t xml:space="preserve">involved an annual </w:t>
      </w:r>
      <w:r>
        <w:rPr>
          <w:rFonts w:asciiTheme="minorHAnsi" w:hAnsiTheme="minorHAnsi" w:cstheme="minorHAnsi"/>
        </w:rPr>
        <w:t xml:space="preserve">increase of as much as </w:t>
      </w:r>
      <w:r w:rsidRPr="00190CA3">
        <w:rPr>
          <w:rFonts w:asciiTheme="minorHAnsi" w:hAnsiTheme="minorHAnsi" w:cstheme="minorHAnsi"/>
        </w:rPr>
        <w:t>5%</w:t>
      </w:r>
      <w:r>
        <w:rPr>
          <w:rFonts w:asciiTheme="minorHAnsi" w:hAnsiTheme="minorHAnsi" w:cstheme="minorHAnsi"/>
        </w:rPr>
        <w:t xml:space="preserve"> in absolute share</w:t>
      </w:r>
      <w:r w:rsidRPr="00190CA3">
        <w:rPr>
          <w:rFonts w:asciiTheme="minorHAnsi" w:hAnsiTheme="minorHAnsi" w:cstheme="minorHAnsi"/>
        </w:rPr>
        <w:t xml:space="preserve"> in </w:t>
      </w:r>
      <w:r>
        <w:rPr>
          <w:rFonts w:asciiTheme="minorHAnsi" w:hAnsiTheme="minorHAnsi" w:cstheme="minorHAnsi"/>
        </w:rPr>
        <w:t xml:space="preserve">IgPro20 </w:t>
      </w:r>
      <w:r w:rsidRPr="00190CA3">
        <w:rPr>
          <w:rFonts w:asciiTheme="minorHAnsi" w:hAnsiTheme="minorHAnsi" w:cstheme="minorHAnsi"/>
        </w:rPr>
        <w:t xml:space="preserve">PFS. In this scenario, an IDN is expected to save about $43.7 million over 3 years, </w:t>
      </w:r>
      <w:r>
        <w:rPr>
          <w:rFonts w:asciiTheme="minorHAnsi" w:hAnsiTheme="minorHAnsi" w:cstheme="minorHAnsi"/>
        </w:rPr>
        <w:t xml:space="preserve">which is </w:t>
      </w:r>
      <w:r w:rsidRPr="00190CA3">
        <w:rPr>
          <w:rFonts w:asciiTheme="minorHAnsi" w:hAnsiTheme="minorHAnsi" w:cstheme="minorHAnsi"/>
        </w:rPr>
        <w:t xml:space="preserve">larger than in the </w:t>
      </w:r>
      <w:r>
        <w:rPr>
          <w:rFonts w:asciiTheme="minorHAnsi" w:hAnsiTheme="minorHAnsi" w:cstheme="minorHAnsi"/>
        </w:rPr>
        <w:t>base case</w:t>
      </w:r>
      <w:r w:rsidRPr="00190C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because of the more dramatic assumed increase in PFS share.  </w:t>
      </w:r>
      <w:r w:rsidRPr="00190CA3">
        <w:rPr>
          <w:rFonts w:asciiTheme="minorHAnsi" w:hAnsiTheme="minorHAnsi" w:cstheme="minorHAnsi"/>
        </w:rPr>
        <w:t xml:space="preserve"> </w:t>
      </w:r>
    </w:p>
    <w:p w14:paraId="677C2CE9" w14:textId="77777777" w:rsidR="0047320A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</w:rPr>
      </w:pPr>
      <w:r w:rsidRPr="00971270">
        <w:rPr>
          <w:rFonts w:asciiTheme="minorHAnsi" w:hAnsiTheme="minorHAnsi" w:cstheme="minorHAnsi"/>
        </w:rPr>
        <w:t xml:space="preserve">In </w:t>
      </w:r>
      <w:r>
        <w:rPr>
          <w:rFonts w:asciiTheme="minorHAnsi" w:hAnsiTheme="minorHAnsi" w:cstheme="minorHAnsi"/>
        </w:rPr>
        <w:t xml:space="preserve">a second additional alternative </w:t>
      </w:r>
      <w:r w:rsidRPr="00971270">
        <w:rPr>
          <w:rFonts w:asciiTheme="minorHAnsi" w:hAnsiTheme="minorHAnsi" w:cstheme="minorHAnsi"/>
        </w:rPr>
        <w:t xml:space="preserve">scenario, the share of IgPro20 PFS </w:t>
      </w:r>
      <w:r>
        <w:rPr>
          <w:rFonts w:asciiTheme="minorHAnsi" w:hAnsiTheme="minorHAnsi" w:cstheme="minorHAnsi"/>
        </w:rPr>
        <w:t xml:space="preserve">is again assumed to </w:t>
      </w:r>
      <w:r w:rsidRPr="00971270">
        <w:rPr>
          <w:rFonts w:asciiTheme="minorHAnsi" w:hAnsiTheme="minorHAnsi" w:cstheme="minorHAnsi"/>
        </w:rPr>
        <w:t>increases</w:t>
      </w:r>
      <w:r>
        <w:rPr>
          <w:rFonts w:asciiTheme="minorHAnsi" w:hAnsiTheme="minorHAnsi" w:cstheme="minorHAnsi"/>
        </w:rPr>
        <w:t xml:space="preserve"> </w:t>
      </w:r>
      <w:r w:rsidRPr="00971270">
        <w:rPr>
          <w:rFonts w:asciiTheme="minorHAnsi" w:hAnsiTheme="minorHAnsi" w:cstheme="minorHAnsi"/>
        </w:rPr>
        <w:t>by 5% annually</w:t>
      </w:r>
      <w:r>
        <w:rPr>
          <w:rFonts w:asciiTheme="minorHAnsi" w:hAnsiTheme="minorHAnsi" w:cstheme="minorHAnsi"/>
        </w:rPr>
        <w:t>, but this time</w:t>
      </w:r>
      <w:r w:rsidRPr="00190CA3">
        <w:rPr>
          <w:rFonts w:asciiTheme="minorHAnsi" w:hAnsiTheme="minorHAnsi" w:cstheme="minorHAnsi"/>
        </w:rPr>
        <w:t xml:space="preserve"> with a proportionate reduction only in all other SCIG shares </w:t>
      </w:r>
      <w:r>
        <w:rPr>
          <w:rFonts w:asciiTheme="minorHAnsi" w:hAnsiTheme="minorHAnsi" w:cstheme="minorHAnsi"/>
        </w:rPr>
        <w:t xml:space="preserve">and </w:t>
      </w:r>
      <w:r w:rsidRPr="00190CA3">
        <w:rPr>
          <w:rFonts w:asciiTheme="minorHAnsi" w:hAnsiTheme="minorHAnsi" w:cstheme="minorHAnsi"/>
        </w:rPr>
        <w:t xml:space="preserve">with no change in </w:t>
      </w:r>
      <w:r>
        <w:rPr>
          <w:rFonts w:asciiTheme="minorHAnsi" w:hAnsiTheme="minorHAnsi" w:cstheme="minorHAnsi"/>
        </w:rPr>
        <w:t>IgPro20</w:t>
      </w:r>
      <w:r w:rsidRPr="00190CA3">
        <w:rPr>
          <w:rFonts w:asciiTheme="minorHAnsi" w:hAnsiTheme="minorHAnsi" w:cstheme="minorHAnsi"/>
        </w:rPr>
        <w:t xml:space="preserve"> vials share. Th</w:t>
      </w:r>
      <w:r>
        <w:rPr>
          <w:rFonts w:asciiTheme="minorHAnsi" w:hAnsiTheme="minorHAnsi" w:cstheme="minorHAnsi"/>
        </w:rPr>
        <w:t xml:space="preserve">is </w:t>
      </w:r>
      <w:r w:rsidRPr="00190CA3">
        <w:rPr>
          <w:rFonts w:asciiTheme="minorHAnsi" w:hAnsiTheme="minorHAnsi" w:cstheme="minorHAnsi"/>
        </w:rPr>
        <w:t>shift from SCIG</w:t>
      </w:r>
      <w:r>
        <w:rPr>
          <w:rFonts w:asciiTheme="minorHAnsi" w:hAnsiTheme="minorHAnsi" w:cstheme="minorHAnsi"/>
        </w:rPr>
        <w:t>s</w:t>
      </w:r>
      <w:r w:rsidRPr="00190CA3">
        <w:rPr>
          <w:rFonts w:asciiTheme="minorHAnsi" w:hAnsiTheme="minorHAnsi" w:cstheme="minorHAnsi"/>
        </w:rPr>
        <w:t xml:space="preserve"> to </w:t>
      </w:r>
      <w:r>
        <w:rPr>
          <w:rFonts w:asciiTheme="minorHAnsi" w:hAnsiTheme="minorHAnsi" w:cstheme="minorHAnsi"/>
        </w:rPr>
        <w:t>IgPro20</w:t>
      </w:r>
      <w:r w:rsidRPr="00190CA3">
        <w:rPr>
          <w:rFonts w:asciiTheme="minorHAnsi" w:hAnsiTheme="minorHAnsi" w:cstheme="minorHAnsi"/>
        </w:rPr>
        <w:t xml:space="preserve"> PFS</w:t>
      </w:r>
      <w:r>
        <w:rPr>
          <w:rFonts w:asciiTheme="minorHAnsi" w:hAnsiTheme="minorHAnsi" w:cstheme="minorHAnsi"/>
        </w:rPr>
        <w:t>s</w:t>
      </w:r>
      <w:r w:rsidRPr="00190C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is expected to yield </w:t>
      </w:r>
      <w:r w:rsidRPr="00190CA3">
        <w:rPr>
          <w:rFonts w:asciiTheme="minorHAnsi" w:hAnsiTheme="minorHAnsi" w:cstheme="minorHAnsi"/>
        </w:rPr>
        <w:t>cost savings of approximately $9</w:t>
      </w:r>
      <w:r>
        <w:rPr>
          <w:rFonts w:asciiTheme="minorHAnsi" w:hAnsiTheme="minorHAnsi" w:cstheme="minorHAnsi"/>
        </w:rPr>
        <w:t>7</w:t>
      </w:r>
      <w:r w:rsidRPr="00190CA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8</w:t>
      </w:r>
      <w:r w:rsidRPr="00190CA3">
        <w:rPr>
          <w:rFonts w:asciiTheme="minorHAnsi" w:hAnsiTheme="minorHAnsi" w:cstheme="minorHAnsi"/>
        </w:rPr>
        <w:t xml:space="preserve"> million. The cost savings are larger than </w:t>
      </w:r>
      <w:r>
        <w:rPr>
          <w:rFonts w:asciiTheme="minorHAnsi" w:hAnsiTheme="minorHAnsi" w:cstheme="minorHAnsi"/>
        </w:rPr>
        <w:t xml:space="preserve">in </w:t>
      </w:r>
      <w:r w:rsidRPr="00190CA3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first</w:t>
      </w:r>
      <w:r w:rsidRPr="00190CA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additional alternative </w:t>
      </w:r>
      <w:r w:rsidRPr="00190CA3">
        <w:rPr>
          <w:rFonts w:asciiTheme="minorHAnsi" w:hAnsiTheme="minorHAnsi" w:cstheme="minorHAnsi"/>
        </w:rPr>
        <w:t xml:space="preserve">scenario because of higher drug costs </w:t>
      </w:r>
      <w:r>
        <w:rPr>
          <w:rFonts w:asciiTheme="minorHAnsi" w:hAnsiTheme="minorHAnsi" w:cstheme="minorHAnsi"/>
        </w:rPr>
        <w:t>for</w:t>
      </w:r>
      <w:r w:rsidRPr="00190CA3">
        <w:rPr>
          <w:rFonts w:asciiTheme="minorHAnsi" w:hAnsiTheme="minorHAnsi" w:cstheme="minorHAnsi"/>
        </w:rPr>
        <w:t xml:space="preserve"> the market basket of other SCIGs compared to </w:t>
      </w:r>
      <w:r>
        <w:rPr>
          <w:rFonts w:asciiTheme="minorHAnsi" w:hAnsiTheme="minorHAnsi" w:cstheme="minorHAnsi"/>
        </w:rPr>
        <w:t>IgPro20</w:t>
      </w:r>
      <w:r w:rsidRPr="00190CA3">
        <w:rPr>
          <w:rFonts w:asciiTheme="minorHAnsi" w:hAnsiTheme="minorHAnsi" w:cstheme="minorHAnsi"/>
        </w:rPr>
        <w:t xml:space="preserve"> PFS</w:t>
      </w:r>
      <w:r>
        <w:rPr>
          <w:rFonts w:asciiTheme="minorHAnsi" w:hAnsiTheme="minorHAnsi" w:cstheme="minorHAnsi"/>
        </w:rPr>
        <w:t xml:space="preserve">.  When restricted only to ASP pricing, the expected cost savings with this scenario were $87.0 million. </w:t>
      </w:r>
    </w:p>
    <w:p w14:paraId="21D3C3A2" w14:textId="77777777" w:rsidR="0047320A" w:rsidRPr="00190CA3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third additional alternative scenario modeled the intra-IgPro20 PFS share from 16% of the IgPro20 total market in the base case to 35% in year 1, 70% in year 2, and 100% in year 3, with reductions in IgPro20 vials alone to model the potential phasing out of IgPro20 vials. The shift from IgPro20 vials to IgPro20 PFS is expected to yield a cost savings of $46.1 million over 3 years. </w:t>
      </w:r>
    </w:p>
    <w:p w14:paraId="5404E149" w14:textId="77777777" w:rsidR="0047320A" w:rsidRPr="00822A05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</w:rPr>
      </w:pPr>
      <w:r w:rsidRPr="00822A05">
        <w:rPr>
          <w:rFonts w:asciiTheme="minorHAnsi" w:hAnsiTheme="minorHAnsi" w:cstheme="minorHAnsi"/>
        </w:rPr>
        <w:t xml:space="preserve">A fourth </w:t>
      </w:r>
      <w:r>
        <w:rPr>
          <w:rFonts w:asciiTheme="minorHAnsi" w:hAnsiTheme="minorHAnsi" w:cstheme="minorHAnsi"/>
        </w:rPr>
        <w:t xml:space="preserve">additional alternative </w:t>
      </w:r>
      <w:r w:rsidRPr="00822A05">
        <w:rPr>
          <w:rFonts w:asciiTheme="minorHAnsi" w:hAnsiTheme="minorHAnsi" w:cstheme="minorHAnsi"/>
        </w:rPr>
        <w:t xml:space="preserve">scenario modeled </w:t>
      </w:r>
      <w:r>
        <w:rPr>
          <w:rFonts w:asciiTheme="minorHAnsi" w:hAnsiTheme="minorHAnsi" w:cstheme="minorHAnsi"/>
        </w:rPr>
        <w:t xml:space="preserve">the </w:t>
      </w:r>
      <w:r w:rsidRPr="00822A05">
        <w:rPr>
          <w:rFonts w:asciiTheme="minorHAnsi" w:hAnsiTheme="minorHAnsi" w:cstheme="minorHAnsi"/>
        </w:rPr>
        <w:t xml:space="preserve">expected budget impact if the </w:t>
      </w:r>
      <w:r>
        <w:rPr>
          <w:rFonts w:asciiTheme="minorHAnsi" w:hAnsiTheme="minorHAnsi" w:cstheme="minorHAnsi"/>
        </w:rPr>
        <w:t>IgPro20</w:t>
      </w:r>
      <w:r w:rsidRPr="00822A05">
        <w:rPr>
          <w:rFonts w:asciiTheme="minorHAnsi" w:hAnsiTheme="minorHAnsi" w:cstheme="minorHAnsi"/>
        </w:rPr>
        <w:t xml:space="preserve"> dosing switch ratio was taken to be 1.37</w:t>
      </w:r>
      <w:r>
        <w:rPr>
          <w:rFonts w:asciiTheme="minorHAnsi" w:hAnsiTheme="minorHAnsi" w:cstheme="minorHAnsi"/>
        </w:rPr>
        <w:t xml:space="preserve"> [</w:t>
      </w:r>
      <w:r w:rsidRPr="00E5795F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>]</w:t>
      </w:r>
      <w:r w:rsidRPr="00E5795F">
        <w:rPr>
          <w:rFonts w:asciiTheme="minorHAnsi" w:hAnsiTheme="minorHAnsi" w:cstheme="minorHAnsi"/>
        </w:rPr>
        <w:t xml:space="preserve"> </w:t>
      </w:r>
      <w:r w:rsidRPr="00822A05">
        <w:rPr>
          <w:rFonts w:asciiTheme="minorHAnsi" w:hAnsiTheme="minorHAnsi" w:cstheme="minorHAnsi"/>
        </w:rPr>
        <w:t>instead of the real-world evidence-based value of 1.05</w:t>
      </w:r>
      <w:r>
        <w:rPr>
          <w:rFonts w:asciiTheme="minorHAnsi" w:hAnsiTheme="minorHAnsi" w:cstheme="minorHAnsi"/>
        </w:rPr>
        <w:t xml:space="preserve"> [</w:t>
      </w:r>
      <w:r w:rsidRPr="00E5795F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].</w:t>
      </w:r>
      <w:r w:rsidRPr="00822A05">
        <w:rPr>
          <w:rFonts w:asciiTheme="minorHAnsi" w:hAnsiTheme="minorHAnsi" w:cstheme="minorHAnsi"/>
        </w:rPr>
        <w:t xml:space="preserve"> Under such a scenario and assuming the base case scenario above, with </w:t>
      </w:r>
      <w:r>
        <w:rPr>
          <w:rFonts w:asciiTheme="minorHAnsi" w:hAnsiTheme="minorHAnsi" w:cstheme="minorHAnsi"/>
        </w:rPr>
        <w:t xml:space="preserve">a </w:t>
      </w:r>
      <w:r w:rsidRPr="00822A05">
        <w:rPr>
          <w:rFonts w:asciiTheme="minorHAnsi" w:hAnsiTheme="minorHAnsi" w:cstheme="minorHAnsi"/>
        </w:rPr>
        <w:t xml:space="preserve">proportionate reduction in shares of </w:t>
      </w:r>
      <w:r>
        <w:rPr>
          <w:rFonts w:asciiTheme="minorHAnsi" w:hAnsiTheme="minorHAnsi" w:cstheme="minorHAnsi"/>
        </w:rPr>
        <w:t>IgPro20</w:t>
      </w:r>
      <w:r w:rsidRPr="00822A05">
        <w:rPr>
          <w:rFonts w:asciiTheme="minorHAnsi" w:hAnsiTheme="minorHAnsi" w:cstheme="minorHAnsi"/>
        </w:rPr>
        <w:t xml:space="preserve"> vials </w:t>
      </w:r>
      <w:r>
        <w:rPr>
          <w:rFonts w:asciiTheme="minorHAnsi" w:hAnsiTheme="minorHAnsi" w:cstheme="minorHAnsi"/>
        </w:rPr>
        <w:t>w/</w:t>
      </w:r>
      <w:r w:rsidRPr="00822A05">
        <w:rPr>
          <w:rFonts w:asciiTheme="minorHAnsi" w:hAnsiTheme="minorHAnsi" w:cstheme="minorHAnsi"/>
        </w:rPr>
        <w:t xml:space="preserve">pump but assuming a 1.37 IVIG to SCIG conversion ratio, it is expected that the overall budget impact would be </w:t>
      </w:r>
      <w:r w:rsidRPr="008C35F7">
        <w:rPr>
          <w:rFonts w:asciiTheme="minorHAnsi" w:hAnsiTheme="minorHAnsi" w:cstheme="minorHAnsi"/>
        </w:rPr>
        <w:t>about $13.1 million over 3 years.</w:t>
      </w:r>
    </w:p>
    <w:p w14:paraId="5A4399A4" w14:textId="77777777" w:rsidR="0047320A" w:rsidRPr="001513FD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</w:rPr>
      </w:pPr>
      <w:r w:rsidRPr="00A9076A">
        <w:rPr>
          <w:rFonts w:asciiTheme="minorHAnsi" w:hAnsiTheme="minorHAnsi" w:cstheme="minorHAnsi"/>
        </w:rPr>
        <w:t xml:space="preserve">Finally, we simulated differential PFS vs vial pricing (ie, given its dose efficiency and cost savings, how much higher could PFSs be priced to be budget-neutral with vials?). It was </w:t>
      </w:r>
      <w:r w:rsidRPr="00A9076A">
        <w:rPr>
          <w:rFonts w:asciiTheme="minorHAnsi" w:hAnsiTheme="minorHAnsi" w:cstheme="minorHAnsi"/>
        </w:rPr>
        <w:lastRenderedPageBreak/>
        <w:t>projected that the PFS price could be about 20% higher than the vial price and still be budget-neutral.</w:t>
      </w:r>
    </w:p>
    <w:p w14:paraId="6E6A0689" w14:textId="77777777" w:rsidR="0047320A" w:rsidRPr="001513FD" w:rsidRDefault="0047320A" w:rsidP="0047320A">
      <w:pPr>
        <w:pStyle w:val="NormalWeb"/>
        <w:spacing w:before="240" w:beforeAutospacing="0" w:after="240" w:afterAutospacing="0" w:line="360" w:lineRule="auto"/>
        <w:jc w:val="both"/>
        <w:rPr>
          <w:rFonts w:asciiTheme="minorHAnsi" w:hAnsiTheme="minorHAnsi" w:cstheme="minorHAnsi"/>
          <w:b/>
          <w:bCs/>
        </w:rPr>
      </w:pPr>
      <w:r w:rsidRPr="001513FD">
        <w:rPr>
          <w:rFonts w:asciiTheme="minorHAnsi" w:hAnsiTheme="minorHAnsi" w:cstheme="minorHAnsi"/>
          <w:b/>
          <w:bCs/>
        </w:rPr>
        <w:t>References</w:t>
      </w:r>
    </w:p>
    <w:p w14:paraId="7489AD6D" w14:textId="77777777" w:rsidR="0047320A" w:rsidRPr="001513FD" w:rsidRDefault="0047320A" w:rsidP="0047320A">
      <w:pPr>
        <w:pStyle w:val="ListParagraph"/>
        <w:numPr>
          <w:ilvl w:val="0"/>
          <w:numId w:val="1"/>
        </w:numPr>
        <w:spacing w:before="0" w:after="160" w:line="259" w:lineRule="auto"/>
        <w:rPr>
          <w:rFonts w:cstheme="minorHAnsi"/>
          <w:color w:val="000000"/>
          <w:sz w:val="24"/>
        </w:rPr>
      </w:pPr>
      <w:r w:rsidRPr="001513FD">
        <w:rPr>
          <w:rFonts w:cstheme="minorHAnsi"/>
          <w:color w:val="000000"/>
          <w:sz w:val="24"/>
        </w:rPr>
        <w:t>Hizentra prescribing information. CSL Behring LLC; 2020.</w:t>
      </w:r>
    </w:p>
    <w:p w14:paraId="60CF31F2" w14:textId="77777777" w:rsidR="0047320A" w:rsidRPr="001513FD" w:rsidRDefault="0047320A" w:rsidP="0047320A">
      <w:pPr>
        <w:pStyle w:val="ListParagraph"/>
        <w:numPr>
          <w:ilvl w:val="0"/>
          <w:numId w:val="1"/>
        </w:numPr>
        <w:spacing w:before="0" w:after="160" w:line="259" w:lineRule="auto"/>
        <w:rPr>
          <w:rFonts w:cstheme="minorHAnsi"/>
          <w:color w:val="000000"/>
          <w:sz w:val="24"/>
        </w:rPr>
      </w:pPr>
      <w:r w:rsidRPr="001513FD">
        <w:rPr>
          <w:rFonts w:cstheme="minorHAnsi"/>
          <w:color w:val="000000"/>
          <w:sz w:val="24"/>
        </w:rPr>
        <w:t xml:space="preserve">Krishnarajah G, Lehmann J, Ellman B, et al. Evaluating dose ratio of subcutaneous to intravenous immunoglobulin therapy among patients with primary immunodeficiency disease switching to 20% subcutaneous immunoglobulin therapy. </w:t>
      </w:r>
      <w:r w:rsidRPr="00495523">
        <w:rPr>
          <w:rFonts w:cstheme="minorHAnsi"/>
          <w:color w:val="000000"/>
          <w:sz w:val="24"/>
        </w:rPr>
        <w:t>Am J Manag Care</w:t>
      </w:r>
      <w:r w:rsidRPr="001513FD">
        <w:rPr>
          <w:rFonts w:cstheme="minorHAnsi"/>
          <w:color w:val="000000"/>
          <w:sz w:val="24"/>
        </w:rPr>
        <w:t>. 2016;22:S475</w:t>
      </w:r>
      <w:r>
        <w:rPr>
          <w:rFonts w:cstheme="minorHAnsi"/>
          <w:color w:val="000000"/>
          <w:sz w:val="24"/>
        </w:rPr>
        <w:t>–</w:t>
      </w:r>
      <w:r w:rsidRPr="001513FD">
        <w:rPr>
          <w:rFonts w:cstheme="minorHAnsi"/>
          <w:color w:val="000000"/>
          <w:sz w:val="24"/>
        </w:rPr>
        <w:t>81.</w:t>
      </w:r>
    </w:p>
    <w:p w14:paraId="07BBFACB" w14:textId="77777777" w:rsidR="0047320A" w:rsidRPr="001513FD" w:rsidRDefault="0047320A" w:rsidP="0047320A">
      <w:pPr>
        <w:rPr>
          <w:rFonts w:cstheme="minorHAnsi"/>
          <w:sz w:val="24"/>
          <w:szCs w:val="24"/>
        </w:rPr>
      </w:pPr>
    </w:p>
    <w:p w14:paraId="68E3D6DE" w14:textId="77777777" w:rsidR="0042348F" w:rsidRDefault="0042348F"/>
    <w:sectPr w:rsidR="004234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8F5ABD"/>
    <w:multiLevelType w:val="hybridMultilevel"/>
    <w:tmpl w:val="9FB2E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97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0A"/>
    <w:rsid w:val="00007B78"/>
    <w:rsid w:val="000E4FAB"/>
    <w:rsid w:val="00291529"/>
    <w:rsid w:val="00374CFE"/>
    <w:rsid w:val="0042348F"/>
    <w:rsid w:val="0047320A"/>
    <w:rsid w:val="0063568E"/>
    <w:rsid w:val="0068541B"/>
    <w:rsid w:val="00BF68A7"/>
    <w:rsid w:val="00D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3B2BB"/>
  <w15:chartTrackingRefBased/>
  <w15:docId w15:val="{9930511C-5FE7-4C66-ADF1-2373C0DE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20A"/>
    <w:pPr>
      <w:spacing w:before="120" w:after="12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2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2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2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3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20A"/>
    <w:rPr>
      <w:i/>
      <w:iCs/>
      <w:color w:val="404040" w:themeColor="text1" w:themeTint="BF"/>
    </w:rPr>
  </w:style>
  <w:style w:type="paragraph" w:styleId="ListParagraph">
    <w:name w:val="List Paragraph"/>
    <w:aliases w:val="Bullet1"/>
    <w:basedOn w:val="Normal"/>
    <w:link w:val="ListParagraphChar"/>
    <w:uiPriority w:val="34"/>
    <w:qFormat/>
    <w:rsid w:val="00473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32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2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20A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ullet1 Char"/>
    <w:basedOn w:val="DefaultParagraphFont"/>
    <w:link w:val="ListParagraph"/>
    <w:uiPriority w:val="34"/>
    <w:rsid w:val="0047320A"/>
  </w:style>
  <w:style w:type="table" w:styleId="TableGrid">
    <w:name w:val="Table Grid"/>
    <w:basedOn w:val="TableNormal"/>
    <w:uiPriority w:val="59"/>
    <w:rsid w:val="0047320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32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4732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320A"/>
    <w:pPr>
      <w:widowControl w:val="0"/>
      <w:spacing w:after="0"/>
    </w:pPr>
    <w:rPr>
      <w:rFonts w:ascii="Arial" w:eastAsia="Times New Roman" w:hAnsi="Arial" w:cs="Times New Roman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rsid w:val="0047320A"/>
    <w:rPr>
      <w:rFonts w:ascii="Arial" w:eastAsia="Times New Roman" w:hAnsi="Arial" w:cs="Times New Roman"/>
      <w:kern w:val="0"/>
      <w:szCs w:val="20"/>
      <w:lang w:eastAsia="en-GB"/>
      <w14:ligatures w14:val="none"/>
    </w:rPr>
  </w:style>
  <w:style w:type="character" w:customStyle="1" w:styleId="cf01">
    <w:name w:val="cf01"/>
    <w:basedOn w:val="DefaultParagraphFont"/>
    <w:rsid w:val="0047320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47320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F68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6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639</Words>
  <Characters>3647</Characters>
  <Application>Microsoft Office Word</Application>
  <DocSecurity>0</DocSecurity>
  <Lines>30</Lines>
  <Paragraphs>8</Paragraphs>
  <ScaleCrop>false</ScaleCrop>
  <Company>AmerisourceBergen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Carlton, Rashad</dc:creator>
  <cp:keywords/>
  <dc:description/>
  <cp:lastModifiedBy>Carlton, Rashad</cp:lastModifiedBy>
  <cp:revision>4</cp:revision>
  <dcterms:created xsi:type="dcterms:W3CDTF">2025-02-18T17:50:00Z</dcterms:created>
  <dcterms:modified xsi:type="dcterms:W3CDTF">2025-07-01T18:41:00Z</dcterms:modified>
</cp:coreProperties>
</file>