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5E44" w14:textId="77777777" w:rsidR="007B7507" w:rsidRPr="00A12818" w:rsidRDefault="007B7507" w:rsidP="00A12818">
      <w:pPr>
        <w:jc w:val="center"/>
        <w:rPr>
          <w:rFonts w:ascii="Times New Roman" w:hAnsi="Times New Roman" w:cs="Times New Roman"/>
          <w:b/>
          <w:bCs/>
        </w:rPr>
      </w:pPr>
      <w:r w:rsidRPr="00A12818">
        <w:rPr>
          <w:rFonts w:ascii="Times New Roman" w:hAnsi="Times New Roman" w:cs="Times New Roman"/>
          <w:b/>
          <w:bCs/>
        </w:rPr>
        <w:t>Supplementary Appendix</w:t>
      </w:r>
    </w:p>
    <w:p w14:paraId="316991EF" w14:textId="77777777" w:rsidR="005363CE" w:rsidRDefault="005363CE" w:rsidP="005363CE">
      <w:pPr>
        <w:rPr>
          <w:rFonts w:ascii="Times New Roman" w:hAnsi="Times New Roman" w:cs="Times New Roman"/>
        </w:rPr>
      </w:pPr>
    </w:p>
    <w:p w14:paraId="0368D1D1" w14:textId="1779A988" w:rsidR="005363CE" w:rsidRPr="00651543" w:rsidRDefault="005363CE" w:rsidP="005363CE">
      <w:pPr>
        <w:rPr>
          <w:rFonts w:ascii="Times New Roman" w:hAnsi="Times New Roman" w:cs="Times New Roman"/>
        </w:rPr>
      </w:pPr>
      <w:r w:rsidRPr="00651543">
        <w:rPr>
          <w:rFonts w:ascii="Times New Roman" w:hAnsi="Times New Roman"/>
          <w:b/>
          <w:i/>
          <w:lang w:val="en-CA"/>
        </w:rPr>
        <w:t xml:space="preserve">Journal Name: </w:t>
      </w:r>
      <w:r w:rsidRPr="00651543">
        <w:rPr>
          <w:rFonts w:ascii="Times New Roman" w:hAnsi="Times New Roman" w:cs="Times New Roman"/>
        </w:rPr>
        <w:t>PharmacoEconomics - Open</w:t>
      </w:r>
    </w:p>
    <w:p w14:paraId="7B1E7DB9" w14:textId="76CE01B5" w:rsidR="005363CE" w:rsidRDefault="005363CE" w:rsidP="005363CE">
      <w:pPr>
        <w:spacing w:line="480" w:lineRule="auto"/>
        <w:rPr>
          <w:rFonts w:ascii="Times New Roman" w:hAnsi="Times New Roman"/>
        </w:rPr>
      </w:pPr>
      <w:r>
        <w:rPr>
          <w:rFonts w:ascii="Times New Roman" w:hAnsi="Times New Roman"/>
          <w:b/>
          <w:i/>
          <w:lang w:val="en-CA"/>
        </w:rPr>
        <w:t>Title</w:t>
      </w:r>
      <w:r>
        <w:rPr>
          <w:rFonts w:ascii="Times New Roman" w:hAnsi="Times New Roman"/>
          <w:i/>
          <w:lang w:val="en-CA"/>
        </w:rPr>
        <w:t>:</w:t>
      </w:r>
      <w:r>
        <w:rPr>
          <w:rFonts w:ascii="Times New Roman" w:hAnsi="Times New Roman"/>
          <w:lang w:val="en-CA"/>
        </w:rPr>
        <w:t xml:space="preserve"> Impact of Inhibitor Development on the Cost-Effectiveness of Prophylactic treatment with Recombinant Factor VIII in Previously Untreated Patients with Severe Hemophilia A</w:t>
      </w:r>
    </w:p>
    <w:p w14:paraId="28615068" w14:textId="77777777" w:rsidR="005363CE" w:rsidRDefault="005363CE" w:rsidP="005363CE">
      <w:pPr>
        <w:spacing w:line="480" w:lineRule="auto"/>
        <w:rPr>
          <w:rFonts w:ascii="Times New Roman" w:hAnsi="Times New Roman"/>
          <w:i/>
        </w:rPr>
      </w:pPr>
      <w:r>
        <w:rPr>
          <w:rFonts w:ascii="Times New Roman" w:hAnsi="Times New Roman"/>
          <w:b/>
          <w:i/>
        </w:rPr>
        <w:t>Authors</w:t>
      </w:r>
      <w:r>
        <w:rPr>
          <w:rFonts w:ascii="Times New Roman" w:hAnsi="Times New Roman"/>
          <w:i/>
        </w:rPr>
        <w:t xml:space="preserve">: </w:t>
      </w:r>
      <w:r>
        <w:rPr>
          <w:rFonts w:ascii="Times New Roman" w:hAnsi="Times New Roman"/>
        </w:rPr>
        <w:t>Li Yang</w:t>
      </w:r>
      <w:r>
        <w:rPr>
          <w:rFonts w:ascii="Times New Roman" w:hAnsi="Times New Roman"/>
          <w:vertAlign w:val="superscript"/>
        </w:rPr>
        <w:t>1</w:t>
      </w:r>
      <w:r>
        <w:rPr>
          <w:rFonts w:ascii="Times New Roman" w:hAnsi="Times New Roman"/>
        </w:rPr>
        <w:t>, Jie Peng</w:t>
      </w:r>
      <w:r>
        <w:rPr>
          <w:rFonts w:ascii="Times New Roman" w:hAnsi="Times New Roman"/>
          <w:vertAlign w:val="superscript"/>
        </w:rPr>
        <w:t>2</w:t>
      </w:r>
      <w:r>
        <w:rPr>
          <w:rFonts w:ascii="Times New Roman" w:hAnsi="Times New Roman"/>
        </w:rPr>
        <w:t>, Congling Gu</w:t>
      </w:r>
      <w:r>
        <w:rPr>
          <w:rFonts w:ascii="Times New Roman" w:hAnsi="Times New Roman"/>
          <w:vertAlign w:val="superscript"/>
        </w:rPr>
        <w:t>3</w:t>
      </w:r>
      <w:r>
        <w:rPr>
          <w:rFonts w:ascii="Times New Roman" w:hAnsi="Times New Roman"/>
        </w:rPr>
        <w:t>, Zhenguo Wang</w:t>
      </w:r>
      <w:r>
        <w:rPr>
          <w:rFonts w:ascii="Times New Roman" w:hAnsi="Times New Roman"/>
          <w:vertAlign w:val="superscript"/>
        </w:rPr>
        <w:t>3</w:t>
      </w:r>
      <w:r>
        <w:rPr>
          <w:rFonts w:ascii="Times New Roman" w:hAnsi="Times New Roman"/>
        </w:rPr>
        <w:t>, Genyong Zuo</w:t>
      </w:r>
      <w:r>
        <w:rPr>
          <w:rFonts w:ascii="Times New Roman" w:hAnsi="Times New Roman"/>
          <w:vertAlign w:val="superscript"/>
        </w:rPr>
        <w:t>4*</w:t>
      </w:r>
    </w:p>
    <w:p w14:paraId="385677AE" w14:textId="77777777" w:rsidR="005363CE" w:rsidRDefault="005363CE" w:rsidP="005363CE">
      <w:pPr>
        <w:spacing w:line="480" w:lineRule="auto"/>
        <w:rPr>
          <w:rFonts w:ascii="Times New Roman" w:hAnsi="Times New Roman"/>
          <w:i/>
        </w:rPr>
      </w:pPr>
      <w:r>
        <w:rPr>
          <w:rFonts w:ascii="Times New Roman" w:hAnsi="Times New Roman"/>
          <w:b/>
          <w:i/>
        </w:rPr>
        <w:t>Affiliations</w:t>
      </w:r>
      <w:r>
        <w:rPr>
          <w:rFonts w:ascii="Times New Roman" w:hAnsi="Times New Roman"/>
          <w:i/>
        </w:rPr>
        <w:t xml:space="preserve">: </w:t>
      </w:r>
    </w:p>
    <w:p w14:paraId="683A1624" w14:textId="77777777" w:rsidR="005363CE" w:rsidRDefault="005363CE" w:rsidP="005363CE">
      <w:pPr>
        <w:spacing w:line="480" w:lineRule="auto"/>
        <w:rPr>
          <w:rFonts w:ascii="Times New Roman" w:hAnsi="Times New Roman"/>
        </w:rPr>
      </w:pPr>
      <w:r>
        <w:rPr>
          <w:rFonts w:ascii="Times New Roman" w:hAnsi="Times New Roman"/>
        </w:rPr>
        <w:t>1.</w:t>
      </w:r>
      <w:r>
        <w:tab/>
      </w:r>
      <w:r>
        <w:rPr>
          <w:rFonts w:ascii="Times New Roman" w:hAnsi="Times New Roman"/>
        </w:rPr>
        <w:t>Jinan Preschool Education College, Jinan, China</w:t>
      </w:r>
    </w:p>
    <w:p w14:paraId="17704B4E" w14:textId="77777777" w:rsidR="005363CE" w:rsidRDefault="005363CE" w:rsidP="005363CE">
      <w:pPr>
        <w:spacing w:line="480" w:lineRule="auto"/>
        <w:rPr>
          <w:rFonts w:ascii="Times New Roman" w:hAnsi="Times New Roman"/>
        </w:rPr>
      </w:pPr>
      <w:r>
        <w:rPr>
          <w:rFonts w:ascii="Times New Roman" w:hAnsi="Times New Roman"/>
        </w:rPr>
        <w:t>2.</w:t>
      </w:r>
      <w:r>
        <w:tab/>
      </w:r>
      <w:r>
        <w:rPr>
          <w:rFonts w:ascii="Times New Roman" w:hAnsi="Times New Roman"/>
        </w:rPr>
        <w:t>Xiangya Hospital Central South University, Changsha, China</w:t>
      </w:r>
    </w:p>
    <w:p w14:paraId="4A05BC36" w14:textId="77777777" w:rsidR="005363CE" w:rsidRDefault="005363CE" w:rsidP="005363CE">
      <w:pPr>
        <w:spacing w:line="480" w:lineRule="auto"/>
        <w:rPr>
          <w:rFonts w:ascii="Times New Roman" w:hAnsi="Times New Roman"/>
        </w:rPr>
      </w:pPr>
      <w:r>
        <w:rPr>
          <w:rFonts w:ascii="Times New Roman" w:hAnsi="Times New Roman"/>
        </w:rPr>
        <w:t>3.</w:t>
      </w:r>
      <w:r>
        <w:tab/>
      </w:r>
      <w:r>
        <w:rPr>
          <w:rFonts w:ascii="Times New Roman" w:hAnsi="Times New Roman"/>
        </w:rPr>
        <w:t xml:space="preserve">Takeda (China) International Trade Co., Ltd., Beijing, China </w:t>
      </w:r>
    </w:p>
    <w:p w14:paraId="59124B64" w14:textId="77777777" w:rsidR="005363CE" w:rsidRDefault="005363CE" w:rsidP="005363CE">
      <w:pPr>
        <w:spacing w:line="480" w:lineRule="auto"/>
        <w:rPr>
          <w:rFonts w:ascii="Times New Roman" w:hAnsi="Times New Roman"/>
        </w:rPr>
      </w:pPr>
      <w:r>
        <w:rPr>
          <w:rFonts w:ascii="Times New Roman" w:hAnsi="Times New Roman"/>
        </w:rPr>
        <w:t>4.</w:t>
      </w:r>
      <w:r>
        <w:tab/>
      </w:r>
      <w:r>
        <w:rPr>
          <w:rFonts w:ascii="Times New Roman" w:hAnsi="Times New Roman"/>
        </w:rPr>
        <w:t>Shandong University, Jinan, China</w:t>
      </w:r>
    </w:p>
    <w:p w14:paraId="2DE32B1F" w14:textId="77777777" w:rsidR="005363CE" w:rsidRDefault="005363CE" w:rsidP="005363CE">
      <w:pPr>
        <w:spacing w:line="480" w:lineRule="auto"/>
        <w:rPr>
          <w:rFonts w:ascii="Times New Roman" w:hAnsi="Times New Roman"/>
          <w:i/>
        </w:rPr>
      </w:pPr>
      <w:r>
        <w:rPr>
          <w:rFonts w:ascii="Times New Roman" w:hAnsi="Times New Roman"/>
          <w:b/>
          <w:i/>
        </w:rPr>
        <w:t>Correspondence Author</w:t>
      </w:r>
      <w:r>
        <w:rPr>
          <w:rFonts w:ascii="Times New Roman" w:hAnsi="Times New Roman"/>
          <w:i/>
        </w:rPr>
        <w:t>:</w:t>
      </w:r>
    </w:p>
    <w:p w14:paraId="7EFA1E66" w14:textId="77777777" w:rsidR="005363CE" w:rsidRDefault="005363CE" w:rsidP="005363CE">
      <w:pPr>
        <w:spacing w:line="480" w:lineRule="auto"/>
        <w:rPr>
          <w:rFonts w:ascii="Times New Roman" w:hAnsi="Times New Roman"/>
        </w:rPr>
      </w:pPr>
      <w:r>
        <w:rPr>
          <w:rFonts w:ascii="Times New Roman" w:hAnsi="Times New Roman"/>
        </w:rPr>
        <w:t>Genyong Zuo</w:t>
      </w:r>
    </w:p>
    <w:p w14:paraId="5C6D1C99" w14:textId="77777777" w:rsidR="005363CE" w:rsidRDefault="005363CE" w:rsidP="005363CE">
      <w:pPr>
        <w:spacing w:line="480" w:lineRule="auto"/>
        <w:rPr>
          <w:rFonts w:ascii="Times New Roman" w:hAnsi="Times New Roman"/>
        </w:rPr>
      </w:pPr>
      <w:r>
        <w:rPr>
          <w:rFonts w:ascii="Times New Roman" w:hAnsi="Times New Roman"/>
        </w:rPr>
        <w:t>Shandong University, Jinan, China</w:t>
      </w:r>
    </w:p>
    <w:p w14:paraId="0CE9FC9E" w14:textId="1660E297" w:rsidR="005363CE" w:rsidRDefault="005363CE" w:rsidP="005363CE">
      <w:pPr>
        <w:rPr>
          <w:rFonts w:ascii="Times New Roman" w:hAnsi="Times New Roman"/>
        </w:rPr>
      </w:pPr>
      <w:r>
        <w:rPr>
          <w:rFonts w:ascii="Times New Roman" w:hAnsi="Times New Roman"/>
        </w:rPr>
        <w:t xml:space="preserve">Email: </w:t>
      </w:r>
      <w:hyperlink r:id="rId8" w:history="1">
        <w:r w:rsidRPr="00921BB8">
          <w:rPr>
            <w:rStyle w:val="af6"/>
            <w:rFonts w:ascii="Times New Roman" w:hAnsi="Times New Roman"/>
          </w:rPr>
          <w:t>smartyong@sdu.edu.cn</w:t>
        </w:r>
      </w:hyperlink>
    </w:p>
    <w:p w14:paraId="563D07F9" w14:textId="77777777" w:rsidR="005363CE" w:rsidRDefault="005363CE" w:rsidP="005363CE">
      <w:pPr>
        <w:rPr>
          <w:rFonts w:ascii="Times New Roman" w:hAnsi="Times New Roman" w:cs="Times New Roman"/>
        </w:rPr>
      </w:pPr>
    </w:p>
    <w:p w14:paraId="38A8FB14" w14:textId="2ADD656F" w:rsidR="007B7507" w:rsidRDefault="007B7507">
      <w:pPr>
        <w:rPr>
          <w:rFonts w:ascii="Times New Roman" w:hAnsi="Times New Roman" w:cs="Times New Roman"/>
        </w:rPr>
      </w:pPr>
      <w:r w:rsidRPr="007B7507">
        <w:rPr>
          <w:rFonts w:ascii="Times New Roman" w:hAnsi="Times New Roman" w:cs="Times New Roman"/>
        </w:rPr>
        <w:t>This appendix has been provided by the authors to give readers additional information about their work.</w:t>
      </w:r>
      <w:r>
        <w:rPr>
          <w:rFonts w:ascii="Times New Roman" w:hAnsi="Times New Roman" w:cs="Times New Roman"/>
        </w:rPr>
        <w:br w:type="page"/>
      </w:r>
    </w:p>
    <w:sdt>
      <w:sdtPr>
        <w:rPr>
          <w:rFonts w:ascii="宋体" w:eastAsia="宋体" w:hAnsi="宋体" w:cs="宋体"/>
          <w:b w:val="0"/>
          <w:bCs w:val="0"/>
          <w:color w:val="auto"/>
          <w:sz w:val="24"/>
          <w:szCs w:val="24"/>
          <w:lang w:val="zh-CN"/>
        </w:rPr>
        <w:id w:val="1625427003"/>
        <w:docPartObj>
          <w:docPartGallery w:val="Table of Contents"/>
          <w:docPartUnique/>
        </w:docPartObj>
      </w:sdtPr>
      <w:sdtEndPr>
        <w:rPr>
          <w:noProof/>
          <w:lang w:val="en-US"/>
        </w:rPr>
      </w:sdtEndPr>
      <w:sdtContent>
        <w:p w14:paraId="386E25E7" w14:textId="04F7E61C" w:rsidR="00A12818" w:rsidRPr="00A12818" w:rsidRDefault="00A12818">
          <w:pPr>
            <w:pStyle w:val="TOC"/>
            <w:rPr>
              <w:rFonts w:ascii="Times New Roman" w:hAnsi="Times New Roman" w:cs="Times New Roman"/>
            </w:rPr>
          </w:pPr>
          <w:r>
            <w:rPr>
              <w:rFonts w:ascii="Times New Roman" w:hAnsi="Times New Roman" w:cs="Times New Roman" w:hint="eastAsia"/>
              <w:lang w:val="zh-CN"/>
            </w:rPr>
            <w:t>Table of contents</w:t>
          </w:r>
        </w:p>
        <w:p w14:paraId="22E146D8" w14:textId="7D790DD7" w:rsidR="00D10311" w:rsidRPr="00651543" w:rsidRDefault="00A12818">
          <w:pPr>
            <w:pStyle w:val="TOC1"/>
            <w:tabs>
              <w:tab w:val="right" w:leader="dot" w:pos="8296"/>
            </w:tabs>
            <w:rPr>
              <w:rFonts w:ascii="Times New Roman" w:eastAsiaTheme="minorEastAsia" w:hAnsi="Times New Roman" w:cs="Times New Roman"/>
              <w:b w:val="0"/>
              <w:bCs w:val="0"/>
              <w:caps w:val="0"/>
              <w:noProof/>
              <w:kern w:val="2"/>
              <w:sz w:val="24"/>
              <w:szCs w:val="24"/>
              <w14:ligatures w14:val="standardContextual"/>
            </w:rPr>
          </w:pPr>
          <w:r w:rsidRPr="00D10311">
            <w:rPr>
              <w:rFonts w:ascii="Times New Roman" w:hAnsi="Times New Roman" w:cs="Times New Roman"/>
              <w:b w:val="0"/>
              <w:bCs w:val="0"/>
              <w:sz w:val="24"/>
              <w:szCs w:val="24"/>
            </w:rPr>
            <w:fldChar w:fldCharType="begin"/>
          </w:r>
          <w:r w:rsidRPr="00651543">
            <w:rPr>
              <w:rFonts w:ascii="Times New Roman" w:hAnsi="Times New Roman" w:cs="Times New Roman"/>
              <w:sz w:val="24"/>
              <w:szCs w:val="24"/>
            </w:rPr>
            <w:instrText>TOC \o "1-3" \h \z \u</w:instrText>
          </w:r>
          <w:r w:rsidRPr="00D10311">
            <w:rPr>
              <w:rFonts w:ascii="Times New Roman" w:hAnsi="Times New Roman" w:cs="Times New Roman"/>
              <w:b w:val="0"/>
              <w:bCs w:val="0"/>
              <w:sz w:val="24"/>
              <w:szCs w:val="24"/>
            </w:rPr>
            <w:fldChar w:fldCharType="separate"/>
          </w:r>
          <w:hyperlink w:anchor="_Toc211440052" w:history="1">
            <w:r w:rsidR="00D10311" w:rsidRPr="00651543">
              <w:rPr>
                <w:rStyle w:val="af6"/>
                <w:rFonts w:ascii="Times New Roman" w:hAnsi="Times New Roman" w:cs="Times New Roman"/>
                <w:noProof/>
                <w:sz w:val="24"/>
                <w:szCs w:val="24"/>
              </w:rPr>
              <w:t>Methods and Results of the Systematic Literature Review</w:t>
            </w:r>
            <w:r w:rsidR="00D10311" w:rsidRPr="00651543">
              <w:rPr>
                <w:rFonts w:ascii="Times New Roman" w:hAnsi="Times New Roman" w:cs="Times New Roman"/>
                <w:noProof/>
                <w:webHidden/>
                <w:sz w:val="24"/>
                <w:szCs w:val="24"/>
              </w:rPr>
              <w:tab/>
            </w:r>
            <w:r w:rsidR="00D10311" w:rsidRPr="00651543">
              <w:rPr>
                <w:rFonts w:ascii="Times New Roman" w:hAnsi="Times New Roman" w:cs="Times New Roman"/>
                <w:noProof/>
                <w:webHidden/>
                <w:sz w:val="24"/>
                <w:szCs w:val="24"/>
              </w:rPr>
              <w:fldChar w:fldCharType="begin"/>
            </w:r>
            <w:r w:rsidR="00D10311" w:rsidRPr="00651543">
              <w:rPr>
                <w:rFonts w:ascii="Times New Roman" w:hAnsi="Times New Roman" w:cs="Times New Roman"/>
                <w:noProof/>
                <w:webHidden/>
                <w:sz w:val="24"/>
                <w:szCs w:val="24"/>
              </w:rPr>
              <w:instrText xml:space="preserve"> PAGEREF _Toc211440052 \h </w:instrText>
            </w:r>
            <w:r w:rsidR="00D10311" w:rsidRPr="00651543">
              <w:rPr>
                <w:rFonts w:ascii="Times New Roman" w:hAnsi="Times New Roman" w:cs="Times New Roman"/>
                <w:noProof/>
                <w:webHidden/>
                <w:sz w:val="24"/>
                <w:szCs w:val="24"/>
              </w:rPr>
            </w:r>
            <w:r w:rsidR="00D10311"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3</w:t>
            </w:r>
            <w:r w:rsidR="00D10311" w:rsidRPr="00651543">
              <w:rPr>
                <w:rFonts w:ascii="Times New Roman" w:hAnsi="Times New Roman" w:cs="Times New Roman"/>
                <w:noProof/>
                <w:webHidden/>
                <w:sz w:val="24"/>
                <w:szCs w:val="24"/>
              </w:rPr>
              <w:fldChar w:fldCharType="end"/>
            </w:r>
          </w:hyperlink>
        </w:p>
        <w:p w14:paraId="376794ED" w14:textId="32578F2B" w:rsidR="00D10311" w:rsidRPr="00651543" w:rsidRDefault="00D10311">
          <w:pPr>
            <w:pStyle w:val="TOC2"/>
            <w:tabs>
              <w:tab w:val="right" w:leader="dot" w:pos="8296"/>
            </w:tabs>
            <w:rPr>
              <w:rFonts w:ascii="Times New Roman" w:eastAsiaTheme="minorEastAsia" w:hAnsi="Times New Roman" w:cs="Times New Roman"/>
              <w:smallCaps w:val="0"/>
              <w:noProof/>
              <w:kern w:val="2"/>
              <w:sz w:val="24"/>
              <w:szCs w:val="24"/>
              <w14:ligatures w14:val="standardContextual"/>
            </w:rPr>
          </w:pPr>
          <w:hyperlink w:anchor="_Toc211440053" w:history="1">
            <w:r w:rsidRPr="00651543">
              <w:rPr>
                <w:rStyle w:val="af6"/>
                <w:rFonts w:ascii="Times New Roman" w:hAnsi="Times New Roman" w:cs="Times New Roman"/>
                <w:noProof/>
                <w:sz w:val="24"/>
                <w:szCs w:val="24"/>
              </w:rPr>
              <w:t>1. Objective and Scope</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_Toc211440053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3</w:t>
            </w:r>
            <w:r w:rsidRPr="00651543">
              <w:rPr>
                <w:rFonts w:ascii="Times New Roman" w:hAnsi="Times New Roman" w:cs="Times New Roman"/>
                <w:noProof/>
                <w:webHidden/>
                <w:sz w:val="24"/>
                <w:szCs w:val="24"/>
              </w:rPr>
              <w:fldChar w:fldCharType="end"/>
            </w:r>
          </w:hyperlink>
        </w:p>
        <w:p w14:paraId="1BC91461" w14:textId="18ACE053" w:rsidR="00D10311" w:rsidRPr="00651543" w:rsidRDefault="00D10311">
          <w:pPr>
            <w:pStyle w:val="TOC2"/>
            <w:tabs>
              <w:tab w:val="right" w:leader="dot" w:pos="8296"/>
            </w:tabs>
            <w:rPr>
              <w:rFonts w:ascii="Times New Roman" w:eastAsiaTheme="minorEastAsia" w:hAnsi="Times New Roman" w:cs="Times New Roman"/>
              <w:smallCaps w:val="0"/>
              <w:noProof/>
              <w:kern w:val="2"/>
              <w:sz w:val="24"/>
              <w:szCs w:val="24"/>
              <w14:ligatures w14:val="standardContextual"/>
            </w:rPr>
          </w:pPr>
          <w:hyperlink w:anchor="_Toc211440054" w:history="1">
            <w:r w:rsidRPr="00651543">
              <w:rPr>
                <w:rStyle w:val="af6"/>
                <w:rFonts w:ascii="Times New Roman" w:hAnsi="Times New Roman" w:cs="Times New Roman"/>
                <w:noProof/>
                <w:sz w:val="24"/>
                <w:szCs w:val="24"/>
              </w:rPr>
              <w:t>2. Data Sources and Search Strategy</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_Toc211440054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3</w:t>
            </w:r>
            <w:r w:rsidRPr="00651543">
              <w:rPr>
                <w:rFonts w:ascii="Times New Roman" w:hAnsi="Times New Roman" w:cs="Times New Roman"/>
                <w:noProof/>
                <w:webHidden/>
                <w:sz w:val="24"/>
                <w:szCs w:val="24"/>
              </w:rPr>
              <w:fldChar w:fldCharType="end"/>
            </w:r>
          </w:hyperlink>
        </w:p>
        <w:p w14:paraId="0C1F7D45" w14:textId="5893C994" w:rsidR="00D10311" w:rsidRPr="00651543" w:rsidRDefault="00D10311">
          <w:pPr>
            <w:pStyle w:val="TOC2"/>
            <w:tabs>
              <w:tab w:val="right" w:leader="dot" w:pos="8296"/>
            </w:tabs>
            <w:rPr>
              <w:rFonts w:ascii="Times New Roman" w:eastAsiaTheme="minorEastAsia" w:hAnsi="Times New Roman" w:cs="Times New Roman"/>
              <w:smallCaps w:val="0"/>
              <w:noProof/>
              <w:kern w:val="2"/>
              <w:sz w:val="24"/>
              <w:szCs w:val="24"/>
              <w14:ligatures w14:val="standardContextual"/>
            </w:rPr>
          </w:pPr>
          <w:hyperlink w:anchor="_Toc211440055" w:history="1">
            <w:r w:rsidRPr="00651543">
              <w:rPr>
                <w:rStyle w:val="af6"/>
                <w:rFonts w:ascii="Times New Roman" w:hAnsi="Times New Roman" w:cs="Times New Roman"/>
                <w:noProof/>
                <w:sz w:val="24"/>
                <w:szCs w:val="24"/>
              </w:rPr>
              <w:t>3. Inclusion and Exclusion Criteria</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_Toc211440055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3</w:t>
            </w:r>
            <w:r w:rsidRPr="00651543">
              <w:rPr>
                <w:rFonts w:ascii="Times New Roman" w:hAnsi="Times New Roman" w:cs="Times New Roman"/>
                <w:noProof/>
                <w:webHidden/>
                <w:sz w:val="24"/>
                <w:szCs w:val="24"/>
              </w:rPr>
              <w:fldChar w:fldCharType="end"/>
            </w:r>
          </w:hyperlink>
        </w:p>
        <w:p w14:paraId="2F15841A" w14:textId="188B213B" w:rsidR="00D10311" w:rsidRPr="00651543" w:rsidRDefault="00D10311">
          <w:pPr>
            <w:pStyle w:val="TOC2"/>
            <w:tabs>
              <w:tab w:val="right" w:leader="dot" w:pos="8296"/>
            </w:tabs>
            <w:rPr>
              <w:rFonts w:ascii="Times New Roman" w:eastAsiaTheme="minorEastAsia" w:hAnsi="Times New Roman" w:cs="Times New Roman"/>
              <w:smallCaps w:val="0"/>
              <w:noProof/>
              <w:kern w:val="2"/>
              <w:sz w:val="24"/>
              <w:szCs w:val="24"/>
              <w14:ligatures w14:val="standardContextual"/>
            </w:rPr>
          </w:pPr>
          <w:hyperlink w:anchor="_Toc211440056" w:history="1">
            <w:r w:rsidRPr="00651543">
              <w:rPr>
                <w:rStyle w:val="af6"/>
                <w:rFonts w:ascii="Times New Roman" w:hAnsi="Times New Roman" w:cs="Times New Roman"/>
                <w:noProof/>
                <w:sz w:val="24"/>
                <w:szCs w:val="24"/>
              </w:rPr>
              <w:t>4. Data Extraction</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_Toc211440056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4</w:t>
            </w:r>
            <w:r w:rsidRPr="00651543">
              <w:rPr>
                <w:rFonts w:ascii="Times New Roman" w:hAnsi="Times New Roman" w:cs="Times New Roman"/>
                <w:noProof/>
                <w:webHidden/>
                <w:sz w:val="24"/>
                <w:szCs w:val="24"/>
              </w:rPr>
              <w:fldChar w:fldCharType="end"/>
            </w:r>
          </w:hyperlink>
        </w:p>
        <w:p w14:paraId="6779B096" w14:textId="679AAD95" w:rsidR="00D10311" w:rsidRPr="00651543" w:rsidRDefault="00D10311">
          <w:pPr>
            <w:pStyle w:val="TOC2"/>
            <w:tabs>
              <w:tab w:val="right" w:leader="dot" w:pos="8296"/>
            </w:tabs>
            <w:rPr>
              <w:rFonts w:ascii="Times New Roman" w:eastAsiaTheme="minorEastAsia" w:hAnsi="Times New Roman" w:cs="Times New Roman"/>
              <w:smallCaps w:val="0"/>
              <w:noProof/>
              <w:kern w:val="2"/>
              <w:sz w:val="24"/>
              <w:szCs w:val="24"/>
              <w14:ligatures w14:val="standardContextual"/>
            </w:rPr>
          </w:pPr>
          <w:hyperlink w:anchor="_Toc211440057" w:history="1">
            <w:r w:rsidRPr="00651543">
              <w:rPr>
                <w:rStyle w:val="af6"/>
                <w:rFonts w:ascii="Times New Roman" w:hAnsi="Times New Roman" w:cs="Times New Roman"/>
                <w:noProof/>
                <w:sz w:val="24"/>
                <w:szCs w:val="24"/>
              </w:rPr>
              <w:t>5. Data Synthesis and Primary Parameters Estimation Methods</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_Toc211440057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4</w:t>
            </w:r>
            <w:r w:rsidRPr="00651543">
              <w:rPr>
                <w:rFonts w:ascii="Times New Roman" w:hAnsi="Times New Roman" w:cs="Times New Roman"/>
                <w:noProof/>
                <w:webHidden/>
                <w:sz w:val="24"/>
                <w:szCs w:val="24"/>
              </w:rPr>
              <w:fldChar w:fldCharType="end"/>
            </w:r>
          </w:hyperlink>
        </w:p>
        <w:p w14:paraId="42784DD9" w14:textId="4F265599"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58" w:history="1">
            <w:r w:rsidRPr="00651543">
              <w:rPr>
                <w:rStyle w:val="af6"/>
                <w:rFonts w:ascii="Times New Roman" w:hAnsi="Times New Roman" w:cs="Times New Roman"/>
                <w:noProof/>
                <w:sz w:val="24"/>
                <w:szCs w:val="24"/>
              </w:rPr>
              <w:t>5.1 Approaches for Evidence Synthesis</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_Toc211440058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5</w:t>
            </w:r>
            <w:r w:rsidRPr="00651543">
              <w:rPr>
                <w:rFonts w:ascii="Times New Roman" w:hAnsi="Times New Roman" w:cs="Times New Roman"/>
                <w:noProof/>
                <w:webHidden/>
                <w:sz w:val="24"/>
                <w:szCs w:val="24"/>
              </w:rPr>
              <w:fldChar w:fldCharType="end"/>
            </w:r>
          </w:hyperlink>
        </w:p>
        <w:p w14:paraId="1C4F5221" w14:textId="32E902D6"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59" w:history="1">
            <w:r w:rsidRPr="00651543">
              <w:rPr>
                <w:rStyle w:val="af6"/>
                <w:rFonts w:ascii="Times New Roman" w:hAnsi="Times New Roman" w:cs="Times New Roman"/>
                <w:noProof/>
                <w:sz w:val="24"/>
                <w:szCs w:val="24"/>
              </w:rPr>
              <w:t>5.2 Estimation of Primary Parameters</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_Toc211440059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5</w:t>
            </w:r>
            <w:r w:rsidRPr="00651543">
              <w:rPr>
                <w:rFonts w:ascii="Times New Roman" w:hAnsi="Times New Roman" w:cs="Times New Roman"/>
                <w:noProof/>
                <w:webHidden/>
                <w:sz w:val="24"/>
                <w:szCs w:val="24"/>
              </w:rPr>
              <w:fldChar w:fldCharType="end"/>
            </w:r>
          </w:hyperlink>
        </w:p>
        <w:p w14:paraId="2A0E7CBA" w14:textId="5DB5237D" w:rsidR="00D10311" w:rsidRPr="00651543" w:rsidRDefault="00D10311">
          <w:pPr>
            <w:pStyle w:val="TOC2"/>
            <w:tabs>
              <w:tab w:val="right" w:leader="dot" w:pos="8296"/>
            </w:tabs>
            <w:rPr>
              <w:rFonts w:ascii="Times New Roman" w:eastAsiaTheme="minorEastAsia" w:hAnsi="Times New Roman" w:cs="Times New Roman"/>
              <w:smallCaps w:val="0"/>
              <w:noProof/>
              <w:kern w:val="2"/>
              <w:sz w:val="24"/>
              <w:szCs w:val="24"/>
              <w14:ligatures w14:val="standardContextual"/>
            </w:rPr>
          </w:pPr>
          <w:hyperlink w:anchor="_Toc211440060" w:history="1">
            <w:r w:rsidRPr="00651543">
              <w:rPr>
                <w:rStyle w:val="af6"/>
                <w:rFonts w:ascii="Times New Roman" w:hAnsi="Times New Roman" w:cs="Times New Roman"/>
                <w:noProof/>
                <w:sz w:val="24"/>
                <w:szCs w:val="24"/>
              </w:rPr>
              <w:t>6. Tables and Figures</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_Toc211440060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8</w:t>
            </w:r>
            <w:r w:rsidRPr="00651543">
              <w:rPr>
                <w:rFonts w:ascii="Times New Roman" w:hAnsi="Times New Roman" w:cs="Times New Roman"/>
                <w:noProof/>
                <w:webHidden/>
                <w:sz w:val="24"/>
                <w:szCs w:val="24"/>
              </w:rPr>
              <w:fldChar w:fldCharType="end"/>
            </w:r>
          </w:hyperlink>
        </w:p>
        <w:p w14:paraId="08D3C304" w14:textId="1EECCC64"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1" w:history="1">
            <w:r w:rsidRPr="00651543">
              <w:rPr>
                <w:rStyle w:val="af6"/>
                <w:rFonts w:ascii="Times New Roman" w:hAnsi="Times New Roman" w:cs="Times New Roman"/>
                <w:noProof/>
                <w:sz w:val="24"/>
                <w:szCs w:val="24"/>
              </w:rPr>
              <w:t>Figure S1. PRISMA 2020 flow diagram of the literature search and selection process [31]</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_Toc211440061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8</w:t>
            </w:r>
            <w:r w:rsidRPr="00651543">
              <w:rPr>
                <w:rFonts w:ascii="Times New Roman" w:hAnsi="Times New Roman" w:cs="Times New Roman"/>
                <w:noProof/>
                <w:webHidden/>
                <w:sz w:val="24"/>
                <w:szCs w:val="24"/>
              </w:rPr>
              <w:fldChar w:fldCharType="end"/>
            </w:r>
          </w:hyperlink>
        </w:p>
        <w:p w14:paraId="3EED22F5" w14:textId="7B9B8056"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2" w:history="1">
            <w:r w:rsidRPr="00651543">
              <w:rPr>
                <w:rStyle w:val="af6"/>
                <w:rFonts w:ascii="Times New Roman" w:hAnsi="Times New Roman" w:cs="Times New Roman"/>
                <w:noProof/>
                <w:sz w:val="24"/>
                <w:szCs w:val="24"/>
              </w:rPr>
              <w:t>Figure S2. Relationship between Annual Bleeding Rate (ABR) and Quality of Life Utility Values in Hemophilia A Patients: Based on a European Cohort Study</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_Toc211440062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9</w:t>
            </w:r>
            <w:r w:rsidRPr="00651543">
              <w:rPr>
                <w:rFonts w:ascii="Times New Roman" w:hAnsi="Times New Roman" w:cs="Times New Roman"/>
                <w:noProof/>
                <w:webHidden/>
                <w:sz w:val="24"/>
                <w:szCs w:val="24"/>
              </w:rPr>
              <w:fldChar w:fldCharType="end"/>
            </w:r>
          </w:hyperlink>
        </w:p>
        <w:p w14:paraId="2A62D4D1" w14:textId="79C21E39"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3" w:history="1">
            <w:r w:rsidRPr="00651543">
              <w:rPr>
                <w:rStyle w:val="af6"/>
                <w:rFonts w:ascii="Times New Roman" w:hAnsi="Times New Roman" w:cs="Times New Roman"/>
                <w:noProof/>
                <w:sz w:val="24"/>
                <w:szCs w:val="24"/>
              </w:rPr>
              <w:t>Table S1. Full Search Strategies and Results of the Systematic Literature Review</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_Toc211440063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10</w:t>
            </w:r>
            <w:r w:rsidRPr="00651543">
              <w:rPr>
                <w:rFonts w:ascii="Times New Roman" w:hAnsi="Times New Roman" w:cs="Times New Roman"/>
                <w:noProof/>
                <w:webHidden/>
                <w:sz w:val="24"/>
                <w:szCs w:val="24"/>
              </w:rPr>
              <w:fldChar w:fldCharType="end"/>
            </w:r>
          </w:hyperlink>
        </w:p>
        <w:p w14:paraId="2C8B182A" w14:textId="18A3876E"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4" w:history="1">
            <w:r w:rsidRPr="00651543">
              <w:rPr>
                <w:rStyle w:val="af6"/>
                <w:rFonts w:ascii="Times New Roman" w:hAnsi="Times New Roman" w:cs="Times New Roman"/>
                <w:noProof/>
                <w:sz w:val="24"/>
                <w:szCs w:val="24"/>
              </w:rPr>
              <w:t>Table S2. Age-specific Baseline Intracranial Hemorrhage (ICH) Risks in the General Population from a Retrospective Cohort Study</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_Toc211440064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16</w:t>
            </w:r>
            <w:r w:rsidRPr="00651543">
              <w:rPr>
                <w:rFonts w:ascii="Times New Roman" w:hAnsi="Times New Roman" w:cs="Times New Roman"/>
                <w:noProof/>
                <w:webHidden/>
                <w:sz w:val="24"/>
                <w:szCs w:val="24"/>
              </w:rPr>
              <w:fldChar w:fldCharType="end"/>
            </w:r>
          </w:hyperlink>
        </w:p>
        <w:p w14:paraId="6F2ACC9C" w14:textId="1CB89C90"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5" w:history="1">
            <w:r w:rsidRPr="00651543">
              <w:rPr>
                <w:rStyle w:val="af6"/>
                <w:rFonts w:ascii="Times New Roman" w:hAnsi="Times New Roman" w:cs="Times New Roman"/>
                <w:noProof/>
                <w:sz w:val="24"/>
                <w:szCs w:val="24"/>
              </w:rPr>
              <w:t>Table S3. Hemophilia-Specific Mortality Risks for Patients Without Bleeding-Related Complications</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_Toc211440065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17</w:t>
            </w:r>
            <w:r w:rsidRPr="00651543">
              <w:rPr>
                <w:rFonts w:ascii="Times New Roman" w:hAnsi="Times New Roman" w:cs="Times New Roman"/>
                <w:noProof/>
                <w:webHidden/>
                <w:sz w:val="24"/>
                <w:szCs w:val="24"/>
              </w:rPr>
              <w:fldChar w:fldCharType="end"/>
            </w:r>
          </w:hyperlink>
        </w:p>
        <w:p w14:paraId="57F87634" w14:textId="1D96F69F"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6" w:history="1">
            <w:r w:rsidRPr="00651543">
              <w:rPr>
                <w:rStyle w:val="af6"/>
                <w:rFonts w:ascii="Times New Roman" w:hAnsi="Times New Roman" w:cs="Times New Roman"/>
                <w:noProof/>
                <w:sz w:val="24"/>
                <w:szCs w:val="24"/>
              </w:rPr>
              <w:t>Table S4. First-Year Mortality Rates for Three Bleeding-Related Complications and Long-Term Relative Mortality Risk for Intracranial Hemorrhage (ICH)</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_Toc211440066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17</w:t>
            </w:r>
            <w:r w:rsidRPr="00651543">
              <w:rPr>
                <w:rFonts w:ascii="Times New Roman" w:hAnsi="Times New Roman" w:cs="Times New Roman"/>
                <w:noProof/>
                <w:webHidden/>
                <w:sz w:val="24"/>
                <w:szCs w:val="24"/>
              </w:rPr>
              <w:fldChar w:fldCharType="end"/>
            </w:r>
          </w:hyperlink>
        </w:p>
        <w:p w14:paraId="71DB9AB4" w14:textId="4AAA9B6F"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7" w:history="1">
            <w:r w:rsidRPr="00651543">
              <w:rPr>
                <w:rStyle w:val="af6"/>
                <w:rFonts w:ascii="Times New Roman" w:hAnsi="Times New Roman" w:cs="Times New Roman"/>
                <w:noProof/>
                <w:sz w:val="24"/>
                <w:szCs w:val="24"/>
              </w:rPr>
              <w:t>Table S5. Detailed Breakdown of Drug Acquisition Costs at Initial Age</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_Toc211440067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18</w:t>
            </w:r>
            <w:r w:rsidRPr="00651543">
              <w:rPr>
                <w:rFonts w:ascii="Times New Roman" w:hAnsi="Times New Roman" w:cs="Times New Roman"/>
                <w:noProof/>
                <w:webHidden/>
                <w:sz w:val="24"/>
                <w:szCs w:val="24"/>
              </w:rPr>
              <w:fldChar w:fldCharType="end"/>
            </w:r>
          </w:hyperlink>
        </w:p>
        <w:p w14:paraId="10CAE839" w14:textId="61492708"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8" w:history="1">
            <w:r w:rsidRPr="00651543">
              <w:rPr>
                <w:rStyle w:val="af6"/>
                <w:rFonts w:ascii="Times New Roman" w:hAnsi="Times New Roman" w:cs="Times New Roman"/>
                <w:noProof/>
                <w:sz w:val="24"/>
                <w:szCs w:val="24"/>
              </w:rPr>
              <w:t>Table S6. Other Direct Medical Costs</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_Toc211440068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19</w:t>
            </w:r>
            <w:r w:rsidRPr="00651543">
              <w:rPr>
                <w:rFonts w:ascii="Times New Roman" w:hAnsi="Times New Roman" w:cs="Times New Roman"/>
                <w:noProof/>
                <w:webHidden/>
                <w:sz w:val="24"/>
                <w:szCs w:val="24"/>
              </w:rPr>
              <w:fldChar w:fldCharType="end"/>
            </w:r>
          </w:hyperlink>
        </w:p>
        <w:p w14:paraId="533B9DDC" w14:textId="3A2D3C9E"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69" w:history="1">
            <w:r w:rsidRPr="00651543">
              <w:rPr>
                <w:rStyle w:val="af6"/>
                <w:rFonts w:ascii="Times New Roman" w:hAnsi="Times New Roman" w:cs="Times New Roman"/>
                <w:noProof/>
                <w:sz w:val="24"/>
                <w:szCs w:val="24"/>
              </w:rPr>
              <w:t>Table S7: Parameters and Distributions for Probabilistic Sensitivity Analysis (PSA)</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_Toc211440069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19</w:t>
            </w:r>
            <w:r w:rsidRPr="00651543">
              <w:rPr>
                <w:rFonts w:ascii="Times New Roman" w:hAnsi="Times New Roman" w:cs="Times New Roman"/>
                <w:noProof/>
                <w:webHidden/>
                <w:sz w:val="24"/>
                <w:szCs w:val="24"/>
              </w:rPr>
              <w:fldChar w:fldCharType="end"/>
            </w:r>
          </w:hyperlink>
        </w:p>
        <w:p w14:paraId="3123E1E1" w14:textId="0CA4F5C0" w:rsidR="00D10311" w:rsidRPr="00651543" w:rsidRDefault="00D10311">
          <w:pPr>
            <w:pStyle w:val="TOC3"/>
            <w:tabs>
              <w:tab w:val="right" w:leader="dot" w:pos="8296"/>
            </w:tabs>
            <w:rPr>
              <w:rFonts w:ascii="Times New Roman" w:eastAsiaTheme="minorEastAsia" w:hAnsi="Times New Roman" w:cs="Times New Roman"/>
              <w:i w:val="0"/>
              <w:iCs w:val="0"/>
              <w:noProof/>
              <w:kern w:val="2"/>
              <w:sz w:val="24"/>
              <w:szCs w:val="24"/>
              <w14:ligatures w14:val="standardContextual"/>
            </w:rPr>
          </w:pPr>
          <w:hyperlink w:anchor="_Toc211440070" w:history="1">
            <w:r w:rsidRPr="00651543">
              <w:rPr>
                <w:rStyle w:val="af6"/>
                <w:rFonts w:ascii="Times New Roman" w:hAnsi="Times New Roman" w:cs="Times New Roman"/>
                <w:noProof/>
                <w:sz w:val="24"/>
                <w:szCs w:val="24"/>
              </w:rPr>
              <w:t>Table S8. Scenario Analysis of Total Life Years, QALYs, and Direct Medical Costs for Prophylactic Treatment with rAHF-PFM and BAY 81-8973 at Different Time Horizons</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_Toc211440070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21</w:t>
            </w:r>
            <w:r w:rsidRPr="00651543">
              <w:rPr>
                <w:rFonts w:ascii="Times New Roman" w:hAnsi="Times New Roman" w:cs="Times New Roman"/>
                <w:noProof/>
                <w:webHidden/>
                <w:sz w:val="24"/>
                <w:szCs w:val="24"/>
              </w:rPr>
              <w:fldChar w:fldCharType="end"/>
            </w:r>
          </w:hyperlink>
        </w:p>
        <w:p w14:paraId="489D503A" w14:textId="7AE06B73" w:rsidR="00D10311" w:rsidRPr="00651543" w:rsidRDefault="00D10311">
          <w:pPr>
            <w:pStyle w:val="TOC2"/>
            <w:tabs>
              <w:tab w:val="right" w:leader="dot" w:pos="8296"/>
            </w:tabs>
            <w:rPr>
              <w:rFonts w:ascii="Times New Roman" w:eastAsiaTheme="minorEastAsia" w:hAnsi="Times New Roman" w:cs="Times New Roman"/>
              <w:smallCaps w:val="0"/>
              <w:noProof/>
              <w:kern w:val="2"/>
              <w:sz w:val="24"/>
              <w:szCs w:val="24"/>
              <w14:ligatures w14:val="standardContextual"/>
            </w:rPr>
          </w:pPr>
          <w:hyperlink w:anchor="_Toc211440071" w:history="1">
            <w:r w:rsidRPr="00651543">
              <w:rPr>
                <w:rStyle w:val="af6"/>
                <w:rFonts w:ascii="Times New Roman" w:hAnsi="Times New Roman" w:cs="Times New Roman"/>
                <w:noProof/>
                <w:sz w:val="24"/>
                <w:szCs w:val="24"/>
              </w:rPr>
              <w:t>Reference</w:t>
            </w:r>
            <w:r w:rsidRPr="00651543">
              <w:rPr>
                <w:rFonts w:ascii="Times New Roman" w:hAnsi="Times New Roman" w:cs="Times New Roman"/>
                <w:noProof/>
                <w:webHidden/>
                <w:sz w:val="24"/>
                <w:szCs w:val="24"/>
              </w:rPr>
              <w:tab/>
            </w:r>
            <w:r w:rsidRPr="00651543">
              <w:rPr>
                <w:rFonts w:ascii="Times New Roman" w:hAnsi="Times New Roman" w:cs="Times New Roman"/>
                <w:noProof/>
                <w:webHidden/>
                <w:sz w:val="24"/>
                <w:szCs w:val="24"/>
              </w:rPr>
              <w:fldChar w:fldCharType="begin"/>
            </w:r>
            <w:r w:rsidRPr="00651543">
              <w:rPr>
                <w:rFonts w:ascii="Times New Roman" w:hAnsi="Times New Roman" w:cs="Times New Roman"/>
                <w:noProof/>
                <w:webHidden/>
                <w:sz w:val="24"/>
                <w:szCs w:val="24"/>
              </w:rPr>
              <w:instrText xml:space="preserve"> PAGEREF _Toc211440071 \h </w:instrText>
            </w:r>
            <w:r w:rsidRPr="00651543">
              <w:rPr>
                <w:rFonts w:ascii="Times New Roman" w:hAnsi="Times New Roman" w:cs="Times New Roman"/>
                <w:noProof/>
                <w:webHidden/>
                <w:sz w:val="24"/>
                <w:szCs w:val="24"/>
              </w:rPr>
            </w:r>
            <w:r w:rsidRPr="00651543">
              <w:rPr>
                <w:rFonts w:ascii="Times New Roman" w:hAnsi="Times New Roman" w:cs="Times New Roman"/>
                <w:noProof/>
                <w:webHidden/>
                <w:sz w:val="24"/>
                <w:szCs w:val="24"/>
              </w:rPr>
              <w:fldChar w:fldCharType="separate"/>
            </w:r>
            <w:r w:rsidR="00B913C3">
              <w:rPr>
                <w:rFonts w:ascii="Times New Roman" w:hAnsi="Times New Roman" w:cs="Times New Roman"/>
                <w:noProof/>
                <w:webHidden/>
                <w:sz w:val="24"/>
                <w:szCs w:val="24"/>
              </w:rPr>
              <w:t>22</w:t>
            </w:r>
            <w:r w:rsidRPr="00651543">
              <w:rPr>
                <w:rFonts w:ascii="Times New Roman" w:hAnsi="Times New Roman" w:cs="Times New Roman"/>
                <w:noProof/>
                <w:webHidden/>
                <w:sz w:val="24"/>
                <w:szCs w:val="24"/>
              </w:rPr>
              <w:fldChar w:fldCharType="end"/>
            </w:r>
          </w:hyperlink>
        </w:p>
        <w:p w14:paraId="74B0D8B8" w14:textId="1B200178" w:rsidR="00A12818" w:rsidRDefault="00A12818">
          <w:r w:rsidRPr="00D10311">
            <w:rPr>
              <w:rFonts w:ascii="Times New Roman" w:hAnsi="Times New Roman" w:cs="Times New Roman"/>
              <w:b/>
              <w:bCs/>
              <w:noProof/>
            </w:rPr>
            <w:fldChar w:fldCharType="end"/>
          </w:r>
        </w:p>
      </w:sdtContent>
    </w:sdt>
    <w:p w14:paraId="1972FB26" w14:textId="77777777" w:rsidR="002D5FB5" w:rsidRPr="007B7507" w:rsidRDefault="002D5FB5" w:rsidP="007B7507">
      <w:pPr>
        <w:rPr>
          <w:rFonts w:ascii="Times New Roman" w:hAnsi="Times New Roman" w:cs="Times New Roman"/>
        </w:rPr>
      </w:pPr>
    </w:p>
    <w:p w14:paraId="4B193B98" w14:textId="77777777" w:rsidR="007B7507" w:rsidRDefault="007B7507">
      <w:pPr>
        <w:rPr>
          <w:rFonts w:ascii="Times New Roman" w:hAnsi="Times New Roman" w:cs="Times New Roman"/>
          <w:b/>
          <w:bCs/>
        </w:rPr>
      </w:pPr>
      <w:r>
        <w:br w:type="page"/>
      </w:r>
    </w:p>
    <w:p w14:paraId="22101DC6" w14:textId="77777777" w:rsidR="00A43BF9" w:rsidRPr="00D3109D" w:rsidRDefault="00D3109D" w:rsidP="00A22DF8">
      <w:pPr>
        <w:pStyle w:val="1"/>
        <w:spacing w:line="240" w:lineRule="auto"/>
        <w:jc w:val="both"/>
      </w:pPr>
      <w:bookmarkStart w:id="0" w:name="_Toc200988906"/>
      <w:bookmarkStart w:id="1" w:name="_Toc211440052"/>
      <w:r w:rsidRPr="00D3109D">
        <w:lastRenderedPageBreak/>
        <w:t>Methods and Results of the Systematic Literature Review</w:t>
      </w:r>
      <w:bookmarkEnd w:id="0"/>
      <w:bookmarkEnd w:id="1"/>
    </w:p>
    <w:p w14:paraId="5F52E974" w14:textId="77777777" w:rsidR="00D3109D" w:rsidRPr="00EC571E" w:rsidRDefault="00D3109D" w:rsidP="00A22DF8">
      <w:pPr>
        <w:pStyle w:val="2"/>
      </w:pPr>
      <w:bookmarkStart w:id="2" w:name="_Toc200988907"/>
      <w:bookmarkStart w:id="3" w:name="_Toc211440053"/>
      <w:r w:rsidRPr="00EC571E">
        <w:t>1. Objective and Scope</w:t>
      </w:r>
      <w:bookmarkEnd w:id="2"/>
      <w:bookmarkEnd w:id="3"/>
    </w:p>
    <w:p w14:paraId="0AD2EDA5" w14:textId="77777777" w:rsidR="00D3109D" w:rsidRPr="00D3109D" w:rsidRDefault="00D3109D" w:rsidP="00A22DF8">
      <w:pPr>
        <w:pStyle w:val="p3"/>
        <w:jc w:val="both"/>
        <w:rPr>
          <w:rFonts w:ascii="Times New Roman" w:hAnsi="Times New Roman" w:cs="Times New Roman"/>
        </w:rPr>
      </w:pPr>
      <w:r w:rsidRPr="00D3109D">
        <w:rPr>
          <w:rFonts w:ascii="Times New Roman" w:hAnsi="Times New Roman" w:cs="Times New Roman"/>
        </w:rPr>
        <w:t>This systematic literature review (SLR) was conducted to inform the key parameters of the economic model, including cohort baseline characteristics, clinical efficacy, disease progression, health-related quality of life (HRQoL), and cost inputs for previously untreated patients (PUPs) with severe hemophilia A receiving prophylactic treatment with recombinant factor VIII (rFVIII).</w:t>
      </w:r>
    </w:p>
    <w:p w14:paraId="58F39900" w14:textId="77777777" w:rsidR="00D3109D" w:rsidRPr="00D3109D" w:rsidRDefault="00D3109D" w:rsidP="00A22DF8">
      <w:pPr>
        <w:pStyle w:val="2"/>
      </w:pPr>
      <w:bookmarkStart w:id="4" w:name="_Toc200988908"/>
      <w:bookmarkStart w:id="5" w:name="_Toc211440054"/>
      <w:r w:rsidRPr="00D3109D">
        <w:t>2. Data Sources and Search Strategy</w:t>
      </w:r>
      <w:bookmarkEnd w:id="4"/>
      <w:bookmarkEnd w:id="5"/>
    </w:p>
    <w:p w14:paraId="14416879" w14:textId="77777777" w:rsidR="00D3109D" w:rsidRPr="00D3109D" w:rsidRDefault="00D3109D" w:rsidP="00A22DF8">
      <w:pPr>
        <w:pStyle w:val="p3"/>
        <w:jc w:val="both"/>
        <w:rPr>
          <w:rFonts w:ascii="Times New Roman" w:hAnsi="Times New Roman" w:cs="Times New Roman"/>
        </w:rPr>
      </w:pPr>
      <w:r w:rsidRPr="00D3109D">
        <w:rPr>
          <w:rFonts w:ascii="Times New Roman" w:hAnsi="Times New Roman" w:cs="Times New Roman"/>
        </w:rPr>
        <w:t>A comprehensive literature search was conducted across seven major databases, including four English-language databases (MEDLINE, Embase, Web of Science, Cochrane Library) and three Chinese-language databases (CNKI, WANFANG, VIP).</w:t>
      </w:r>
    </w:p>
    <w:p w14:paraId="2C51AAC6" w14:textId="77777777" w:rsidR="00D3109D" w:rsidRPr="00D3109D" w:rsidRDefault="00D3109D" w:rsidP="00A22DF8">
      <w:pPr>
        <w:pStyle w:val="p1"/>
        <w:numPr>
          <w:ilvl w:val="0"/>
          <w:numId w:val="1"/>
        </w:numPr>
        <w:jc w:val="both"/>
        <w:rPr>
          <w:rFonts w:ascii="Times New Roman" w:hAnsi="Times New Roman" w:cs="Times New Roman"/>
        </w:rPr>
      </w:pPr>
      <w:r w:rsidRPr="00D3109D">
        <w:rPr>
          <w:rFonts w:ascii="Times New Roman" w:hAnsi="Times New Roman" w:cs="Times New Roman"/>
          <w:b/>
          <w:bCs/>
        </w:rPr>
        <w:t>Search Timeframe</w:t>
      </w:r>
      <w:r w:rsidRPr="00D3109D">
        <w:rPr>
          <w:rStyle w:val="s1"/>
          <w:rFonts w:ascii="Times New Roman" w:hAnsi="Times New Roman" w:cs="Times New Roman"/>
        </w:rPr>
        <w:t>:</w:t>
      </w:r>
    </w:p>
    <w:p w14:paraId="541125FA" w14:textId="77777777" w:rsidR="00D3109D" w:rsidRPr="00D3109D" w:rsidRDefault="00D3109D" w:rsidP="00A22DF8">
      <w:pPr>
        <w:pStyle w:val="p1"/>
        <w:numPr>
          <w:ilvl w:val="1"/>
          <w:numId w:val="1"/>
        </w:numPr>
        <w:jc w:val="both"/>
        <w:rPr>
          <w:rFonts w:ascii="Times New Roman" w:hAnsi="Times New Roman" w:cs="Times New Roman"/>
        </w:rPr>
      </w:pPr>
      <w:r w:rsidRPr="00D3109D">
        <w:rPr>
          <w:rFonts w:ascii="Times New Roman" w:hAnsi="Times New Roman" w:cs="Times New Roman"/>
        </w:rPr>
        <w:t>Clinical efficacy of rFVIII: from January 1, 2000, to July 7, 2023.</w:t>
      </w:r>
    </w:p>
    <w:p w14:paraId="30EABC91" w14:textId="77777777" w:rsidR="00D3109D" w:rsidRPr="00D3109D" w:rsidRDefault="00D3109D" w:rsidP="00A22DF8">
      <w:pPr>
        <w:pStyle w:val="p1"/>
        <w:numPr>
          <w:ilvl w:val="1"/>
          <w:numId w:val="1"/>
        </w:numPr>
        <w:jc w:val="both"/>
        <w:rPr>
          <w:rFonts w:ascii="Times New Roman" w:hAnsi="Times New Roman" w:cs="Times New Roman"/>
        </w:rPr>
      </w:pPr>
      <w:r w:rsidRPr="00D3109D">
        <w:rPr>
          <w:rFonts w:ascii="Times New Roman" w:hAnsi="Times New Roman" w:cs="Times New Roman"/>
        </w:rPr>
        <w:t>Other model parameters: studies published within the last 10 years</w:t>
      </w:r>
      <w:r>
        <w:rPr>
          <w:rFonts w:ascii="Times New Roman" w:hAnsi="Times New Roman" w:cs="Times New Roman"/>
        </w:rPr>
        <w:t xml:space="preserve"> (2013-2023)</w:t>
      </w:r>
      <w:r w:rsidRPr="00D3109D">
        <w:rPr>
          <w:rFonts w:ascii="Times New Roman" w:hAnsi="Times New Roman" w:cs="Times New Roman"/>
        </w:rPr>
        <w:t>.</w:t>
      </w:r>
    </w:p>
    <w:p w14:paraId="3850CADC" w14:textId="77777777" w:rsidR="00D3109D" w:rsidRPr="00D3109D" w:rsidRDefault="00D3109D" w:rsidP="00A22DF8">
      <w:pPr>
        <w:pStyle w:val="p1"/>
        <w:numPr>
          <w:ilvl w:val="0"/>
          <w:numId w:val="1"/>
        </w:numPr>
        <w:jc w:val="both"/>
        <w:rPr>
          <w:rFonts w:ascii="Times New Roman" w:hAnsi="Times New Roman" w:cs="Times New Roman"/>
        </w:rPr>
      </w:pPr>
      <w:r w:rsidRPr="00D3109D">
        <w:rPr>
          <w:rFonts w:ascii="Times New Roman" w:hAnsi="Times New Roman" w:cs="Times New Roman"/>
          <w:b/>
          <w:bCs/>
        </w:rPr>
        <w:t>Geographic limitations</w:t>
      </w:r>
      <w:r w:rsidRPr="00D3109D">
        <w:rPr>
          <w:rStyle w:val="s1"/>
          <w:rFonts w:ascii="Times New Roman" w:hAnsi="Times New Roman" w:cs="Times New Roman"/>
        </w:rPr>
        <w:t>:</w:t>
      </w:r>
    </w:p>
    <w:p w14:paraId="0E833F01" w14:textId="77777777" w:rsidR="00D3109D" w:rsidRPr="00D3109D" w:rsidRDefault="00D3109D" w:rsidP="00A22DF8">
      <w:pPr>
        <w:pStyle w:val="p1"/>
        <w:numPr>
          <w:ilvl w:val="1"/>
          <w:numId w:val="1"/>
        </w:numPr>
        <w:jc w:val="both"/>
        <w:rPr>
          <w:rFonts w:ascii="Times New Roman" w:hAnsi="Times New Roman" w:cs="Times New Roman"/>
        </w:rPr>
      </w:pPr>
      <w:r w:rsidRPr="00D3109D">
        <w:rPr>
          <w:rFonts w:ascii="Times New Roman" w:hAnsi="Times New Roman" w:cs="Times New Roman"/>
        </w:rPr>
        <w:t>Cohort characteristics, treatment patterns, and direct medical costs: limited to China.</w:t>
      </w:r>
    </w:p>
    <w:p w14:paraId="5C14BE1D" w14:textId="77777777" w:rsidR="00D3109D" w:rsidRPr="00D3109D" w:rsidRDefault="00D3109D" w:rsidP="00A22DF8">
      <w:pPr>
        <w:pStyle w:val="p1"/>
        <w:numPr>
          <w:ilvl w:val="1"/>
          <w:numId w:val="1"/>
        </w:numPr>
        <w:jc w:val="both"/>
        <w:rPr>
          <w:rFonts w:ascii="Times New Roman" w:hAnsi="Times New Roman" w:cs="Times New Roman"/>
        </w:rPr>
      </w:pPr>
      <w:r w:rsidRPr="00D3109D">
        <w:rPr>
          <w:rFonts w:ascii="Times New Roman" w:hAnsi="Times New Roman" w:cs="Times New Roman"/>
        </w:rPr>
        <w:t>Disease progression: limited to East Asia.</w:t>
      </w:r>
    </w:p>
    <w:p w14:paraId="22CE3395" w14:textId="77777777" w:rsidR="00D3109D" w:rsidRPr="00D3109D" w:rsidRDefault="00D3109D" w:rsidP="00A22DF8">
      <w:pPr>
        <w:pStyle w:val="p1"/>
        <w:numPr>
          <w:ilvl w:val="1"/>
          <w:numId w:val="1"/>
        </w:numPr>
        <w:jc w:val="both"/>
        <w:rPr>
          <w:rFonts w:ascii="Times New Roman" w:hAnsi="Times New Roman" w:cs="Times New Roman"/>
        </w:rPr>
      </w:pPr>
      <w:r w:rsidRPr="00D3109D">
        <w:rPr>
          <w:rFonts w:ascii="Times New Roman" w:hAnsi="Times New Roman" w:cs="Times New Roman"/>
        </w:rPr>
        <w:t>Clinical efficacy and HRQoL: no regional restriction.</w:t>
      </w:r>
    </w:p>
    <w:p w14:paraId="5B9D94D3" w14:textId="190AA56F" w:rsidR="00D3109D" w:rsidRPr="00D3109D" w:rsidRDefault="00D3109D" w:rsidP="00A22DF8">
      <w:pPr>
        <w:pStyle w:val="p3"/>
        <w:jc w:val="both"/>
        <w:rPr>
          <w:rFonts w:ascii="Times New Roman" w:hAnsi="Times New Roman" w:cs="Times New Roman"/>
        </w:rPr>
      </w:pPr>
      <w:r w:rsidRPr="00D3109D">
        <w:rPr>
          <w:rFonts w:ascii="Times New Roman" w:hAnsi="Times New Roman" w:cs="Times New Roman"/>
        </w:rPr>
        <w:t xml:space="preserve">The full search strategies and results are presented in </w:t>
      </w:r>
      <w:r w:rsidRPr="00A727D8">
        <w:rPr>
          <w:rFonts w:ascii="Times New Roman" w:hAnsi="Times New Roman" w:cs="Times New Roman"/>
          <w:i/>
          <w:iCs/>
        </w:rPr>
        <w:t>Supplementary Table S1</w:t>
      </w:r>
      <w:r w:rsidRPr="00D3109D">
        <w:rPr>
          <w:rFonts w:ascii="Times New Roman" w:hAnsi="Times New Roman" w:cs="Times New Roman"/>
        </w:rPr>
        <w:t>.</w:t>
      </w:r>
      <w:r w:rsidR="007A02DE">
        <w:rPr>
          <w:rFonts w:ascii="Times New Roman" w:hAnsi="Times New Roman" w:cs="Times New Roman" w:hint="eastAsia"/>
        </w:rPr>
        <w:t xml:space="preserve"> </w:t>
      </w:r>
      <w:r w:rsidR="007A02DE" w:rsidRPr="007A02DE">
        <w:rPr>
          <w:rFonts w:ascii="Times New Roman" w:hAnsi="Times New Roman" w:cs="Times New Roman"/>
        </w:rPr>
        <w:t>Due to space and language limitations, only the search strategies and results from three databases—MEDLINE, EMBASE, and Web of Science—are shown.</w:t>
      </w:r>
    </w:p>
    <w:p w14:paraId="4763373F" w14:textId="77777777" w:rsidR="00D3109D" w:rsidRPr="00D3109D" w:rsidRDefault="00D3109D" w:rsidP="00A22DF8">
      <w:pPr>
        <w:pStyle w:val="2"/>
      </w:pPr>
      <w:bookmarkStart w:id="6" w:name="_Toc200988909"/>
      <w:bookmarkStart w:id="7" w:name="_Toc211440055"/>
      <w:r w:rsidRPr="00D3109D">
        <w:t>3. Inclusion and Exclusion Criteria</w:t>
      </w:r>
      <w:bookmarkEnd w:id="6"/>
      <w:bookmarkEnd w:id="7"/>
    </w:p>
    <w:p w14:paraId="444B4880" w14:textId="77777777" w:rsidR="00D3109D" w:rsidRPr="00D3109D" w:rsidRDefault="00D3109D" w:rsidP="00A22DF8">
      <w:pPr>
        <w:pStyle w:val="p4"/>
        <w:jc w:val="both"/>
        <w:rPr>
          <w:rFonts w:ascii="Times New Roman" w:hAnsi="Times New Roman" w:cs="Times New Roman"/>
        </w:rPr>
      </w:pPr>
      <w:r w:rsidRPr="00D3109D">
        <w:rPr>
          <w:rFonts w:ascii="Times New Roman" w:hAnsi="Times New Roman" w:cs="Times New Roman"/>
          <w:b/>
          <w:bCs/>
        </w:rPr>
        <w:t>Inclusion Criteria</w:t>
      </w:r>
      <w:r w:rsidRPr="00D3109D">
        <w:rPr>
          <w:rStyle w:val="s2"/>
          <w:rFonts w:ascii="Times New Roman" w:hAnsi="Times New Roman" w:cs="Times New Roman"/>
        </w:rPr>
        <w:t>:</w:t>
      </w:r>
    </w:p>
    <w:p w14:paraId="17291D76" w14:textId="77777777" w:rsidR="00D3109D" w:rsidRPr="00D3109D" w:rsidRDefault="00D3109D" w:rsidP="00A22DF8">
      <w:pPr>
        <w:pStyle w:val="p1"/>
        <w:numPr>
          <w:ilvl w:val="0"/>
          <w:numId w:val="2"/>
        </w:numPr>
        <w:jc w:val="both"/>
        <w:rPr>
          <w:rFonts w:ascii="Times New Roman" w:hAnsi="Times New Roman" w:cs="Times New Roman"/>
        </w:rPr>
      </w:pPr>
      <w:r w:rsidRPr="00D3109D">
        <w:rPr>
          <w:rFonts w:ascii="Times New Roman" w:hAnsi="Times New Roman" w:cs="Times New Roman"/>
        </w:rPr>
        <w:t>Original research articles.</w:t>
      </w:r>
    </w:p>
    <w:p w14:paraId="1F5BEBDF" w14:textId="77777777" w:rsidR="00D3109D" w:rsidRPr="00D3109D" w:rsidRDefault="00D3109D" w:rsidP="00A22DF8">
      <w:pPr>
        <w:pStyle w:val="p1"/>
        <w:numPr>
          <w:ilvl w:val="0"/>
          <w:numId w:val="2"/>
        </w:numPr>
        <w:jc w:val="both"/>
        <w:rPr>
          <w:rFonts w:ascii="Times New Roman" w:hAnsi="Times New Roman" w:cs="Times New Roman"/>
        </w:rPr>
      </w:pPr>
      <w:r w:rsidRPr="00D3109D">
        <w:rPr>
          <w:rFonts w:ascii="Times New Roman" w:hAnsi="Times New Roman" w:cs="Times New Roman"/>
        </w:rPr>
        <w:t>Target population: patients with hemophilia A.</w:t>
      </w:r>
    </w:p>
    <w:p w14:paraId="24747FBD" w14:textId="77777777" w:rsidR="00D3109D" w:rsidRPr="00D3109D" w:rsidRDefault="00D3109D" w:rsidP="00A22DF8">
      <w:pPr>
        <w:pStyle w:val="p1"/>
        <w:numPr>
          <w:ilvl w:val="0"/>
          <w:numId w:val="2"/>
        </w:numPr>
        <w:jc w:val="both"/>
        <w:rPr>
          <w:rFonts w:ascii="Times New Roman" w:hAnsi="Times New Roman" w:cs="Times New Roman"/>
        </w:rPr>
      </w:pPr>
      <w:r w:rsidRPr="00D3109D">
        <w:rPr>
          <w:rFonts w:ascii="Times New Roman" w:hAnsi="Times New Roman" w:cs="Times New Roman"/>
        </w:rPr>
        <w:t>Use of rFVIII products approved in China (e.g., Advate, Kovaltry, etc.).</w:t>
      </w:r>
    </w:p>
    <w:p w14:paraId="24553234" w14:textId="77777777" w:rsidR="00D3109D" w:rsidRPr="00D3109D" w:rsidRDefault="00D3109D" w:rsidP="00A22DF8">
      <w:pPr>
        <w:pStyle w:val="p1"/>
        <w:numPr>
          <w:ilvl w:val="0"/>
          <w:numId w:val="2"/>
        </w:numPr>
        <w:jc w:val="both"/>
        <w:rPr>
          <w:rFonts w:ascii="Times New Roman" w:hAnsi="Times New Roman" w:cs="Times New Roman"/>
        </w:rPr>
      </w:pPr>
      <w:r w:rsidRPr="00D3109D">
        <w:rPr>
          <w:rFonts w:ascii="Times New Roman" w:hAnsi="Times New Roman" w:cs="Times New Roman"/>
        </w:rPr>
        <w:t>Reported outcomes relevant to model parameters (e.g., inhibitor incidence, ABR, costs).</w:t>
      </w:r>
    </w:p>
    <w:p w14:paraId="7373C5BC" w14:textId="77777777" w:rsidR="00D3109D" w:rsidRPr="00D3109D" w:rsidRDefault="00D3109D" w:rsidP="00A22DF8">
      <w:pPr>
        <w:pStyle w:val="p4"/>
        <w:jc w:val="both"/>
        <w:rPr>
          <w:rFonts w:ascii="Times New Roman" w:hAnsi="Times New Roman" w:cs="Times New Roman"/>
        </w:rPr>
      </w:pPr>
      <w:r w:rsidRPr="00D3109D">
        <w:rPr>
          <w:rFonts w:ascii="Times New Roman" w:hAnsi="Times New Roman" w:cs="Times New Roman"/>
          <w:b/>
          <w:bCs/>
        </w:rPr>
        <w:t>Exclusion Criteria</w:t>
      </w:r>
      <w:r w:rsidRPr="00D3109D">
        <w:rPr>
          <w:rStyle w:val="s2"/>
          <w:rFonts w:ascii="Times New Roman" w:hAnsi="Times New Roman" w:cs="Times New Roman"/>
        </w:rPr>
        <w:t>:</w:t>
      </w:r>
    </w:p>
    <w:p w14:paraId="3B75BD20" w14:textId="77777777" w:rsidR="00D3109D" w:rsidRPr="00D3109D" w:rsidRDefault="00D3109D" w:rsidP="00A22DF8">
      <w:pPr>
        <w:pStyle w:val="p1"/>
        <w:numPr>
          <w:ilvl w:val="0"/>
          <w:numId w:val="3"/>
        </w:numPr>
        <w:jc w:val="both"/>
        <w:rPr>
          <w:rFonts w:ascii="Times New Roman" w:hAnsi="Times New Roman" w:cs="Times New Roman"/>
        </w:rPr>
      </w:pPr>
      <w:r w:rsidRPr="00D3109D">
        <w:rPr>
          <w:rFonts w:ascii="Times New Roman" w:hAnsi="Times New Roman" w:cs="Times New Roman"/>
        </w:rPr>
        <w:t>Non-original research (e.g., reviews).</w:t>
      </w:r>
    </w:p>
    <w:p w14:paraId="2EE549F8" w14:textId="77777777" w:rsidR="00D3109D" w:rsidRPr="00D3109D" w:rsidRDefault="00D3109D" w:rsidP="00A22DF8">
      <w:pPr>
        <w:pStyle w:val="p1"/>
        <w:numPr>
          <w:ilvl w:val="0"/>
          <w:numId w:val="3"/>
        </w:numPr>
        <w:jc w:val="both"/>
        <w:rPr>
          <w:rFonts w:ascii="Times New Roman" w:hAnsi="Times New Roman" w:cs="Times New Roman"/>
        </w:rPr>
      </w:pPr>
      <w:r w:rsidRPr="00D3109D">
        <w:rPr>
          <w:rFonts w:ascii="Times New Roman" w:hAnsi="Times New Roman" w:cs="Times New Roman"/>
        </w:rPr>
        <w:t>Non-observational designs (for cohort and cost parameters).</w:t>
      </w:r>
    </w:p>
    <w:p w14:paraId="2D5384AA" w14:textId="77777777" w:rsidR="00D3109D" w:rsidRPr="00D3109D" w:rsidRDefault="00D3109D" w:rsidP="00A22DF8">
      <w:pPr>
        <w:pStyle w:val="p1"/>
        <w:numPr>
          <w:ilvl w:val="0"/>
          <w:numId w:val="3"/>
        </w:numPr>
        <w:jc w:val="both"/>
        <w:rPr>
          <w:rFonts w:ascii="Times New Roman" w:hAnsi="Times New Roman" w:cs="Times New Roman"/>
        </w:rPr>
      </w:pPr>
      <w:r w:rsidRPr="00D3109D">
        <w:rPr>
          <w:rFonts w:ascii="Times New Roman" w:hAnsi="Times New Roman" w:cs="Times New Roman"/>
        </w:rPr>
        <w:lastRenderedPageBreak/>
        <w:t>Inappropriate population (e.g., patients with inhibitors in efficacy studies of prophylaxis).</w:t>
      </w:r>
    </w:p>
    <w:p w14:paraId="781531DD" w14:textId="77777777" w:rsidR="00D3109D" w:rsidRDefault="00D3109D" w:rsidP="00A22DF8">
      <w:pPr>
        <w:pStyle w:val="p1"/>
        <w:numPr>
          <w:ilvl w:val="0"/>
          <w:numId w:val="3"/>
        </w:numPr>
        <w:jc w:val="both"/>
        <w:rPr>
          <w:rFonts w:ascii="Times New Roman" w:hAnsi="Times New Roman" w:cs="Times New Roman"/>
        </w:rPr>
      </w:pPr>
      <w:r w:rsidRPr="00D3109D">
        <w:rPr>
          <w:rFonts w:ascii="Times New Roman" w:hAnsi="Times New Roman" w:cs="Times New Roman"/>
        </w:rPr>
        <w:t>Inadequate reporting of relevant parameter data.</w:t>
      </w:r>
    </w:p>
    <w:p w14:paraId="6026EFC2" w14:textId="77777777" w:rsidR="007B7507" w:rsidRPr="00D3109D" w:rsidRDefault="007B7507" w:rsidP="007B7507">
      <w:pPr>
        <w:pStyle w:val="p1"/>
        <w:ind w:left="360"/>
        <w:jc w:val="both"/>
        <w:rPr>
          <w:rFonts w:ascii="Times New Roman" w:hAnsi="Times New Roman" w:cs="Times New Roman"/>
        </w:rPr>
      </w:pPr>
      <w:r w:rsidRPr="007B7507">
        <w:rPr>
          <w:rFonts w:ascii="Times New Roman" w:hAnsi="Times New Roman" w:cs="Times New Roman"/>
        </w:rPr>
        <w:t xml:space="preserve">A total of 104 studies were included after performing systematic searches and screening across both English and Chinese databases. The literature search and screening process is illustrated in </w:t>
      </w:r>
      <w:r w:rsidR="00922563" w:rsidRPr="0067426D">
        <w:rPr>
          <w:rFonts w:ascii="Times New Roman" w:hAnsi="Times New Roman" w:cs="Times New Roman"/>
          <w:i/>
          <w:iCs/>
        </w:rPr>
        <w:t xml:space="preserve">Supplementary </w:t>
      </w:r>
      <w:r w:rsidRPr="0067426D">
        <w:rPr>
          <w:rFonts w:ascii="Times New Roman" w:hAnsi="Times New Roman" w:cs="Times New Roman"/>
          <w:i/>
          <w:iCs/>
        </w:rPr>
        <w:t>Figure S1</w:t>
      </w:r>
      <w:r w:rsidRPr="007B7507">
        <w:rPr>
          <w:rFonts w:ascii="Times New Roman" w:hAnsi="Times New Roman" w:cs="Times New Roman"/>
        </w:rPr>
        <w:t xml:space="preserve"> using a PRISMA flow diagram.</w:t>
      </w:r>
    </w:p>
    <w:p w14:paraId="50C8C4B6" w14:textId="77777777" w:rsidR="00D3109D" w:rsidRPr="00D3109D" w:rsidRDefault="00D3109D" w:rsidP="00A22DF8">
      <w:pPr>
        <w:pStyle w:val="2"/>
      </w:pPr>
      <w:bookmarkStart w:id="8" w:name="_Toc200988910"/>
      <w:bookmarkStart w:id="9" w:name="_Toc211440056"/>
      <w:r w:rsidRPr="00D3109D">
        <w:t>4. Data Extraction</w:t>
      </w:r>
      <w:bookmarkEnd w:id="8"/>
      <w:bookmarkEnd w:id="9"/>
    </w:p>
    <w:p w14:paraId="412F4EC9" w14:textId="77777777" w:rsidR="00D3109D" w:rsidRPr="00D3109D" w:rsidRDefault="00D3109D" w:rsidP="00A22DF8">
      <w:pPr>
        <w:pStyle w:val="p3"/>
        <w:jc w:val="both"/>
        <w:rPr>
          <w:rFonts w:ascii="Times New Roman" w:hAnsi="Times New Roman" w:cs="Times New Roman"/>
        </w:rPr>
      </w:pPr>
      <w:r w:rsidRPr="00D3109D">
        <w:rPr>
          <w:rFonts w:ascii="Times New Roman" w:hAnsi="Times New Roman" w:cs="Times New Roman"/>
        </w:rPr>
        <w:t xml:space="preserve">Data extraction forms were developed to align with model input requirements. </w:t>
      </w:r>
      <w:r w:rsidR="003F7D5D" w:rsidRPr="003F7D5D">
        <w:rPr>
          <w:rFonts w:ascii="Times New Roman" w:hAnsi="Times New Roman" w:cs="Times New Roman"/>
        </w:rPr>
        <w:t>The primary extracted outcomes included</w:t>
      </w:r>
      <w:r w:rsidRPr="00D3109D">
        <w:rPr>
          <w:rFonts w:ascii="Times New Roman" w:hAnsi="Times New Roman" w:cs="Times New Roman"/>
        </w:rPr>
        <w:t>:</w:t>
      </w:r>
    </w:p>
    <w:p w14:paraId="4EEE5899" w14:textId="77777777" w:rsidR="00D3109D" w:rsidRPr="00D3109D" w:rsidRDefault="00D3109D" w:rsidP="00A22DF8">
      <w:pPr>
        <w:pStyle w:val="p1"/>
        <w:numPr>
          <w:ilvl w:val="0"/>
          <w:numId w:val="4"/>
        </w:numPr>
        <w:jc w:val="both"/>
        <w:rPr>
          <w:rFonts w:ascii="Times New Roman" w:hAnsi="Times New Roman" w:cs="Times New Roman"/>
        </w:rPr>
      </w:pPr>
      <w:r w:rsidRPr="00D3109D">
        <w:rPr>
          <w:rStyle w:val="s1"/>
          <w:rFonts w:ascii="Times New Roman" w:hAnsi="Times New Roman" w:cs="Times New Roman"/>
          <w:b/>
          <w:bCs/>
        </w:rPr>
        <w:t>Study characteristics</w:t>
      </w:r>
      <w:r w:rsidRPr="00D3109D">
        <w:rPr>
          <w:rFonts w:ascii="Times New Roman" w:hAnsi="Times New Roman" w:cs="Times New Roman"/>
        </w:rPr>
        <w:t xml:space="preserve">: design, location, </w:t>
      </w:r>
      <w:r w:rsidR="003F7D5D">
        <w:rPr>
          <w:rFonts w:ascii="Times New Roman" w:hAnsi="Times New Roman" w:cs="Times New Roman"/>
        </w:rPr>
        <w:t>inclusion and exclusion criteria</w:t>
      </w:r>
      <w:r w:rsidRPr="00D3109D">
        <w:rPr>
          <w:rFonts w:ascii="Times New Roman" w:hAnsi="Times New Roman" w:cs="Times New Roman"/>
        </w:rPr>
        <w:t>.</w:t>
      </w:r>
    </w:p>
    <w:p w14:paraId="28C9CEC8" w14:textId="77777777" w:rsidR="00D3109D" w:rsidRPr="00D3109D" w:rsidRDefault="00D3109D" w:rsidP="00A22DF8">
      <w:pPr>
        <w:pStyle w:val="p1"/>
        <w:numPr>
          <w:ilvl w:val="0"/>
          <w:numId w:val="4"/>
        </w:numPr>
        <w:jc w:val="both"/>
        <w:rPr>
          <w:rFonts w:ascii="Times New Roman" w:hAnsi="Times New Roman" w:cs="Times New Roman"/>
        </w:rPr>
      </w:pPr>
      <w:r w:rsidRPr="00D3109D">
        <w:rPr>
          <w:rStyle w:val="s1"/>
          <w:rFonts w:ascii="Times New Roman" w:hAnsi="Times New Roman" w:cs="Times New Roman"/>
          <w:b/>
          <w:bCs/>
        </w:rPr>
        <w:t>Baseline characteristics</w:t>
      </w:r>
      <w:r w:rsidRPr="00D3109D">
        <w:rPr>
          <w:rFonts w:ascii="Times New Roman" w:hAnsi="Times New Roman" w:cs="Times New Roman"/>
        </w:rPr>
        <w:t xml:space="preserve">: </w:t>
      </w:r>
      <w:r w:rsidR="003F7D5D" w:rsidRPr="003F7D5D">
        <w:rPr>
          <w:rFonts w:ascii="Times New Roman" w:hAnsi="Times New Roman" w:cs="Times New Roman"/>
        </w:rPr>
        <w:t>definition of study population, sample size, demographic information (age, sex distribution, weight), and disease information (severity of hemophilia).</w:t>
      </w:r>
    </w:p>
    <w:p w14:paraId="610EA965" w14:textId="77777777" w:rsidR="00D3109D" w:rsidRPr="00D3109D" w:rsidRDefault="00D3109D" w:rsidP="00A22DF8">
      <w:pPr>
        <w:pStyle w:val="p1"/>
        <w:numPr>
          <w:ilvl w:val="0"/>
          <w:numId w:val="4"/>
        </w:numPr>
        <w:jc w:val="both"/>
        <w:rPr>
          <w:rFonts w:ascii="Times New Roman" w:hAnsi="Times New Roman" w:cs="Times New Roman"/>
        </w:rPr>
      </w:pPr>
      <w:r w:rsidRPr="00D3109D">
        <w:rPr>
          <w:rStyle w:val="s1"/>
          <w:rFonts w:ascii="Times New Roman" w:hAnsi="Times New Roman" w:cs="Times New Roman"/>
          <w:b/>
          <w:bCs/>
        </w:rPr>
        <w:t>Treatment information</w:t>
      </w:r>
      <w:r w:rsidRPr="00D3109D">
        <w:rPr>
          <w:rFonts w:ascii="Times New Roman" w:hAnsi="Times New Roman" w:cs="Times New Roman"/>
        </w:rPr>
        <w:t xml:space="preserve">: regimens, dosing, </w:t>
      </w:r>
      <w:r w:rsidR="003F7D5D">
        <w:rPr>
          <w:rFonts w:ascii="Times New Roman" w:hAnsi="Times New Roman" w:cs="Times New Roman" w:hint="eastAsia"/>
        </w:rPr>
        <w:t xml:space="preserve">frequency, </w:t>
      </w:r>
      <w:r w:rsidRPr="00D3109D">
        <w:rPr>
          <w:rFonts w:ascii="Times New Roman" w:hAnsi="Times New Roman" w:cs="Times New Roman"/>
        </w:rPr>
        <w:t>duration.</w:t>
      </w:r>
    </w:p>
    <w:p w14:paraId="0A856043" w14:textId="77777777" w:rsidR="003F7D5D" w:rsidRPr="003F7D5D" w:rsidRDefault="003F7D5D" w:rsidP="00A22DF8">
      <w:pPr>
        <w:pStyle w:val="p1"/>
        <w:numPr>
          <w:ilvl w:val="0"/>
          <w:numId w:val="4"/>
        </w:numPr>
        <w:jc w:val="both"/>
        <w:rPr>
          <w:rStyle w:val="s1"/>
          <w:rFonts w:ascii="Times New Roman" w:hAnsi="Times New Roman" w:cs="Times New Roman"/>
        </w:rPr>
      </w:pPr>
      <w:r w:rsidRPr="003F7D5D">
        <w:rPr>
          <w:rStyle w:val="s1"/>
          <w:rFonts w:ascii="Times New Roman" w:hAnsi="Times New Roman" w:cs="Times New Roman"/>
          <w:b/>
          <w:bCs/>
        </w:rPr>
        <w:t>Clinical efficacy outcomes of prophylactic therapy</w:t>
      </w:r>
      <w:r w:rsidRPr="003F7D5D">
        <w:rPr>
          <w:rStyle w:val="s1"/>
          <w:rFonts w:ascii="Times New Roman" w:hAnsi="Times New Roman" w:cs="Times New Roman"/>
        </w:rPr>
        <w:t>: inhibitor incidence rate, distribution of inhibitor titers, proportion of patients with bleeding, annual bleeding rate (ABR), and proportion of patients with different bleeding sites.</w:t>
      </w:r>
    </w:p>
    <w:p w14:paraId="39CA9247" w14:textId="77777777" w:rsidR="003F7D5D" w:rsidRPr="003F7D5D" w:rsidRDefault="003F7D5D" w:rsidP="00A22DF8">
      <w:pPr>
        <w:pStyle w:val="p1"/>
        <w:numPr>
          <w:ilvl w:val="0"/>
          <w:numId w:val="4"/>
        </w:numPr>
        <w:jc w:val="both"/>
        <w:rPr>
          <w:rStyle w:val="s1"/>
          <w:rFonts w:ascii="Times New Roman" w:hAnsi="Times New Roman" w:cs="Times New Roman"/>
        </w:rPr>
      </w:pPr>
      <w:r w:rsidRPr="003F7D5D">
        <w:rPr>
          <w:rStyle w:val="s1"/>
          <w:rFonts w:ascii="Times New Roman" w:hAnsi="Times New Roman" w:cs="Times New Roman"/>
          <w:b/>
          <w:bCs/>
        </w:rPr>
        <w:t>Clinical efficacy outcomes of inhibitor treatment</w:t>
      </w:r>
      <w:r w:rsidRPr="003F7D5D">
        <w:rPr>
          <w:rStyle w:val="s1"/>
          <w:rFonts w:ascii="Times New Roman" w:hAnsi="Times New Roman" w:cs="Times New Roman"/>
        </w:rPr>
        <w:t>: inhibitor eradication success rate, proportion of patients with bleeding, and ABR.</w:t>
      </w:r>
    </w:p>
    <w:p w14:paraId="2B5A8084" w14:textId="77777777" w:rsidR="00D3109D" w:rsidRPr="00D3109D" w:rsidRDefault="00D3109D" w:rsidP="00A22DF8">
      <w:pPr>
        <w:pStyle w:val="p1"/>
        <w:numPr>
          <w:ilvl w:val="0"/>
          <w:numId w:val="4"/>
        </w:numPr>
        <w:jc w:val="both"/>
        <w:rPr>
          <w:rFonts w:ascii="Times New Roman" w:hAnsi="Times New Roman" w:cs="Times New Roman"/>
        </w:rPr>
      </w:pPr>
      <w:r w:rsidRPr="00D3109D">
        <w:rPr>
          <w:rStyle w:val="s1"/>
          <w:rFonts w:ascii="Times New Roman" w:hAnsi="Times New Roman" w:cs="Times New Roman"/>
          <w:b/>
          <w:bCs/>
        </w:rPr>
        <w:t>Quality of life</w:t>
      </w:r>
      <w:r w:rsidRPr="00D3109D">
        <w:rPr>
          <w:rFonts w:ascii="Times New Roman" w:hAnsi="Times New Roman" w:cs="Times New Roman"/>
        </w:rPr>
        <w:t>: utility values based on ABR or complications.</w:t>
      </w:r>
    </w:p>
    <w:p w14:paraId="4A010FCF" w14:textId="77777777" w:rsidR="00D3109D" w:rsidRPr="00D3109D" w:rsidRDefault="00D3109D" w:rsidP="00A22DF8">
      <w:pPr>
        <w:pStyle w:val="p1"/>
        <w:numPr>
          <w:ilvl w:val="0"/>
          <w:numId w:val="4"/>
        </w:numPr>
        <w:jc w:val="both"/>
        <w:rPr>
          <w:rFonts w:ascii="Times New Roman" w:hAnsi="Times New Roman" w:cs="Times New Roman"/>
        </w:rPr>
      </w:pPr>
      <w:r w:rsidRPr="00D3109D">
        <w:rPr>
          <w:rStyle w:val="s1"/>
          <w:rFonts w:ascii="Times New Roman" w:hAnsi="Times New Roman" w:cs="Times New Roman"/>
          <w:b/>
          <w:bCs/>
        </w:rPr>
        <w:t>Costs</w:t>
      </w:r>
      <w:r w:rsidRPr="00D3109D">
        <w:rPr>
          <w:rFonts w:ascii="Times New Roman" w:hAnsi="Times New Roman" w:cs="Times New Roman"/>
        </w:rPr>
        <w:t>: healthcare resource use and direct medical costs by treatment state.</w:t>
      </w:r>
    </w:p>
    <w:p w14:paraId="25C85975" w14:textId="77777777" w:rsidR="00D3109D" w:rsidRPr="00D3109D" w:rsidRDefault="00D3109D" w:rsidP="00A22DF8">
      <w:pPr>
        <w:pStyle w:val="2"/>
      </w:pPr>
      <w:bookmarkStart w:id="10" w:name="_Toc200988911"/>
      <w:bookmarkStart w:id="11" w:name="_Toc211440057"/>
      <w:r w:rsidRPr="00D3109D">
        <w:t xml:space="preserve">5. Data Synthesis and </w:t>
      </w:r>
      <w:r w:rsidR="001C6955">
        <w:rPr>
          <w:rFonts w:hint="eastAsia"/>
        </w:rPr>
        <w:t xml:space="preserve">Primary </w:t>
      </w:r>
      <w:r w:rsidRPr="00D3109D">
        <w:t>Parameter</w:t>
      </w:r>
      <w:r w:rsidR="001C6955">
        <w:rPr>
          <w:rFonts w:hint="eastAsia"/>
        </w:rPr>
        <w:t>s</w:t>
      </w:r>
      <w:r w:rsidRPr="00D3109D">
        <w:t xml:space="preserve"> Estimation Methods</w:t>
      </w:r>
      <w:bookmarkEnd w:id="10"/>
      <w:bookmarkEnd w:id="11"/>
    </w:p>
    <w:p w14:paraId="121CAE81" w14:textId="77777777" w:rsidR="00D3109D" w:rsidRPr="00D3109D" w:rsidRDefault="00D3109D" w:rsidP="00A22DF8">
      <w:pPr>
        <w:pStyle w:val="p1"/>
        <w:jc w:val="both"/>
        <w:rPr>
          <w:rFonts w:ascii="Times New Roman" w:hAnsi="Times New Roman" w:cs="Times New Roman"/>
        </w:rPr>
      </w:pPr>
      <w:r w:rsidRPr="00D3109D">
        <w:rPr>
          <w:rFonts w:ascii="Times New Roman" w:hAnsi="Times New Roman" w:cs="Times New Roman"/>
        </w:rPr>
        <w:t>To ensure model transparency and evidence traceability, different methods were used to synthesize data depending on the number and quality of available studies:</w:t>
      </w:r>
    </w:p>
    <w:p w14:paraId="715F4BE6" w14:textId="77777777" w:rsidR="00D3109D" w:rsidRPr="00D3109D" w:rsidRDefault="00D3109D" w:rsidP="00A22DF8">
      <w:pPr>
        <w:pStyle w:val="4"/>
      </w:pPr>
      <w:bookmarkStart w:id="12" w:name="_Toc200988912"/>
      <w:bookmarkStart w:id="13" w:name="_Toc211440058"/>
      <w:r w:rsidRPr="00EC571E">
        <w:rPr>
          <w:rStyle w:val="30"/>
          <w:b/>
          <w:bCs/>
        </w:rPr>
        <w:lastRenderedPageBreak/>
        <w:t>5.1 Approaches for Evidence Synthesis</w:t>
      </w:r>
      <w:bookmarkEnd w:id="12"/>
      <w:bookmarkEnd w:id="13"/>
      <w:r w:rsidRPr="00EC571E">
        <w:rPr>
          <w:rStyle w:val="30"/>
        </w:rPr>
        <w:br/>
      </w:r>
      <w:r w:rsidRPr="00EC571E">
        <w:rPr>
          <w:b w:val="0"/>
          <w:bCs w:val="0"/>
        </w:rPr>
        <w:t>Three approaches were used to synthesize parameters derived from the literature, based on data availability and reporting consistency:</w:t>
      </w:r>
      <w:r w:rsidRPr="00EC571E">
        <w:rPr>
          <w:b w:val="0"/>
          <w:bCs w:val="0"/>
        </w:rPr>
        <w:br/>
        <w:t>1. Meta-analysis (single-arm): Used when ≥2 studies reported the same parameter with statistical detail (e.g., mean and SD or event count and sample size). Random-effects models were used. Pooled estimates and 95% CIs were generated using R (v4.3.1).</w:t>
      </w:r>
      <w:r w:rsidRPr="00EC571E">
        <w:rPr>
          <w:b w:val="0"/>
          <w:bCs w:val="0"/>
        </w:rPr>
        <w:br/>
        <w:t>2. Weighted average: Used when ≥2 studies reported means or proportions without dispersion measures. Formula used:</w:t>
      </w:r>
      <w:r w:rsidRPr="00EC571E">
        <w:rPr>
          <w:b w:val="0"/>
          <w:bCs w:val="0"/>
        </w:rPr>
        <w:br/>
        <w:t xml:space="preserve">   Weighted mean = ∑(sample size × reported value) / ∑(sample size).</w:t>
      </w:r>
      <w:r w:rsidRPr="00EC571E">
        <w:rPr>
          <w:b w:val="0"/>
          <w:bCs w:val="0"/>
        </w:rPr>
        <w:br/>
        <w:t>3. Direct citation: Used when only one study provided a parameter. The reported value was adopted directly.</w:t>
      </w:r>
    </w:p>
    <w:p w14:paraId="6FEFA9DE" w14:textId="77777777" w:rsidR="00EC571E" w:rsidRPr="00EC571E" w:rsidRDefault="00D3109D" w:rsidP="00A22DF8">
      <w:pPr>
        <w:pStyle w:val="3"/>
      </w:pPr>
      <w:bookmarkStart w:id="14" w:name="_Toc200988913"/>
      <w:bookmarkStart w:id="15" w:name="_Toc211440059"/>
      <w:r w:rsidRPr="00EC571E">
        <w:t xml:space="preserve">5.2 Estimation of </w:t>
      </w:r>
      <w:r w:rsidR="00EC571E" w:rsidRPr="00EC571E">
        <w:rPr>
          <w:rFonts w:hint="eastAsia"/>
        </w:rPr>
        <w:t>Primary Parameters</w:t>
      </w:r>
      <w:bookmarkEnd w:id="14"/>
      <w:bookmarkEnd w:id="15"/>
    </w:p>
    <w:p w14:paraId="58549877" w14:textId="77777777" w:rsidR="00EC571E" w:rsidRPr="00EC571E" w:rsidRDefault="00EC571E" w:rsidP="00A22DF8">
      <w:pPr>
        <w:pStyle w:val="4"/>
      </w:pPr>
      <w:r w:rsidRPr="00EC571E">
        <w:rPr>
          <w:rFonts w:hint="eastAsia"/>
        </w:rPr>
        <w:t>5.2.1 Clinical efficacy</w:t>
      </w:r>
    </w:p>
    <w:p w14:paraId="4069FFF2" w14:textId="77777777" w:rsidR="00EC571E" w:rsidRDefault="00EC571E" w:rsidP="00A22DF8">
      <w:pPr>
        <w:pStyle w:val="5"/>
      </w:pPr>
      <w:r w:rsidRPr="00EC571E">
        <w:rPr>
          <w:rFonts w:hint="eastAsia"/>
        </w:rPr>
        <w:t xml:space="preserve">5.2.1.1 </w:t>
      </w:r>
      <w:r>
        <w:rPr>
          <w:rFonts w:hint="eastAsia"/>
        </w:rPr>
        <w:t>Inhibitor Incidence</w:t>
      </w:r>
    </w:p>
    <w:p w14:paraId="3D8CC446" w14:textId="5A2910B5" w:rsidR="00EC571E" w:rsidRDefault="00EC571E" w:rsidP="00A22DF8">
      <w:pPr>
        <w:rPr>
          <w:rFonts w:ascii="Times New Roman" w:hAnsi="Times New Roman" w:cs="Times New Roman"/>
        </w:rPr>
      </w:pPr>
      <w:r w:rsidRPr="00EC571E">
        <w:rPr>
          <w:rFonts w:ascii="Times New Roman" w:hAnsi="Times New Roman" w:cs="Times New Roman"/>
        </w:rPr>
        <w:t>This parameter determines the proportion of patients transitioning to an inhibitor-positive state at the end of the first model cycle. Based on single-arm meta-analyses of 2 studies for rAHF-PFM and 1 study for BAY 81-8973, the estimated inhibitor incidence was 30.3% (95% CI: 13.9%, 46.6%) and 54.8% (95% CI: 39.7%, 69.0%), respectively</w:t>
      </w:r>
      <w:r w:rsidR="00716E01">
        <w:rPr>
          <w:rFonts w:ascii="Times New Roman" w:hAnsi="Times New Roman" w:cs="Times New Roman" w:hint="eastAsia"/>
        </w:rPr>
        <w:t>[1-3]</w:t>
      </w:r>
      <w:r w:rsidRPr="00EC571E">
        <w:rPr>
          <w:rFonts w:ascii="Times New Roman" w:hAnsi="Times New Roman" w:cs="Times New Roman"/>
        </w:rPr>
        <w:t>.</w:t>
      </w:r>
    </w:p>
    <w:p w14:paraId="5C5297B5" w14:textId="77777777" w:rsidR="00EC571E" w:rsidRDefault="00EC571E" w:rsidP="00A22DF8">
      <w:pPr>
        <w:pStyle w:val="5"/>
      </w:pPr>
      <w:r w:rsidRPr="00EC571E">
        <w:rPr>
          <w:rFonts w:hint="eastAsia"/>
        </w:rPr>
        <w:t>5.2.1.</w:t>
      </w:r>
      <w:r>
        <w:rPr>
          <w:rFonts w:hint="eastAsia"/>
        </w:rPr>
        <w:t>2</w:t>
      </w:r>
      <w:r w:rsidRPr="00EC571E">
        <w:rPr>
          <w:rFonts w:hint="eastAsia"/>
        </w:rPr>
        <w:t xml:space="preserve"> </w:t>
      </w:r>
      <w:r w:rsidRPr="00EC571E">
        <w:t>Distribution of Inhibitor Titers</w:t>
      </w:r>
    </w:p>
    <w:p w14:paraId="6792D245" w14:textId="695A3697" w:rsidR="00EC571E" w:rsidRDefault="00EC571E" w:rsidP="00A22DF8">
      <w:pPr>
        <w:rPr>
          <w:rFonts w:ascii="Times New Roman" w:hAnsi="Times New Roman" w:cs="Times New Roman"/>
        </w:rPr>
      </w:pPr>
      <w:r w:rsidRPr="00EC571E">
        <w:rPr>
          <w:rFonts w:ascii="Times New Roman" w:hAnsi="Times New Roman" w:cs="Times New Roman"/>
        </w:rPr>
        <w:t>Patients developing inhibitors are categorized into low- and high-titer groups based on thresholds: high-titer ≥5 BU/mL; low-titer &gt;0.6 and &lt;5 BU/mL. Based on weighted averages from 8 rAHF-PFM studies and 1 BAY 81-8973 study, the proportion of low- vs. high-titer was 44.7% vs. 55.3% for rAHF-PFM and 26.1% vs. 73.9% for BAY 81-8973</w:t>
      </w:r>
      <w:r w:rsidR="00716E01">
        <w:rPr>
          <w:rFonts w:ascii="Times New Roman" w:hAnsi="Times New Roman" w:cs="Times New Roman" w:hint="eastAsia"/>
        </w:rPr>
        <w:t>[2,4-11]</w:t>
      </w:r>
      <w:r w:rsidRPr="00EC571E">
        <w:rPr>
          <w:rFonts w:ascii="Times New Roman" w:hAnsi="Times New Roman" w:cs="Times New Roman"/>
        </w:rPr>
        <w:t>.</w:t>
      </w:r>
    </w:p>
    <w:p w14:paraId="069980E7" w14:textId="77777777" w:rsidR="00EC571E" w:rsidRDefault="00EC571E" w:rsidP="00A22DF8">
      <w:pPr>
        <w:pStyle w:val="5"/>
      </w:pPr>
      <w:r w:rsidRPr="00EC571E">
        <w:rPr>
          <w:rFonts w:hint="eastAsia"/>
        </w:rPr>
        <w:t>5.2.1.</w:t>
      </w:r>
      <w:r>
        <w:rPr>
          <w:rFonts w:hint="eastAsia"/>
        </w:rPr>
        <w:t>3</w:t>
      </w:r>
      <w:r w:rsidRPr="00EC571E">
        <w:rPr>
          <w:rFonts w:hint="eastAsia"/>
        </w:rPr>
        <w:t xml:space="preserve"> </w:t>
      </w:r>
      <w:r w:rsidRPr="00EC571E">
        <w:t xml:space="preserve">Annualized </w:t>
      </w:r>
      <w:r w:rsidR="00A22DF8">
        <w:rPr>
          <w:rFonts w:hint="eastAsia"/>
        </w:rPr>
        <w:t>B</w:t>
      </w:r>
      <w:r w:rsidRPr="00EC571E">
        <w:t xml:space="preserve">leeding </w:t>
      </w:r>
      <w:r w:rsidR="00A22DF8">
        <w:rPr>
          <w:rFonts w:hint="eastAsia"/>
        </w:rPr>
        <w:t>R</w:t>
      </w:r>
      <w:r w:rsidRPr="00EC571E">
        <w:t>isk</w:t>
      </w:r>
    </w:p>
    <w:p w14:paraId="49F2DD9B" w14:textId="3FDC45E7" w:rsidR="00EC571E" w:rsidRDefault="00A22DF8" w:rsidP="00A22DF8">
      <w:pPr>
        <w:rPr>
          <w:rFonts w:ascii="Times New Roman" w:hAnsi="Times New Roman" w:cs="Times New Roman"/>
        </w:rPr>
      </w:pPr>
      <w:r w:rsidRPr="00A22DF8">
        <w:rPr>
          <w:rFonts w:ascii="Times New Roman" w:hAnsi="Times New Roman" w:cs="Times New Roman"/>
        </w:rPr>
        <w:t>The proportion of patients experiencing ≥1 bleeding episode annually among all patients receiving treatment. This parameter is used to determine whether bleeding occurs in each simulation cycle during the prophylactic treatment period in the model cohort.</w:t>
      </w:r>
      <w:r w:rsidRPr="00A22DF8">
        <w:t xml:space="preserve"> </w:t>
      </w:r>
      <w:r w:rsidRPr="00A22DF8">
        <w:rPr>
          <w:rFonts w:ascii="Times New Roman" w:hAnsi="Times New Roman" w:cs="Times New Roman"/>
        </w:rPr>
        <w:t xml:space="preserve">Based on single-arm meta-analyses of 4 studies for rAHF-PFM and 6 studies for BAY 81-8973, the estimated </w:t>
      </w:r>
      <w:r w:rsidR="00E70E94">
        <w:rPr>
          <w:rFonts w:ascii="Times New Roman" w:hAnsi="Times New Roman" w:cs="Times New Roman"/>
        </w:rPr>
        <w:t>annualized</w:t>
      </w:r>
      <w:r w:rsidR="00E70E94">
        <w:rPr>
          <w:rFonts w:ascii="Times New Roman" w:hAnsi="Times New Roman" w:cs="Times New Roman" w:hint="eastAsia"/>
        </w:rPr>
        <w:t xml:space="preserve"> bleeding risk</w:t>
      </w:r>
      <w:r w:rsidRPr="00A22DF8">
        <w:rPr>
          <w:rFonts w:ascii="Times New Roman" w:hAnsi="Times New Roman" w:cs="Times New Roman"/>
        </w:rPr>
        <w:t xml:space="preserve"> in severe PUPs receiving prophylactic treatment was 69.2% (95% CI: 59.4%, 79.0%) for rAHF-PFM and 73.0% (95% CI: 63.6%, 82.4%) for BAY 81-8973</w:t>
      </w:r>
      <w:r w:rsidR="00716E01">
        <w:rPr>
          <w:rFonts w:ascii="Times New Roman" w:hAnsi="Times New Roman" w:cs="Times New Roman" w:hint="eastAsia"/>
        </w:rPr>
        <w:t>[2,12-19]</w:t>
      </w:r>
      <w:r w:rsidRPr="00A22DF8">
        <w:rPr>
          <w:rFonts w:ascii="Times New Roman" w:hAnsi="Times New Roman" w:cs="Times New Roman"/>
        </w:rPr>
        <w:t>.</w:t>
      </w:r>
    </w:p>
    <w:p w14:paraId="052C6C49" w14:textId="77777777" w:rsidR="00A22DF8" w:rsidRDefault="00A22DF8" w:rsidP="00A22DF8">
      <w:pPr>
        <w:pStyle w:val="5"/>
      </w:pPr>
      <w:r w:rsidRPr="00EC571E">
        <w:rPr>
          <w:rFonts w:hint="eastAsia"/>
        </w:rPr>
        <w:t>5.2.1.</w:t>
      </w:r>
      <w:r>
        <w:rPr>
          <w:rFonts w:hint="eastAsia"/>
        </w:rPr>
        <w:t>4</w:t>
      </w:r>
      <w:r w:rsidRPr="00EC571E">
        <w:rPr>
          <w:rFonts w:hint="eastAsia"/>
        </w:rPr>
        <w:t xml:space="preserve"> </w:t>
      </w:r>
      <w:r w:rsidRPr="00EC571E">
        <w:t xml:space="preserve">Annualized </w:t>
      </w:r>
      <w:r>
        <w:rPr>
          <w:rFonts w:hint="eastAsia"/>
        </w:rPr>
        <w:t>B</w:t>
      </w:r>
      <w:r w:rsidRPr="00EC571E">
        <w:t xml:space="preserve">leeding </w:t>
      </w:r>
      <w:r>
        <w:rPr>
          <w:rFonts w:hint="eastAsia"/>
        </w:rPr>
        <w:t>Rate</w:t>
      </w:r>
    </w:p>
    <w:p w14:paraId="1442F25B" w14:textId="1A517433" w:rsidR="00A22DF8" w:rsidRPr="00A22DF8" w:rsidRDefault="00A22DF8" w:rsidP="00A22DF8">
      <w:pPr>
        <w:rPr>
          <w:rFonts w:ascii="Times New Roman" w:hAnsi="Times New Roman" w:cs="Times New Roman"/>
        </w:rPr>
      </w:pPr>
      <w:r w:rsidRPr="00A22DF8">
        <w:rPr>
          <w:rFonts w:ascii="Times New Roman" w:hAnsi="Times New Roman" w:cs="Times New Roman"/>
        </w:rPr>
        <w:t xml:space="preserve">Annual bleeding rate (ABR) refers to the average number of bleeding episodes per year among patients who experienced at least one bleed. If ABR among bleeders is directly reported in the literature, it is used as-is. If only total ABR and the annual </w:t>
      </w:r>
      <w:r w:rsidRPr="00A22DF8">
        <w:rPr>
          <w:rFonts w:ascii="Times New Roman" w:hAnsi="Times New Roman" w:cs="Times New Roman"/>
        </w:rPr>
        <w:lastRenderedPageBreak/>
        <w:t xml:space="preserve">bleeding </w:t>
      </w:r>
      <w:r w:rsidR="00716E01">
        <w:rPr>
          <w:rFonts w:ascii="Times New Roman" w:hAnsi="Times New Roman" w:cs="Times New Roman" w:hint="eastAsia"/>
        </w:rPr>
        <w:t>risk</w:t>
      </w:r>
      <w:r w:rsidRPr="00A22DF8">
        <w:rPr>
          <w:rFonts w:ascii="Times New Roman" w:hAnsi="Times New Roman" w:cs="Times New Roman"/>
        </w:rPr>
        <w:t xml:space="preserve"> are available, the ABR among bleeders is estimated by dividing the total ABR by the </w:t>
      </w:r>
      <w:r w:rsidR="00716E01" w:rsidRPr="00A22DF8">
        <w:rPr>
          <w:rFonts w:ascii="Times New Roman" w:hAnsi="Times New Roman" w:cs="Times New Roman"/>
        </w:rPr>
        <w:t xml:space="preserve">annual bleeding </w:t>
      </w:r>
      <w:r w:rsidR="00716E01">
        <w:rPr>
          <w:rFonts w:ascii="Times New Roman" w:hAnsi="Times New Roman" w:cs="Times New Roman" w:hint="eastAsia"/>
        </w:rPr>
        <w:t>risk</w:t>
      </w:r>
      <w:r w:rsidRPr="00A22DF8">
        <w:rPr>
          <w:rFonts w:ascii="Times New Roman" w:hAnsi="Times New Roman" w:cs="Times New Roman"/>
        </w:rPr>
        <w:t>. This parameter is used in the model to estimate the number of bleeding events that occur in each simulation cycle among patients transitioning to the bleeding state. Based on single-arm meta-analyses of 3 clinical studies for rAHF-PFM and 5 for BAY 81-8973, the estimated ABR was 3.6 (95% CI: 2.4, 4.7) for rAHF-PFM and 5.3 (95% CI: 3.8, 6.8) for BAY 81-8973</w:t>
      </w:r>
      <w:r w:rsidR="00716E01">
        <w:rPr>
          <w:rFonts w:ascii="Times New Roman" w:hAnsi="Times New Roman" w:cs="Times New Roman" w:hint="eastAsia"/>
        </w:rPr>
        <w:t>[2,11,17-21]</w:t>
      </w:r>
      <w:r w:rsidRPr="00A22DF8">
        <w:rPr>
          <w:rFonts w:ascii="Times New Roman" w:hAnsi="Times New Roman" w:cs="Times New Roman"/>
        </w:rPr>
        <w:t>.</w:t>
      </w:r>
    </w:p>
    <w:p w14:paraId="67584B9F" w14:textId="77777777" w:rsidR="00D3109D" w:rsidRDefault="00EC571E" w:rsidP="00A22DF8">
      <w:pPr>
        <w:pStyle w:val="4"/>
      </w:pPr>
      <w:r>
        <w:rPr>
          <w:rFonts w:hint="eastAsia"/>
        </w:rPr>
        <w:t>5.2.2</w:t>
      </w:r>
      <w:r w:rsidR="00D3109D" w:rsidRPr="00D3109D">
        <w:t xml:space="preserve"> Annual Complication Risk</w:t>
      </w:r>
    </w:p>
    <w:p w14:paraId="415A064D" w14:textId="1CAB2869" w:rsidR="00A22DF8" w:rsidRPr="00A22DF8" w:rsidRDefault="00A22DF8" w:rsidP="00A22DF8">
      <w:pPr>
        <w:rPr>
          <w:rFonts w:ascii="Times New Roman" w:hAnsi="Times New Roman" w:cs="Times New Roman"/>
        </w:rPr>
      </w:pPr>
      <w:r w:rsidRPr="00A22DF8">
        <w:rPr>
          <w:rFonts w:ascii="Times New Roman" w:hAnsi="Times New Roman" w:cs="Times New Roman"/>
        </w:rPr>
        <w:t xml:space="preserve">The model considers three major complications: hemophilic arthropathy, and severe bleeding of vital organs including intracranial hemorrhage (ICH) and gastrointestinal (GI) bleeding. An association between </w:t>
      </w:r>
      <w:r>
        <w:rPr>
          <w:rFonts w:ascii="Times New Roman" w:hAnsi="Times New Roman" w:cs="Times New Roman" w:hint="eastAsia"/>
        </w:rPr>
        <w:t>ABR</w:t>
      </w:r>
      <w:r w:rsidRPr="00A22DF8">
        <w:rPr>
          <w:rFonts w:ascii="Times New Roman" w:hAnsi="Times New Roman" w:cs="Times New Roman"/>
        </w:rPr>
        <w:t xml:space="preserve"> and complication risk was established using the parameter "incremental complication risk per unit increase in ABR." Given that ICH is a cerebrovascular event also present in the general elderly population and increases with age, the ICH risk estimate was adjusted to account for baseline age-specific incidence</w:t>
      </w:r>
      <w:r w:rsidR="00716E01">
        <w:rPr>
          <w:rFonts w:ascii="Times New Roman" w:hAnsi="Times New Roman" w:cs="Times New Roman" w:hint="eastAsia"/>
        </w:rPr>
        <w:t>[22]</w:t>
      </w:r>
      <w:r w:rsidRPr="00A22DF8">
        <w:rPr>
          <w:rFonts w:ascii="Times New Roman" w:hAnsi="Times New Roman" w:cs="Times New Roman"/>
        </w:rPr>
        <w:t>.</w:t>
      </w:r>
    </w:p>
    <w:p w14:paraId="35B09542" w14:textId="77777777" w:rsidR="00A22DF8" w:rsidRPr="00A22DF8" w:rsidRDefault="00A22DF8" w:rsidP="00A22DF8">
      <w:pPr>
        <w:rPr>
          <w:rFonts w:ascii="Times New Roman" w:hAnsi="Times New Roman" w:cs="Times New Roman"/>
        </w:rPr>
      </w:pPr>
      <w:r w:rsidRPr="00A22DF8">
        <w:rPr>
          <w:rFonts w:ascii="Times New Roman" w:hAnsi="Times New Roman" w:cs="Times New Roman"/>
        </w:rPr>
        <w:t>The formulas used to calculate the annual risks of complications in the model are as follows:</w:t>
      </w:r>
    </w:p>
    <w:p w14:paraId="525AE449" w14:textId="77777777" w:rsidR="00A22DF8" w:rsidRPr="00A22DF8" w:rsidRDefault="00A22DF8" w:rsidP="00A22DF8">
      <w:pPr>
        <w:pStyle w:val="aa"/>
        <w:numPr>
          <w:ilvl w:val="0"/>
          <w:numId w:val="5"/>
        </w:numPr>
        <w:rPr>
          <w:rFonts w:ascii="Times New Roman" w:hAnsi="Times New Roman" w:cs="Times New Roman"/>
        </w:rPr>
      </w:pPr>
      <w:r w:rsidRPr="00A22DF8">
        <w:rPr>
          <w:rFonts w:ascii="Times New Roman" w:hAnsi="Times New Roman" w:cs="Times New Roman"/>
        </w:rPr>
        <w:t>Hemophilic arthropathy or GI bleeding:Annual risk = (incremental risk per ABR) × (annualized bleeding rate)</w:t>
      </w:r>
    </w:p>
    <w:p w14:paraId="03F4A029" w14:textId="77777777" w:rsidR="00A22DF8" w:rsidRPr="00A22DF8" w:rsidRDefault="00A22DF8" w:rsidP="00A22DF8">
      <w:pPr>
        <w:pStyle w:val="aa"/>
        <w:numPr>
          <w:ilvl w:val="0"/>
          <w:numId w:val="5"/>
        </w:numPr>
        <w:rPr>
          <w:rFonts w:ascii="Times New Roman" w:hAnsi="Times New Roman" w:cs="Times New Roman"/>
        </w:rPr>
      </w:pPr>
      <w:r w:rsidRPr="00A22DF8">
        <w:rPr>
          <w:rFonts w:ascii="Times New Roman" w:hAnsi="Times New Roman" w:cs="Times New Roman"/>
        </w:rPr>
        <w:t>Intracranial hemorrhage:Annual risk = (incremental ICH risk per ABR) × (annualized bleeding rate) + (age-specific baseline ICH risk)</w:t>
      </w:r>
    </w:p>
    <w:p w14:paraId="5AB0FDFD" w14:textId="51C14A55" w:rsidR="00A22DF8" w:rsidRPr="00A22DF8" w:rsidRDefault="00A22DF8" w:rsidP="00A22DF8">
      <w:pPr>
        <w:rPr>
          <w:rFonts w:ascii="Times New Roman" w:hAnsi="Times New Roman" w:cs="Times New Roman"/>
        </w:rPr>
      </w:pPr>
      <w:r w:rsidRPr="00A22DF8">
        <w:rPr>
          <w:rFonts w:ascii="Times New Roman" w:hAnsi="Times New Roman" w:cs="Times New Roman"/>
        </w:rPr>
        <w:t>According to a prospective study</w:t>
      </w:r>
      <w:r w:rsidR="00716E01">
        <w:rPr>
          <w:rFonts w:ascii="Times New Roman" w:hAnsi="Times New Roman" w:cs="Times New Roman" w:hint="eastAsia"/>
        </w:rPr>
        <w:t>[23]</w:t>
      </w:r>
      <w:r w:rsidRPr="00A22DF8">
        <w:rPr>
          <w:rFonts w:ascii="Times New Roman" w:hAnsi="Times New Roman" w:cs="Times New Roman"/>
        </w:rPr>
        <w:t>, the incremental risks per unit increase in ABR were 0.046 for arthropathy, 0.001 for GI bleeding, and 0.003 for ICH. Age-specific baseline ICH risks in the general population were derived from a large retrospective cohort study (</w:t>
      </w:r>
      <w:r w:rsidRPr="0067426D">
        <w:rPr>
          <w:rFonts w:ascii="Times New Roman" w:hAnsi="Times New Roman" w:cs="Times New Roman"/>
          <w:i/>
          <w:iCs/>
        </w:rPr>
        <w:t>Supplementary Table S2</w:t>
      </w:r>
      <w:r w:rsidRPr="00A22DF8">
        <w:rPr>
          <w:rFonts w:ascii="Times New Roman" w:hAnsi="Times New Roman" w:cs="Times New Roman"/>
        </w:rPr>
        <w:t>)</w:t>
      </w:r>
      <w:r w:rsidR="00716E01">
        <w:rPr>
          <w:rFonts w:ascii="Times New Roman" w:hAnsi="Times New Roman" w:cs="Times New Roman" w:hint="eastAsia"/>
        </w:rPr>
        <w:t>[24]</w:t>
      </w:r>
      <w:r w:rsidRPr="00A22DF8">
        <w:rPr>
          <w:rFonts w:ascii="Times New Roman" w:hAnsi="Times New Roman" w:cs="Times New Roman"/>
        </w:rPr>
        <w:t>.</w:t>
      </w:r>
    </w:p>
    <w:p w14:paraId="530CBC7C" w14:textId="77777777" w:rsidR="00154D6A" w:rsidRDefault="00154D6A" w:rsidP="00154D6A">
      <w:pPr>
        <w:pStyle w:val="4"/>
      </w:pPr>
      <w:r>
        <w:rPr>
          <w:rFonts w:hint="eastAsia"/>
        </w:rPr>
        <w:t>5.2.3</w:t>
      </w:r>
      <w:r w:rsidRPr="00D3109D">
        <w:t xml:space="preserve"> </w:t>
      </w:r>
      <w:r w:rsidRPr="00154D6A">
        <w:t>Hemophilia-related Mortality Risk</w:t>
      </w:r>
    </w:p>
    <w:p w14:paraId="2AA7B844" w14:textId="2E2EEE84" w:rsidR="00154D6A" w:rsidRPr="00154D6A" w:rsidRDefault="00154D6A" w:rsidP="00154D6A">
      <w:pPr>
        <w:rPr>
          <w:rFonts w:ascii="Times New Roman" w:hAnsi="Times New Roman" w:cs="Times New Roman"/>
        </w:rPr>
      </w:pPr>
      <w:r w:rsidRPr="00154D6A">
        <w:rPr>
          <w:rFonts w:ascii="Times New Roman" w:hAnsi="Times New Roman" w:cs="Times New Roman"/>
        </w:rPr>
        <w:t>Mortality risks were estimated based on the presence and type of complications. For patients without</w:t>
      </w:r>
      <w:r w:rsidRPr="00154D6A">
        <w:rPr>
          <w:rFonts w:ascii="Times New Roman" w:hAnsi="Times New Roman" w:cs="Times New Roman" w:hint="eastAsia"/>
        </w:rPr>
        <w:t xml:space="preserve"> </w:t>
      </w:r>
      <w:r>
        <w:rPr>
          <w:rFonts w:ascii="Times New Roman" w:hAnsi="Times New Roman" w:cs="Times New Roman" w:hint="eastAsia"/>
        </w:rPr>
        <w:t xml:space="preserve">bleeding-related </w:t>
      </w:r>
      <w:r w:rsidRPr="00154D6A">
        <w:rPr>
          <w:rFonts w:ascii="Times New Roman" w:hAnsi="Times New Roman" w:cs="Times New Roman"/>
        </w:rPr>
        <w:t>complications, hemophilia-specific mortality risks were used as reported in the literature (</w:t>
      </w:r>
      <w:r w:rsidRPr="0067426D">
        <w:rPr>
          <w:rFonts w:ascii="Times New Roman" w:hAnsi="Times New Roman" w:cs="Times New Roman"/>
          <w:i/>
          <w:iCs/>
        </w:rPr>
        <w:t>Supplementary Table S3</w:t>
      </w:r>
      <w:r w:rsidRPr="00154D6A">
        <w:rPr>
          <w:rFonts w:ascii="Times New Roman" w:hAnsi="Times New Roman" w:cs="Times New Roman"/>
        </w:rPr>
        <w:t>)</w:t>
      </w:r>
      <w:r w:rsidR="00716E01">
        <w:rPr>
          <w:rFonts w:ascii="Times New Roman" w:hAnsi="Times New Roman" w:cs="Times New Roman" w:hint="eastAsia"/>
        </w:rPr>
        <w:t>[25]</w:t>
      </w:r>
      <w:r w:rsidRPr="00154D6A">
        <w:rPr>
          <w:rFonts w:ascii="Times New Roman" w:hAnsi="Times New Roman" w:cs="Times New Roman"/>
        </w:rPr>
        <w:t xml:space="preserve">. For patients with </w:t>
      </w:r>
      <w:r>
        <w:rPr>
          <w:rFonts w:ascii="Times New Roman" w:hAnsi="Times New Roman" w:cs="Times New Roman" w:hint="eastAsia"/>
        </w:rPr>
        <w:t xml:space="preserve">bleeding-related </w:t>
      </w:r>
      <w:r w:rsidRPr="00154D6A">
        <w:rPr>
          <w:rFonts w:ascii="Times New Roman" w:hAnsi="Times New Roman" w:cs="Times New Roman"/>
        </w:rPr>
        <w:t xml:space="preserve">complications, mortality risks were estimated separately for the first year after complication onset and subsequent years. Based on clinical </w:t>
      </w:r>
      <w:r>
        <w:rPr>
          <w:rFonts w:ascii="Times New Roman" w:hAnsi="Times New Roman" w:cs="Times New Roman" w:hint="eastAsia"/>
        </w:rPr>
        <w:t xml:space="preserve">experts </w:t>
      </w:r>
      <w:r w:rsidRPr="00154D6A">
        <w:rPr>
          <w:rFonts w:ascii="Times New Roman" w:hAnsi="Times New Roman" w:cs="Times New Roman"/>
        </w:rPr>
        <w:t xml:space="preserve">feedback, hemophilic arthropathy and GI bleeding were not considered to cause long-term increases in mortality; thus, mortality beyond the first year was modeled using the baseline hemophilia mortality rate. First-year mortality rates for all three complications, and long-term relative mortality risk for ICH, are summarized in </w:t>
      </w:r>
      <w:r w:rsidRPr="0067426D">
        <w:rPr>
          <w:rFonts w:ascii="Times New Roman" w:hAnsi="Times New Roman" w:cs="Times New Roman"/>
          <w:i/>
          <w:iCs/>
        </w:rPr>
        <w:t>Supplementary Table S4</w:t>
      </w:r>
      <w:r w:rsidR="00716E01" w:rsidRPr="00716E01">
        <w:rPr>
          <w:rFonts w:ascii="Times New Roman" w:hAnsi="Times New Roman" w:cs="Times New Roman" w:hint="eastAsia"/>
        </w:rPr>
        <w:t>[2</w:t>
      </w:r>
      <w:r w:rsidR="00716E01">
        <w:rPr>
          <w:rFonts w:ascii="Times New Roman" w:hAnsi="Times New Roman" w:cs="Times New Roman" w:hint="eastAsia"/>
        </w:rPr>
        <w:t>5</w:t>
      </w:r>
      <w:r w:rsidR="00716E01" w:rsidRPr="00716E01">
        <w:rPr>
          <w:rFonts w:ascii="Times New Roman" w:hAnsi="Times New Roman" w:cs="Times New Roman" w:hint="eastAsia"/>
        </w:rPr>
        <w:t>-2</w:t>
      </w:r>
      <w:r w:rsidR="00716E01">
        <w:rPr>
          <w:rFonts w:ascii="Times New Roman" w:hAnsi="Times New Roman" w:cs="Times New Roman" w:hint="eastAsia"/>
        </w:rPr>
        <w:t>8</w:t>
      </w:r>
      <w:r w:rsidR="00716E01" w:rsidRPr="00716E01">
        <w:rPr>
          <w:rFonts w:ascii="Times New Roman" w:hAnsi="Times New Roman" w:cs="Times New Roman" w:hint="eastAsia"/>
        </w:rPr>
        <w:t>]</w:t>
      </w:r>
      <w:r w:rsidRPr="00154D6A">
        <w:rPr>
          <w:rFonts w:ascii="Times New Roman" w:hAnsi="Times New Roman" w:cs="Times New Roman"/>
        </w:rPr>
        <w:t>.</w:t>
      </w:r>
    </w:p>
    <w:p w14:paraId="7F54CCA9" w14:textId="37BF02AC" w:rsidR="00D3109D" w:rsidRPr="00D3109D" w:rsidRDefault="00EC571E" w:rsidP="00A22DF8">
      <w:pPr>
        <w:pStyle w:val="4"/>
      </w:pPr>
      <w:r>
        <w:rPr>
          <w:rFonts w:hint="eastAsia"/>
        </w:rPr>
        <w:t>5.2.</w:t>
      </w:r>
      <w:r w:rsidR="00154D6A">
        <w:rPr>
          <w:rFonts w:hint="eastAsia"/>
        </w:rPr>
        <w:t>4</w:t>
      </w:r>
      <w:r>
        <w:rPr>
          <w:rFonts w:hint="eastAsia"/>
        </w:rPr>
        <w:t xml:space="preserve"> </w:t>
      </w:r>
      <w:r w:rsidR="00D3109D" w:rsidRPr="00D3109D">
        <w:t>Health Utility Values</w:t>
      </w:r>
    </w:p>
    <w:p w14:paraId="6F1F4316" w14:textId="12F6BCD8" w:rsidR="007B7507" w:rsidRPr="007B7507" w:rsidRDefault="007B7507" w:rsidP="007B7507">
      <w:pPr>
        <w:rPr>
          <w:rFonts w:ascii="Times New Roman" w:hAnsi="Times New Roman" w:cs="Times New Roman"/>
        </w:rPr>
      </w:pPr>
      <w:r w:rsidRPr="007B7507">
        <w:rPr>
          <w:rFonts w:ascii="Times New Roman" w:hAnsi="Times New Roman" w:cs="Times New Roman"/>
        </w:rPr>
        <w:t>Health utility values were estimated based on the model-defined health states, which included: free of bleeding episode, bleeding episode, bleeding-related complications (first year), and bleeding-related complications (subsequent year).</w:t>
      </w:r>
    </w:p>
    <w:p w14:paraId="27C13B29" w14:textId="0A465999" w:rsidR="007B7507" w:rsidRPr="007B7507" w:rsidRDefault="007B7507" w:rsidP="007B7507">
      <w:pPr>
        <w:rPr>
          <w:rFonts w:ascii="Times New Roman" w:hAnsi="Times New Roman" w:cs="Times New Roman"/>
        </w:rPr>
      </w:pPr>
      <w:r w:rsidRPr="007B7507">
        <w:rPr>
          <w:rFonts w:ascii="Times New Roman" w:hAnsi="Times New Roman" w:cs="Times New Roman"/>
        </w:rPr>
        <w:lastRenderedPageBreak/>
        <w:t>For patients with bleeding-related complications, a study in Chinese patients with hemophilia reported that the utility ratio relative to the general population was 0.898 (95% CI: 0.793, 1.000) for those without bleeding and 0.439 (95% CI: 0.407, 0.471) for those with complications</w:t>
      </w:r>
      <w:r w:rsidR="00716E01">
        <w:rPr>
          <w:rFonts w:ascii="Times New Roman" w:hAnsi="Times New Roman" w:cs="Times New Roman" w:hint="eastAsia"/>
        </w:rPr>
        <w:t>[29]</w:t>
      </w:r>
      <w:r w:rsidRPr="007B7507">
        <w:rPr>
          <w:rFonts w:ascii="Times New Roman" w:hAnsi="Times New Roman" w:cs="Times New Roman"/>
        </w:rPr>
        <w:t>. The utility in the first year of complication was assigned as 0.439. Based on expert clinical interviews, hemophilic arthropathy and intracranial hemorrhage were considered to have long-term impacts on quality of life; thus, utilities in subsequent years remained at 0.439. For patients with GI bleeding, utility was assumed to return to the non-complication level after the first year.</w:t>
      </w:r>
    </w:p>
    <w:p w14:paraId="248E538D" w14:textId="48761318" w:rsidR="007B7507" w:rsidRPr="007B7507" w:rsidRDefault="007B7507" w:rsidP="007B7507">
      <w:pPr>
        <w:rPr>
          <w:rFonts w:ascii="Times New Roman" w:hAnsi="Times New Roman" w:cs="Times New Roman"/>
        </w:rPr>
      </w:pPr>
      <w:r w:rsidRPr="007B7507">
        <w:rPr>
          <w:rFonts w:ascii="Times New Roman" w:hAnsi="Times New Roman" w:cs="Times New Roman"/>
        </w:rPr>
        <w:t>For patients free of complications, quality of life was estimated according to the number of bleeding episodes. A European study reported a linear relationship between annual bleeding rate (ABR) and utility</w:t>
      </w:r>
      <w:r w:rsidR="00716E01">
        <w:rPr>
          <w:rFonts w:ascii="Times New Roman" w:hAnsi="Times New Roman" w:cs="Times New Roman" w:hint="eastAsia"/>
        </w:rPr>
        <w:t>[30]</w:t>
      </w:r>
      <w:r w:rsidRPr="007B7507">
        <w:rPr>
          <w:rFonts w:ascii="Times New Roman" w:hAnsi="Times New Roman" w:cs="Times New Roman"/>
        </w:rPr>
        <w:t>, where each additional bleed decreased the utility ratio by 0.061 (95% CI: 0.027, 0.096), and utility plateaued at 0.552 when ABR ≥5</w:t>
      </w:r>
      <w:r w:rsidR="00922563">
        <w:rPr>
          <w:rFonts w:ascii="Times New Roman" w:hAnsi="Times New Roman" w:cs="Times New Roman" w:hint="eastAsia"/>
        </w:rPr>
        <w:t xml:space="preserve"> (</w:t>
      </w:r>
      <w:r w:rsidR="0067426D" w:rsidRPr="0067426D">
        <w:rPr>
          <w:rFonts w:ascii="Times New Roman" w:hAnsi="Times New Roman" w:cs="Times New Roman"/>
          <w:i/>
          <w:iCs/>
        </w:rPr>
        <w:t>Supplementary</w:t>
      </w:r>
      <w:r w:rsidR="0067426D" w:rsidRPr="0067426D">
        <w:rPr>
          <w:rFonts w:ascii="Times New Roman" w:hAnsi="Times New Roman" w:cs="Times New Roman" w:hint="eastAsia"/>
          <w:i/>
          <w:iCs/>
        </w:rPr>
        <w:t xml:space="preserve"> </w:t>
      </w:r>
      <w:r w:rsidR="00922563" w:rsidRPr="0067426D">
        <w:rPr>
          <w:rFonts w:ascii="Times New Roman" w:hAnsi="Times New Roman" w:cs="Times New Roman" w:hint="eastAsia"/>
          <w:i/>
          <w:iCs/>
        </w:rPr>
        <w:t>Figure S2</w:t>
      </w:r>
      <w:r w:rsidR="00922563">
        <w:rPr>
          <w:rFonts w:ascii="Times New Roman" w:hAnsi="Times New Roman" w:cs="Times New Roman" w:hint="eastAsia"/>
        </w:rPr>
        <w:t>)</w:t>
      </w:r>
      <w:r w:rsidRPr="007B7507">
        <w:rPr>
          <w:rFonts w:ascii="Times New Roman" w:hAnsi="Times New Roman" w:cs="Times New Roman"/>
        </w:rPr>
        <w:t>.</w:t>
      </w:r>
    </w:p>
    <w:p w14:paraId="032817A7" w14:textId="77777777" w:rsidR="007B7507" w:rsidRPr="007B7507" w:rsidRDefault="007B7507" w:rsidP="007B7507">
      <w:pPr>
        <w:rPr>
          <w:rFonts w:ascii="Times New Roman" w:hAnsi="Times New Roman" w:cs="Times New Roman"/>
        </w:rPr>
      </w:pPr>
      <w:r w:rsidRPr="007B7507">
        <w:rPr>
          <w:rFonts w:ascii="Times New Roman" w:hAnsi="Times New Roman" w:cs="Times New Roman"/>
        </w:rPr>
        <w:t>Accordingly, utility was calculated for patients without complications as follows:</w:t>
      </w:r>
    </w:p>
    <w:p w14:paraId="34200376" w14:textId="77777777" w:rsidR="007B7507" w:rsidRPr="007B7507" w:rsidRDefault="007B7507" w:rsidP="007B7507">
      <w:pPr>
        <w:rPr>
          <w:rFonts w:ascii="Times New Roman" w:hAnsi="Times New Roman" w:cs="Times New Roman"/>
        </w:rPr>
      </w:pPr>
      <w:r w:rsidRPr="007B7507">
        <w:rPr>
          <w:rFonts w:ascii="Times New Roman" w:hAnsi="Times New Roman" w:cs="Times New Roman"/>
        </w:rPr>
        <w:tab/>
        <w:t>•</w:t>
      </w:r>
      <w:r w:rsidRPr="007B7507">
        <w:rPr>
          <w:rFonts w:ascii="Times New Roman" w:hAnsi="Times New Roman" w:cs="Times New Roman"/>
        </w:rPr>
        <w:tab/>
        <w:t>If ABR &lt; 5: Utility = 0.898 - 0.061 × ABR</w:t>
      </w:r>
    </w:p>
    <w:p w14:paraId="4B319CA3" w14:textId="77777777" w:rsidR="00D3109D" w:rsidRDefault="007B7507" w:rsidP="007B7507">
      <w:pPr>
        <w:rPr>
          <w:rFonts w:ascii="Times New Roman" w:hAnsi="Times New Roman" w:cs="Times New Roman"/>
        </w:rPr>
      </w:pPr>
      <w:r w:rsidRPr="007B7507">
        <w:rPr>
          <w:rFonts w:ascii="Times New Roman" w:hAnsi="Times New Roman" w:cs="Times New Roman"/>
        </w:rPr>
        <w:tab/>
        <w:t>•</w:t>
      </w:r>
      <w:r w:rsidRPr="007B7507">
        <w:rPr>
          <w:rFonts w:ascii="Times New Roman" w:hAnsi="Times New Roman" w:cs="Times New Roman"/>
        </w:rPr>
        <w:tab/>
        <w:t>If ABR ≥ 5: Utility = 0.552</w:t>
      </w:r>
    </w:p>
    <w:p w14:paraId="4952F0BB" w14:textId="77777777" w:rsidR="007B7507" w:rsidRDefault="007B7507" w:rsidP="007B7507">
      <w:pPr>
        <w:rPr>
          <w:rFonts w:ascii="Times New Roman" w:hAnsi="Times New Roman" w:cs="Times New Roman"/>
        </w:rPr>
      </w:pPr>
    </w:p>
    <w:p w14:paraId="0DEA15C5" w14:textId="77777777" w:rsidR="007B7507" w:rsidRDefault="007B7507">
      <w:pPr>
        <w:rPr>
          <w:rFonts w:ascii="Times New Roman" w:eastAsiaTheme="majorEastAsia" w:hAnsi="Times New Roman" w:cs="Times New Roman"/>
          <w:b/>
          <w:bCs/>
        </w:rPr>
      </w:pPr>
      <w:r>
        <w:br w:type="page"/>
      </w:r>
    </w:p>
    <w:p w14:paraId="6851E641" w14:textId="77777777" w:rsidR="007B7507" w:rsidRPr="00D3109D" w:rsidRDefault="007B7507" w:rsidP="007B7507">
      <w:pPr>
        <w:pStyle w:val="2"/>
      </w:pPr>
      <w:bookmarkStart w:id="16" w:name="_Toc200988914"/>
      <w:bookmarkStart w:id="17" w:name="_Toc211440060"/>
      <w:r>
        <w:rPr>
          <w:rFonts w:hint="eastAsia"/>
        </w:rPr>
        <w:lastRenderedPageBreak/>
        <w:t>6</w:t>
      </w:r>
      <w:r w:rsidRPr="00D3109D">
        <w:t xml:space="preserve">. </w:t>
      </w:r>
      <w:r>
        <w:rPr>
          <w:rFonts w:hint="eastAsia"/>
        </w:rPr>
        <w:t>Tables and Figures</w:t>
      </w:r>
      <w:bookmarkEnd w:id="16"/>
      <w:bookmarkEnd w:id="17"/>
    </w:p>
    <w:p w14:paraId="28FB3497" w14:textId="4B641507" w:rsidR="007B7507" w:rsidRDefault="007B7507" w:rsidP="007B7507">
      <w:pPr>
        <w:pStyle w:val="3"/>
        <w:rPr>
          <w:b w:val="0"/>
          <w:bCs w:val="0"/>
        </w:rPr>
      </w:pPr>
      <w:bookmarkStart w:id="18" w:name="_Toc200988915"/>
      <w:bookmarkStart w:id="19" w:name="_Toc211440061"/>
      <w:r w:rsidRPr="0016784E">
        <w:rPr>
          <w:rFonts w:hint="eastAsia"/>
          <w:b w:val="0"/>
          <w:bCs w:val="0"/>
        </w:rPr>
        <w:t>Figure S1.</w:t>
      </w:r>
      <w:r w:rsidR="0016784E" w:rsidRPr="0016784E">
        <w:rPr>
          <w:rFonts w:hint="eastAsia"/>
          <w:b w:val="0"/>
          <w:bCs w:val="0"/>
        </w:rPr>
        <w:t xml:space="preserve"> </w:t>
      </w:r>
      <w:r w:rsidR="0016784E" w:rsidRPr="0016784E">
        <w:rPr>
          <w:b w:val="0"/>
          <w:bCs w:val="0"/>
        </w:rPr>
        <w:t xml:space="preserve">PRISMA </w:t>
      </w:r>
      <w:r w:rsidR="00F67FE6">
        <w:rPr>
          <w:rFonts w:hint="eastAsia"/>
          <w:b w:val="0"/>
          <w:bCs w:val="0"/>
        </w:rPr>
        <w:t xml:space="preserve">2020 </w:t>
      </w:r>
      <w:r w:rsidR="0016784E" w:rsidRPr="0016784E">
        <w:rPr>
          <w:b w:val="0"/>
          <w:bCs w:val="0"/>
        </w:rPr>
        <w:t>flow diagram of the literature search and selection process</w:t>
      </w:r>
      <w:bookmarkEnd w:id="18"/>
      <w:r w:rsidR="00330EF0">
        <w:rPr>
          <w:rFonts w:hint="eastAsia"/>
          <w:b w:val="0"/>
          <w:bCs w:val="0"/>
        </w:rPr>
        <w:t xml:space="preserve"> [31]</w:t>
      </w:r>
      <w:bookmarkEnd w:id="19"/>
    </w:p>
    <w:p w14:paraId="481D4AB0" w14:textId="6E8AFE84" w:rsidR="00922563" w:rsidRPr="00432B82" w:rsidRDefault="00432B82" w:rsidP="00922563">
      <w:pPr>
        <w:rPr>
          <w:rFonts w:ascii="Times New Roman" w:hAnsi="Times New Roman" w:cs="Times New Roman"/>
        </w:rPr>
      </w:pPr>
      <w:r w:rsidRPr="00432B82">
        <w:rPr>
          <w:rFonts w:ascii="Times New Roman" w:hAnsi="Times New Roman" w:cs="Times New Roman"/>
        </w:rPr>
        <w:t xml:space="preserve">Figure S1A. Model Cohort </w:t>
      </w:r>
      <w:r>
        <w:rPr>
          <w:rFonts w:ascii="Times New Roman" w:hAnsi="Times New Roman" w:cs="Times New Roman" w:hint="eastAsia"/>
        </w:rPr>
        <w:t xml:space="preserve">Characteristics </w:t>
      </w:r>
      <w:r w:rsidRPr="00432B82">
        <w:rPr>
          <w:rFonts w:ascii="Times New Roman" w:hAnsi="Times New Roman" w:cs="Times New Roman"/>
        </w:rPr>
        <w:t>Parameters</w:t>
      </w:r>
    </w:p>
    <w:p w14:paraId="593968BC" w14:textId="4A651F9F" w:rsidR="00432B82" w:rsidRDefault="00432B82" w:rsidP="00922563">
      <w:r w:rsidRPr="00432B82">
        <w:rPr>
          <w:noProof/>
        </w:rPr>
        <w:drawing>
          <wp:inline distT="0" distB="0" distL="0" distR="0" wp14:anchorId="247AFB05" wp14:editId="167B2458">
            <wp:extent cx="5274310" cy="2449830"/>
            <wp:effectExtent l="0" t="0" r="0" b="1270"/>
            <wp:docPr id="20214178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17863" name=""/>
                    <pic:cNvPicPr/>
                  </pic:nvPicPr>
                  <pic:blipFill>
                    <a:blip r:embed="rId9"/>
                    <a:stretch>
                      <a:fillRect/>
                    </a:stretch>
                  </pic:blipFill>
                  <pic:spPr>
                    <a:xfrm>
                      <a:off x="0" y="0"/>
                      <a:ext cx="5274310" cy="2449830"/>
                    </a:xfrm>
                    <a:prstGeom prst="rect">
                      <a:avLst/>
                    </a:prstGeom>
                  </pic:spPr>
                </pic:pic>
              </a:graphicData>
            </a:graphic>
          </wp:inline>
        </w:drawing>
      </w:r>
    </w:p>
    <w:p w14:paraId="3AE7C694" w14:textId="2383F4CF" w:rsidR="00432B82" w:rsidRPr="00432B82" w:rsidRDefault="00432B82" w:rsidP="00432B82">
      <w:pPr>
        <w:rPr>
          <w:rFonts w:ascii="Times New Roman" w:hAnsi="Times New Roman" w:cs="Times New Roman"/>
        </w:rPr>
      </w:pPr>
      <w:r w:rsidRPr="00432B82">
        <w:rPr>
          <w:rFonts w:ascii="Times New Roman" w:hAnsi="Times New Roman" w:cs="Times New Roman"/>
        </w:rPr>
        <w:t>Figure S1</w:t>
      </w:r>
      <w:r>
        <w:rPr>
          <w:rFonts w:ascii="Times New Roman" w:hAnsi="Times New Roman" w:cs="Times New Roman" w:hint="eastAsia"/>
        </w:rPr>
        <w:t>B</w:t>
      </w:r>
      <w:r w:rsidRPr="00432B82">
        <w:rPr>
          <w:rFonts w:ascii="Times New Roman" w:hAnsi="Times New Roman" w:cs="Times New Roman"/>
        </w:rPr>
        <w:t>. Clinical Efficacy Parameters</w:t>
      </w:r>
    </w:p>
    <w:p w14:paraId="5A6AB3C7" w14:textId="609D57D7" w:rsidR="00432B82" w:rsidRDefault="00432B82" w:rsidP="00922563">
      <w:r w:rsidRPr="00432B82">
        <w:rPr>
          <w:noProof/>
        </w:rPr>
        <w:drawing>
          <wp:inline distT="0" distB="0" distL="0" distR="0" wp14:anchorId="0F3FC3BA" wp14:editId="6E6EEA48">
            <wp:extent cx="5274310" cy="2449830"/>
            <wp:effectExtent l="0" t="0" r="0" b="1270"/>
            <wp:docPr id="729313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13505" name=""/>
                    <pic:cNvPicPr/>
                  </pic:nvPicPr>
                  <pic:blipFill>
                    <a:blip r:embed="rId10"/>
                    <a:stretch>
                      <a:fillRect/>
                    </a:stretch>
                  </pic:blipFill>
                  <pic:spPr>
                    <a:xfrm>
                      <a:off x="0" y="0"/>
                      <a:ext cx="5274310" cy="2449830"/>
                    </a:xfrm>
                    <a:prstGeom prst="rect">
                      <a:avLst/>
                    </a:prstGeom>
                  </pic:spPr>
                </pic:pic>
              </a:graphicData>
            </a:graphic>
          </wp:inline>
        </w:drawing>
      </w:r>
    </w:p>
    <w:p w14:paraId="2FC6E3D5" w14:textId="77777777" w:rsidR="00432B82" w:rsidRDefault="00432B82">
      <w:pPr>
        <w:rPr>
          <w:rFonts w:ascii="Times New Roman" w:hAnsi="Times New Roman" w:cs="Times New Roman"/>
        </w:rPr>
      </w:pPr>
      <w:r>
        <w:rPr>
          <w:rFonts w:ascii="Times New Roman" w:hAnsi="Times New Roman" w:cs="Times New Roman"/>
        </w:rPr>
        <w:br w:type="page"/>
      </w:r>
    </w:p>
    <w:p w14:paraId="0A533E4C" w14:textId="3A998D1A" w:rsidR="00432B82" w:rsidRPr="00432B82" w:rsidRDefault="00432B82" w:rsidP="00432B82">
      <w:pPr>
        <w:rPr>
          <w:rFonts w:ascii="Times New Roman" w:hAnsi="Times New Roman" w:cs="Times New Roman"/>
        </w:rPr>
      </w:pPr>
      <w:r w:rsidRPr="00432B82">
        <w:rPr>
          <w:rFonts w:ascii="Times New Roman" w:hAnsi="Times New Roman" w:cs="Times New Roman"/>
        </w:rPr>
        <w:lastRenderedPageBreak/>
        <w:t>Figure S1</w:t>
      </w:r>
      <w:r>
        <w:rPr>
          <w:rFonts w:ascii="Times New Roman" w:hAnsi="Times New Roman" w:cs="Times New Roman" w:hint="eastAsia"/>
        </w:rPr>
        <w:t>C</w:t>
      </w:r>
      <w:r w:rsidRPr="00432B82">
        <w:rPr>
          <w:rFonts w:ascii="Times New Roman" w:hAnsi="Times New Roman" w:cs="Times New Roman"/>
        </w:rPr>
        <w:t>. Disease Progression Parameters</w:t>
      </w:r>
    </w:p>
    <w:p w14:paraId="225572B8" w14:textId="6E37A2DE" w:rsidR="00432B82" w:rsidRDefault="00432B82" w:rsidP="00922563">
      <w:r w:rsidRPr="00432B82">
        <w:rPr>
          <w:noProof/>
        </w:rPr>
        <w:drawing>
          <wp:inline distT="0" distB="0" distL="0" distR="0" wp14:anchorId="67702033" wp14:editId="102E5282">
            <wp:extent cx="5274310" cy="2449830"/>
            <wp:effectExtent l="0" t="0" r="0" b="1270"/>
            <wp:docPr id="1560696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96570" name=""/>
                    <pic:cNvPicPr/>
                  </pic:nvPicPr>
                  <pic:blipFill>
                    <a:blip r:embed="rId11"/>
                    <a:stretch>
                      <a:fillRect/>
                    </a:stretch>
                  </pic:blipFill>
                  <pic:spPr>
                    <a:xfrm>
                      <a:off x="0" y="0"/>
                      <a:ext cx="5274310" cy="2449830"/>
                    </a:xfrm>
                    <a:prstGeom prst="rect">
                      <a:avLst/>
                    </a:prstGeom>
                  </pic:spPr>
                </pic:pic>
              </a:graphicData>
            </a:graphic>
          </wp:inline>
        </w:drawing>
      </w:r>
    </w:p>
    <w:p w14:paraId="793337DC" w14:textId="00BF4190" w:rsidR="00432B82" w:rsidRPr="00432B82" w:rsidRDefault="00432B82" w:rsidP="00432B82">
      <w:pPr>
        <w:rPr>
          <w:rFonts w:ascii="Times New Roman" w:hAnsi="Times New Roman" w:cs="Times New Roman"/>
        </w:rPr>
      </w:pPr>
      <w:r w:rsidRPr="00432B82">
        <w:rPr>
          <w:rFonts w:ascii="Times New Roman" w:hAnsi="Times New Roman" w:cs="Times New Roman"/>
        </w:rPr>
        <w:t>Figure S1</w:t>
      </w:r>
      <w:r>
        <w:rPr>
          <w:rFonts w:ascii="Times New Roman" w:hAnsi="Times New Roman" w:cs="Times New Roman" w:hint="eastAsia"/>
        </w:rPr>
        <w:t>D</w:t>
      </w:r>
      <w:r w:rsidRPr="00432B82">
        <w:rPr>
          <w:rFonts w:ascii="Times New Roman" w:hAnsi="Times New Roman" w:cs="Times New Roman"/>
        </w:rPr>
        <w:t xml:space="preserve">. </w:t>
      </w:r>
      <w:r w:rsidR="00823E8F">
        <w:rPr>
          <w:rFonts w:ascii="Times New Roman" w:hAnsi="Times New Roman" w:cs="Times New Roman" w:hint="eastAsia"/>
        </w:rPr>
        <w:t>Quality of life Parameters</w:t>
      </w:r>
    </w:p>
    <w:p w14:paraId="4BC735E9" w14:textId="6CC3B02C" w:rsidR="00432B82" w:rsidRDefault="00432B82" w:rsidP="00922563">
      <w:r w:rsidRPr="00432B82">
        <w:rPr>
          <w:noProof/>
        </w:rPr>
        <w:drawing>
          <wp:inline distT="0" distB="0" distL="0" distR="0" wp14:anchorId="2A4A7E3A" wp14:editId="6B6D9A56">
            <wp:extent cx="5274310" cy="2449830"/>
            <wp:effectExtent l="0" t="0" r="0" b="1270"/>
            <wp:docPr id="6571170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17063" name=""/>
                    <pic:cNvPicPr/>
                  </pic:nvPicPr>
                  <pic:blipFill>
                    <a:blip r:embed="rId12"/>
                    <a:stretch>
                      <a:fillRect/>
                    </a:stretch>
                  </pic:blipFill>
                  <pic:spPr>
                    <a:xfrm>
                      <a:off x="0" y="0"/>
                      <a:ext cx="5274310" cy="2449830"/>
                    </a:xfrm>
                    <a:prstGeom prst="rect">
                      <a:avLst/>
                    </a:prstGeom>
                  </pic:spPr>
                </pic:pic>
              </a:graphicData>
            </a:graphic>
          </wp:inline>
        </w:drawing>
      </w:r>
    </w:p>
    <w:p w14:paraId="06460506" w14:textId="3D257236" w:rsidR="00432B82" w:rsidRPr="00651543" w:rsidRDefault="005363CE" w:rsidP="00922563">
      <w:pPr>
        <w:rPr>
          <w:rFonts w:ascii="Times New Roman" w:hAnsi="Times New Roman" w:cs="Times New Roman"/>
          <w:sz w:val="18"/>
          <w:szCs w:val="18"/>
        </w:rPr>
      </w:pPr>
      <w:r w:rsidRPr="00651543">
        <w:rPr>
          <w:rFonts w:ascii="Times New Roman" w:hAnsi="Times New Roman" w:cs="Times New Roman"/>
          <w:sz w:val="18"/>
          <w:szCs w:val="18"/>
        </w:rPr>
        <w:t>*SLR: systematic literature review</w:t>
      </w:r>
    </w:p>
    <w:p w14:paraId="26C726DE" w14:textId="77777777" w:rsidR="00922563" w:rsidRDefault="00922563" w:rsidP="00922563">
      <w:pPr>
        <w:pStyle w:val="3"/>
        <w:rPr>
          <w:b w:val="0"/>
          <w:bCs w:val="0"/>
        </w:rPr>
      </w:pPr>
      <w:bookmarkStart w:id="20" w:name="_Toc200988916"/>
      <w:bookmarkStart w:id="21" w:name="_Toc211440062"/>
      <w:r w:rsidRPr="0016784E">
        <w:rPr>
          <w:rFonts w:hint="eastAsia"/>
          <w:b w:val="0"/>
          <w:bCs w:val="0"/>
        </w:rPr>
        <w:t>Figure S</w:t>
      </w:r>
      <w:r>
        <w:rPr>
          <w:rFonts w:hint="eastAsia"/>
          <w:b w:val="0"/>
          <w:bCs w:val="0"/>
        </w:rPr>
        <w:t>2</w:t>
      </w:r>
      <w:r w:rsidRPr="0016784E">
        <w:rPr>
          <w:rFonts w:hint="eastAsia"/>
          <w:b w:val="0"/>
          <w:bCs w:val="0"/>
        </w:rPr>
        <w:t xml:space="preserve">. </w:t>
      </w:r>
      <w:r>
        <w:rPr>
          <w:rFonts w:hint="eastAsia"/>
          <w:b w:val="0"/>
          <w:bCs w:val="0"/>
        </w:rPr>
        <w:t>R</w:t>
      </w:r>
      <w:r w:rsidRPr="00922563">
        <w:rPr>
          <w:b w:val="0"/>
          <w:bCs w:val="0"/>
        </w:rPr>
        <w:t>elationship between Annual Bleeding Rate (ABR) and Quality of Life Utility Values in Hemophilia A Patients: Based on a European Cohort Study</w:t>
      </w:r>
      <w:bookmarkEnd w:id="20"/>
      <w:bookmarkEnd w:id="21"/>
    </w:p>
    <w:p w14:paraId="412ADFD3" w14:textId="77777777" w:rsidR="0016784E" w:rsidRDefault="00922563" w:rsidP="0016784E">
      <w:r w:rsidRPr="00922563">
        <w:rPr>
          <w:noProof/>
        </w:rPr>
        <w:drawing>
          <wp:inline distT="0" distB="0" distL="0" distR="0" wp14:anchorId="4663C750" wp14:editId="5A7AE5C8">
            <wp:extent cx="4504997" cy="2582265"/>
            <wp:effectExtent l="0" t="0" r="3810" b="0"/>
            <wp:docPr id="17332484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48490" name=""/>
                    <pic:cNvPicPr/>
                  </pic:nvPicPr>
                  <pic:blipFill>
                    <a:blip r:embed="rId13"/>
                    <a:stretch>
                      <a:fillRect/>
                    </a:stretch>
                  </pic:blipFill>
                  <pic:spPr>
                    <a:xfrm>
                      <a:off x="0" y="0"/>
                      <a:ext cx="4520868" cy="2591362"/>
                    </a:xfrm>
                    <a:prstGeom prst="rect">
                      <a:avLst/>
                    </a:prstGeom>
                  </pic:spPr>
                </pic:pic>
              </a:graphicData>
            </a:graphic>
          </wp:inline>
        </w:drawing>
      </w:r>
    </w:p>
    <w:p w14:paraId="64284F2F" w14:textId="20103D42" w:rsidR="005363CE" w:rsidRPr="00651543" w:rsidRDefault="005363CE" w:rsidP="005363CE">
      <w:pPr>
        <w:rPr>
          <w:rFonts w:ascii="Times New Roman" w:hAnsi="Times New Roman" w:cs="Times New Roman"/>
          <w:sz w:val="18"/>
          <w:szCs w:val="18"/>
        </w:rPr>
      </w:pPr>
      <w:r w:rsidRPr="00651543">
        <w:rPr>
          <w:rFonts w:ascii="Times New Roman" w:hAnsi="Times New Roman" w:cs="Times New Roman"/>
          <w:sz w:val="18"/>
          <w:szCs w:val="18"/>
        </w:rPr>
        <w:lastRenderedPageBreak/>
        <w:t>*HRQoL: health-related quality of life</w:t>
      </w:r>
    </w:p>
    <w:p w14:paraId="3FFC1C7F" w14:textId="77777777" w:rsidR="0067426D" w:rsidRDefault="0067426D" w:rsidP="0016784E"/>
    <w:p w14:paraId="332B933E" w14:textId="1A4712F8" w:rsidR="0067426D" w:rsidRDefault="0067426D" w:rsidP="0067426D">
      <w:pPr>
        <w:pStyle w:val="3"/>
        <w:rPr>
          <w:b w:val="0"/>
          <w:bCs w:val="0"/>
        </w:rPr>
      </w:pPr>
      <w:bookmarkStart w:id="22" w:name="_Toc200988917"/>
      <w:bookmarkStart w:id="23" w:name="_Toc211440063"/>
      <w:r w:rsidRPr="0067426D">
        <w:rPr>
          <w:b w:val="0"/>
          <w:bCs w:val="0"/>
        </w:rPr>
        <w:t>Table S1. Full Search Strategies and Results of the Systematic Literature Review</w:t>
      </w:r>
      <w:bookmarkEnd w:id="22"/>
      <w:bookmarkEnd w:id="23"/>
    </w:p>
    <w:p w14:paraId="47EBBA70" w14:textId="23075CDA" w:rsidR="007A02DE" w:rsidRPr="007A02DE" w:rsidRDefault="007A02DE" w:rsidP="007A02DE">
      <w:pPr>
        <w:rPr>
          <w:rFonts w:ascii="Times New Roman" w:hAnsi="Times New Roman" w:cs="Times New Roman"/>
        </w:rPr>
      </w:pPr>
      <w:r w:rsidRPr="007A02DE">
        <w:rPr>
          <w:rFonts w:ascii="Times New Roman" w:hAnsi="Times New Roman" w:cs="Times New Roman"/>
        </w:rPr>
        <w:t>Table S1A. Search Strategies and Results from EMBASE</w:t>
      </w:r>
    </w:p>
    <w:tbl>
      <w:tblPr>
        <w:tblW w:w="5000" w:type="pct"/>
        <w:tblLook w:val="04A0" w:firstRow="1" w:lastRow="0" w:firstColumn="1" w:lastColumn="0" w:noHBand="0" w:noVBand="1"/>
      </w:tblPr>
      <w:tblGrid>
        <w:gridCol w:w="649"/>
        <w:gridCol w:w="6348"/>
        <w:gridCol w:w="1299"/>
      </w:tblGrid>
      <w:tr w:rsidR="007A02DE" w:rsidRPr="007A02DE" w14:paraId="4B40F3C9" w14:textId="77777777" w:rsidTr="007A02DE">
        <w:trPr>
          <w:trHeight w:val="34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B44BE4B"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w:t>
            </w:r>
          </w:p>
        </w:tc>
        <w:tc>
          <w:tcPr>
            <w:tcW w:w="3826" w:type="pct"/>
            <w:tcBorders>
              <w:top w:val="single" w:sz="4" w:space="0" w:color="auto"/>
              <w:left w:val="nil"/>
              <w:bottom w:val="single" w:sz="4" w:space="0" w:color="auto"/>
              <w:right w:val="single" w:sz="4" w:space="0" w:color="auto"/>
            </w:tcBorders>
            <w:vAlign w:val="center"/>
            <w:hideMark/>
          </w:tcPr>
          <w:p w14:paraId="2745172B"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Searches</w:t>
            </w:r>
          </w:p>
        </w:tc>
        <w:tc>
          <w:tcPr>
            <w:tcW w:w="783" w:type="pct"/>
            <w:tcBorders>
              <w:top w:val="single" w:sz="4" w:space="0" w:color="auto"/>
              <w:left w:val="nil"/>
              <w:bottom w:val="single" w:sz="4" w:space="0" w:color="auto"/>
              <w:right w:val="single" w:sz="4" w:space="0" w:color="auto"/>
            </w:tcBorders>
            <w:noWrap/>
            <w:vAlign w:val="center"/>
            <w:hideMark/>
          </w:tcPr>
          <w:p w14:paraId="209690E2" w14:textId="77777777" w:rsidR="007A02DE" w:rsidRPr="007A02DE" w:rsidRDefault="007A02DE" w:rsidP="007A02DE">
            <w:pPr>
              <w:jc w:val="center"/>
              <w:rPr>
                <w:rFonts w:ascii="Times New Roman" w:eastAsia="微软雅黑" w:hAnsi="Times New Roman" w:cs="Times New Roman"/>
                <w:b/>
                <w:bCs/>
                <w:color w:val="000000"/>
                <w:sz w:val="20"/>
                <w:szCs w:val="20"/>
              </w:rPr>
            </w:pPr>
            <w:r w:rsidRPr="007A02DE">
              <w:rPr>
                <w:rFonts w:ascii="Times New Roman" w:eastAsia="微软雅黑" w:hAnsi="Times New Roman" w:cs="Times New Roman"/>
                <w:b/>
                <w:bCs/>
                <w:color w:val="000000"/>
                <w:sz w:val="20"/>
                <w:szCs w:val="20"/>
              </w:rPr>
              <w:t>Results</w:t>
            </w:r>
          </w:p>
        </w:tc>
      </w:tr>
      <w:tr w:rsidR="007A02DE" w:rsidRPr="007A02DE" w14:paraId="523B7331"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15D53D0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w:t>
            </w:r>
          </w:p>
        </w:tc>
        <w:tc>
          <w:tcPr>
            <w:tcW w:w="3826" w:type="pct"/>
            <w:tcBorders>
              <w:top w:val="nil"/>
              <w:left w:val="nil"/>
              <w:bottom w:val="single" w:sz="4" w:space="0" w:color="auto"/>
              <w:right w:val="single" w:sz="4" w:space="0" w:color="auto"/>
            </w:tcBorders>
            <w:vAlign w:val="center"/>
            <w:hideMark/>
          </w:tcPr>
          <w:p w14:paraId="30927182"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'Hemophilia A'/exp</w:t>
            </w:r>
          </w:p>
        </w:tc>
        <w:tc>
          <w:tcPr>
            <w:tcW w:w="783" w:type="pct"/>
            <w:tcBorders>
              <w:top w:val="nil"/>
              <w:left w:val="nil"/>
              <w:bottom w:val="single" w:sz="4" w:space="0" w:color="auto"/>
              <w:right w:val="single" w:sz="4" w:space="0" w:color="auto"/>
            </w:tcBorders>
            <w:noWrap/>
            <w:vAlign w:val="center"/>
            <w:hideMark/>
          </w:tcPr>
          <w:p w14:paraId="7D1964C2"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30,200 </w:t>
            </w:r>
          </w:p>
        </w:tc>
      </w:tr>
      <w:tr w:rsidR="007A02DE" w:rsidRPr="007A02DE" w14:paraId="7F6843C7"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4DBEFD6F"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w:t>
            </w:r>
          </w:p>
        </w:tc>
        <w:tc>
          <w:tcPr>
            <w:tcW w:w="3826" w:type="pct"/>
            <w:tcBorders>
              <w:top w:val="nil"/>
              <w:left w:val="nil"/>
              <w:bottom w:val="single" w:sz="4" w:space="0" w:color="auto"/>
              <w:right w:val="single" w:sz="4" w:space="0" w:color="auto"/>
            </w:tcBorders>
            <w:vAlign w:val="center"/>
            <w:hideMark/>
          </w:tcPr>
          <w:p w14:paraId="330D74F9"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'Hemophilia A':ti,ab,kw</w:t>
            </w:r>
          </w:p>
        </w:tc>
        <w:tc>
          <w:tcPr>
            <w:tcW w:w="783" w:type="pct"/>
            <w:tcBorders>
              <w:top w:val="nil"/>
              <w:left w:val="nil"/>
              <w:bottom w:val="single" w:sz="4" w:space="0" w:color="auto"/>
              <w:right w:val="single" w:sz="4" w:space="0" w:color="auto"/>
            </w:tcBorders>
            <w:noWrap/>
            <w:vAlign w:val="center"/>
            <w:hideMark/>
          </w:tcPr>
          <w:p w14:paraId="264D52A5"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13,654 </w:t>
            </w:r>
          </w:p>
        </w:tc>
      </w:tr>
      <w:tr w:rsidR="007A02DE" w:rsidRPr="007A02DE" w14:paraId="7186D3D3"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5DFD203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w:t>
            </w:r>
          </w:p>
        </w:tc>
        <w:tc>
          <w:tcPr>
            <w:tcW w:w="3826" w:type="pct"/>
            <w:tcBorders>
              <w:top w:val="nil"/>
              <w:left w:val="nil"/>
              <w:bottom w:val="single" w:sz="4" w:space="0" w:color="auto"/>
              <w:right w:val="single" w:sz="4" w:space="0" w:color="auto"/>
            </w:tcBorders>
            <w:vAlign w:val="center"/>
            <w:hideMark/>
          </w:tcPr>
          <w:p w14:paraId="52C94EEB"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 or #2</w:t>
            </w:r>
          </w:p>
        </w:tc>
        <w:tc>
          <w:tcPr>
            <w:tcW w:w="783" w:type="pct"/>
            <w:tcBorders>
              <w:top w:val="nil"/>
              <w:left w:val="nil"/>
              <w:bottom w:val="single" w:sz="4" w:space="0" w:color="auto"/>
              <w:right w:val="single" w:sz="4" w:space="0" w:color="auto"/>
            </w:tcBorders>
            <w:noWrap/>
            <w:vAlign w:val="center"/>
            <w:hideMark/>
          </w:tcPr>
          <w:p w14:paraId="0FE57A05"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30,200 </w:t>
            </w:r>
          </w:p>
        </w:tc>
      </w:tr>
      <w:tr w:rsidR="007A02DE" w:rsidRPr="007A02DE" w14:paraId="657FC383"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5C7946D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4</w:t>
            </w:r>
          </w:p>
        </w:tc>
        <w:tc>
          <w:tcPr>
            <w:tcW w:w="3826" w:type="pct"/>
            <w:tcBorders>
              <w:top w:val="nil"/>
              <w:left w:val="nil"/>
              <w:bottom w:val="single" w:sz="4" w:space="0" w:color="auto"/>
              <w:right w:val="single" w:sz="4" w:space="0" w:color="auto"/>
            </w:tcBorders>
            <w:vAlign w:val="center"/>
            <w:hideMark/>
          </w:tcPr>
          <w:p w14:paraId="339F128D"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 AND  [embase]/lim AND [english]/lim</w:t>
            </w:r>
          </w:p>
        </w:tc>
        <w:tc>
          <w:tcPr>
            <w:tcW w:w="783" w:type="pct"/>
            <w:tcBorders>
              <w:top w:val="nil"/>
              <w:left w:val="nil"/>
              <w:bottom w:val="single" w:sz="4" w:space="0" w:color="auto"/>
              <w:right w:val="single" w:sz="4" w:space="0" w:color="auto"/>
            </w:tcBorders>
            <w:noWrap/>
            <w:vAlign w:val="center"/>
            <w:hideMark/>
          </w:tcPr>
          <w:p w14:paraId="78977566"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21,774 </w:t>
            </w:r>
          </w:p>
        </w:tc>
      </w:tr>
      <w:tr w:rsidR="007A02DE" w:rsidRPr="007A02DE" w14:paraId="30099593" w14:textId="77777777" w:rsidTr="007A02DE">
        <w:trPr>
          <w:trHeight w:val="680"/>
        </w:trPr>
        <w:tc>
          <w:tcPr>
            <w:tcW w:w="391" w:type="pct"/>
            <w:tcBorders>
              <w:top w:val="nil"/>
              <w:left w:val="single" w:sz="4" w:space="0" w:color="auto"/>
              <w:bottom w:val="single" w:sz="4" w:space="0" w:color="auto"/>
              <w:right w:val="single" w:sz="4" w:space="0" w:color="auto"/>
            </w:tcBorders>
            <w:noWrap/>
            <w:vAlign w:val="center"/>
            <w:hideMark/>
          </w:tcPr>
          <w:p w14:paraId="717C635C"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5</w:t>
            </w:r>
          </w:p>
        </w:tc>
        <w:tc>
          <w:tcPr>
            <w:tcW w:w="3826" w:type="pct"/>
            <w:tcBorders>
              <w:top w:val="nil"/>
              <w:left w:val="nil"/>
              <w:bottom w:val="single" w:sz="4" w:space="0" w:color="auto"/>
              <w:right w:val="single" w:sz="4" w:space="0" w:color="auto"/>
            </w:tcBorders>
            <w:vAlign w:val="center"/>
            <w:hideMark/>
          </w:tcPr>
          <w:p w14:paraId="4BFCBA68"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#4 AND ([article]/lim OR [article in press]/lim OR [conference abstract]/lim OR [conference paper]/lim OR [data papers]/lim OR [short survey]/lim OR [preprint]/lim)</w:t>
            </w:r>
          </w:p>
        </w:tc>
        <w:tc>
          <w:tcPr>
            <w:tcW w:w="783" w:type="pct"/>
            <w:tcBorders>
              <w:top w:val="nil"/>
              <w:left w:val="nil"/>
              <w:bottom w:val="single" w:sz="4" w:space="0" w:color="auto"/>
              <w:right w:val="single" w:sz="4" w:space="0" w:color="auto"/>
            </w:tcBorders>
            <w:noWrap/>
            <w:vAlign w:val="center"/>
            <w:hideMark/>
          </w:tcPr>
          <w:p w14:paraId="3987F688"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18,030 </w:t>
            </w:r>
          </w:p>
        </w:tc>
      </w:tr>
      <w:tr w:rsidR="007A02DE" w:rsidRPr="007A02DE" w14:paraId="1F698B0E"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7ABBFDE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w:t>
            </w:r>
          </w:p>
        </w:tc>
        <w:tc>
          <w:tcPr>
            <w:tcW w:w="3826" w:type="pct"/>
            <w:tcBorders>
              <w:top w:val="nil"/>
              <w:left w:val="nil"/>
              <w:bottom w:val="single" w:sz="4" w:space="0" w:color="auto"/>
              <w:right w:val="single" w:sz="4" w:space="0" w:color="auto"/>
            </w:tcBorders>
            <w:vAlign w:val="center"/>
            <w:hideMark/>
          </w:tcPr>
          <w:p w14:paraId="19081DB3"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#5 and [2013-2023]/py</w:t>
            </w:r>
          </w:p>
        </w:tc>
        <w:tc>
          <w:tcPr>
            <w:tcW w:w="783" w:type="pct"/>
            <w:tcBorders>
              <w:top w:val="nil"/>
              <w:left w:val="nil"/>
              <w:bottom w:val="single" w:sz="4" w:space="0" w:color="auto"/>
              <w:right w:val="single" w:sz="4" w:space="0" w:color="auto"/>
            </w:tcBorders>
            <w:noWrap/>
            <w:vAlign w:val="center"/>
            <w:hideMark/>
          </w:tcPr>
          <w:p w14:paraId="676817E5"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11,456 </w:t>
            </w:r>
          </w:p>
        </w:tc>
      </w:tr>
      <w:tr w:rsidR="007A02DE" w:rsidRPr="007A02DE" w14:paraId="7B805106" w14:textId="77777777" w:rsidTr="007A02DE">
        <w:trPr>
          <w:trHeight w:val="680"/>
        </w:trPr>
        <w:tc>
          <w:tcPr>
            <w:tcW w:w="391" w:type="pct"/>
            <w:tcBorders>
              <w:top w:val="nil"/>
              <w:left w:val="single" w:sz="4" w:space="0" w:color="auto"/>
              <w:bottom w:val="single" w:sz="4" w:space="0" w:color="auto"/>
              <w:right w:val="single" w:sz="4" w:space="0" w:color="auto"/>
            </w:tcBorders>
            <w:noWrap/>
            <w:vAlign w:val="center"/>
            <w:hideMark/>
          </w:tcPr>
          <w:p w14:paraId="2F0849EA"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7</w:t>
            </w:r>
          </w:p>
        </w:tc>
        <w:tc>
          <w:tcPr>
            <w:tcW w:w="3826" w:type="pct"/>
            <w:tcBorders>
              <w:top w:val="nil"/>
              <w:left w:val="nil"/>
              <w:bottom w:val="single" w:sz="4" w:space="0" w:color="auto"/>
              <w:right w:val="single" w:sz="4" w:space="0" w:color="auto"/>
            </w:tcBorders>
            <w:vAlign w:val="center"/>
            <w:hideMark/>
          </w:tcPr>
          <w:p w14:paraId="6C0867D4"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(prospective* or retrospective* or observation* or 'cross-section*' or 'cross section*' or 'real world' or 'real-world' or cohort* or survey* or questionnaire or registr*):ti,ab,kw</w:t>
            </w:r>
          </w:p>
        </w:tc>
        <w:tc>
          <w:tcPr>
            <w:tcW w:w="783" w:type="pct"/>
            <w:tcBorders>
              <w:top w:val="nil"/>
              <w:left w:val="nil"/>
              <w:bottom w:val="single" w:sz="4" w:space="0" w:color="auto"/>
              <w:right w:val="single" w:sz="4" w:space="0" w:color="auto"/>
            </w:tcBorders>
            <w:noWrap/>
            <w:vAlign w:val="center"/>
            <w:hideMark/>
          </w:tcPr>
          <w:p w14:paraId="19841758"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6,714,878 </w:t>
            </w:r>
          </w:p>
        </w:tc>
      </w:tr>
      <w:tr w:rsidR="007A02DE" w:rsidRPr="007A02DE" w14:paraId="0CC49F10"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04B14D0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8</w:t>
            </w:r>
          </w:p>
        </w:tc>
        <w:tc>
          <w:tcPr>
            <w:tcW w:w="3826" w:type="pct"/>
            <w:tcBorders>
              <w:top w:val="nil"/>
              <w:left w:val="nil"/>
              <w:bottom w:val="single" w:sz="4" w:space="0" w:color="auto"/>
              <w:right w:val="single" w:sz="4" w:space="0" w:color="auto"/>
            </w:tcBorders>
            <w:vAlign w:val="center"/>
            <w:hideMark/>
          </w:tcPr>
          <w:p w14:paraId="20E4536B"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(China or Chinese):ti,ab,kw</w:t>
            </w:r>
          </w:p>
        </w:tc>
        <w:tc>
          <w:tcPr>
            <w:tcW w:w="783" w:type="pct"/>
            <w:tcBorders>
              <w:top w:val="nil"/>
              <w:left w:val="nil"/>
              <w:bottom w:val="single" w:sz="4" w:space="0" w:color="auto"/>
              <w:right w:val="single" w:sz="4" w:space="0" w:color="auto"/>
            </w:tcBorders>
            <w:noWrap/>
            <w:vAlign w:val="center"/>
            <w:hideMark/>
          </w:tcPr>
          <w:p w14:paraId="7260F5DA"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609,794 </w:t>
            </w:r>
          </w:p>
        </w:tc>
      </w:tr>
      <w:tr w:rsidR="007A02DE" w:rsidRPr="007A02DE" w14:paraId="6578A87E"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6E16EDD2"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9</w:t>
            </w:r>
          </w:p>
        </w:tc>
        <w:tc>
          <w:tcPr>
            <w:tcW w:w="3826" w:type="pct"/>
            <w:tcBorders>
              <w:top w:val="nil"/>
              <w:left w:val="nil"/>
              <w:bottom w:val="single" w:sz="4" w:space="0" w:color="auto"/>
              <w:right w:val="single" w:sz="4" w:space="0" w:color="auto"/>
            </w:tcBorders>
            <w:vAlign w:val="center"/>
            <w:hideMark/>
          </w:tcPr>
          <w:p w14:paraId="00AE764C"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 and #7 and #8</w:t>
            </w:r>
          </w:p>
        </w:tc>
        <w:tc>
          <w:tcPr>
            <w:tcW w:w="783" w:type="pct"/>
            <w:tcBorders>
              <w:top w:val="nil"/>
              <w:left w:val="nil"/>
              <w:bottom w:val="single" w:sz="4" w:space="0" w:color="auto"/>
              <w:right w:val="single" w:sz="4" w:space="0" w:color="auto"/>
            </w:tcBorders>
            <w:noWrap/>
            <w:vAlign w:val="center"/>
            <w:hideMark/>
          </w:tcPr>
          <w:p w14:paraId="3FFCEF6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115 </w:t>
            </w:r>
          </w:p>
        </w:tc>
      </w:tr>
      <w:tr w:rsidR="007A02DE" w:rsidRPr="007A02DE" w14:paraId="03BB1482" w14:textId="77777777" w:rsidTr="007A02DE">
        <w:trPr>
          <w:trHeight w:val="680"/>
        </w:trPr>
        <w:tc>
          <w:tcPr>
            <w:tcW w:w="391" w:type="pct"/>
            <w:tcBorders>
              <w:top w:val="nil"/>
              <w:left w:val="single" w:sz="4" w:space="0" w:color="auto"/>
              <w:bottom w:val="single" w:sz="4" w:space="0" w:color="auto"/>
              <w:right w:val="single" w:sz="4" w:space="0" w:color="auto"/>
            </w:tcBorders>
            <w:noWrap/>
            <w:vAlign w:val="center"/>
            <w:hideMark/>
          </w:tcPr>
          <w:p w14:paraId="60E4D4EB"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10</w:t>
            </w:r>
          </w:p>
        </w:tc>
        <w:tc>
          <w:tcPr>
            <w:tcW w:w="3826" w:type="pct"/>
            <w:tcBorders>
              <w:top w:val="nil"/>
              <w:left w:val="nil"/>
              <w:bottom w:val="single" w:sz="4" w:space="0" w:color="auto"/>
              <w:right w:val="single" w:sz="4" w:space="0" w:color="auto"/>
            </w:tcBorders>
            <w:vAlign w:val="center"/>
            <w:hideMark/>
          </w:tcPr>
          <w:p w14:paraId="45C931D5"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(China or Chinese or Hong Kong or hongkong or Taiwan or Taiwanese or Japan or Japanese or Korea or Korean* or Singapore or Singaporean*):ti,ab,kw</w:t>
            </w:r>
          </w:p>
        </w:tc>
        <w:tc>
          <w:tcPr>
            <w:tcW w:w="783" w:type="pct"/>
            <w:tcBorders>
              <w:top w:val="nil"/>
              <w:left w:val="nil"/>
              <w:bottom w:val="single" w:sz="4" w:space="0" w:color="auto"/>
              <w:right w:val="single" w:sz="4" w:space="0" w:color="auto"/>
            </w:tcBorders>
            <w:noWrap/>
            <w:vAlign w:val="center"/>
            <w:hideMark/>
          </w:tcPr>
          <w:p w14:paraId="528998E3"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692,950 </w:t>
            </w:r>
          </w:p>
        </w:tc>
      </w:tr>
      <w:tr w:rsidR="007A02DE" w:rsidRPr="007A02DE" w14:paraId="13B6B586"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3B0E831D"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11</w:t>
            </w:r>
          </w:p>
        </w:tc>
        <w:tc>
          <w:tcPr>
            <w:tcW w:w="3826" w:type="pct"/>
            <w:tcBorders>
              <w:top w:val="nil"/>
              <w:left w:val="nil"/>
              <w:bottom w:val="single" w:sz="4" w:space="0" w:color="auto"/>
              <w:right w:val="single" w:sz="4" w:space="0" w:color="auto"/>
            </w:tcBorders>
            <w:vAlign w:val="center"/>
            <w:hideMark/>
          </w:tcPr>
          <w:p w14:paraId="36C8B8BE"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 and #7 and #10</w:t>
            </w:r>
          </w:p>
        </w:tc>
        <w:tc>
          <w:tcPr>
            <w:tcW w:w="783" w:type="pct"/>
            <w:tcBorders>
              <w:top w:val="nil"/>
              <w:left w:val="nil"/>
              <w:bottom w:val="single" w:sz="4" w:space="0" w:color="auto"/>
              <w:right w:val="single" w:sz="4" w:space="0" w:color="auto"/>
            </w:tcBorders>
            <w:noWrap/>
            <w:vAlign w:val="center"/>
            <w:hideMark/>
          </w:tcPr>
          <w:p w14:paraId="4D641642"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186 </w:t>
            </w:r>
          </w:p>
        </w:tc>
      </w:tr>
      <w:tr w:rsidR="007A02DE" w:rsidRPr="007A02DE" w14:paraId="0BEE1056"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635E9D76"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12</w:t>
            </w:r>
          </w:p>
        </w:tc>
        <w:tc>
          <w:tcPr>
            <w:tcW w:w="3826" w:type="pct"/>
            <w:tcBorders>
              <w:top w:val="nil"/>
              <w:left w:val="nil"/>
              <w:bottom w:val="single" w:sz="4" w:space="0" w:color="auto"/>
              <w:right w:val="single" w:sz="4" w:space="0" w:color="auto"/>
            </w:tcBorders>
            <w:vAlign w:val="center"/>
            <w:hideMark/>
          </w:tcPr>
          <w:p w14:paraId="3FCB9228"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#5 and [2000-2023]/py</w:t>
            </w:r>
          </w:p>
        </w:tc>
        <w:tc>
          <w:tcPr>
            <w:tcW w:w="783" w:type="pct"/>
            <w:tcBorders>
              <w:top w:val="nil"/>
              <w:left w:val="nil"/>
              <w:bottom w:val="single" w:sz="4" w:space="0" w:color="auto"/>
              <w:right w:val="single" w:sz="4" w:space="0" w:color="auto"/>
            </w:tcBorders>
            <w:noWrap/>
            <w:vAlign w:val="center"/>
            <w:hideMark/>
          </w:tcPr>
          <w:p w14:paraId="7FB2DDA5"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16,223 </w:t>
            </w:r>
          </w:p>
        </w:tc>
      </w:tr>
      <w:tr w:rsidR="007A02DE" w:rsidRPr="007A02DE" w14:paraId="21E9240E"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46F55D6D"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13</w:t>
            </w:r>
          </w:p>
        </w:tc>
        <w:tc>
          <w:tcPr>
            <w:tcW w:w="3826" w:type="pct"/>
            <w:tcBorders>
              <w:top w:val="nil"/>
              <w:left w:val="nil"/>
              <w:bottom w:val="single" w:sz="4" w:space="0" w:color="auto"/>
              <w:right w:val="single" w:sz="4" w:space="0" w:color="auto"/>
            </w:tcBorders>
            <w:vAlign w:val="center"/>
            <w:hideMark/>
          </w:tcPr>
          <w:p w14:paraId="4E0E028D"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('trial*' or 'RCT' or 'random*' or 'phase'):ti,ab,kw</w:t>
            </w:r>
          </w:p>
        </w:tc>
        <w:tc>
          <w:tcPr>
            <w:tcW w:w="783" w:type="pct"/>
            <w:tcBorders>
              <w:top w:val="nil"/>
              <w:left w:val="nil"/>
              <w:bottom w:val="single" w:sz="4" w:space="0" w:color="auto"/>
              <w:right w:val="single" w:sz="4" w:space="0" w:color="auto"/>
            </w:tcBorders>
            <w:noWrap/>
            <w:vAlign w:val="center"/>
            <w:hideMark/>
          </w:tcPr>
          <w:p w14:paraId="0A84C0E7"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4,234,004 </w:t>
            </w:r>
          </w:p>
        </w:tc>
      </w:tr>
      <w:tr w:rsidR="007A02DE" w:rsidRPr="007A02DE" w14:paraId="5F2CA008" w14:textId="77777777" w:rsidTr="007A02DE">
        <w:trPr>
          <w:trHeight w:val="680"/>
        </w:trPr>
        <w:tc>
          <w:tcPr>
            <w:tcW w:w="391" w:type="pct"/>
            <w:tcBorders>
              <w:top w:val="nil"/>
              <w:left w:val="single" w:sz="4" w:space="0" w:color="auto"/>
              <w:bottom w:val="single" w:sz="4" w:space="0" w:color="auto"/>
              <w:right w:val="single" w:sz="4" w:space="0" w:color="auto"/>
            </w:tcBorders>
            <w:noWrap/>
            <w:vAlign w:val="center"/>
            <w:hideMark/>
          </w:tcPr>
          <w:p w14:paraId="0818E12A"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14</w:t>
            </w:r>
          </w:p>
        </w:tc>
        <w:tc>
          <w:tcPr>
            <w:tcW w:w="3826" w:type="pct"/>
            <w:tcBorders>
              <w:top w:val="nil"/>
              <w:left w:val="nil"/>
              <w:bottom w:val="single" w:sz="4" w:space="0" w:color="auto"/>
              <w:right w:val="single" w:sz="4" w:space="0" w:color="auto"/>
            </w:tcBorders>
            <w:vAlign w:val="center"/>
            <w:hideMark/>
          </w:tcPr>
          <w:p w14:paraId="3D82C4F3"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(prospective* or retrospective* or observation* or 'cross-section*' or 'cross section*' or 'real world' or 'real-world' or 'real life' or cohort* or  registr*):ti,ab,kw</w:t>
            </w:r>
          </w:p>
        </w:tc>
        <w:tc>
          <w:tcPr>
            <w:tcW w:w="783" w:type="pct"/>
            <w:tcBorders>
              <w:top w:val="nil"/>
              <w:left w:val="nil"/>
              <w:bottom w:val="single" w:sz="4" w:space="0" w:color="auto"/>
              <w:right w:val="single" w:sz="4" w:space="0" w:color="auto"/>
            </w:tcBorders>
            <w:noWrap/>
            <w:vAlign w:val="center"/>
            <w:hideMark/>
          </w:tcPr>
          <w:p w14:paraId="5CCA7D0F"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5,758,641 </w:t>
            </w:r>
          </w:p>
        </w:tc>
      </w:tr>
      <w:tr w:rsidR="007A02DE" w:rsidRPr="007A02DE" w14:paraId="61C4709A"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4E044F36"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15</w:t>
            </w:r>
          </w:p>
        </w:tc>
        <w:tc>
          <w:tcPr>
            <w:tcW w:w="3826" w:type="pct"/>
            <w:tcBorders>
              <w:top w:val="nil"/>
              <w:left w:val="nil"/>
              <w:bottom w:val="single" w:sz="4" w:space="0" w:color="auto"/>
              <w:right w:val="single" w:sz="4" w:space="0" w:color="auto"/>
            </w:tcBorders>
            <w:vAlign w:val="center"/>
            <w:hideMark/>
          </w:tcPr>
          <w:p w14:paraId="165FB192"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#13 or #14</w:t>
            </w:r>
          </w:p>
        </w:tc>
        <w:tc>
          <w:tcPr>
            <w:tcW w:w="783" w:type="pct"/>
            <w:tcBorders>
              <w:top w:val="nil"/>
              <w:left w:val="nil"/>
              <w:bottom w:val="single" w:sz="4" w:space="0" w:color="auto"/>
              <w:right w:val="single" w:sz="4" w:space="0" w:color="auto"/>
            </w:tcBorders>
            <w:noWrap/>
            <w:vAlign w:val="center"/>
            <w:hideMark/>
          </w:tcPr>
          <w:p w14:paraId="702BF78B"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8,946,671 </w:t>
            </w:r>
          </w:p>
        </w:tc>
      </w:tr>
      <w:tr w:rsidR="007A02DE" w:rsidRPr="007A02DE" w14:paraId="60C182B3" w14:textId="77777777" w:rsidTr="007A02DE">
        <w:trPr>
          <w:trHeight w:val="680"/>
        </w:trPr>
        <w:tc>
          <w:tcPr>
            <w:tcW w:w="391" w:type="pct"/>
            <w:tcBorders>
              <w:top w:val="nil"/>
              <w:left w:val="single" w:sz="4" w:space="0" w:color="auto"/>
              <w:bottom w:val="single" w:sz="4" w:space="0" w:color="auto"/>
              <w:right w:val="single" w:sz="4" w:space="0" w:color="auto"/>
            </w:tcBorders>
            <w:noWrap/>
            <w:vAlign w:val="center"/>
            <w:hideMark/>
          </w:tcPr>
          <w:p w14:paraId="4820AD5F"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16</w:t>
            </w:r>
          </w:p>
        </w:tc>
        <w:tc>
          <w:tcPr>
            <w:tcW w:w="3826" w:type="pct"/>
            <w:tcBorders>
              <w:top w:val="nil"/>
              <w:left w:val="nil"/>
              <w:bottom w:val="single" w:sz="4" w:space="0" w:color="auto"/>
              <w:right w:val="single" w:sz="4" w:space="0" w:color="auto"/>
            </w:tcBorders>
            <w:vAlign w:val="center"/>
            <w:hideMark/>
          </w:tcPr>
          <w:p w14:paraId="28A7DECB"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((('Factor VIII' or 'Factor Ⅷ' or 'Factor 8' or 'AHF VIII' or 'AHF Ⅷ' or 'Factor eight' or FVIII or FⅧ) and Recombinant) or rFⅧ or rFVIII):ti,ab,kw</w:t>
            </w:r>
          </w:p>
        </w:tc>
        <w:tc>
          <w:tcPr>
            <w:tcW w:w="783" w:type="pct"/>
            <w:tcBorders>
              <w:top w:val="nil"/>
              <w:left w:val="nil"/>
              <w:bottom w:val="single" w:sz="4" w:space="0" w:color="auto"/>
              <w:right w:val="single" w:sz="4" w:space="0" w:color="auto"/>
            </w:tcBorders>
            <w:noWrap/>
            <w:vAlign w:val="center"/>
            <w:hideMark/>
          </w:tcPr>
          <w:p w14:paraId="4B1ADDF3"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6,782 </w:t>
            </w:r>
          </w:p>
        </w:tc>
      </w:tr>
      <w:tr w:rsidR="007A02DE" w:rsidRPr="007A02DE" w14:paraId="679065A4"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7ABFFB8B"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17</w:t>
            </w:r>
          </w:p>
        </w:tc>
        <w:tc>
          <w:tcPr>
            <w:tcW w:w="3826" w:type="pct"/>
            <w:tcBorders>
              <w:top w:val="nil"/>
              <w:left w:val="nil"/>
              <w:bottom w:val="single" w:sz="4" w:space="0" w:color="auto"/>
              <w:right w:val="single" w:sz="4" w:space="0" w:color="auto"/>
            </w:tcBorders>
            <w:vAlign w:val="center"/>
            <w:hideMark/>
          </w:tcPr>
          <w:p w14:paraId="322200A1"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 and #15 and #16</w:t>
            </w:r>
          </w:p>
        </w:tc>
        <w:tc>
          <w:tcPr>
            <w:tcW w:w="783" w:type="pct"/>
            <w:tcBorders>
              <w:top w:val="nil"/>
              <w:left w:val="nil"/>
              <w:bottom w:val="single" w:sz="4" w:space="0" w:color="auto"/>
              <w:right w:val="single" w:sz="4" w:space="0" w:color="auto"/>
            </w:tcBorders>
            <w:noWrap/>
            <w:vAlign w:val="center"/>
            <w:hideMark/>
          </w:tcPr>
          <w:p w14:paraId="5D7EE126"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1,908 </w:t>
            </w:r>
          </w:p>
        </w:tc>
      </w:tr>
      <w:tr w:rsidR="007A02DE" w:rsidRPr="007A02DE" w14:paraId="1E9F9435"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29982191"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18</w:t>
            </w:r>
          </w:p>
        </w:tc>
        <w:tc>
          <w:tcPr>
            <w:tcW w:w="3826" w:type="pct"/>
            <w:tcBorders>
              <w:top w:val="nil"/>
              <w:left w:val="nil"/>
              <w:bottom w:val="single" w:sz="4" w:space="0" w:color="auto"/>
              <w:right w:val="single" w:sz="4" w:space="0" w:color="auto"/>
            </w:tcBorders>
            <w:vAlign w:val="center"/>
            <w:hideMark/>
          </w:tcPr>
          <w:p w14:paraId="4C4C7B1C"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(inhibitor* or 'antibod*'):ti,ab,kw</w:t>
            </w:r>
          </w:p>
        </w:tc>
        <w:tc>
          <w:tcPr>
            <w:tcW w:w="783" w:type="pct"/>
            <w:tcBorders>
              <w:top w:val="nil"/>
              <w:left w:val="nil"/>
              <w:bottom w:val="single" w:sz="4" w:space="0" w:color="auto"/>
              <w:right w:val="single" w:sz="4" w:space="0" w:color="auto"/>
            </w:tcBorders>
            <w:noWrap/>
            <w:vAlign w:val="center"/>
            <w:hideMark/>
          </w:tcPr>
          <w:p w14:paraId="2D1BCD4B"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3,139,281 </w:t>
            </w:r>
          </w:p>
        </w:tc>
      </w:tr>
      <w:tr w:rsidR="007A02DE" w:rsidRPr="007A02DE" w14:paraId="5DE00FF4" w14:textId="77777777" w:rsidTr="007A02DE">
        <w:trPr>
          <w:trHeight w:val="680"/>
        </w:trPr>
        <w:tc>
          <w:tcPr>
            <w:tcW w:w="391" w:type="pct"/>
            <w:tcBorders>
              <w:top w:val="nil"/>
              <w:left w:val="single" w:sz="4" w:space="0" w:color="auto"/>
              <w:bottom w:val="single" w:sz="4" w:space="0" w:color="auto"/>
              <w:right w:val="single" w:sz="4" w:space="0" w:color="auto"/>
            </w:tcBorders>
            <w:noWrap/>
            <w:vAlign w:val="center"/>
            <w:hideMark/>
          </w:tcPr>
          <w:p w14:paraId="6B05868C"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19</w:t>
            </w:r>
          </w:p>
        </w:tc>
        <w:tc>
          <w:tcPr>
            <w:tcW w:w="3826" w:type="pct"/>
            <w:tcBorders>
              <w:top w:val="nil"/>
              <w:left w:val="nil"/>
              <w:bottom w:val="single" w:sz="4" w:space="0" w:color="auto"/>
              <w:right w:val="single" w:sz="4" w:space="0" w:color="auto"/>
            </w:tcBorders>
            <w:vAlign w:val="center"/>
            <w:hideMark/>
          </w:tcPr>
          <w:p w14:paraId="4E07AC22"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('immune tolerance induction' or 'ITI' or 'Factor VIII' or 'Factor Ⅷ' or 'Factor 8' or 'AHF VIII' or 'AHF Ⅷ' or 'Factor eight' or FVIII or FⅧ):ti,ab,kw</w:t>
            </w:r>
          </w:p>
        </w:tc>
        <w:tc>
          <w:tcPr>
            <w:tcW w:w="783" w:type="pct"/>
            <w:tcBorders>
              <w:top w:val="nil"/>
              <w:left w:val="nil"/>
              <w:bottom w:val="single" w:sz="4" w:space="0" w:color="auto"/>
              <w:right w:val="single" w:sz="4" w:space="0" w:color="auto"/>
            </w:tcBorders>
            <w:vAlign w:val="center"/>
            <w:hideMark/>
          </w:tcPr>
          <w:p w14:paraId="1763772F"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39,811</w:t>
            </w:r>
          </w:p>
        </w:tc>
      </w:tr>
      <w:tr w:rsidR="007A02DE" w:rsidRPr="007A02DE" w14:paraId="4F925124" w14:textId="77777777" w:rsidTr="007A02DE">
        <w:trPr>
          <w:trHeight w:val="1020"/>
        </w:trPr>
        <w:tc>
          <w:tcPr>
            <w:tcW w:w="391" w:type="pct"/>
            <w:tcBorders>
              <w:top w:val="nil"/>
              <w:left w:val="single" w:sz="4" w:space="0" w:color="auto"/>
              <w:bottom w:val="single" w:sz="4" w:space="0" w:color="auto"/>
              <w:right w:val="single" w:sz="4" w:space="0" w:color="auto"/>
            </w:tcBorders>
            <w:noWrap/>
            <w:vAlign w:val="center"/>
            <w:hideMark/>
          </w:tcPr>
          <w:p w14:paraId="77D0E139"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20</w:t>
            </w:r>
          </w:p>
        </w:tc>
        <w:tc>
          <w:tcPr>
            <w:tcW w:w="3826" w:type="pct"/>
            <w:tcBorders>
              <w:top w:val="nil"/>
              <w:left w:val="nil"/>
              <w:bottom w:val="single" w:sz="4" w:space="0" w:color="auto"/>
              <w:right w:val="single" w:sz="4" w:space="0" w:color="auto"/>
            </w:tcBorders>
            <w:vAlign w:val="center"/>
            <w:hideMark/>
          </w:tcPr>
          <w:p w14:paraId="235D42E4"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(aPCC or 'activated prothrombin complex concentrate' or 'prothrombin complex concentrate' or PCC or bypassing or rFⅦa or rFVIIa or 'recombinant activated factor VII' or emicizumab or hemlibra or ACE910):ti,ab,kw</w:t>
            </w:r>
          </w:p>
        </w:tc>
        <w:tc>
          <w:tcPr>
            <w:tcW w:w="783" w:type="pct"/>
            <w:tcBorders>
              <w:top w:val="nil"/>
              <w:left w:val="nil"/>
              <w:bottom w:val="single" w:sz="4" w:space="0" w:color="auto"/>
              <w:right w:val="single" w:sz="4" w:space="0" w:color="auto"/>
            </w:tcBorders>
            <w:noWrap/>
            <w:vAlign w:val="center"/>
            <w:hideMark/>
          </w:tcPr>
          <w:p w14:paraId="4BDBEFFB"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33,855 </w:t>
            </w:r>
          </w:p>
        </w:tc>
      </w:tr>
      <w:tr w:rsidR="007A02DE" w:rsidRPr="007A02DE" w14:paraId="3BFB13A7"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3B3FAD91"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lastRenderedPageBreak/>
              <w:t>21</w:t>
            </w:r>
          </w:p>
        </w:tc>
        <w:tc>
          <w:tcPr>
            <w:tcW w:w="3826" w:type="pct"/>
            <w:tcBorders>
              <w:top w:val="nil"/>
              <w:left w:val="nil"/>
              <w:bottom w:val="single" w:sz="4" w:space="0" w:color="auto"/>
              <w:right w:val="single" w:sz="4" w:space="0" w:color="auto"/>
            </w:tcBorders>
            <w:vAlign w:val="center"/>
            <w:hideMark/>
          </w:tcPr>
          <w:p w14:paraId="14F26533"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#19 or #20</w:t>
            </w:r>
          </w:p>
        </w:tc>
        <w:tc>
          <w:tcPr>
            <w:tcW w:w="783" w:type="pct"/>
            <w:tcBorders>
              <w:top w:val="nil"/>
              <w:left w:val="nil"/>
              <w:bottom w:val="single" w:sz="4" w:space="0" w:color="auto"/>
              <w:right w:val="single" w:sz="4" w:space="0" w:color="auto"/>
            </w:tcBorders>
            <w:vAlign w:val="center"/>
            <w:hideMark/>
          </w:tcPr>
          <w:p w14:paraId="322120FB"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70,687</w:t>
            </w:r>
          </w:p>
        </w:tc>
      </w:tr>
      <w:tr w:rsidR="007A02DE" w:rsidRPr="007A02DE" w14:paraId="680FA8FD"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2A2DB8AC"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22</w:t>
            </w:r>
          </w:p>
        </w:tc>
        <w:tc>
          <w:tcPr>
            <w:tcW w:w="3826" w:type="pct"/>
            <w:tcBorders>
              <w:top w:val="nil"/>
              <w:left w:val="nil"/>
              <w:bottom w:val="single" w:sz="4" w:space="0" w:color="auto"/>
              <w:right w:val="single" w:sz="4" w:space="0" w:color="auto"/>
            </w:tcBorders>
            <w:vAlign w:val="center"/>
            <w:hideMark/>
          </w:tcPr>
          <w:p w14:paraId="37127181"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 and #15 and #18 and #21</w:t>
            </w:r>
          </w:p>
        </w:tc>
        <w:tc>
          <w:tcPr>
            <w:tcW w:w="783" w:type="pct"/>
            <w:tcBorders>
              <w:top w:val="nil"/>
              <w:left w:val="nil"/>
              <w:bottom w:val="single" w:sz="4" w:space="0" w:color="auto"/>
              <w:right w:val="single" w:sz="4" w:space="0" w:color="auto"/>
            </w:tcBorders>
            <w:noWrap/>
            <w:vAlign w:val="center"/>
            <w:hideMark/>
          </w:tcPr>
          <w:p w14:paraId="59994597"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2,728 </w:t>
            </w:r>
          </w:p>
        </w:tc>
      </w:tr>
      <w:tr w:rsidR="007A02DE" w:rsidRPr="007A02DE" w14:paraId="7522EA4B" w14:textId="77777777" w:rsidTr="007A02DE">
        <w:trPr>
          <w:trHeight w:val="2040"/>
        </w:trPr>
        <w:tc>
          <w:tcPr>
            <w:tcW w:w="391" w:type="pct"/>
            <w:tcBorders>
              <w:top w:val="nil"/>
              <w:left w:val="single" w:sz="4" w:space="0" w:color="auto"/>
              <w:bottom w:val="single" w:sz="4" w:space="0" w:color="auto"/>
              <w:right w:val="single" w:sz="4" w:space="0" w:color="auto"/>
            </w:tcBorders>
            <w:noWrap/>
            <w:vAlign w:val="center"/>
            <w:hideMark/>
          </w:tcPr>
          <w:p w14:paraId="3BD2EAC5"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23</w:t>
            </w:r>
          </w:p>
        </w:tc>
        <w:tc>
          <w:tcPr>
            <w:tcW w:w="3826" w:type="pct"/>
            <w:tcBorders>
              <w:top w:val="nil"/>
              <w:left w:val="nil"/>
              <w:bottom w:val="single" w:sz="4" w:space="0" w:color="auto"/>
              <w:right w:val="single" w:sz="4" w:space="0" w:color="auto"/>
            </w:tcBorders>
            <w:vAlign w:val="center"/>
            <w:hideMark/>
          </w:tcPr>
          <w:p w14:paraId="258560E2"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('hemophilic arthropath*' or 'joint* damage' or 'joint* bleeding' or disability or disable or 'Intracerebral hemorrhage' or 'Intracerebral bleeding' or 'intracranial bleeding' or 'intracranial hemorrhage' or 'ICH' or 'CNS bleeding' or 'central nervous system bleeding' or stroke or 'gastrointestinal bleeding' or 'gastrointestinal hemorrhage' or gastrorrhagia or 'urinary bleeding' or 'urinary hemorrhage' or 'renal bleeding' or 'renal hemorrhage' or 'bladder bleeding' or 'bladder hemorrhage' or 'urethral bleeding' or 'urethral hemorrhage' or Hematuria or depression or anxiety or complication*):ti,ab,kw</w:t>
            </w:r>
          </w:p>
        </w:tc>
        <w:tc>
          <w:tcPr>
            <w:tcW w:w="783" w:type="pct"/>
            <w:tcBorders>
              <w:top w:val="nil"/>
              <w:left w:val="nil"/>
              <w:bottom w:val="single" w:sz="4" w:space="0" w:color="auto"/>
              <w:right w:val="single" w:sz="4" w:space="0" w:color="auto"/>
            </w:tcBorders>
            <w:noWrap/>
            <w:vAlign w:val="center"/>
            <w:hideMark/>
          </w:tcPr>
          <w:p w14:paraId="08E2855D"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3,216,648 </w:t>
            </w:r>
          </w:p>
        </w:tc>
      </w:tr>
      <w:tr w:rsidR="007A02DE" w:rsidRPr="007A02DE" w14:paraId="40BB3436"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57833136"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24</w:t>
            </w:r>
          </w:p>
        </w:tc>
        <w:tc>
          <w:tcPr>
            <w:tcW w:w="3826" w:type="pct"/>
            <w:tcBorders>
              <w:top w:val="nil"/>
              <w:left w:val="nil"/>
              <w:bottom w:val="single" w:sz="4" w:space="0" w:color="auto"/>
              <w:right w:val="single" w:sz="4" w:space="0" w:color="auto"/>
            </w:tcBorders>
            <w:vAlign w:val="center"/>
            <w:hideMark/>
          </w:tcPr>
          <w:p w14:paraId="5F03C918"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 and #10 and #23</w:t>
            </w:r>
          </w:p>
        </w:tc>
        <w:tc>
          <w:tcPr>
            <w:tcW w:w="783" w:type="pct"/>
            <w:tcBorders>
              <w:top w:val="nil"/>
              <w:left w:val="nil"/>
              <w:bottom w:val="single" w:sz="4" w:space="0" w:color="auto"/>
              <w:right w:val="single" w:sz="4" w:space="0" w:color="auto"/>
            </w:tcBorders>
            <w:noWrap/>
            <w:vAlign w:val="center"/>
            <w:hideMark/>
          </w:tcPr>
          <w:p w14:paraId="2F468DD0"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97 </w:t>
            </w:r>
          </w:p>
        </w:tc>
      </w:tr>
      <w:tr w:rsidR="007A02DE" w:rsidRPr="007A02DE" w14:paraId="723B479A" w14:textId="77777777" w:rsidTr="007A02DE">
        <w:trPr>
          <w:trHeight w:val="3400"/>
        </w:trPr>
        <w:tc>
          <w:tcPr>
            <w:tcW w:w="391" w:type="pct"/>
            <w:tcBorders>
              <w:top w:val="nil"/>
              <w:left w:val="single" w:sz="4" w:space="0" w:color="auto"/>
              <w:bottom w:val="single" w:sz="4" w:space="0" w:color="auto"/>
              <w:right w:val="single" w:sz="4" w:space="0" w:color="auto"/>
            </w:tcBorders>
            <w:noWrap/>
            <w:vAlign w:val="center"/>
            <w:hideMark/>
          </w:tcPr>
          <w:p w14:paraId="68CED8AD"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25</w:t>
            </w:r>
          </w:p>
        </w:tc>
        <w:tc>
          <w:tcPr>
            <w:tcW w:w="3826" w:type="pct"/>
            <w:tcBorders>
              <w:top w:val="nil"/>
              <w:left w:val="nil"/>
              <w:bottom w:val="single" w:sz="4" w:space="0" w:color="auto"/>
              <w:right w:val="single" w:sz="4" w:space="0" w:color="auto"/>
            </w:tcBorders>
            <w:vAlign w:val="center"/>
            <w:hideMark/>
          </w:tcPr>
          <w:p w14:paraId="625B559D"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(VAS or 'visual analogue scale' or TTO or 'time trade-off' or SG or 'standard-gamble' or 'EQ5D*' or 'EQ-5D*' or 'EuroQoL-5D*' or 'EuroQol EQ-5D*' or 'European Quality of Life-5 Dimensions' or 'European Quality of Life 5 Dimensions' or 'SF-36' or SF36 or '36-Item Short Form Survey' or 'Short Form-36' or 'Short Form 36 Health Survey' or 'SF-12' or SF12 or '12-Item Short Form Survey' or 'Short Form-12' or 'WHO-BREF' or 'WHO-QoL-BREF' or 'WHOQOL-BREF' or 'World Health Organization Quality of Life Brief Form' or 'Haemo-QoL-A' or 'haemophilia-specific health related quality of life questionnaire for adults' or 'Haem-A-QoL' or 'Haemophilia Quality of Life Questionnaire for Adults' or PedsQL or 'pediatric quality of life inventory' or HJHS or 'hemophilia joint health score' or FISH or 'functional independence score in hemophilia' or HAL or 'hemophilia activities list' or 'pedHAL' or 'pediatric hemophilia activities list' or 'PROBE questionnaire' or CHO-KLAT or 'Kids Life Assessment Tool'):ti,ab,kw</w:t>
            </w:r>
          </w:p>
        </w:tc>
        <w:tc>
          <w:tcPr>
            <w:tcW w:w="783" w:type="pct"/>
            <w:tcBorders>
              <w:top w:val="nil"/>
              <w:left w:val="nil"/>
              <w:bottom w:val="single" w:sz="4" w:space="0" w:color="auto"/>
              <w:right w:val="single" w:sz="4" w:space="0" w:color="auto"/>
            </w:tcBorders>
            <w:noWrap/>
            <w:vAlign w:val="center"/>
            <w:hideMark/>
          </w:tcPr>
          <w:p w14:paraId="64F05009"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477,764 </w:t>
            </w:r>
          </w:p>
        </w:tc>
      </w:tr>
      <w:tr w:rsidR="007A02DE" w:rsidRPr="007A02DE" w14:paraId="3675AA7B"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6736D315"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26</w:t>
            </w:r>
          </w:p>
        </w:tc>
        <w:tc>
          <w:tcPr>
            <w:tcW w:w="3826" w:type="pct"/>
            <w:tcBorders>
              <w:top w:val="nil"/>
              <w:left w:val="nil"/>
              <w:bottom w:val="single" w:sz="4" w:space="0" w:color="auto"/>
              <w:right w:val="single" w:sz="4" w:space="0" w:color="auto"/>
            </w:tcBorders>
            <w:vAlign w:val="center"/>
            <w:hideMark/>
          </w:tcPr>
          <w:p w14:paraId="3D4CBB73"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 and #25</w:t>
            </w:r>
          </w:p>
        </w:tc>
        <w:tc>
          <w:tcPr>
            <w:tcW w:w="783" w:type="pct"/>
            <w:tcBorders>
              <w:top w:val="nil"/>
              <w:left w:val="nil"/>
              <w:bottom w:val="single" w:sz="4" w:space="0" w:color="auto"/>
              <w:right w:val="single" w:sz="4" w:space="0" w:color="auto"/>
            </w:tcBorders>
            <w:noWrap/>
            <w:vAlign w:val="center"/>
            <w:hideMark/>
          </w:tcPr>
          <w:p w14:paraId="43BFF70E"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337 </w:t>
            </w:r>
          </w:p>
        </w:tc>
      </w:tr>
      <w:tr w:rsidR="007A02DE" w:rsidRPr="007A02DE" w14:paraId="2A9AF537" w14:textId="77777777" w:rsidTr="007A02DE">
        <w:trPr>
          <w:trHeight w:val="680"/>
        </w:trPr>
        <w:tc>
          <w:tcPr>
            <w:tcW w:w="391" w:type="pct"/>
            <w:tcBorders>
              <w:top w:val="nil"/>
              <w:left w:val="single" w:sz="4" w:space="0" w:color="auto"/>
              <w:bottom w:val="single" w:sz="4" w:space="0" w:color="auto"/>
              <w:right w:val="single" w:sz="4" w:space="0" w:color="auto"/>
            </w:tcBorders>
            <w:noWrap/>
            <w:vAlign w:val="center"/>
            <w:hideMark/>
          </w:tcPr>
          <w:p w14:paraId="5B19F4B8"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27</w:t>
            </w:r>
          </w:p>
        </w:tc>
        <w:tc>
          <w:tcPr>
            <w:tcW w:w="3826" w:type="pct"/>
            <w:tcBorders>
              <w:top w:val="nil"/>
              <w:left w:val="nil"/>
              <w:bottom w:val="single" w:sz="4" w:space="0" w:color="auto"/>
              <w:right w:val="single" w:sz="4" w:space="0" w:color="auto"/>
            </w:tcBorders>
            <w:vAlign w:val="center"/>
            <w:hideMark/>
          </w:tcPr>
          <w:p w14:paraId="0DCE0DFD"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('cost effectiveness analysis' or 'cost benefit analysis' or 'program cost effectiveness' or 'cost utility analysis' or 'cost minimization analysis')/exp</w:t>
            </w:r>
          </w:p>
        </w:tc>
        <w:tc>
          <w:tcPr>
            <w:tcW w:w="783" w:type="pct"/>
            <w:tcBorders>
              <w:top w:val="nil"/>
              <w:left w:val="nil"/>
              <w:bottom w:val="single" w:sz="4" w:space="0" w:color="auto"/>
              <w:right w:val="single" w:sz="4" w:space="0" w:color="auto"/>
            </w:tcBorders>
            <w:noWrap/>
            <w:vAlign w:val="center"/>
            <w:hideMark/>
          </w:tcPr>
          <w:p w14:paraId="34FB5FE7"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270,210 </w:t>
            </w:r>
          </w:p>
        </w:tc>
      </w:tr>
      <w:tr w:rsidR="007A02DE" w:rsidRPr="007A02DE" w14:paraId="4280D3C6" w14:textId="77777777" w:rsidTr="007A02DE">
        <w:trPr>
          <w:trHeight w:val="1360"/>
        </w:trPr>
        <w:tc>
          <w:tcPr>
            <w:tcW w:w="391" w:type="pct"/>
            <w:tcBorders>
              <w:top w:val="nil"/>
              <w:left w:val="single" w:sz="4" w:space="0" w:color="auto"/>
              <w:bottom w:val="single" w:sz="4" w:space="0" w:color="auto"/>
              <w:right w:val="single" w:sz="4" w:space="0" w:color="auto"/>
            </w:tcBorders>
            <w:noWrap/>
            <w:vAlign w:val="center"/>
            <w:hideMark/>
          </w:tcPr>
          <w:p w14:paraId="15BDFFB9"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28</w:t>
            </w:r>
          </w:p>
        </w:tc>
        <w:tc>
          <w:tcPr>
            <w:tcW w:w="3826" w:type="pct"/>
            <w:tcBorders>
              <w:top w:val="nil"/>
              <w:left w:val="nil"/>
              <w:bottom w:val="single" w:sz="4" w:space="0" w:color="auto"/>
              <w:right w:val="single" w:sz="4" w:space="0" w:color="auto"/>
            </w:tcBorders>
            <w:vAlign w:val="center"/>
            <w:hideMark/>
          </w:tcPr>
          <w:p w14:paraId="35080D49"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('cost effectiveness' or 'cost-effectiveness' or 'cost utility' or 'cost-utility' or 'cost-benefit' or 'cost benefit' or 'cost-minimization' or 'cost minimization' or 'budget impact' or 'budget-impact' or CEA or CUA  or CBA or CMA or BIA or ICER or 'Incremental Cost Effectiveness Ratio*' or 'economic burden' or 'disease burden' or 'illness burden' or 'health technology assessment' or HTA or 'net-benefit' or 'net benefit'):ti,ab,kw</w:t>
            </w:r>
          </w:p>
        </w:tc>
        <w:tc>
          <w:tcPr>
            <w:tcW w:w="783" w:type="pct"/>
            <w:tcBorders>
              <w:top w:val="nil"/>
              <w:left w:val="nil"/>
              <w:bottom w:val="single" w:sz="4" w:space="0" w:color="auto"/>
              <w:right w:val="single" w:sz="4" w:space="0" w:color="auto"/>
            </w:tcBorders>
            <w:noWrap/>
            <w:vAlign w:val="center"/>
            <w:hideMark/>
          </w:tcPr>
          <w:p w14:paraId="10F28263"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275,964 </w:t>
            </w:r>
          </w:p>
        </w:tc>
      </w:tr>
      <w:tr w:rsidR="007A02DE" w:rsidRPr="007A02DE" w14:paraId="1DADBB65" w14:textId="77777777" w:rsidTr="007A02DE">
        <w:trPr>
          <w:trHeight w:val="320"/>
        </w:trPr>
        <w:tc>
          <w:tcPr>
            <w:tcW w:w="391" w:type="pct"/>
            <w:tcBorders>
              <w:top w:val="nil"/>
              <w:left w:val="single" w:sz="4" w:space="0" w:color="auto"/>
              <w:bottom w:val="single" w:sz="4" w:space="0" w:color="auto"/>
              <w:right w:val="single" w:sz="4" w:space="0" w:color="auto"/>
            </w:tcBorders>
            <w:noWrap/>
            <w:vAlign w:val="center"/>
            <w:hideMark/>
          </w:tcPr>
          <w:p w14:paraId="63493B87"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29</w:t>
            </w:r>
          </w:p>
        </w:tc>
        <w:tc>
          <w:tcPr>
            <w:tcW w:w="3826" w:type="pct"/>
            <w:tcBorders>
              <w:top w:val="nil"/>
              <w:left w:val="nil"/>
              <w:bottom w:val="single" w:sz="4" w:space="0" w:color="auto"/>
              <w:right w:val="single" w:sz="4" w:space="0" w:color="auto"/>
            </w:tcBorders>
            <w:noWrap/>
            <w:vAlign w:val="center"/>
            <w:hideMark/>
          </w:tcPr>
          <w:p w14:paraId="0B7D99C4"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#27 or #28</w:t>
            </w:r>
          </w:p>
        </w:tc>
        <w:tc>
          <w:tcPr>
            <w:tcW w:w="783" w:type="pct"/>
            <w:tcBorders>
              <w:top w:val="nil"/>
              <w:left w:val="nil"/>
              <w:bottom w:val="single" w:sz="4" w:space="0" w:color="auto"/>
              <w:right w:val="single" w:sz="4" w:space="0" w:color="auto"/>
            </w:tcBorders>
            <w:noWrap/>
            <w:vAlign w:val="center"/>
            <w:hideMark/>
          </w:tcPr>
          <w:p w14:paraId="6C80A102"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439,907 </w:t>
            </w:r>
          </w:p>
        </w:tc>
      </w:tr>
      <w:tr w:rsidR="007A02DE" w:rsidRPr="007A02DE" w14:paraId="499E069F"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2CFADA4C"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30</w:t>
            </w:r>
          </w:p>
        </w:tc>
        <w:tc>
          <w:tcPr>
            <w:tcW w:w="3826" w:type="pct"/>
            <w:tcBorders>
              <w:top w:val="nil"/>
              <w:left w:val="nil"/>
              <w:bottom w:val="single" w:sz="4" w:space="0" w:color="auto"/>
              <w:right w:val="single" w:sz="4" w:space="0" w:color="auto"/>
            </w:tcBorders>
            <w:vAlign w:val="center"/>
            <w:hideMark/>
          </w:tcPr>
          <w:p w14:paraId="2E956FD3"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'health care utilization'/exp</w:t>
            </w:r>
          </w:p>
        </w:tc>
        <w:tc>
          <w:tcPr>
            <w:tcW w:w="783" w:type="pct"/>
            <w:tcBorders>
              <w:top w:val="nil"/>
              <w:left w:val="nil"/>
              <w:bottom w:val="single" w:sz="4" w:space="0" w:color="auto"/>
              <w:right w:val="single" w:sz="4" w:space="0" w:color="auto"/>
            </w:tcBorders>
            <w:noWrap/>
            <w:vAlign w:val="center"/>
            <w:hideMark/>
          </w:tcPr>
          <w:p w14:paraId="35EFBFCE"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93,870 </w:t>
            </w:r>
          </w:p>
        </w:tc>
      </w:tr>
      <w:tr w:rsidR="007A02DE" w:rsidRPr="007A02DE" w14:paraId="151F1B40" w14:textId="77777777" w:rsidTr="007A02DE">
        <w:trPr>
          <w:trHeight w:val="1020"/>
        </w:trPr>
        <w:tc>
          <w:tcPr>
            <w:tcW w:w="391" w:type="pct"/>
            <w:tcBorders>
              <w:top w:val="nil"/>
              <w:left w:val="single" w:sz="4" w:space="0" w:color="auto"/>
              <w:bottom w:val="single" w:sz="4" w:space="0" w:color="auto"/>
              <w:right w:val="single" w:sz="4" w:space="0" w:color="auto"/>
            </w:tcBorders>
            <w:noWrap/>
            <w:vAlign w:val="center"/>
            <w:hideMark/>
          </w:tcPr>
          <w:p w14:paraId="4E70D1DC"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31</w:t>
            </w:r>
          </w:p>
        </w:tc>
        <w:tc>
          <w:tcPr>
            <w:tcW w:w="3826" w:type="pct"/>
            <w:tcBorders>
              <w:top w:val="nil"/>
              <w:left w:val="nil"/>
              <w:bottom w:val="single" w:sz="4" w:space="0" w:color="auto"/>
              <w:right w:val="single" w:sz="4" w:space="0" w:color="auto"/>
            </w:tcBorders>
            <w:vAlign w:val="center"/>
            <w:hideMark/>
          </w:tcPr>
          <w:p w14:paraId="592FC56E"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('health resource utilization' or 'health care utilization' or HRU or hospitalization* or 'hospital admission*' or 'hospital stay length' or 'length of hospital stay' or 'length of hospital stay' or 'length of stay' or LOS or inpatient* or outpatient* or 'emergency room visit*'):ti,ab,kw</w:t>
            </w:r>
          </w:p>
        </w:tc>
        <w:tc>
          <w:tcPr>
            <w:tcW w:w="783" w:type="pct"/>
            <w:tcBorders>
              <w:top w:val="nil"/>
              <w:left w:val="nil"/>
              <w:bottom w:val="single" w:sz="4" w:space="0" w:color="auto"/>
              <w:right w:val="single" w:sz="4" w:space="0" w:color="auto"/>
            </w:tcBorders>
            <w:noWrap/>
            <w:vAlign w:val="center"/>
            <w:hideMark/>
          </w:tcPr>
          <w:p w14:paraId="18B5E501"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1,076,760 </w:t>
            </w:r>
          </w:p>
        </w:tc>
      </w:tr>
      <w:tr w:rsidR="007A02DE" w:rsidRPr="007A02DE" w14:paraId="7600E71B"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65652F7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lastRenderedPageBreak/>
              <w:t>32</w:t>
            </w:r>
          </w:p>
        </w:tc>
        <w:tc>
          <w:tcPr>
            <w:tcW w:w="3826" w:type="pct"/>
            <w:tcBorders>
              <w:top w:val="nil"/>
              <w:left w:val="nil"/>
              <w:bottom w:val="single" w:sz="4" w:space="0" w:color="auto"/>
              <w:right w:val="single" w:sz="4" w:space="0" w:color="auto"/>
            </w:tcBorders>
            <w:vAlign w:val="center"/>
            <w:hideMark/>
          </w:tcPr>
          <w:p w14:paraId="75DA60BC"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cost/exp</w:t>
            </w:r>
          </w:p>
        </w:tc>
        <w:tc>
          <w:tcPr>
            <w:tcW w:w="783" w:type="pct"/>
            <w:tcBorders>
              <w:top w:val="nil"/>
              <w:left w:val="nil"/>
              <w:bottom w:val="single" w:sz="4" w:space="0" w:color="auto"/>
              <w:right w:val="single" w:sz="4" w:space="0" w:color="auto"/>
            </w:tcBorders>
            <w:noWrap/>
            <w:vAlign w:val="center"/>
            <w:hideMark/>
          </w:tcPr>
          <w:p w14:paraId="55BE063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406,455 </w:t>
            </w:r>
          </w:p>
        </w:tc>
      </w:tr>
      <w:tr w:rsidR="007A02DE" w:rsidRPr="007A02DE" w14:paraId="701B3E83"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1BAEFE6E"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33</w:t>
            </w:r>
          </w:p>
        </w:tc>
        <w:tc>
          <w:tcPr>
            <w:tcW w:w="3826" w:type="pct"/>
            <w:tcBorders>
              <w:top w:val="nil"/>
              <w:left w:val="nil"/>
              <w:bottom w:val="single" w:sz="4" w:space="0" w:color="auto"/>
              <w:right w:val="single" w:sz="4" w:space="0" w:color="auto"/>
            </w:tcBorders>
            <w:vAlign w:val="center"/>
            <w:hideMark/>
          </w:tcPr>
          <w:p w14:paraId="2363931C"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(cost* or expense* or expenditure* or payment* or insurance or reimbursement or claim*):ti,ab,kw</w:t>
            </w:r>
          </w:p>
        </w:tc>
        <w:tc>
          <w:tcPr>
            <w:tcW w:w="783" w:type="pct"/>
            <w:tcBorders>
              <w:top w:val="nil"/>
              <w:left w:val="nil"/>
              <w:bottom w:val="single" w:sz="4" w:space="0" w:color="auto"/>
              <w:right w:val="single" w:sz="4" w:space="0" w:color="auto"/>
            </w:tcBorders>
            <w:noWrap/>
            <w:vAlign w:val="center"/>
            <w:hideMark/>
          </w:tcPr>
          <w:p w14:paraId="3E0F6826"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1,452,774 </w:t>
            </w:r>
          </w:p>
        </w:tc>
      </w:tr>
      <w:tr w:rsidR="007A02DE" w:rsidRPr="007A02DE" w14:paraId="173DBD5A" w14:textId="77777777" w:rsidTr="007A02DE">
        <w:trPr>
          <w:trHeight w:val="320"/>
        </w:trPr>
        <w:tc>
          <w:tcPr>
            <w:tcW w:w="391" w:type="pct"/>
            <w:tcBorders>
              <w:top w:val="nil"/>
              <w:left w:val="single" w:sz="4" w:space="0" w:color="auto"/>
              <w:bottom w:val="single" w:sz="4" w:space="0" w:color="auto"/>
              <w:right w:val="single" w:sz="4" w:space="0" w:color="auto"/>
            </w:tcBorders>
            <w:noWrap/>
            <w:vAlign w:val="center"/>
            <w:hideMark/>
          </w:tcPr>
          <w:p w14:paraId="603A1715"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34</w:t>
            </w:r>
          </w:p>
        </w:tc>
        <w:tc>
          <w:tcPr>
            <w:tcW w:w="3826" w:type="pct"/>
            <w:tcBorders>
              <w:top w:val="nil"/>
              <w:left w:val="nil"/>
              <w:bottom w:val="single" w:sz="4" w:space="0" w:color="auto"/>
              <w:right w:val="single" w:sz="4" w:space="0" w:color="auto"/>
            </w:tcBorders>
            <w:noWrap/>
            <w:vAlign w:val="center"/>
            <w:hideMark/>
          </w:tcPr>
          <w:p w14:paraId="2F946542"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#30 or #31 or #32 or #33</w:t>
            </w:r>
          </w:p>
        </w:tc>
        <w:tc>
          <w:tcPr>
            <w:tcW w:w="783" w:type="pct"/>
            <w:tcBorders>
              <w:top w:val="nil"/>
              <w:left w:val="nil"/>
              <w:bottom w:val="single" w:sz="4" w:space="0" w:color="auto"/>
              <w:right w:val="single" w:sz="4" w:space="0" w:color="auto"/>
            </w:tcBorders>
            <w:noWrap/>
            <w:vAlign w:val="center"/>
            <w:hideMark/>
          </w:tcPr>
          <w:p w14:paraId="6AFD6CA4"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2,560,843 </w:t>
            </w:r>
          </w:p>
        </w:tc>
      </w:tr>
      <w:tr w:rsidR="007A02DE" w:rsidRPr="007A02DE" w14:paraId="3A21C469" w14:textId="77777777" w:rsidTr="007A02DE">
        <w:trPr>
          <w:trHeight w:val="320"/>
        </w:trPr>
        <w:tc>
          <w:tcPr>
            <w:tcW w:w="391" w:type="pct"/>
            <w:tcBorders>
              <w:top w:val="nil"/>
              <w:left w:val="single" w:sz="4" w:space="0" w:color="auto"/>
              <w:bottom w:val="single" w:sz="4" w:space="0" w:color="auto"/>
              <w:right w:val="single" w:sz="4" w:space="0" w:color="auto"/>
            </w:tcBorders>
            <w:noWrap/>
            <w:vAlign w:val="center"/>
            <w:hideMark/>
          </w:tcPr>
          <w:p w14:paraId="3695DD38"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35</w:t>
            </w:r>
          </w:p>
        </w:tc>
        <w:tc>
          <w:tcPr>
            <w:tcW w:w="3826" w:type="pct"/>
            <w:tcBorders>
              <w:top w:val="nil"/>
              <w:left w:val="nil"/>
              <w:bottom w:val="single" w:sz="4" w:space="0" w:color="auto"/>
              <w:right w:val="single" w:sz="4" w:space="0" w:color="auto"/>
            </w:tcBorders>
            <w:noWrap/>
            <w:vAlign w:val="center"/>
            <w:hideMark/>
          </w:tcPr>
          <w:p w14:paraId="2E5477AD"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#29 or #34</w:t>
            </w:r>
          </w:p>
        </w:tc>
        <w:tc>
          <w:tcPr>
            <w:tcW w:w="783" w:type="pct"/>
            <w:tcBorders>
              <w:top w:val="nil"/>
              <w:left w:val="nil"/>
              <w:bottom w:val="single" w:sz="4" w:space="0" w:color="auto"/>
              <w:right w:val="single" w:sz="4" w:space="0" w:color="auto"/>
            </w:tcBorders>
            <w:vAlign w:val="center"/>
            <w:hideMark/>
          </w:tcPr>
          <w:p w14:paraId="797FE283"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2,735,538 </w:t>
            </w:r>
          </w:p>
        </w:tc>
      </w:tr>
      <w:tr w:rsidR="007A02DE" w:rsidRPr="007A02DE" w14:paraId="1026AC59" w14:textId="77777777" w:rsidTr="007A02DE">
        <w:trPr>
          <w:trHeight w:val="340"/>
        </w:trPr>
        <w:tc>
          <w:tcPr>
            <w:tcW w:w="391" w:type="pct"/>
            <w:tcBorders>
              <w:top w:val="nil"/>
              <w:left w:val="single" w:sz="4" w:space="0" w:color="auto"/>
              <w:bottom w:val="single" w:sz="4" w:space="0" w:color="auto"/>
              <w:right w:val="single" w:sz="4" w:space="0" w:color="auto"/>
            </w:tcBorders>
            <w:noWrap/>
            <w:vAlign w:val="center"/>
            <w:hideMark/>
          </w:tcPr>
          <w:p w14:paraId="3C78BDB2"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36</w:t>
            </w:r>
          </w:p>
        </w:tc>
        <w:tc>
          <w:tcPr>
            <w:tcW w:w="3826" w:type="pct"/>
            <w:tcBorders>
              <w:top w:val="nil"/>
              <w:left w:val="nil"/>
              <w:bottom w:val="single" w:sz="4" w:space="0" w:color="auto"/>
              <w:right w:val="single" w:sz="4" w:space="0" w:color="auto"/>
            </w:tcBorders>
            <w:vAlign w:val="center"/>
            <w:hideMark/>
          </w:tcPr>
          <w:p w14:paraId="7F122F6D" w14:textId="77777777" w:rsidR="007A02DE" w:rsidRPr="007A02DE" w:rsidRDefault="007A02DE" w:rsidP="007A02DE">
            <w:pP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#6 and #8 and #35</w:t>
            </w:r>
          </w:p>
        </w:tc>
        <w:tc>
          <w:tcPr>
            <w:tcW w:w="783" w:type="pct"/>
            <w:tcBorders>
              <w:top w:val="nil"/>
              <w:left w:val="nil"/>
              <w:bottom w:val="single" w:sz="4" w:space="0" w:color="auto"/>
              <w:right w:val="single" w:sz="4" w:space="0" w:color="auto"/>
            </w:tcBorders>
            <w:noWrap/>
            <w:vAlign w:val="center"/>
            <w:hideMark/>
          </w:tcPr>
          <w:p w14:paraId="77B259A9" w14:textId="77777777" w:rsidR="007A02DE" w:rsidRPr="007A02DE" w:rsidRDefault="007A02DE" w:rsidP="007A02DE">
            <w:pPr>
              <w:jc w:val="center"/>
              <w:rPr>
                <w:rFonts w:ascii="Times New Roman" w:eastAsia="微软雅黑" w:hAnsi="Times New Roman" w:cs="Times New Roman"/>
                <w:color w:val="000000"/>
                <w:sz w:val="20"/>
                <w:szCs w:val="20"/>
              </w:rPr>
            </w:pPr>
            <w:r w:rsidRPr="007A02DE">
              <w:rPr>
                <w:rFonts w:ascii="Times New Roman" w:eastAsia="微软雅黑" w:hAnsi="Times New Roman" w:cs="Times New Roman"/>
                <w:color w:val="000000"/>
                <w:sz w:val="20"/>
                <w:szCs w:val="20"/>
              </w:rPr>
              <w:t xml:space="preserve">49 </w:t>
            </w:r>
          </w:p>
        </w:tc>
      </w:tr>
    </w:tbl>
    <w:p w14:paraId="74E77F3A" w14:textId="77777777" w:rsidR="007A02DE" w:rsidRDefault="007A02DE" w:rsidP="007A02DE">
      <w:pPr>
        <w:rPr>
          <w:rFonts w:ascii="Times New Roman" w:hAnsi="Times New Roman" w:cs="Times New Roman"/>
        </w:rPr>
      </w:pPr>
    </w:p>
    <w:p w14:paraId="07C914BD" w14:textId="527F337F" w:rsidR="007A02DE" w:rsidRPr="007A02DE" w:rsidRDefault="007A02DE" w:rsidP="007A02DE">
      <w:pPr>
        <w:rPr>
          <w:rFonts w:ascii="Times New Roman" w:hAnsi="Times New Roman" w:cs="Times New Roman"/>
        </w:rPr>
      </w:pPr>
      <w:r w:rsidRPr="007A02DE">
        <w:rPr>
          <w:rFonts w:ascii="Times New Roman" w:hAnsi="Times New Roman" w:cs="Times New Roman"/>
        </w:rPr>
        <w:t>Table S1</w:t>
      </w:r>
      <w:r>
        <w:rPr>
          <w:rFonts w:ascii="Times New Roman" w:hAnsi="Times New Roman" w:cs="Times New Roman" w:hint="eastAsia"/>
        </w:rPr>
        <w:t>B</w:t>
      </w:r>
      <w:r w:rsidRPr="007A02DE">
        <w:rPr>
          <w:rFonts w:ascii="Times New Roman" w:hAnsi="Times New Roman" w:cs="Times New Roman"/>
        </w:rPr>
        <w:t xml:space="preserve">. Search Strategies and Results from </w:t>
      </w:r>
      <w:r>
        <w:rPr>
          <w:rFonts w:ascii="Times New Roman" w:hAnsi="Times New Roman" w:cs="Times New Roman" w:hint="eastAsia"/>
        </w:rPr>
        <w:t>MEDLINE</w:t>
      </w:r>
    </w:p>
    <w:tbl>
      <w:tblPr>
        <w:tblW w:w="5000" w:type="pct"/>
        <w:tblLook w:val="04A0" w:firstRow="1" w:lastRow="0" w:firstColumn="1" w:lastColumn="0" w:noHBand="0" w:noVBand="1"/>
      </w:tblPr>
      <w:tblGrid>
        <w:gridCol w:w="506"/>
        <w:gridCol w:w="6854"/>
        <w:gridCol w:w="936"/>
      </w:tblGrid>
      <w:tr w:rsidR="007A02DE" w:rsidRPr="007A02DE" w14:paraId="6DB68201" w14:textId="77777777" w:rsidTr="007A02DE">
        <w:trPr>
          <w:trHeight w:val="340"/>
        </w:trPr>
        <w:tc>
          <w:tcPr>
            <w:tcW w:w="392" w:type="pct"/>
            <w:tcBorders>
              <w:top w:val="single" w:sz="4" w:space="0" w:color="auto"/>
              <w:left w:val="single" w:sz="4" w:space="0" w:color="auto"/>
              <w:bottom w:val="single" w:sz="4" w:space="0" w:color="auto"/>
              <w:right w:val="single" w:sz="4" w:space="0" w:color="auto"/>
            </w:tcBorders>
            <w:noWrap/>
            <w:hideMark/>
          </w:tcPr>
          <w:p w14:paraId="0B415FC0" w14:textId="77777777" w:rsidR="007A02DE" w:rsidRPr="007A02DE" w:rsidRDefault="007A02DE">
            <w:pPr>
              <w:rPr>
                <w:rFonts w:ascii="Times New Roman" w:eastAsia="微软雅黑" w:hAnsi="Times New Roman" w:cs="Times New Roman"/>
                <w:b/>
                <w:bCs/>
                <w:color w:val="000000"/>
                <w:sz w:val="18"/>
                <w:szCs w:val="18"/>
              </w:rPr>
            </w:pPr>
            <w:r w:rsidRPr="007A02DE">
              <w:rPr>
                <w:rFonts w:ascii="Times New Roman" w:eastAsia="微软雅黑" w:hAnsi="Times New Roman" w:cs="Times New Roman"/>
                <w:b/>
                <w:bCs/>
                <w:color w:val="000000"/>
                <w:sz w:val="18"/>
                <w:szCs w:val="18"/>
              </w:rPr>
              <w:t>#</w:t>
            </w:r>
          </w:p>
        </w:tc>
        <w:tc>
          <w:tcPr>
            <w:tcW w:w="4217" w:type="pct"/>
            <w:tcBorders>
              <w:top w:val="single" w:sz="4" w:space="0" w:color="auto"/>
              <w:left w:val="nil"/>
              <w:bottom w:val="single" w:sz="4" w:space="0" w:color="auto"/>
              <w:right w:val="single" w:sz="4" w:space="0" w:color="auto"/>
            </w:tcBorders>
            <w:vAlign w:val="center"/>
            <w:hideMark/>
          </w:tcPr>
          <w:p w14:paraId="6602FDDF"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Searches</w:t>
            </w:r>
          </w:p>
        </w:tc>
        <w:tc>
          <w:tcPr>
            <w:tcW w:w="392" w:type="pct"/>
            <w:tcBorders>
              <w:top w:val="single" w:sz="4" w:space="0" w:color="auto"/>
              <w:left w:val="nil"/>
              <w:bottom w:val="single" w:sz="4" w:space="0" w:color="auto"/>
              <w:right w:val="single" w:sz="4" w:space="0" w:color="auto"/>
            </w:tcBorders>
            <w:noWrap/>
            <w:vAlign w:val="center"/>
            <w:hideMark/>
          </w:tcPr>
          <w:p w14:paraId="1BD24BE6" w14:textId="77777777" w:rsidR="007A02DE" w:rsidRPr="007A02DE" w:rsidRDefault="007A02DE">
            <w:pPr>
              <w:jc w:val="center"/>
              <w:rPr>
                <w:rFonts w:ascii="Times New Roman" w:eastAsia="微软雅黑" w:hAnsi="Times New Roman" w:cs="Times New Roman"/>
                <w:b/>
                <w:bCs/>
                <w:color w:val="000000"/>
                <w:sz w:val="18"/>
                <w:szCs w:val="18"/>
              </w:rPr>
            </w:pPr>
            <w:r w:rsidRPr="007A02DE">
              <w:rPr>
                <w:rFonts w:ascii="Times New Roman" w:eastAsia="微软雅黑" w:hAnsi="Times New Roman" w:cs="Times New Roman"/>
                <w:b/>
                <w:bCs/>
                <w:color w:val="000000"/>
                <w:sz w:val="18"/>
                <w:szCs w:val="18"/>
              </w:rPr>
              <w:t>Results</w:t>
            </w:r>
          </w:p>
        </w:tc>
      </w:tr>
      <w:tr w:rsidR="007A02DE" w:rsidRPr="007A02DE" w14:paraId="41842117"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0DA65D32"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w:t>
            </w:r>
          </w:p>
        </w:tc>
        <w:tc>
          <w:tcPr>
            <w:tcW w:w="4217" w:type="pct"/>
            <w:tcBorders>
              <w:top w:val="nil"/>
              <w:left w:val="nil"/>
              <w:bottom w:val="single" w:sz="4" w:space="0" w:color="auto"/>
              <w:right w:val="single" w:sz="4" w:space="0" w:color="auto"/>
            </w:tcBorders>
            <w:vAlign w:val="center"/>
            <w:hideMark/>
          </w:tcPr>
          <w:p w14:paraId="42521251"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exp "Hemophilia A"/</w:t>
            </w:r>
          </w:p>
        </w:tc>
        <w:tc>
          <w:tcPr>
            <w:tcW w:w="392" w:type="pct"/>
            <w:tcBorders>
              <w:top w:val="nil"/>
              <w:left w:val="nil"/>
              <w:bottom w:val="single" w:sz="4" w:space="0" w:color="auto"/>
              <w:right w:val="single" w:sz="4" w:space="0" w:color="auto"/>
            </w:tcBorders>
            <w:noWrap/>
            <w:vAlign w:val="center"/>
            <w:hideMark/>
          </w:tcPr>
          <w:p w14:paraId="61958E62"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22,805 </w:t>
            </w:r>
          </w:p>
        </w:tc>
      </w:tr>
      <w:tr w:rsidR="007A02DE" w:rsidRPr="007A02DE" w14:paraId="164AF339"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04F640E2"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w:t>
            </w:r>
          </w:p>
        </w:tc>
        <w:tc>
          <w:tcPr>
            <w:tcW w:w="4217" w:type="pct"/>
            <w:tcBorders>
              <w:top w:val="nil"/>
              <w:left w:val="nil"/>
              <w:bottom w:val="single" w:sz="4" w:space="0" w:color="auto"/>
              <w:right w:val="single" w:sz="4" w:space="0" w:color="auto"/>
            </w:tcBorders>
            <w:vAlign w:val="center"/>
            <w:hideMark/>
          </w:tcPr>
          <w:p w14:paraId="7623C330"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("Hemophilia A").ti,ab,kw.</w:t>
            </w:r>
          </w:p>
        </w:tc>
        <w:tc>
          <w:tcPr>
            <w:tcW w:w="392" w:type="pct"/>
            <w:tcBorders>
              <w:top w:val="nil"/>
              <w:left w:val="nil"/>
              <w:bottom w:val="single" w:sz="4" w:space="0" w:color="auto"/>
              <w:right w:val="single" w:sz="4" w:space="0" w:color="auto"/>
            </w:tcBorders>
            <w:noWrap/>
            <w:vAlign w:val="center"/>
            <w:hideMark/>
          </w:tcPr>
          <w:p w14:paraId="5504054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6,060 </w:t>
            </w:r>
          </w:p>
        </w:tc>
      </w:tr>
      <w:tr w:rsidR="007A02DE" w:rsidRPr="007A02DE" w14:paraId="5F3050C8"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54618C4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w:t>
            </w:r>
          </w:p>
        </w:tc>
        <w:tc>
          <w:tcPr>
            <w:tcW w:w="4217" w:type="pct"/>
            <w:tcBorders>
              <w:top w:val="nil"/>
              <w:left w:val="nil"/>
              <w:bottom w:val="single" w:sz="4" w:space="0" w:color="auto"/>
              <w:right w:val="single" w:sz="4" w:space="0" w:color="auto"/>
            </w:tcBorders>
            <w:vAlign w:val="center"/>
            <w:hideMark/>
          </w:tcPr>
          <w:p w14:paraId="3D504176"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 or 2</w:t>
            </w:r>
          </w:p>
        </w:tc>
        <w:tc>
          <w:tcPr>
            <w:tcW w:w="392" w:type="pct"/>
            <w:tcBorders>
              <w:top w:val="nil"/>
              <w:left w:val="nil"/>
              <w:bottom w:val="single" w:sz="4" w:space="0" w:color="auto"/>
              <w:right w:val="single" w:sz="4" w:space="0" w:color="auto"/>
            </w:tcBorders>
            <w:noWrap/>
            <w:vAlign w:val="center"/>
            <w:hideMark/>
          </w:tcPr>
          <w:p w14:paraId="4AEC1D6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24,295 </w:t>
            </w:r>
          </w:p>
        </w:tc>
      </w:tr>
      <w:tr w:rsidR="007A02DE" w:rsidRPr="007A02DE" w14:paraId="575AC6F4"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5B97DF1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4</w:t>
            </w:r>
          </w:p>
        </w:tc>
        <w:tc>
          <w:tcPr>
            <w:tcW w:w="4217" w:type="pct"/>
            <w:tcBorders>
              <w:top w:val="nil"/>
              <w:left w:val="nil"/>
              <w:bottom w:val="single" w:sz="4" w:space="0" w:color="auto"/>
              <w:right w:val="single" w:sz="4" w:space="0" w:color="auto"/>
            </w:tcBorders>
            <w:vAlign w:val="center"/>
            <w:hideMark/>
          </w:tcPr>
          <w:p w14:paraId="6C5799A0"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limit 3 to english language</w:t>
            </w:r>
          </w:p>
        </w:tc>
        <w:tc>
          <w:tcPr>
            <w:tcW w:w="392" w:type="pct"/>
            <w:tcBorders>
              <w:top w:val="nil"/>
              <w:left w:val="nil"/>
              <w:bottom w:val="single" w:sz="4" w:space="0" w:color="auto"/>
              <w:right w:val="single" w:sz="4" w:space="0" w:color="auto"/>
            </w:tcBorders>
            <w:noWrap/>
            <w:vAlign w:val="center"/>
            <w:hideMark/>
          </w:tcPr>
          <w:p w14:paraId="77AD8881"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20,131 </w:t>
            </w:r>
          </w:p>
        </w:tc>
      </w:tr>
      <w:tr w:rsidR="007A02DE" w:rsidRPr="007A02DE" w14:paraId="2455DD7D"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508F75D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5</w:t>
            </w:r>
          </w:p>
        </w:tc>
        <w:tc>
          <w:tcPr>
            <w:tcW w:w="4217" w:type="pct"/>
            <w:tcBorders>
              <w:top w:val="nil"/>
              <w:left w:val="nil"/>
              <w:bottom w:val="single" w:sz="4" w:space="0" w:color="auto"/>
              <w:right w:val="single" w:sz="4" w:space="0" w:color="auto"/>
            </w:tcBorders>
            <w:vAlign w:val="center"/>
            <w:hideMark/>
          </w:tcPr>
          <w:p w14:paraId="2AA905A9"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limit 4 to yr="2013 -current"</w:t>
            </w:r>
          </w:p>
        </w:tc>
        <w:tc>
          <w:tcPr>
            <w:tcW w:w="392" w:type="pct"/>
            <w:tcBorders>
              <w:top w:val="nil"/>
              <w:left w:val="nil"/>
              <w:bottom w:val="single" w:sz="4" w:space="0" w:color="auto"/>
              <w:right w:val="single" w:sz="4" w:space="0" w:color="auto"/>
            </w:tcBorders>
            <w:noWrap/>
            <w:vAlign w:val="center"/>
            <w:hideMark/>
          </w:tcPr>
          <w:p w14:paraId="314AF99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6,521 </w:t>
            </w:r>
          </w:p>
        </w:tc>
      </w:tr>
      <w:tr w:rsidR="007A02DE" w:rsidRPr="007A02DE" w14:paraId="12812E6E" w14:textId="77777777" w:rsidTr="007A02DE">
        <w:trPr>
          <w:trHeight w:val="2380"/>
        </w:trPr>
        <w:tc>
          <w:tcPr>
            <w:tcW w:w="392" w:type="pct"/>
            <w:tcBorders>
              <w:top w:val="nil"/>
              <w:left w:val="single" w:sz="4" w:space="0" w:color="auto"/>
              <w:bottom w:val="single" w:sz="4" w:space="0" w:color="auto"/>
              <w:right w:val="single" w:sz="4" w:space="0" w:color="auto"/>
            </w:tcBorders>
            <w:noWrap/>
            <w:vAlign w:val="center"/>
            <w:hideMark/>
          </w:tcPr>
          <w:p w14:paraId="0D1ED0C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6</w:t>
            </w:r>
          </w:p>
        </w:tc>
        <w:tc>
          <w:tcPr>
            <w:tcW w:w="4217" w:type="pct"/>
            <w:tcBorders>
              <w:top w:val="nil"/>
              <w:left w:val="nil"/>
              <w:bottom w:val="single" w:sz="4" w:space="0" w:color="auto"/>
              <w:right w:val="single" w:sz="4" w:space="0" w:color="auto"/>
            </w:tcBorders>
            <w:vAlign w:val="center"/>
            <w:hideMark/>
          </w:tcPr>
          <w:p w14:paraId="723BA633"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limit 5 to (address or autobiography or bibliography or biography or case reports or comment or consensus development conference or consensus development conference, nih or dictionary or directory or duplicate publication or editorial or "expression of concern" or festschrift or government publication or guideline or interactive tutorial or interview or introductory journal article or lecture or legal case or legislation or letter or news or newspaper article or patient education handout or periodical index or personal narrative or portrait or practice guideline or published erratum or "research support, american recovery and reinvestment act" or research support, nih, extramural or research support, nih, intramural or research support, non us gov't or research support, us gov't, non phs or research support, us gov't, phs or retracted publication or "retraction of publication" or "review" or "scientific integrity review" or video-audio media or webcast)</w:t>
            </w:r>
          </w:p>
        </w:tc>
        <w:tc>
          <w:tcPr>
            <w:tcW w:w="392" w:type="pct"/>
            <w:tcBorders>
              <w:top w:val="nil"/>
              <w:left w:val="nil"/>
              <w:bottom w:val="single" w:sz="4" w:space="0" w:color="auto"/>
              <w:right w:val="single" w:sz="4" w:space="0" w:color="auto"/>
            </w:tcBorders>
            <w:noWrap/>
            <w:vAlign w:val="center"/>
            <w:hideMark/>
          </w:tcPr>
          <w:p w14:paraId="7563D8C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3,879 </w:t>
            </w:r>
          </w:p>
        </w:tc>
      </w:tr>
      <w:tr w:rsidR="007A02DE" w:rsidRPr="007A02DE" w14:paraId="16F5C592"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00DEF27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w:t>
            </w:r>
          </w:p>
        </w:tc>
        <w:tc>
          <w:tcPr>
            <w:tcW w:w="4217" w:type="pct"/>
            <w:tcBorders>
              <w:top w:val="nil"/>
              <w:left w:val="nil"/>
              <w:bottom w:val="single" w:sz="4" w:space="0" w:color="auto"/>
              <w:right w:val="single" w:sz="4" w:space="0" w:color="auto"/>
            </w:tcBorders>
            <w:vAlign w:val="center"/>
            <w:hideMark/>
          </w:tcPr>
          <w:p w14:paraId="0408F4DC"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5 not 6</w:t>
            </w:r>
          </w:p>
        </w:tc>
        <w:tc>
          <w:tcPr>
            <w:tcW w:w="392" w:type="pct"/>
            <w:tcBorders>
              <w:top w:val="nil"/>
              <w:left w:val="nil"/>
              <w:bottom w:val="single" w:sz="4" w:space="0" w:color="auto"/>
              <w:right w:val="single" w:sz="4" w:space="0" w:color="auto"/>
            </w:tcBorders>
            <w:noWrap/>
            <w:vAlign w:val="center"/>
            <w:hideMark/>
          </w:tcPr>
          <w:p w14:paraId="66A65AC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2,642 </w:t>
            </w:r>
          </w:p>
        </w:tc>
      </w:tr>
      <w:tr w:rsidR="007A02DE" w:rsidRPr="007A02DE" w14:paraId="33C2C6B3" w14:textId="77777777" w:rsidTr="007A02DE">
        <w:trPr>
          <w:trHeight w:val="680"/>
        </w:trPr>
        <w:tc>
          <w:tcPr>
            <w:tcW w:w="392" w:type="pct"/>
            <w:tcBorders>
              <w:top w:val="nil"/>
              <w:left w:val="single" w:sz="4" w:space="0" w:color="auto"/>
              <w:bottom w:val="single" w:sz="4" w:space="0" w:color="auto"/>
              <w:right w:val="single" w:sz="4" w:space="0" w:color="auto"/>
            </w:tcBorders>
            <w:noWrap/>
            <w:vAlign w:val="center"/>
            <w:hideMark/>
          </w:tcPr>
          <w:p w14:paraId="6DA91F8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8</w:t>
            </w:r>
          </w:p>
        </w:tc>
        <w:tc>
          <w:tcPr>
            <w:tcW w:w="4217" w:type="pct"/>
            <w:tcBorders>
              <w:top w:val="nil"/>
              <w:left w:val="nil"/>
              <w:bottom w:val="single" w:sz="4" w:space="0" w:color="auto"/>
              <w:right w:val="single" w:sz="4" w:space="0" w:color="auto"/>
            </w:tcBorders>
            <w:vAlign w:val="center"/>
            <w:hideMark/>
          </w:tcPr>
          <w:p w14:paraId="0C2B14F9"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(prospective$ or retrospective$ or observation$ or "cross-section$" or "cross section$" or "real world" or "real-world" or cohort$ or survey* or questionnaire or registr$).ti,ab,kw.</w:t>
            </w:r>
          </w:p>
        </w:tc>
        <w:tc>
          <w:tcPr>
            <w:tcW w:w="392" w:type="pct"/>
            <w:tcBorders>
              <w:top w:val="nil"/>
              <w:left w:val="nil"/>
              <w:bottom w:val="single" w:sz="4" w:space="0" w:color="auto"/>
              <w:right w:val="single" w:sz="4" w:space="0" w:color="auto"/>
            </w:tcBorders>
            <w:noWrap/>
            <w:vAlign w:val="center"/>
            <w:hideMark/>
          </w:tcPr>
          <w:p w14:paraId="6BD05E6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4,677,834 </w:t>
            </w:r>
          </w:p>
        </w:tc>
      </w:tr>
      <w:tr w:rsidR="007A02DE" w:rsidRPr="007A02DE" w14:paraId="13E3199B"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524D91E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9</w:t>
            </w:r>
          </w:p>
        </w:tc>
        <w:tc>
          <w:tcPr>
            <w:tcW w:w="4217" w:type="pct"/>
            <w:tcBorders>
              <w:top w:val="nil"/>
              <w:left w:val="nil"/>
              <w:bottom w:val="single" w:sz="4" w:space="0" w:color="auto"/>
              <w:right w:val="single" w:sz="4" w:space="0" w:color="auto"/>
            </w:tcBorders>
            <w:vAlign w:val="center"/>
            <w:hideMark/>
          </w:tcPr>
          <w:p w14:paraId="04E217D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(China or Chinese).ti,ab,kw.</w:t>
            </w:r>
          </w:p>
        </w:tc>
        <w:tc>
          <w:tcPr>
            <w:tcW w:w="392" w:type="pct"/>
            <w:tcBorders>
              <w:top w:val="nil"/>
              <w:left w:val="nil"/>
              <w:bottom w:val="single" w:sz="4" w:space="0" w:color="auto"/>
              <w:right w:val="single" w:sz="4" w:space="0" w:color="auto"/>
            </w:tcBorders>
            <w:noWrap/>
            <w:vAlign w:val="center"/>
            <w:hideMark/>
          </w:tcPr>
          <w:p w14:paraId="70B9684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547,086 </w:t>
            </w:r>
          </w:p>
        </w:tc>
      </w:tr>
      <w:tr w:rsidR="007A02DE" w:rsidRPr="007A02DE" w14:paraId="5ABF54D8"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0A5A1BA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10</w:t>
            </w:r>
          </w:p>
        </w:tc>
        <w:tc>
          <w:tcPr>
            <w:tcW w:w="4217" w:type="pct"/>
            <w:tcBorders>
              <w:top w:val="nil"/>
              <w:left w:val="nil"/>
              <w:bottom w:val="single" w:sz="4" w:space="0" w:color="auto"/>
              <w:right w:val="single" w:sz="4" w:space="0" w:color="auto"/>
            </w:tcBorders>
            <w:vAlign w:val="center"/>
            <w:hideMark/>
          </w:tcPr>
          <w:p w14:paraId="3DE3FFC1"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8 and 9</w:t>
            </w:r>
          </w:p>
        </w:tc>
        <w:tc>
          <w:tcPr>
            <w:tcW w:w="392" w:type="pct"/>
            <w:tcBorders>
              <w:top w:val="nil"/>
              <w:left w:val="nil"/>
              <w:bottom w:val="single" w:sz="4" w:space="0" w:color="auto"/>
              <w:right w:val="single" w:sz="4" w:space="0" w:color="auto"/>
            </w:tcBorders>
            <w:noWrap/>
            <w:vAlign w:val="center"/>
            <w:hideMark/>
          </w:tcPr>
          <w:p w14:paraId="6ED77563"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44 </w:t>
            </w:r>
          </w:p>
        </w:tc>
      </w:tr>
      <w:tr w:rsidR="007A02DE" w:rsidRPr="007A02DE" w14:paraId="6808711B" w14:textId="77777777" w:rsidTr="007A02DE">
        <w:trPr>
          <w:trHeight w:val="680"/>
        </w:trPr>
        <w:tc>
          <w:tcPr>
            <w:tcW w:w="392" w:type="pct"/>
            <w:tcBorders>
              <w:top w:val="nil"/>
              <w:left w:val="single" w:sz="4" w:space="0" w:color="auto"/>
              <w:bottom w:val="single" w:sz="4" w:space="0" w:color="auto"/>
              <w:right w:val="single" w:sz="4" w:space="0" w:color="auto"/>
            </w:tcBorders>
            <w:noWrap/>
            <w:vAlign w:val="center"/>
            <w:hideMark/>
          </w:tcPr>
          <w:p w14:paraId="7926C24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11</w:t>
            </w:r>
          </w:p>
        </w:tc>
        <w:tc>
          <w:tcPr>
            <w:tcW w:w="4217" w:type="pct"/>
            <w:tcBorders>
              <w:top w:val="nil"/>
              <w:left w:val="nil"/>
              <w:bottom w:val="single" w:sz="4" w:space="0" w:color="auto"/>
              <w:right w:val="single" w:sz="4" w:space="0" w:color="auto"/>
            </w:tcBorders>
            <w:vAlign w:val="center"/>
            <w:hideMark/>
          </w:tcPr>
          <w:p w14:paraId="5EF8EA06"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(China or Chinese or Hong Kong or hongkong or Taiwan or Taiwanese or Japan or Japanese or Korea or Korean$ or Singapore or Singaporean$).ti,ab,kw.</w:t>
            </w:r>
          </w:p>
        </w:tc>
        <w:tc>
          <w:tcPr>
            <w:tcW w:w="392" w:type="pct"/>
            <w:tcBorders>
              <w:top w:val="nil"/>
              <w:left w:val="nil"/>
              <w:bottom w:val="single" w:sz="4" w:space="0" w:color="auto"/>
              <w:right w:val="single" w:sz="4" w:space="0" w:color="auto"/>
            </w:tcBorders>
            <w:noWrap/>
            <w:vAlign w:val="center"/>
            <w:hideMark/>
          </w:tcPr>
          <w:p w14:paraId="0E36D14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956,046 </w:t>
            </w:r>
          </w:p>
        </w:tc>
      </w:tr>
      <w:tr w:rsidR="007A02DE" w:rsidRPr="007A02DE" w14:paraId="126C908D"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26E7F57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12</w:t>
            </w:r>
          </w:p>
        </w:tc>
        <w:tc>
          <w:tcPr>
            <w:tcW w:w="4217" w:type="pct"/>
            <w:tcBorders>
              <w:top w:val="nil"/>
              <w:left w:val="nil"/>
              <w:bottom w:val="single" w:sz="4" w:space="0" w:color="auto"/>
              <w:right w:val="single" w:sz="4" w:space="0" w:color="auto"/>
            </w:tcBorders>
            <w:vAlign w:val="center"/>
            <w:hideMark/>
          </w:tcPr>
          <w:p w14:paraId="2BC1D710"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8 and 11</w:t>
            </w:r>
          </w:p>
        </w:tc>
        <w:tc>
          <w:tcPr>
            <w:tcW w:w="392" w:type="pct"/>
            <w:tcBorders>
              <w:top w:val="nil"/>
              <w:left w:val="nil"/>
              <w:bottom w:val="single" w:sz="4" w:space="0" w:color="auto"/>
              <w:right w:val="single" w:sz="4" w:space="0" w:color="auto"/>
            </w:tcBorders>
            <w:noWrap/>
            <w:vAlign w:val="center"/>
            <w:hideMark/>
          </w:tcPr>
          <w:p w14:paraId="4664570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92 </w:t>
            </w:r>
          </w:p>
        </w:tc>
      </w:tr>
      <w:tr w:rsidR="007A02DE" w:rsidRPr="007A02DE" w14:paraId="2C2BFA1A" w14:textId="77777777" w:rsidTr="007A02DE">
        <w:trPr>
          <w:trHeight w:val="2380"/>
        </w:trPr>
        <w:tc>
          <w:tcPr>
            <w:tcW w:w="392" w:type="pct"/>
            <w:tcBorders>
              <w:top w:val="nil"/>
              <w:left w:val="single" w:sz="4" w:space="0" w:color="auto"/>
              <w:bottom w:val="single" w:sz="4" w:space="0" w:color="auto"/>
              <w:right w:val="single" w:sz="4" w:space="0" w:color="auto"/>
            </w:tcBorders>
            <w:noWrap/>
            <w:vAlign w:val="center"/>
            <w:hideMark/>
          </w:tcPr>
          <w:p w14:paraId="69F22A3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13</w:t>
            </w:r>
          </w:p>
        </w:tc>
        <w:tc>
          <w:tcPr>
            <w:tcW w:w="4217" w:type="pct"/>
            <w:tcBorders>
              <w:top w:val="nil"/>
              <w:left w:val="nil"/>
              <w:bottom w:val="single" w:sz="4" w:space="0" w:color="auto"/>
              <w:right w:val="single" w:sz="4" w:space="0" w:color="auto"/>
            </w:tcBorders>
            <w:vAlign w:val="center"/>
            <w:hideMark/>
          </w:tcPr>
          <w:p w14:paraId="0A4B6F22"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limit 4 to (address or autobiography or bibliography or biography or case reports or comment or consensus development conference or consensus development conference, nih or dictionary or directory or duplicate publication or editorial or "expression of concern" or festschrift or government publication or guideline or interactive tutorial or interview or introductory journal article or lecture or legal case or legislation or letter or news or newspaper article or patient education handout or periodical index or personal narrative or portrait or practice guideline or published erratum or "research support, american recovery and reinvestment act" or research support, nih, extramural or research support, nih, </w:t>
            </w:r>
            <w:r w:rsidRPr="007A02DE">
              <w:rPr>
                <w:rFonts w:ascii="Times New Roman" w:eastAsia="微软雅黑" w:hAnsi="Times New Roman" w:cs="Times New Roman"/>
                <w:color w:val="000000"/>
                <w:sz w:val="18"/>
                <w:szCs w:val="18"/>
              </w:rPr>
              <w:lastRenderedPageBreak/>
              <w:t>intramural or research support, non us gov't or research support, us gov't, non phs or research support, us gov't, phs or retracted publication or "retraction of publication" or "review" or "scientific integrity review" or video-audio media or webcast)</w:t>
            </w:r>
          </w:p>
        </w:tc>
        <w:tc>
          <w:tcPr>
            <w:tcW w:w="392" w:type="pct"/>
            <w:tcBorders>
              <w:top w:val="nil"/>
              <w:left w:val="nil"/>
              <w:bottom w:val="single" w:sz="4" w:space="0" w:color="auto"/>
              <w:right w:val="single" w:sz="4" w:space="0" w:color="auto"/>
            </w:tcBorders>
            <w:noWrap/>
            <w:vAlign w:val="center"/>
            <w:hideMark/>
          </w:tcPr>
          <w:p w14:paraId="0AF3205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lastRenderedPageBreak/>
              <w:t xml:space="preserve">11,712 </w:t>
            </w:r>
          </w:p>
        </w:tc>
      </w:tr>
      <w:tr w:rsidR="007A02DE" w:rsidRPr="007A02DE" w14:paraId="7B286965"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2E268B2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14</w:t>
            </w:r>
          </w:p>
        </w:tc>
        <w:tc>
          <w:tcPr>
            <w:tcW w:w="4217" w:type="pct"/>
            <w:tcBorders>
              <w:top w:val="nil"/>
              <w:left w:val="nil"/>
              <w:bottom w:val="single" w:sz="4" w:space="0" w:color="auto"/>
              <w:right w:val="single" w:sz="4" w:space="0" w:color="auto"/>
            </w:tcBorders>
            <w:vAlign w:val="center"/>
            <w:hideMark/>
          </w:tcPr>
          <w:p w14:paraId="17B4B9CD"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4 not 13</w:t>
            </w:r>
          </w:p>
        </w:tc>
        <w:tc>
          <w:tcPr>
            <w:tcW w:w="392" w:type="pct"/>
            <w:tcBorders>
              <w:top w:val="nil"/>
              <w:left w:val="nil"/>
              <w:bottom w:val="single" w:sz="4" w:space="0" w:color="auto"/>
              <w:right w:val="single" w:sz="4" w:space="0" w:color="auto"/>
            </w:tcBorders>
            <w:noWrap/>
            <w:vAlign w:val="center"/>
            <w:hideMark/>
          </w:tcPr>
          <w:p w14:paraId="0B48992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7,698 </w:t>
            </w:r>
          </w:p>
        </w:tc>
      </w:tr>
      <w:tr w:rsidR="007A02DE" w:rsidRPr="007A02DE" w14:paraId="42B0A597"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58604E0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15</w:t>
            </w:r>
          </w:p>
        </w:tc>
        <w:tc>
          <w:tcPr>
            <w:tcW w:w="4217" w:type="pct"/>
            <w:tcBorders>
              <w:top w:val="nil"/>
              <w:left w:val="nil"/>
              <w:bottom w:val="single" w:sz="4" w:space="0" w:color="auto"/>
              <w:right w:val="single" w:sz="4" w:space="0" w:color="auto"/>
            </w:tcBorders>
            <w:vAlign w:val="center"/>
            <w:hideMark/>
          </w:tcPr>
          <w:p w14:paraId="019EA356"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limit 14 to yr="2000 -current"</w:t>
            </w:r>
          </w:p>
        </w:tc>
        <w:tc>
          <w:tcPr>
            <w:tcW w:w="392" w:type="pct"/>
            <w:tcBorders>
              <w:top w:val="nil"/>
              <w:left w:val="nil"/>
              <w:bottom w:val="single" w:sz="4" w:space="0" w:color="auto"/>
              <w:right w:val="single" w:sz="4" w:space="0" w:color="auto"/>
            </w:tcBorders>
            <w:noWrap/>
            <w:vAlign w:val="center"/>
            <w:hideMark/>
          </w:tcPr>
          <w:p w14:paraId="3DECDB9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3,981 </w:t>
            </w:r>
          </w:p>
        </w:tc>
      </w:tr>
      <w:tr w:rsidR="007A02DE" w:rsidRPr="007A02DE" w14:paraId="6E3BD110"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0DCD7B9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16</w:t>
            </w:r>
          </w:p>
        </w:tc>
        <w:tc>
          <w:tcPr>
            <w:tcW w:w="4217" w:type="pct"/>
            <w:tcBorders>
              <w:top w:val="nil"/>
              <w:left w:val="nil"/>
              <w:bottom w:val="single" w:sz="4" w:space="0" w:color="auto"/>
              <w:right w:val="single" w:sz="4" w:space="0" w:color="auto"/>
            </w:tcBorders>
            <w:vAlign w:val="center"/>
            <w:hideMark/>
          </w:tcPr>
          <w:p w14:paraId="1F0AC1EC"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("trial*" or "RCT" or "random*" or "phase").ti,ab,kw.</w:t>
            </w:r>
          </w:p>
        </w:tc>
        <w:tc>
          <w:tcPr>
            <w:tcW w:w="392" w:type="pct"/>
            <w:tcBorders>
              <w:top w:val="nil"/>
              <w:left w:val="nil"/>
              <w:bottom w:val="single" w:sz="4" w:space="0" w:color="auto"/>
              <w:right w:val="single" w:sz="4" w:space="0" w:color="auto"/>
            </w:tcBorders>
            <w:noWrap/>
            <w:vAlign w:val="center"/>
            <w:hideMark/>
          </w:tcPr>
          <w:p w14:paraId="7ABE3673"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2,590,272 </w:t>
            </w:r>
          </w:p>
        </w:tc>
      </w:tr>
      <w:tr w:rsidR="007A02DE" w:rsidRPr="007A02DE" w14:paraId="52478E98" w14:textId="77777777" w:rsidTr="007A02DE">
        <w:trPr>
          <w:trHeight w:val="680"/>
        </w:trPr>
        <w:tc>
          <w:tcPr>
            <w:tcW w:w="392" w:type="pct"/>
            <w:tcBorders>
              <w:top w:val="nil"/>
              <w:left w:val="single" w:sz="4" w:space="0" w:color="auto"/>
              <w:bottom w:val="single" w:sz="4" w:space="0" w:color="auto"/>
              <w:right w:val="single" w:sz="4" w:space="0" w:color="auto"/>
            </w:tcBorders>
            <w:noWrap/>
            <w:vAlign w:val="center"/>
            <w:hideMark/>
          </w:tcPr>
          <w:p w14:paraId="07D0334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17</w:t>
            </w:r>
          </w:p>
        </w:tc>
        <w:tc>
          <w:tcPr>
            <w:tcW w:w="4217" w:type="pct"/>
            <w:tcBorders>
              <w:top w:val="nil"/>
              <w:left w:val="nil"/>
              <w:bottom w:val="single" w:sz="4" w:space="0" w:color="auto"/>
              <w:right w:val="single" w:sz="4" w:space="0" w:color="auto"/>
            </w:tcBorders>
            <w:vAlign w:val="center"/>
            <w:hideMark/>
          </w:tcPr>
          <w:p w14:paraId="594AC90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(prospective* or retrospective* or observation* or "cross-section*" or "cross section*" or "real world" or "real-world" or "real life" or cohort* or  registr*).ti,ab,kw.</w:t>
            </w:r>
          </w:p>
        </w:tc>
        <w:tc>
          <w:tcPr>
            <w:tcW w:w="392" w:type="pct"/>
            <w:tcBorders>
              <w:top w:val="nil"/>
              <w:left w:val="nil"/>
              <w:bottom w:val="single" w:sz="4" w:space="0" w:color="auto"/>
              <w:right w:val="single" w:sz="4" w:space="0" w:color="auto"/>
            </w:tcBorders>
            <w:noWrap/>
            <w:vAlign w:val="center"/>
            <w:hideMark/>
          </w:tcPr>
          <w:p w14:paraId="250F2D3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3,304,947 </w:t>
            </w:r>
          </w:p>
        </w:tc>
      </w:tr>
      <w:tr w:rsidR="007A02DE" w:rsidRPr="007A02DE" w14:paraId="16C3917F"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1E364CB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18</w:t>
            </w:r>
          </w:p>
        </w:tc>
        <w:tc>
          <w:tcPr>
            <w:tcW w:w="4217" w:type="pct"/>
            <w:tcBorders>
              <w:top w:val="nil"/>
              <w:left w:val="nil"/>
              <w:bottom w:val="single" w:sz="4" w:space="0" w:color="auto"/>
              <w:right w:val="single" w:sz="4" w:space="0" w:color="auto"/>
            </w:tcBorders>
            <w:vAlign w:val="center"/>
            <w:hideMark/>
          </w:tcPr>
          <w:p w14:paraId="2429C6BF"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16 or 17</w:t>
            </w:r>
          </w:p>
        </w:tc>
        <w:tc>
          <w:tcPr>
            <w:tcW w:w="392" w:type="pct"/>
            <w:tcBorders>
              <w:top w:val="nil"/>
              <w:left w:val="nil"/>
              <w:bottom w:val="single" w:sz="4" w:space="0" w:color="auto"/>
              <w:right w:val="single" w:sz="4" w:space="0" w:color="auto"/>
            </w:tcBorders>
            <w:noWrap/>
            <w:vAlign w:val="center"/>
            <w:hideMark/>
          </w:tcPr>
          <w:p w14:paraId="71BA650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5,302,752 </w:t>
            </w:r>
          </w:p>
        </w:tc>
      </w:tr>
      <w:tr w:rsidR="007A02DE" w:rsidRPr="007A02DE" w14:paraId="3DDED99E"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67B16CA8"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19</w:t>
            </w:r>
          </w:p>
        </w:tc>
        <w:tc>
          <w:tcPr>
            <w:tcW w:w="4217" w:type="pct"/>
            <w:tcBorders>
              <w:top w:val="nil"/>
              <w:left w:val="nil"/>
              <w:bottom w:val="single" w:sz="4" w:space="0" w:color="auto"/>
              <w:right w:val="single" w:sz="4" w:space="0" w:color="auto"/>
            </w:tcBorders>
            <w:vAlign w:val="center"/>
            <w:hideMark/>
          </w:tcPr>
          <w:p w14:paraId="1CA259BA"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((("Factor VIII" or "Factor 8" or "AHF VIII" or "Factor eight" or FVIII) and Recombinant) or rFVIII).ti,ab,kw.</w:t>
            </w:r>
          </w:p>
        </w:tc>
        <w:tc>
          <w:tcPr>
            <w:tcW w:w="392" w:type="pct"/>
            <w:tcBorders>
              <w:top w:val="nil"/>
              <w:left w:val="nil"/>
              <w:bottom w:val="single" w:sz="4" w:space="0" w:color="auto"/>
              <w:right w:val="single" w:sz="4" w:space="0" w:color="auto"/>
            </w:tcBorders>
            <w:noWrap/>
            <w:vAlign w:val="center"/>
            <w:hideMark/>
          </w:tcPr>
          <w:p w14:paraId="1B58EF3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2,585 </w:t>
            </w:r>
          </w:p>
        </w:tc>
      </w:tr>
      <w:tr w:rsidR="007A02DE" w:rsidRPr="007A02DE" w14:paraId="6394AF21"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294F4FC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20</w:t>
            </w:r>
          </w:p>
        </w:tc>
        <w:tc>
          <w:tcPr>
            <w:tcW w:w="4217" w:type="pct"/>
            <w:tcBorders>
              <w:top w:val="nil"/>
              <w:left w:val="nil"/>
              <w:bottom w:val="single" w:sz="4" w:space="0" w:color="auto"/>
              <w:right w:val="single" w:sz="4" w:space="0" w:color="auto"/>
            </w:tcBorders>
            <w:vAlign w:val="center"/>
            <w:hideMark/>
          </w:tcPr>
          <w:p w14:paraId="62B5374C"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18 and 19</w:t>
            </w:r>
          </w:p>
        </w:tc>
        <w:tc>
          <w:tcPr>
            <w:tcW w:w="392" w:type="pct"/>
            <w:tcBorders>
              <w:top w:val="nil"/>
              <w:left w:val="nil"/>
              <w:bottom w:val="single" w:sz="4" w:space="0" w:color="auto"/>
              <w:right w:val="single" w:sz="4" w:space="0" w:color="auto"/>
            </w:tcBorders>
            <w:noWrap/>
            <w:vAlign w:val="center"/>
            <w:hideMark/>
          </w:tcPr>
          <w:p w14:paraId="5D1757E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277 </w:t>
            </w:r>
          </w:p>
        </w:tc>
      </w:tr>
      <w:tr w:rsidR="007A02DE" w:rsidRPr="007A02DE" w14:paraId="723F702C"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5A0F803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21</w:t>
            </w:r>
          </w:p>
        </w:tc>
        <w:tc>
          <w:tcPr>
            <w:tcW w:w="4217" w:type="pct"/>
            <w:tcBorders>
              <w:top w:val="nil"/>
              <w:left w:val="nil"/>
              <w:bottom w:val="single" w:sz="4" w:space="0" w:color="auto"/>
              <w:right w:val="single" w:sz="4" w:space="0" w:color="auto"/>
            </w:tcBorders>
            <w:vAlign w:val="center"/>
            <w:hideMark/>
          </w:tcPr>
          <w:p w14:paraId="1FB7C303"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(inhibitor* or antibod*).ti,ab,kw.</w:t>
            </w:r>
          </w:p>
        </w:tc>
        <w:tc>
          <w:tcPr>
            <w:tcW w:w="392" w:type="pct"/>
            <w:tcBorders>
              <w:top w:val="nil"/>
              <w:left w:val="nil"/>
              <w:bottom w:val="single" w:sz="4" w:space="0" w:color="auto"/>
              <w:right w:val="single" w:sz="4" w:space="0" w:color="auto"/>
            </w:tcBorders>
            <w:noWrap/>
            <w:vAlign w:val="center"/>
            <w:hideMark/>
          </w:tcPr>
          <w:p w14:paraId="67C1009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2,349,773 </w:t>
            </w:r>
          </w:p>
        </w:tc>
      </w:tr>
      <w:tr w:rsidR="007A02DE" w:rsidRPr="007A02DE" w14:paraId="0D0C0E65"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06BF3C5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22</w:t>
            </w:r>
          </w:p>
        </w:tc>
        <w:tc>
          <w:tcPr>
            <w:tcW w:w="4217" w:type="pct"/>
            <w:tcBorders>
              <w:top w:val="nil"/>
              <w:left w:val="nil"/>
              <w:bottom w:val="single" w:sz="4" w:space="0" w:color="auto"/>
              <w:right w:val="single" w:sz="4" w:space="0" w:color="auto"/>
            </w:tcBorders>
            <w:vAlign w:val="center"/>
            <w:hideMark/>
          </w:tcPr>
          <w:p w14:paraId="717AFF9D"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("immune tolerance induction" or "ITI" or "Factor VIII" or "Factor 8" or "AHF VIII" or "Factor eight" or FVIII).ti,ab,kw.</w:t>
            </w:r>
          </w:p>
        </w:tc>
        <w:tc>
          <w:tcPr>
            <w:tcW w:w="392" w:type="pct"/>
            <w:tcBorders>
              <w:top w:val="nil"/>
              <w:left w:val="nil"/>
              <w:bottom w:val="single" w:sz="4" w:space="0" w:color="auto"/>
              <w:right w:val="single" w:sz="4" w:space="0" w:color="auto"/>
            </w:tcBorders>
            <w:noWrap/>
            <w:vAlign w:val="center"/>
            <w:hideMark/>
          </w:tcPr>
          <w:p w14:paraId="16AD2FB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24,019 </w:t>
            </w:r>
          </w:p>
        </w:tc>
      </w:tr>
      <w:tr w:rsidR="007A02DE" w:rsidRPr="007A02DE" w14:paraId="5E4FEFA5" w14:textId="77777777" w:rsidTr="007A02DE">
        <w:trPr>
          <w:trHeight w:val="680"/>
        </w:trPr>
        <w:tc>
          <w:tcPr>
            <w:tcW w:w="392" w:type="pct"/>
            <w:tcBorders>
              <w:top w:val="nil"/>
              <w:left w:val="single" w:sz="4" w:space="0" w:color="auto"/>
              <w:bottom w:val="single" w:sz="4" w:space="0" w:color="auto"/>
              <w:right w:val="single" w:sz="4" w:space="0" w:color="auto"/>
            </w:tcBorders>
            <w:noWrap/>
            <w:vAlign w:val="center"/>
            <w:hideMark/>
          </w:tcPr>
          <w:p w14:paraId="2290F1C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23</w:t>
            </w:r>
          </w:p>
        </w:tc>
        <w:tc>
          <w:tcPr>
            <w:tcW w:w="4217" w:type="pct"/>
            <w:tcBorders>
              <w:top w:val="nil"/>
              <w:left w:val="nil"/>
              <w:bottom w:val="single" w:sz="4" w:space="0" w:color="auto"/>
              <w:right w:val="single" w:sz="4" w:space="0" w:color="auto"/>
            </w:tcBorders>
            <w:vAlign w:val="center"/>
            <w:hideMark/>
          </w:tcPr>
          <w:p w14:paraId="2D98959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(aPCC or "activated prothrombin complex concentrate" or  "prothrombin complex concentrate" or PCC or bypassing or rFVIIa or "recombinant activated factor VII" or emicizumab or hemlibra or ACE910).ti,ab,kw.</w:t>
            </w:r>
          </w:p>
        </w:tc>
        <w:tc>
          <w:tcPr>
            <w:tcW w:w="392" w:type="pct"/>
            <w:tcBorders>
              <w:top w:val="nil"/>
              <w:left w:val="nil"/>
              <w:bottom w:val="single" w:sz="4" w:space="0" w:color="auto"/>
              <w:right w:val="single" w:sz="4" w:space="0" w:color="auto"/>
            </w:tcBorders>
            <w:noWrap/>
            <w:vAlign w:val="center"/>
            <w:hideMark/>
          </w:tcPr>
          <w:p w14:paraId="51AFBF6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23,368 </w:t>
            </w:r>
          </w:p>
        </w:tc>
      </w:tr>
      <w:tr w:rsidR="007A02DE" w:rsidRPr="007A02DE" w14:paraId="5ECC7B2A"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3BA9837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24</w:t>
            </w:r>
          </w:p>
        </w:tc>
        <w:tc>
          <w:tcPr>
            <w:tcW w:w="4217" w:type="pct"/>
            <w:tcBorders>
              <w:top w:val="nil"/>
              <w:left w:val="nil"/>
              <w:bottom w:val="single" w:sz="4" w:space="0" w:color="auto"/>
              <w:right w:val="single" w:sz="4" w:space="0" w:color="auto"/>
            </w:tcBorders>
            <w:vAlign w:val="center"/>
            <w:hideMark/>
          </w:tcPr>
          <w:p w14:paraId="7125C6CB"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22 or 23</w:t>
            </w:r>
          </w:p>
        </w:tc>
        <w:tc>
          <w:tcPr>
            <w:tcW w:w="392" w:type="pct"/>
            <w:tcBorders>
              <w:top w:val="nil"/>
              <w:left w:val="nil"/>
              <w:bottom w:val="single" w:sz="4" w:space="0" w:color="auto"/>
              <w:right w:val="single" w:sz="4" w:space="0" w:color="auto"/>
            </w:tcBorders>
            <w:noWrap/>
            <w:vAlign w:val="center"/>
            <w:hideMark/>
          </w:tcPr>
          <w:p w14:paraId="5148540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46,155 </w:t>
            </w:r>
          </w:p>
        </w:tc>
      </w:tr>
      <w:tr w:rsidR="007A02DE" w:rsidRPr="007A02DE" w14:paraId="3E01095C"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659DE64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25</w:t>
            </w:r>
          </w:p>
        </w:tc>
        <w:tc>
          <w:tcPr>
            <w:tcW w:w="4217" w:type="pct"/>
            <w:tcBorders>
              <w:top w:val="nil"/>
              <w:left w:val="nil"/>
              <w:bottom w:val="single" w:sz="4" w:space="0" w:color="auto"/>
              <w:right w:val="single" w:sz="4" w:space="0" w:color="auto"/>
            </w:tcBorders>
            <w:vAlign w:val="center"/>
            <w:hideMark/>
          </w:tcPr>
          <w:p w14:paraId="75991553"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18 and 21 and 24</w:t>
            </w:r>
          </w:p>
        </w:tc>
        <w:tc>
          <w:tcPr>
            <w:tcW w:w="392" w:type="pct"/>
            <w:tcBorders>
              <w:top w:val="nil"/>
              <w:left w:val="nil"/>
              <w:bottom w:val="single" w:sz="4" w:space="0" w:color="auto"/>
              <w:right w:val="single" w:sz="4" w:space="0" w:color="auto"/>
            </w:tcBorders>
            <w:noWrap/>
            <w:vAlign w:val="center"/>
            <w:hideMark/>
          </w:tcPr>
          <w:p w14:paraId="0CD40CF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401 </w:t>
            </w:r>
          </w:p>
        </w:tc>
      </w:tr>
      <w:tr w:rsidR="007A02DE" w:rsidRPr="007A02DE" w14:paraId="31B76EC6" w14:textId="77777777" w:rsidTr="007A02DE">
        <w:trPr>
          <w:trHeight w:val="1700"/>
        </w:trPr>
        <w:tc>
          <w:tcPr>
            <w:tcW w:w="392" w:type="pct"/>
            <w:tcBorders>
              <w:top w:val="nil"/>
              <w:left w:val="single" w:sz="4" w:space="0" w:color="auto"/>
              <w:bottom w:val="single" w:sz="4" w:space="0" w:color="auto"/>
              <w:right w:val="single" w:sz="4" w:space="0" w:color="auto"/>
            </w:tcBorders>
            <w:noWrap/>
            <w:vAlign w:val="center"/>
            <w:hideMark/>
          </w:tcPr>
          <w:p w14:paraId="48D0F4C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26</w:t>
            </w:r>
          </w:p>
        </w:tc>
        <w:tc>
          <w:tcPr>
            <w:tcW w:w="4217" w:type="pct"/>
            <w:tcBorders>
              <w:top w:val="nil"/>
              <w:left w:val="nil"/>
              <w:bottom w:val="single" w:sz="4" w:space="0" w:color="auto"/>
              <w:right w:val="single" w:sz="4" w:space="0" w:color="auto"/>
            </w:tcBorders>
            <w:vAlign w:val="center"/>
            <w:hideMark/>
          </w:tcPr>
          <w:p w14:paraId="134B2E6B"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("hemophilic arthropath$" or "joint* damage" or "joint$ bleeding" or disability or disable or "Intracerebral hemorrhage" or "Intracerebral bleeding" or stroke or "intracranial bleeding" or "intracranial hemorrhage" or "ICH" or "CNS bleeding" or "central nervous system bleeding" or "gastrointestinal bleeding" or "gastrointestinal hemorrhage" or gastrorrhagia or "urinary bleeding" or "urinary hemorrhage" or "renal bleeding" or "renal hemorrhage" or "bladder bleeding" or "bladder hemorrhage" or "urethral bleeding" or "urethral hemorrhage" or Hematuria or depression or anxiety or complication$).ti,ab,kw.</w:t>
            </w:r>
          </w:p>
        </w:tc>
        <w:tc>
          <w:tcPr>
            <w:tcW w:w="392" w:type="pct"/>
            <w:tcBorders>
              <w:top w:val="nil"/>
              <w:left w:val="nil"/>
              <w:bottom w:val="single" w:sz="4" w:space="0" w:color="auto"/>
              <w:right w:val="single" w:sz="4" w:space="0" w:color="auto"/>
            </w:tcBorders>
            <w:noWrap/>
            <w:vAlign w:val="center"/>
            <w:hideMark/>
          </w:tcPr>
          <w:p w14:paraId="46407438"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2,151,485 </w:t>
            </w:r>
          </w:p>
        </w:tc>
      </w:tr>
      <w:tr w:rsidR="007A02DE" w:rsidRPr="007A02DE" w14:paraId="1E79B610"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6521610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27</w:t>
            </w:r>
          </w:p>
        </w:tc>
        <w:tc>
          <w:tcPr>
            <w:tcW w:w="4217" w:type="pct"/>
            <w:tcBorders>
              <w:top w:val="nil"/>
              <w:left w:val="nil"/>
              <w:bottom w:val="single" w:sz="4" w:space="0" w:color="auto"/>
              <w:right w:val="single" w:sz="4" w:space="0" w:color="auto"/>
            </w:tcBorders>
            <w:vAlign w:val="center"/>
            <w:hideMark/>
          </w:tcPr>
          <w:p w14:paraId="4C93D46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11 and 26</w:t>
            </w:r>
          </w:p>
        </w:tc>
        <w:tc>
          <w:tcPr>
            <w:tcW w:w="392" w:type="pct"/>
            <w:tcBorders>
              <w:top w:val="nil"/>
              <w:left w:val="nil"/>
              <w:bottom w:val="single" w:sz="4" w:space="0" w:color="auto"/>
              <w:right w:val="single" w:sz="4" w:space="0" w:color="auto"/>
            </w:tcBorders>
            <w:noWrap/>
            <w:vAlign w:val="center"/>
            <w:hideMark/>
          </w:tcPr>
          <w:p w14:paraId="5E48809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42 </w:t>
            </w:r>
          </w:p>
        </w:tc>
      </w:tr>
      <w:tr w:rsidR="007A02DE" w:rsidRPr="007A02DE" w14:paraId="3D84FA05" w14:textId="77777777" w:rsidTr="007A02DE">
        <w:trPr>
          <w:trHeight w:val="2720"/>
        </w:trPr>
        <w:tc>
          <w:tcPr>
            <w:tcW w:w="392" w:type="pct"/>
            <w:tcBorders>
              <w:top w:val="nil"/>
              <w:left w:val="single" w:sz="4" w:space="0" w:color="auto"/>
              <w:bottom w:val="single" w:sz="4" w:space="0" w:color="auto"/>
              <w:right w:val="single" w:sz="4" w:space="0" w:color="auto"/>
            </w:tcBorders>
            <w:noWrap/>
            <w:vAlign w:val="center"/>
            <w:hideMark/>
          </w:tcPr>
          <w:p w14:paraId="3E4A46C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28</w:t>
            </w:r>
          </w:p>
        </w:tc>
        <w:tc>
          <w:tcPr>
            <w:tcW w:w="4217" w:type="pct"/>
            <w:tcBorders>
              <w:top w:val="nil"/>
              <w:left w:val="nil"/>
              <w:bottom w:val="single" w:sz="4" w:space="0" w:color="auto"/>
              <w:right w:val="single" w:sz="4" w:space="0" w:color="auto"/>
            </w:tcBorders>
            <w:vAlign w:val="center"/>
            <w:hideMark/>
          </w:tcPr>
          <w:p w14:paraId="428AE8C9"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(VAS or "visual analogue scale" or TTO or "time trade-off" or SG or "standard-gamble" or "EQ5D$" or "EQ-5D*" or "EuroQoL-5D$" or "EuroQol EQ-5D$" or "European Quality of Life-5 Dimensions" or "European Quality of Life 5 Dimensions" or "SF-36" or SF36 or "36-Item Short Form Survey" or "Short Form-36" or "Short Form 36 Health Survey" or "SF-12" or SF12 or "12-Item Short Form Survey" or "Short Form-12" or "WHO-BREF" or "WHO-QoL-BREF" or "WHOQOL-BREF" or "World Health Organization Quality of Life Brief Form" or "Haemo-QoL-A" or "haemophilia-specific health related quality of life questionnaire for adults" or "Haem-A-QoL" or "Haemophilia Quality of Life Questionnaire for Adults" or PedsQL or "pediatric quality of life inventory" or HJHS or "hemophilia joint </w:t>
            </w:r>
            <w:r w:rsidRPr="007A02DE">
              <w:rPr>
                <w:rFonts w:ascii="Times New Roman" w:eastAsia="微软雅黑" w:hAnsi="Times New Roman" w:cs="Times New Roman"/>
                <w:color w:val="000000"/>
                <w:sz w:val="18"/>
                <w:szCs w:val="18"/>
              </w:rPr>
              <w:lastRenderedPageBreak/>
              <w:t>health score" or FISH or "functional independence score in hemophilia" or HAL or "hemophilia activities list" or "pedHAL" or "pediatric hemophilia activities list" or "PROBE questionnaire" or CHO-KLAT or "Kids Life Assessment Tool").ti,ab,kw.</w:t>
            </w:r>
          </w:p>
        </w:tc>
        <w:tc>
          <w:tcPr>
            <w:tcW w:w="392" w:type="pct"/>
            <w:tcBorders>
              <w:top w:val="nil"/>
              <w:left w:val="nil"/>
              <w:bottom w:val="single" w:sz="4" w:space="0" w:color="auto"/>
              <w:right w:val="single" w:sz="4" w:space="0" w:color="auto"/>
            </w:tcBorders>
            <w:noWrap/>
            <w:vAlign w:val="center"/>
            <w:hideMark/>
          </w:tcPr>
          <w:p w14:paraId="6611375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lastRenderedPageBreak/>
              <w:t xml:space="preserve">341,167 </w:t>
            </w:r>
          </w:p>
        </w:tc>
      </w:tr>
      <w:tr w:rsidR="007A02DE" w:rsidRPr="007A02DE" w14:paraId="0DC35F90"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31785D7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29</w:t>
            </w:r>
          </w:p>
        </w:tc>
        <w:tc>
          <w:tcPr>
            <w:tcW w:w="4217" w:type="pct"/>
            <w:tcBorders>
              <w:top w:val="nil"/>
              <w:left w:val="nil"/>
              <w:bottom w:val="single" w:sz="4" w:space="0" w:color="auto"/>
              <w:right w:val="single" w:sz="4" w:space="0" w:color="auto"/>
            </w:tcBorders>
            <w:vAlign w:val="center"/>
            <w:hideMark/>
          </w:tcPr>
          <w:p w14:paraId="71A79625"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28</w:t>
            </w:r>
          </w:p>
        </w:tc>
        <w:tc>
          <w:tcPr>
            <w:tcW w:w="392" w:type="pct"/>
            <w:tcBorders>
              <w:top w:val="nil"/>
              <w:left w:val="nil"/>
              <w:bottom w:val="single" w:sz="4" w:space="0" w:color="auto"/>
              <w:right w:val="single" w:sz="4" w:space="0" w:color="auto"/>
            </w:tcBorders>
            <w:noWrap/>
            <w:vAlign w:val="center"/>
            <w:hideMark/>
          </w:tcPr>
          <w:p w14:paraId="4537EE72"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109 </w:t>
            </w:r>
          </w:p>
        </w:tc>
      </w:tr>
      <w:tr w:rsidR="007A02DE" w:rsidRPr="007A02DE" w14:paraId="63772FB8" w14:textId="77777777" w:rsidTr="007A02DE">
        <w:trPr>
          <w:trHeight w:val="680"/>
        </w:trPr>
        <w:tc>
          <w:tcPr>
            <w:tcW w:w="392" w:type="pct"/>
            <w:tcBorders>
              <w:top w:val="nil"/>
              <w:left w:val="single" w:sz="4" w:space="0" w:color="auto"/>
              <w:bottom w:val="single" w:sz="4" w:space="0" w:color="auto"/>
              <w:right w:val="single" w:sz="4" w:space="0" w:color="auto"/>
            </w:tcBorders>
            <w:noWrap/>
            <w:vAlign w:val="center"/>
            <w:hideMark/>
          </w:tcPr>
          <w:p w14:paraId="1B35CA1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30</w:t>
            </w:r>
          </w:p>
        </w:tc>
        <w:tc>
          <w:tcPr>
            <w:tcW w:w="4217" w:type="pct"/>
            <w:tcBorders>
              <w:top w:val="nil"/>
              <w:left w:val="nil"/>
              <w:bottom w:val="single" w:sz="4" w:space="0" w:color="auto"/>
              <w:right w:val="single" w:sz="4" w:space="0" w:color="auto"/>
            </w:tcBorders>
            <w:vAlign w:val="center"/>
            <w:hideMark/>
          </w:tcPr>
          <w:p w14:paraId="79979A37"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"cost effectiveness analysis"/ or "cost benefit analysis"/ or "program cost effectiveness"/ or "cost utility analysis"/ or "cost minimization analysis"/ </w:t>
            </w:r>
          </w:p>
        </w:tc>
        <w:tc>
          <w:tcPr>
            <w:tcW w:w="392" w:type="pct"/>
            <w:tcBorders>
              <w:top w:val="nil"/>
              <w:left w:val="nil"/>
              <w:bottom w:val="single" w:sz="4" w:space="0" w:color="auto"/>
              <w:right w:val="single" w:sz="4" w:space="0" w:color="auto"/>
            </w:tcBorders>
            <w:noWrap/>
            <w:vAlign w:val="center"/>
            <w:hideMark/>
          </w:tcPr>
          <w:p w14:paraId="48042E7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142,045 </w:t>
            </w:r>
          </w:p>
        </w:tc>
      </w:tr>
      <w:tr w:rsidR="007A02DE" w:rsidRPr="007A02DE" w14:paraId="4A63F18A" w14:textId="77777777" w:rsidTr="007A02DE">
        <w:trPr>
          <w:trHeight w:val="1360"/>
        </w:trPr>
        <w:tc>
          <w:tcPr>
            <w:tcW w:w="392" w:type="pct"/>
            <w:tcBorders>
              <w:top w:val="nil"/>
              <w:left w:val="single" w:sz="4" w:space="0" w:color="auto"/>
              <w:bottom w:val="single" w:sz="4" w:space="0" w:color="auto"/>
              <w:right w:val="single" w:sz="4" w:space="0" w:color="auto"/>
            </w:tcBorders>
            <w:noWrap/>
            <w:vAlign w:val="center"/>
            <w:hideMark/>
          </w:tcPr>
          <w:p w14:paraId="6E6E914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31</w:t>
            </w:r>
          </w:p>
        </w:tc>
        <w:tc>
          <w:tcPr>
            <w:tcW w:w="4217" w:type="pct"/>
            <w:tcBorders>
              <w:top w:val="nil"/>
              <w:left w:val="nil"/>
              <w:bottom w:val="single" w:sz="4" w:space="0" w:color="auto"/>
              <w:right w:val="single" w:sz="4" w:space="0" w:color="auto"/>
            </w:tcBorders>
            <w:vAlign w:val="center"/>
            <w:hideMark/>
          </w:tcPr>
          <w:p w14:paraId="22C8AFDB"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("cost effectiveness" or "cost-effectiveness" or "cost utility" or "cost-utility" or "cost-benefit" or "cost benefit" or "cost-minimization" or "cost minimization" or "budget impact" or "budget-impact" or CEA or CUA  or CBA or CMA or BIA or ICER or "Incremental Cost Effectiveness Ratio$" or "economic burden" or "disease burden" or "illness burden" or "health technology assessment" or HTA or "net-benefit" or "net benefit").ti,ab,kw.</w:t>
            </w:r>
          </w:p>
        </w:tc>
        <w:tc>
          <w:tcPr>
            <w:tcW w:w="392" w:type="pct"/>
            <w:tcBorders>
              <w:top w:val="nil"/>
              <w:left w:val="nil"/>
              <w:bottom w:val="single" w:sz="4" w:space="0" w:color="auto"/>
              <w:right w:val="single" w:sz="4" w:space="0" w:color="auto"/>
            </w:tcBorders>
            <w:noWrap/>
            <w:vAlign w:val="center"/>
            <w:hideMark/>
          </w:tcPr>
          <w:p w14:paraId="080F34A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182,630 </w:t>
            </w:r>
          </w:p>
        </w:tc>
      </w:tr>
      <w:tr w:rsidR="007A02DE" w:rsidRPr="007A02DE" w14:paraId="10B7676B"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7736132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32</w:t>
            </w:r>
          </w:p>
        </w:tc>
        <w:tc>
          <w:tcPr>
            <w:tcW w:w="4217" w:type="pct"/>
            <w:tcBorders>
              <w:top w:val="nil"/>
              <w:left w:val="nil"/>
              <w:bottom w:val="single" w:sz="4" w:space="0" w:color="auto"/>
              <w:right w:val="single" w:sz="4" w:space="0" w:color="auto"/>
            </w:tcBorders>
            <w:vAlign w:val="center"/>
            <w:hideMark/>
          </w:tcPr>
          <w:p w14:paraId="708A693B"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30 or 31</w:t>
            </w:r>
          </w:p>
        </w:tc>
        <w:tc>
          <w:tcPr>
            <w:tcW w:w="392" w:type="pct"/>
            <w:tcBorders>
              <w:top w:val="nil"/>
              <w:left w:val="nil"/>
              <w:bottom w:val="single" w:sz="4" w:space="0" w:color="auto"/>
              <w:right w:val="single" w:sz="4" w:space="0" w:color="auto"/>
            </w:tcBorders>
            <w:noWrap/>
            <w:vAlign w:val="center"/>
            <w:hideMark/>
          </w:tcPr>
          <w:p w14:paraId="08F3EC28"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277,000 </w:t>
            </w:r>
          </w:p>
        </w:tc>
      </w:tr>
      <w:tr w:rsidR="007A02DE" w:rsidRPr="007A02DE" w14:paraId="3D4DE3DC"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67071FC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33</w:t>
            </w:r>
          </w:p>
        </w:tc>
        <w:tc>
          <w:tcPr>
            <w:tcW w:w="4217" w:type="pct"/>
            <w:tcBorders>
              <w:top w:val="nil"/>
              <w:left w:val="nil"/>
              <w:bottom w:val="single" w:sz="4" w:space="0" w:color="auto"/>
              <w:right w:val="single" w:sz="4" w:space="0" w:color="auto"/>
            </w:tcBorders>
            <w:vAlign w:val="center"/>
            <w:hideMark/>
          </w:tcPr>
          <w:p w14:paraId="175B0012"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health care utilization/</w:t>
            </w:r>
          </w:p>
        </w:tc>
        <w:tc>
          <w:tcPr>
            <w:tcW w:w="392" w:type="pct"/>
            <w:tcBorders>
              <w:top w:val="nil"/>
              <w:left w:val="nil"/>
              <w:bottom w:val="single" w:sz="4" w:space="0" w:color="auto"/>
              <w:right w:val="single" w:sz="4" w:space="0" w:color="auto"/>
            </w:tcBorders>
            <w:noWrap/>
            <w:vAlign w:val="center"/>
            <w:hideMark/>
          </w:tcPr>
          <w:p w14:paraId="191E5FC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54,838 </w:t>
            </w:r>
          </w:p>
        </w:tc>
      </w:tr>
      <w:tr w:rsidR="007A02DE" w:rsidRPr="007A02DE" w14:paraId="52FE8558" w14:textId="77777777" w:rsidTr="007A02DE">
        <w:trPr>
          <w:trHeight w:val="680"/>
        </w:trPr>
        <w:tc>
          <w:tcPr>
            <w:tcW w:w="392" w:type="pct"/>
            <w:tcBorders>
              <w:top w:val="nil"/>
              <w:left w:val="single" w:sz="4" w:space="0" w:color="auto"/>
              <w:bottom w:val="single" w:sz="4" w:space="0" w:color="auto"/>
              <w:right w:val="single" w:sz="4" w:space="0" w:color="auto"/>
            </w:tcBorders>
            <w:noWrap/>
            <w:vAlign w:val="center"/>
            <w:hideMark/>
          </w:tcPr>
          <w:p w14:paraId="702B451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34</w:t>
            </w:r>
          </w:p>
        </w:tc>
        <w:tc>
          <w:tcPr>
            <w:tcW w:w="4217" w:type="pct"/>
            <w:tcBorders>
              <w:top w:val="nil"/>
              <w:left w:val="nil"/>
              <w:bottom w:val="single" w:sz="4" w:space="0" w:color="auto"/>
              <w:right w:val="single" w:sz="4" w:space="0" w:color="auto"/>
            </w:tcBorders>
            <w:vAlign w:val="center"/>
            <w:hideMark/>
          </w:tcPr>
          <w:p w14:paraId="470658D9"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("health resource utilization" or "health care utilization" or HRU or hospitalization* or "hospital admission$" or "hospital stay length" or "length of hospital stay" or "length of hospital stay" or "length of stay" or LOS or inpatient$ or outpatient$ or "emergency room visit$").ti,ab,kw.</w:t>
            </w:r>
          </w:p>
        </w:tc>
        <w:tc>
          <w:tcPr>
            <w:tcW w:w="392" w:type="pct"/>
            <w:tcBorders>
              <w:top w:val="nil"/>
              <w:left w:val="nil"/>
              <w:bottom w:val="single" w:sz="4" w:space="0" w:color="auto"/>
              <w:right w:val="single" w:sz="4" w:space="0" w:color="auto"/>
            </w:tcBorders>
            <w:noWrap/>
            <w:vAlign w:val="center"/>
            <w:hideMark/>
          </w:tcPr>
          <w:p w14:paraId="598B606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649,044 </w:t>
            </w:r>
          </w:p>
        </w:tc>
      </w:tr>
      <w:tr w:rsidR="007A02DE" w:rsidRPr="007A02DE" w14:paraId="6FD77C13"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094E5BB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35</w:t>
            </w:r>
          </w:p>
        </w:tc>
        <w:tc>
          <w:tcPr>
            <w:tcW w:w="4217" w:type="pct"/>
            <w:tcBorders>
              <w:top w:val="nil"/>
              <w:left w:val="nil"/>
              <w:bottom w:val="single" w:sz="4" w:space="0" w:color="auto"/>
              <w:right w:val="single" w:sz="4" w:space="0" w:color="auto"/>
            </w:tcBorders>
            <w:vAlign w:val="center"/>
            <w:hideMark/>
          </w:tcPr>
          <w:p w14:paraId="1E210752"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cost/</w:t>
            </w:r>
          </w:p>
        </w:tc>
        <w:tc>
          <w:tcPr>
            <w:tcW w:w="392" w:type="pct"/>
            <w:tcBorders>
              <w:top w:val="nil"/>
              <w:left w:val="nil"/>
              <w:bottom w:val="single" w:sz="4" w:space="0" w:color="auto"/>
              <w:right w:val="single" w:sz="4" w:space="0" w:color="auto"/>
            </w:tcBorders>
            <w:noWrap/>
            <w:vAlign w:val="center"/>
            <w:hideMark/>
          </w:tcPr>
          <w:p w14:paraId="7422A31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51,405 </w:t>
            </w:r>
          </w:p>
        </w:tc>
      </w:tr>
      <w:tr w:rsidR="007A02DE" w:rsidRPr="007A02DE" w14:paraId="4CE6065B"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38BFD31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36</w:t>
            </w:r>
          </w:p>
        </w:tc>
        <w:tc>
          <w:tcPr>
            <w:tcW w:w="4217" w:type="pct"/>
            <w:tcBorders>
              <w:top w:val="nil"/>
              <w:left w:val="nil"/>
              <w:bottom w:val="single" w:sz="4" w:space="0" w:color="auto"/>
              <w:right w:val="single" w:sz="4" w:space="0" w:color="auto"/>
            </w:tcBorders>
            <w:vAlign w:val="center"/>
            <w:hideMark/>
          </w:tcPr>
          <w:p w14:paraId="32132D9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(cost$ or expense$ or expenditure$ or payment$ or insurance or reimbursement or claim$).ti,ab,kw.</w:t>
            </w:r>
          </w:p>
        </w:tc>
        <w:tc>
          <w:tcPr>
            <w:tcW w:w="392" w:type="pct"/>
            <w:tcBorders>
              <w:top w:val="nil"/>
              <w:left w:val="nil"/>
              <w:bottom w:val="single" w:sz="4" w:space="0" w:color="auto"/>
              <w:right w:val="single" w:sz="4" w:space="0" w:color="auto"/>
            </w:tcBorders>
            <w:noWrap/>
            <w:vAlign w:val="center"/>
            <w:hideMark/>
          </w:tcPr>
          <w:p w14:paraId="24C8F83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1,066,961 </w:t>
            </w:r>
          </w:p>
        </w:tc>
      </w:tr>
      <w:tr w:rsidR="007A02DE" w:rsidRPr="007A02DE" w14:paraId="3643F03B"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2F8E9E63"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37</w:t>
            </w:r>
          </w:p>
        </w:tc>
        <w:tc>
          <w:tcPr>
            <w:tcW w:w="4217" w:type="pct"/>
            <w:tcBorders>
              <w:top w:val="nil"/>
              <w:left w:val="nil"/>
              <w:bottom w:val="single" w:sz="4" w:space="0" w:color="auto"/>
              <w:right w:val="single" w:sz="4" w:space="0" w:color="auto"/>
            </w:tcBorders>
            <w:vAlign w:val="center"/>
            <w:hideMark/>
          </w:tcPr>
          <w:p w14:paraId="0D5F00D4"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33 or 34 or 35 or 36</w:t>
            </w:r>
          </w:p>
        </w:tc>
        <w:tc>
          <w:tcPr>
            <w:tcW w:w="392" w:type="pct"/>
            <w:tcBorders>
              <w:top w:val="nil"/>
              <w:left w:val="nil"/>
              <w:bottom w:val="single" w:sz="4" w:space="0" w:color="auto"/>
              <w:right w:val="single" w:sz="4" w:space="0" w:color="auto"/>
            </w:tcBorders>
            <w:noWrap/>
            <w:vAlign w:val="center"/>
            <w:hideMark/>
          </w:tcPr>
          <w:p w14:paraId="10AF75B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1,675,167 </w:t>
            </w:r>
          </w:p>
        </w:tc>
      </w:tr>
      <w:tr w:rsidR="007A02DE" w:rsidRPr="007A02DE" w14:paraId="19275E44"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6763DFD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38</w:t>
            </w:r>
          </w:p>
        </w:tc>
        <w:tc>
          <w:tcPr>
            <w:tcW w:w="4217" w:type="pct"/>
            <w:tcBorders>
              <w:top w:val="nil"/>
              <w:left w:val="nil"/>
              <w:bottom w:val="single" w:sz="4" w:space="0" w:color="auto"/>
              <w:right w:val="single" w:sz="4" w:space="0" w:color="auto"/>
            </w:tcBorders>
            <w:vAlign w:val="center"/>
            <w:hideMark/>
          </w:tcPr>
          <w:p w14:paraId="7D8F6E8E"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32 or 37</w:t>
            </w:r>
          </w:p>
        </w:tc>
        <w:tc>
          <w:tcPr>
            <w:tcW w:w="392" w:type="pct"/>
            <w:tcBorders>
              <w:top w:val="nil"/>
              <w:left w:val="nil"/>
              <w:bottom w:val="single" w:sz="4" w:space="0" w:color="auto"/>
              <w:right w:val="single" w:sz="4" w:space="0" w:color="auto"/>
            </w:tcBorders>
            <w:noWrap/>
            <w:vAlign w:val="center"/>
            <w:hideMark/>
          </w:tcPr>
          <w:p w14:paraId="02913EE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1,771,472 </w:t>
            </w:r>
          </w:p>
        </w:tc>
      </w:tr>
      <w:tr w:rsidR="007A02DE" w:rsidRPr="007A02DE" w14:paraId="3A2F17C8" w14:textId="77777777" w:rsidTr="007A02DE">
        <w:trPr>
          <w:trHeight w:val="340"/>
        </w:trPr>
        <w:tc>
          <w:tcPr>
            <w:tcW w:w="392" w:type="pct"/>
            <w:tcBorders>
              <w:top w:val="nil"/>
              <w:left w:val="single" w:sz="4" w:space="0" w:color="auto"/>
              <w:bottom w:val="single" w:sz="4" w:space="0" w:color="auto"/>
              <w:right w:val="single" w:sz="4" w:space="0" w:color="auto"/>
            </w:tcBorders>
            <w:noWrap/>
            <w:vAlign w:val="center"/>
            <w:hideMark/>
          </w:tcPr>
          <w:p w14:paraId="1658269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39</w:t>
            </w:r>
          </w:p>
        </w:tc>
        <w:tc>
          <w:tcPr>
            <w:tcW w:w="4217" w:type="pct"/>
            <w:tcBorders>
              <w:top w:val="nil"/>
              <w:left w:val="nil"/>
              <w:bottom w:val="single" w:sz="4" w:space="0" w:color="auto"/>
              <w:right w:val="single" w:sz="4" w:space="0" w:color="auto"/>
            </w:tcBorders>
            <w:vAlign w:val="center"/>
            <w:hideMark/>
          </w:tcPr>
          <w:p w14:paraId="4ECCDE5F"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9 and 38</w:t>
            </w:r>
          </w:p>
        </w:tc>
        <w:tc>
          <w:tcPr>
            <w:tcW w:w="392" w:type="pct"/>
            <w:tcBorders>
              <w:top w:val="nil"/>
              <w:left w:val="nil"/>
              <w:bottom w:val="single" w:sz="4" w:space="0" w:color="auto"/>
              <w:right w:val="single" w:sz="4" w:space="0" w:color="auto"/>
            </w:tcBorders>
            <w:noWrap/>
            <w:vAlign w:val="center"/>
            <w:hideMark/>
          </w:tcPr>
          <w:p w14:paraId="247BBDD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16 </w:t>
            </w:r>
          </w:p>
        </w:tc>
      </w:tr>
    </w:tbl>
    <w:p w14:paraId="52FA9563" w14:textId="77777777" w:rsidR="0067426D" w:rsidRDefault="0067426D" w:rsidP="0067426D"/>
    <w:p w14:paraId="53695F76" w14:textId="3BCAB5EB" w:rsidR="007A02DE" w:rsidRPr="007A02DE" w:rsidRDefault="007A02DE" w:rsidP="007A02DE">
      <w:pPr>
        <w:rPr>
          <w:rFonts w:ascii="Times New Roman" w:hAnsi="Times New Roman" w:cs="Times New Roman"/>
        </w:rPr>
      </w:pPr>
      <w:r w:rsidRPr="007A02DE">
        <w:rPr>
          <w:rFonts w:ascii="Times New Roman" w:hAnsi="Times New Roman" w:cs="Times New Roman"/>
        </w:rPr>
        <w:t>Table S1</w:t>
      </w:r>
      <w:r>
        <w:rPr>
          <w:rFonts w:ascii="Times New Roman" w:hAnsi="Times New Roman" w:cs="Times New Roman" w:hint="eastAsia"/>
        </w:rPr>
        <w:t>C</w:t>
      </w:r>
      <w:r w:rsidRPr="007A02DE">
        <w:rPr>
          <w:rFonts w:ascii="Times New Roman" w:hAnsi="Times New Roman" w:cs="Times New Roman"/>
        </w:rPr>
        <w:t xml:space="preserve">. Search Strategies and Results from </w:t>
      </w:r>
      <w:r>
        <w:rPr>
          <w:rFonts w:ascii="Times New Roman" w:hAnsi="Times New Roman" w:cs="Times New Roman" w:hint="eastAsia"/>
        </w:rPr>
        <w:t>Web of Science</w:t>
      </w:r>
    </w:p>
    <w:tbl>
      <w:tblPr>
        <w:tblW w:w="0" w:type="auto"/>
        <w:tblLook w:val="04A0" w:firstRow="1" w:lastRow="0" w:firstColumn="1" w:lastColumn="0" w:noHBand="0" w:noVBand="1"/>
      </w:tblPr>
      <w:tblGrid>
        <w:gridCol w:w="388"/>
        <w:gridCol w:w="6920"/>
        <w:gridCol w:w="988"/>
      </w:tblGrid>
      <w:tr w:rsidR="007A02DE" w:rsidRPr="007A02DE" w14:paraId="191EAD1A" w14:textId="77777777" w:rsidTr="007A02DE">
        <w:trPr>
          <w:trHeight w:val="320"/>
        </w:trPr>
        <w:tc>
          <w:tcPr>
            <w:tcW w:w="0" w:type="auto"/>
            <w:tcBorders>
              <w:top w:val="single" w:sz="4" w:space="0" w:color="auto"/>
              <w:left w:val="single" w:sz="4" w:space="0" w:color="auto"/>
              <w:bottom w:val="single" w:sz="4" w:space="0" w:color="auto"/>
              <w:right w:val="single" w:sz="4" w:space="0" w:color="auto"/>
            </w:tcBorders>
            <w:noWrap/>
            <w:hideMark/>
          </w:tcPr>
          <w:p w14:paraId="55E6F424" w14:textId="77777777" w:rsidR="007A02DE" w:rsidRPr="007A02DE" w:rsidRDefault="007A02DE">
            <w:pPr>
              <w:rPr>
                <w:rFonts w:ascii="Times New Roman" w:eastAsia="微软雅黑" w:hAnsi="Times New Roman" w:cs="Times New Roman"/>
                <w:b/>
                <w:bCs/>
                <w:color w:val="000000"/>
                <w:sz w:val="18"/>
                <w:szCs w:val="18"/>
              </w:rPr>
            </w:pPr>
            <w:r w:rsidRPr="007A02DE">
              <w:rPr>
                <w:rFonts w:ascii="Times New Roman" w:eastAsia="微软雅黑" w:hAnsi="Times New Roman" w:cs="Times New Roman"/>
                <w:b/>
                <w:bCs/>
                <w:color w:val="000000"/>
                <w:sz w:val="18"/>
                <w:szCs w:val="18"/>
              </w:rPr>
              <w:t>#</w:t>
            </w:r>
          </w:p>
        </w:tc>
        <w:tc>
          <w:tcPr>
            <w:tcW w:w="7250" w:type="dxa"/>
            <w:tcBorders>
              <w:top w:val="single" w:sz="4" w:space="0" w:color="auto"/>
              <w:left w:val="nil"/>
              <w:bottom w:val="single" w:sz="4" w:space="0" w:color="auto"/>
              <w:right w:val="single" w:sz="4" w:space="0" w:color="auto"/>
            </w:tcBorders>
            <w:noWrap/>
            <w:vAlign w:val="center"/>
            <w:hideMark/>
          </w:tcPr>
          <w:p w14:paraId="1830DB94" w14:textId="77777777" w:rsidR="007A02DE" w:rsidRPr="007A02DE" w:rsidRDefault="007A02DE">
            <w:pPr>
              <w:rPr>
                <w:rFonts w:ascii="Times New Roman" w:eastAsia="微软雅黑" w:hAnsi="Times New Roman" w:cs="Times New Roman"/>
                <w:b/>
                <w:bCs/>
                <w:color w:val="000000"/>
                <w:sz w:val="18"/>
                <w:szCs w:val="18"/>
              </w:rPr>
            </w:pPr>
            <w:r w:rsidRPr="007A02DE">
              <w:rPr>
                <w:rFonts w:ascii="Times New Roman" w:eastAsia="微软雅黑" w:hAnsi="Times New Roman" w:cs="Times New Roman"/>
                <w:b/>
                <w:bCs/>
                <w:color w:val="000000"/>
                <w:sz w:val="18"/>
                <w:szCs w:val="18"/>
              </w:rPr>
              <w:t>Searches</w:t>
            </w:r>
          </w:p>
        </w:tc>
        <w:tc>
          <w:tcPr>
            <w:tcW w:w="788" w:type="dxa"/>
            <w:tcBorders>
              <w:top w:val="single" w:sz="4" w:space="0" w:color="auto"/>
              <w:left w:val="nil"/>
              <w:bottom w:val="single" w:sz="4" w:space="0" w:color="auto"/>
              <w:right w:val="single" w:sz="4" w:space="0" w:color="auto"/>
            </w:tcBorders>
            <w:noWrap/>
            <w:vAlign w:val="center"/>
            <w:hideMark/>
          </w:tcPr>
          <w:p w14:paraId="25646FB8" w14:textId="77777777" w:rsidR="007A02DE" w:rsidRPr="007A02DE" w:rsidRDefault="007A02DE">
            <w:pPr>
              <w:jc w:val="center"/>
              <w:rPr>
                <w:rFonts w:ascii="Times New Roman" w:eastAsia="微软雅黑" w:hAnsi="Times New Roman" w:cs="Times New Roman"/>
                <w:b/>
                <w:bCs/>
                <w:color w:val="000000"/>
                <w:sz w:val="18"/>
                <w:szCs w:val="18"/>
              </w:rPr>
            </w:pPr>
            <w:r w:rsidRPr="007A02DE">
              <w:rPr>
                <w:rFonts w:ascii="Times New Roman" w:eastAsia="微软雅黑" w:hAnsi="Times New Roman" w:cs="Times New Roman"/>
                <w:b/>
                <w:bCs/>
                <w:color w:val="000000"/>
                <w:sz w:val="18"/>
                <w:szCs w:val="18"/>
              </w:rPr>
              <w:t>Results</w:t>
            </w:r>
          </w:p>
        </w:tc>
      </w:tr>
      <w:tr w:rsidR="007A02DE" w:rsidRPr="007A02DE" w14:paraId="4B1D920F"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48E38E52"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w:t>
            </w:r>
          </w:p>
        </w:tc>
        <w:tc>
          <w:tcPr>
            <w:tcW w:w="7250" w:type="dxa"/>
            <w:tcBorders>
              <w:top w:val="nil"/>
              <w:left w:val="nil"/>
              <w:bottom w:val="single" w:sz="4" w:space="0" w:color="auto"/>
              <w:right w:val="single" w:sz="4" w:space="0" w:color="auto"/>
            </w:tcBorders>
            <w:noWrap/>
            <w:vAlign w:val="center"/>
            <w:hideMark/>
          </w:tcPr>
          <w:p w14:paraId="5CD7AB64"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TS=("Hemophilia A")</w:t>
            </w:r>
          </w:p>
        </w:tc>
        <w:tc>
          <w:tcPr>
            <w:tcW w:w="788" w:type="dxa"/>
            <w:tcBorders>
              <w:top w:val="nil"/>
              <w:left w:val="nil"/>
              <w:bottom w:val="single" w:sz="4" w:space="0" w:color="auto"/>
              <w:right w:val="single" w:sz="4" w:space="0" w:color="auto"/>
            </w:tcBorders>
            <w:noWrap/>
            <w:vAlign w:val="center"/>
            <w:hideMark/>
          </w:tcPr>
          <w:p w14:paraId="58D6FFB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8,242 </w:t>
            </w:r>
          </w:p>
        </w:tc>
      </w:tr>
      <w:tr w:rsidR="007A02DE" w:rsidRPr="007A02DE" w14:paraId="66F55B9F"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48791D38"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w:t>
            </w:r>
          </w:p>
        </w:tc>
        <w:tc>
          <w:tcPr>
            <w:tcW w:w="7250" w:type="dxa"/>
            <w:tcBorders>
              <w:top w:val="nil"/>
              <w:left w:val="nil"/>
              <w:bottom w:val="single" w:sz="4" w:space="0" w:color="auto"/>
              <w:right w:val="single" w:sz="4" w:space="0" w:color="auto"/>
            </w:tcBorders>
            <w:noWrap/>
            <w:vAlign w:val="center"/>
            <w:hideMark/>
          </w:tcPr>
          <w:p w14:paraId="6962CA07"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PY="2013-2023"</w:t>
            </w:r>
          </w:p>
        </w:tc>
        <w:tc>
          <w:tcPr>
            <w:tcW w:w="788" w:type="dxa"/>
            <w:tcBorders>
              <w:top w:val="nil"/>
              <w:left w:val="nil"/>
              <w:bottom w:val="single" w:sz="4" w:space="0" w:color="auto"/>
              <w:right w:val="single" w:sz="4" w:space="0" w:color="auto"/>
            </w:tcBorders>
            <w:noWrap/>
            <w:vAlign w:val="center"/>
            <w:hideMark/>
          </w:tcPr>
          <w:p w14:paraId="0DED62D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24,576,268 </w:t>
            </w:r>
          </w:p>
        </w:tc>
      </w:tr>
      <w:tr w:rsidR="007A02DE" w:rsidRPr="007A02DE" w14:paraId="6CD11193"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6DC8BF3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w:t>
            </w:r>
          </w:p>
        </w:tc>
        <w:tc>
          <w:tcPr>
            <w:tcW w:w="7250" w:type="dxa"/>
            <w:tcBorders>
              <w:top w:val="nil"/>
              <w:left w:val="nil"/>
              <w:bottom w:val="single" w:sz="4" w:space="0" w:color="auto"/>
              <w:right w:val="single" w:sz="4" w:space="0" w:color="auto"/>
            </w:tcBorders>
            <w:noWrap/>
            <w:vAlign w:val="center"/>
            <w:hideMark/>
          </w:tcPr>
          <w:p w14:paraId="495CCD17"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 and #2</w:t>
            </w:r>
          </w:p>
        </w:tc>
        <w:tc>
          <w:tcPr>
            <w:tcW w:w="788" w:type="dxa"/>
            <w:tcBorders>
              <w:top w:val="nil"/>
              <w:left w:val="nil"/>
              <w:bottom w:val="single" w:sz="4" w:space="0" w:color="auto"/>
              <w:right w:val="single" w:sz="4" w:space="0" w:color="auto"/>
            </w:tcBorders>
            <w:noWrap/>
            <w:vAlign w:val="center"/>
            <w:hideMark/>
          </w:tcPr>
          <w:p w14:paraId="0834CE0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4,813 </w:t>
            </w:r>
          </w:p>
        </w:tc>
      </w:tr>
      <w:tr w:rsidR="007A02DE" w:rsidRPr="007A02DE" w14:paraId="3E6C7D25"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2B9C1A3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4</w:t>
            </w:r>
          </w:p>
        </w:tc>
        <w:tc>
          <w:tcPr>
            <w:tcW w:w="7250" w:type="dxa"/>
            <w:tcBorders>
              <w:top w:val="nil"/>
              <w:left w:val="nil"/>
              <w:bottom w:val="single" w:sz="4" w:space="0" w:color="auto"/>
              <w:right w:val="single" w:sz="4" w:space="0" w:color="auto"/>
            </w:tcBorders>
            <w:noWrap/>
            <w:vAlign w:val="center"/>
            <w:hideMark/>
          </w:tcPr>
          <w:p w14:paraId="1EA71D95"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TS=(animal$ not human$)</w:t>
            </w:r>
          </w:p>
        </w:tc>
        <w:tc>
          <w:tcPr>
            <w:tcW w:w="788" w:type="dxa"/>
            <w:tcBorders>
              <w:top w:val="nil"/>
              <w:left w:val="nil"/>
              <w:bottom w:val="single" w:sz="4" w:space="0" w:color="auto"/>
              <w:right w:val="single" w:sz="4" w:space="0" w:color="auto"/>
            </w:tcBorders>
            <w:noWrap/>
            <w:vAlign w:val="center"/>
            <w:hideMark/>
          </w:tcPr>
          <w:p w14:paraId="0C268FE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754,994 </w:t>
            </w:r>
          </w:p>
        </w:tc>
      </w:tr>
      <w:tr w:rsidR="007A02DE" w:rsidRPr="007A02DE" w14:paraId="08034E59"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6309CC8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5</w:t>
            </w:r>
          </w:p>
        </w:tc>
        <w:tc>
          <w:tcPr>
            <w:tcW w:w="7250" w:type="dxa"/>
            <w:tcBorders>
              <w:top w:val="nil"/>
              <w:left w:val="nil"/>
              <w:bottom w:val="single" w:sz="4" w:space="0" w:color="auto"/>
              <w:right w:val="single" w:sz="4" w:space="0" w:color="auto"/>
            </w:tcBorders>
            <w:noWrap/>
            <w:vAlign w:val="center"/>
            <w:hideMark/>
          </w:tcPr>
          <w:p w14:paraId="09F954CE"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TI="case report"</w:t>
            </w:r>
          </w:p>
        </w:tc>
        <w:tc>
          <w:tcPr>
            <w:tcW w:w="788" w:type="dxa"/>
            <w:tcBorders>
              <w:top w:val="nil"/>
              <w:left w:val="nil"/>
              <w:bottom w:val="single" w:sz="4" w:space="0" w:color="auto"/>
              <w:right w:val="single" w:sz="4" w:space="0" w:color="auto"/>
            </w:tcBorders>
            <w:noWrap/>
            <w:vAlign w:val="center"/>
            <w:hideMark/>
          </w:tcPr>
          <w:p w14:paraId="3D3727E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168,699 </w:t>
            </w:r>
          </w:p>
        </w:tc>
      </w:tr>
      <w:tr w:rsidR="007A02DE" w:rsidRPr="007A02DE" w14:paraId="6DFDDF15"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01E155F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6</w:t>
            </w:r>
          </w:p>
        </w:tc>
        <w:tc>
          <w:tcPr>
            <w:tcW w:w="7250" w:type="dxa"/>
            <w:tcBorders>
              <w:top w:val="nil"/>
              <w:left w:val="nil"/>
              <w:bottom w:val="single" w:sz="4" w:space="0" w:color="auto"/>
              <w:right w:val="single" w:sz="4" w:space="0" w:color="auto"/>
            </w:tcBorders>
            <w:noWrap/>
            <w:vAlign w:val="center"/>
            <w:hideMark/>
          </w:tcPr>
          <w:p w14:paraId="3CACCAD0"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#4 or #5</w:t>
            </w:r>
          </w:p>
        </w:tc>
        <w:tc>
          <w:tcPr>
            <w:tcW w:w="788" w:type="dxa"/>
            <w:tcBorders>
              <w:top w:val="nil"/>
              <w:left w:val="nil"/>
              <w:bottom w:val="single" w:sz="4" w:space="0" w:color="auto"/>
              <w:right w:val="single" w:sz="4" w:space="0" w:color="auto"/>
            </w:tcBorders>
            <w:noWrap/>
            <w:vAlign w:val="center"/>
            <w:hideMark/>
          </w:tcPr>
          <w:p w14:paraId="4BED69B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922,724 </w:t>
            </w:r>
          </w:p>
        </w:tc>
      </w:tr>
      <w:tr w:rsidR="007A02DE" w:rsidRPr="007A02DE" w14:paraId="14A11DC9"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3F6412A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w:t>
            </w:r>
          </w:p>
        </w:tc>
        <w:tc>
          <w:tcPr>
            <w:tcW w:w="7250" w:type="dxa"/>
            <w:tcBorders>
              <w:top w:val="nil"/>
              <w:left w:val="nil"/>
              <w:bottom w:val="single" w:sz="4" w:space="0" w:color="auto"/>
              <w:right w:val="single" w:sz="4" w:space="0" w:color="auto"/>
            </w:tcBorders>
            <w:noWrap/>
            <w:vAlign w:val="center"/>
            <w:hideMark/>
          </w:tcPr>
          <w:p w14:paraId="7D2C6B67"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 not #6</w:t>
            </w:r>
          </w:p>
        </w:tc>
        <w:tc>
          <w:tcPr>
            <w:tcW w:w="788" w:type="dxa"/>
            <w:tcBorders>
              <w:top w:val="nil"/>
              <w:left w:val="nil"/>
              <w:bottom w:val="single" w:sz="4" w:space="0" w:color="auto"/>
              <w:right w:val="single" w:sz="4" w:space="0" w:color="auto"/>
            </w:tcBorders>
            <w:noWrap/>
            <w:vAlign w:val="center"/>
            <w:hideMark/>
          </w:tcPr>
          <w:p w14:paraId="2C214D59"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4,632 </w:t>
            </w:r>
          </w:p>
        </w:tc>
      </w:tr>
      <w:tr w:rsidR="007A02DE" w:rsidRPr="007A02DE" w14:paraId="3B77BF88"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04006251"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8</w:t>
            </w:r>
          </w:p>
        </w:tc>
        <w:tc>
          <w:tcPr>
            <w:tcW w:w="7250" w:type="dxa"/>
            <w:tcBorders>
              <w:top w:val="nil"/>
              <w:left w:val="nil"/>
              <w:bottom w:val="single" w:sz="4" w:space="0" w:color="auto"/>
              <w:right w:val="single" w:sz="4" w:space="0" w:color="auto"/>
            </w:tcBorders>
            <w:noWrap/>
            <w:vAlign w:val="center"/>
            <w:hideMark/>
          </w:tcPr>
          <w:p w14:paraId="1DC87D0B"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TS=(prospective* or retrospective* or observation* or "cross-section*" or "cross section*" or "real world" or "real-world" or cohort* or survey* or questionnaire or registr*)</w:t>
            </w:r>
          </w:p>
        </w:tc>
        <w:tc>
          <w:tcPr>
            <w:tcW w:w="788" w:type="dxa"/>
            <w:tcBorders>
              <w:top w:val="nil"/>
              <w:left w:val="nil"/>
              <w:bottom w:val="single" w:sz="4" w:space="0" w:color="auto"/>
              <w:right w:val="single" w:sz="4" w:space="0" w:color="auto"/>
            </w:tcBorders>
            <w:noWrap/>
            <w:vAlign w:val="center"/>
            <w:hideMark/>
          </w:tcPr>
          <w:p w14:paraId="2F71CAA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5,412,041 </w:t>
            </w:r>
          </w:p>
        </w:tc>
      </w:tr>
      <w:tr w:rsidR="007A02DE" w:rsidRPr="007A02DE" w14:paraId="0F4937B4"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7BFBA8F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lastRenderedPageBreak/>
              <w:t>9</w:t>
            </w:r>
          </w:p>
        </w:tc>
        <w:tc>
          <w:tcPr>
            <w:tcW w:w="7250" w:type="dxa"/>
            <w:tcBorders>
              <w:top w:val="nil"/>
              <w:left w:val="nil"/>
              <w:bottom w:val="single" w:sz="4" w:space="0" w:color="auto"/>
              <w:right w:val="single" w:sz="4" w:space="0" w:color="auto"/>
            </w:tcBorders>
            <w:noWrap/>
            <w:vAlign w:val="center"/>
            <w:hideMark/>
          </w:tcPr>
          <w:p w14:paraId="008DB612"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TS=(China or Chinese)</w:t>
            </w:r>
          </w:p>
        </w:tc>
        <w:tc>
          <w:tcPr>
            <w:tcW w:w="788" w:type="dxa"/>
            <w:tcBorders>
              <w:top w:val="nil"/>
              <w:left w:val="nil"/>
              <w:bottom w:val="single" w:sz="4" w:space="0" w:color="auto"/>
              <w:right w:val="single" w:sz="4" w:space="0" w:color="auto"/>
            </w:tcBorders>
            <w:noWrap/>
            <w:vAlign w:val="center"/>
            <w:hideMark/>
          </w:tcPr>
          <w:p w14:paraId="578E75C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1,001,858 </w:t>
            </w:r>
          </w:p>
        </w:tc>
      </w:tr>
      <w:tr w:rsidR="007A02DE" w:rsidRPr="007A02DE" w14:paraId="10AD63A9"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06EA9C42"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10</w:t>
            </w:r>
          </w:p>
        </w:tc>
        <w:tc>
          <w:tcPr>
            <w:tcW w:w="7250" w:type="dxa"/>
            <w:tcBorders>
              <w:top w:val="nil"/>
              <w:left w:val="nil"/>
              <w:bottom w:val="single" w:sz="4" w:space="0" w:color="auto"/>
              <w:right w:val="single" w:sz="4" w:space="0" w:color="auto"/>
            </w:tcBorders>
            <w:noWrap/>
            <w:vAlign w:val="center"/>
            <w:hideMark/>
          </w:tcPr>
          <w:p w14:paraId="7179355D"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#8 and #9</w:t>
            </w:r>
          </w:p>
        </w:tc>
        <w:tc>
          <w:tcPr>
            <w:tcW w:w="788" w:type="dxa"/>
            <w:tcBorders>
              <w:top w:val="nil"/>
              <w:left w:val="nil"/>
              <w:bottom w:val="single" w:sz="4" w:space="0" w:color="auto"/>
              <w:right w:val="single" w:sz="4" w:space="0" w:color="auto"/>
            </w:tcBorders>
            <w:noWrap/>
            <w:vAlign w:val="center"/>
            <w:hideMark/>
          </w:tcPr>
          <w:p w14:paraId="5201232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37 </w:t>
            </w:r>
          </w:p>
        </w:tc>
      </w:tr>
      <w:tr w:rsidR="007A02DE" w:rsidRPr="007A02DE" w14:paraId="6CC17045"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66D5067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11</w:t>
            </w:r>
          </w:p>
        </w:tc>
        <w:tc>
          <w:tcPr>
            <w:tcW w:w="7250" w:type="dxa"/>
            <w:tcBorders>
              <w:top w:val="nil"/>
              <w:left w:val="nil"/>
              <w:bottom w:val="single" w:sz="4" w:space="0" w:color="auto"/>
              <w:right w:val="single" w:sz="4" w:space="0" w:color="auto"/>
            </w:tcBorders>
            <w:noWrap/>
            <w:vAlign w:val="center"/>
            <w:hideMark/>
          </w:tcPr>
          <w:p w14:paraId="1566B6D0"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TS=(China or Chinese or Hong Kong or hongkong or Taiwan or Taiwanese or Japan or Japanese or Korea or Korean* or Singapore or Singaporean*)</w:t>
            </w:r>
          </w:p>
        </w:tc>
        <w:tc>
          <w:tcPr>
            <w:tcW w:w="788" w:type="dxa"/>
            <w:tcBorders>
              <w:top w:val="nil"/>
              <w:left w:val="nil"/>
              <w:bottom w:val="single" w:sz="4" w:space="0" w:color="auto"/>
              <w:right w:val="single" w:sz="4" w:space="0" w:color="auto"/>
            </w:tcBorders>
            <w:noWrap/>
            <w:vAlign w:val="center"/>
            <w:hideMark/>
          </w:tcPr>
          <w:p w14:paraId="2080156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1,659,800 </w:t>
            </w:r>
          </w:p>
        </w:tc>
      </w:tr>
      <w:tr w:rsidR="007A02DE" w:rsidRPr="007A02DE" w14:paraId="3ED853A3"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53FD0A31"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12</w:t>
            </w:r>
          </w:p>
        </w:tc>
        <w:tc>
          <w:tcPr>
            <w:tcW w:w="7250" w:type="dxa"/>
            <w:tcBorders>
              <w:top w:val="nil"/>
              <w:left w:val="nil"/>
              <w:bottom w:val="single" w:sz="4" w:space="0" w:color="auto"/>
              <w:right w:val="single" w:sz="4" w:space="0" w:color="auto"/>
            </w:tcBorders>
            <w:noWrap/>
            <w:vAlign w:val="center"/>
            <w:hideMark/>
          </w:tcPr>
          <w:p w14:paraId="2D7CCED9"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#8 and #11</w:t>
            </w:r>
          </w:p>
        </w:tc>
        <w:tc>
          <w:tcPr>
            <w:tcW w:w="788" w:type="dxa"/>
            <w:tcBorders>
              <w:top w:val="nil"/>
              <w:left w:val="nil"/>
              <w:bottom w:val="single" w:sz="4" w:space="0" w:color="auto"/>
              <w:right w:val="single" w:sz="4" w:space="0" w:color="auto"/>
            </w:tcBorders>
            <w:noWrap/>
            <w:vAlign w:val="center"/>
            <w:hideMark/>
          </w:tcPr>
          <w:p w14:paraId="2818148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67 </w:t>
            </w:r>
          </w:p>
        </w:tc>
      </w:tr>
      <w:tr w:rsidR="007A02DE" w:rsidRPr="007A02DE" w14:paraId="67FCE986"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0C0D70D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13</w:t>
            </w:r>
          </w:p>
        </w:tc>
        <w:tc>
          <w:tcPr>
            <w:tcW w:w="7250" w:type="dxa"/>
            <w:tcBorders>
              <w:top w:val="nil"/>
              <w:left w:val="nil"/>
              <w:bottom w:val="single" w:sz="4" w:space="0" w:color="auto"/>
              <w:right w:val="single" w:sz="4" w:space="0" w:color="auto"/>
            </w:tcBorders>
            <w:noWrap/>
            <w:vAlign w:val="center"/>
            <w:hideMark/>
          </w:tcPr>
          <w:p w14:paraId="7AAE3BF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 not #6</w:t>
            </w:r>
          </w:p>
        </w:tc>
        <w:tc>
          <w:tcPr>
            <w:tcW w:w="788" w:type="dxa"/>
            <w:tcBorders>
              <w:top w:val="nil"/>
              <w:left w:val="nil"/>
              <w:bottom w:val="single" w:sz="4" w:space="0" w:color="auto"/>
              <w:right w:val="single" w:sz="4" w:space="0" w:color="auto"/>
            </w:tcBorders>
            <w:noWrap/>
            <w:vAlign w:val="center"/>
            <w:hideMark/>
          </w:tcPr>
          <w:p w14:paraId="093F99D3"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8,182 </w:t>
            </w:r>
          </w:p>
        </w:tc>
      </w:tr>
      <w:tr w:rsidR="007A02DE" w:rsidRPr="007A02DE" w14:paraId="27891352"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6C97AA8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14</w:t>
            </w:r>
          </w:p>
        </w:tc>
        <w:tc>
          <w:tcPr>
            <w:tcW w:w="7250" w:type="dxa"/>
            <w:tcBorders>
              <w:top w:val="nil"/>
              <w:left w:val="nil"/>
              <w:bottom w:val="single" w:sz="4" w:space="0" w:color="auto"/>
              <w:right w:val="single" w:sz="4" w:space="0" w:color="auto"/>
            </w:tcBorders>
            <w:noWrap/>
            <w:vAlign w:val="center"/>
            <w:hideMark/>
          </w:tcPr>
          <w:p w14:paraId="11759F4A"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PY="2000-2023"</w:t>
            </w:r>
          </w:p>
        </w:tc>
        <w:tc>
          <w:tcPr>
            <w:tcW w:w="788" w:type="dxa"/>
            <w:tcBorders>
              <w:top w:val="nil"/>
              <w:left w:val="nil"/>
              <w:bottom w:val="single" w:sz="4" w:space="0" w:color="auto"/>
              <w:right w:val="single" w:sz="4" w:space="0" w:color="auto"/>
            </w:tcBorders>
            <w:noWrap/>
            <w:vAlign w:val="center"/>
            <w:hideMark/>
          </w:tcPr>
          <w:p w14:paraId="686C8DC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39,758,804 </w:t>
            </w:r>
          </w:p>
        </w:tc>
      </w:tr>
      <w:tr w:rsidR="007A02DE" w:rsidRPr="007A02DE" w14:paraId="6497F49D"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50B6F17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15</w:t>
            </w:r>
          </w:p>
        </w:tc>
        <w:tc>
          <w:tcPr>
            <w:tcW w:w="7250" w:type="dxa"/>
            <w:tcBorders>
              <w:top w:val="nil"/>
              <w:left w:val="nil"/>
              <w:bottom w:val="single" w:sz="4" w:space="0" w:color="auto"/>
              <w:right w:val="single" w:sz="4" w:space="0" w:color="auto"/>
            </w:tcBorders>
            <w:noWrap/>
            <w:vAlign w:val="center"/>
            <w:hideMark/>
          </w:tcPr>
          <w:p w14:paraId="1559BF9E"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TS=("trial*" or "RCT" or "random*" or "phase")</w:t>
            </w:r>
          </w:p>
        </w:tc>
        <w:tc>
          <w:tcPr>
            <w:tcW w:w="788" w:type="dxa"/>
            <w:tcBorders>
              <w:top w:val="nil"/>
              <w:left w:val="nil"/>
              <w:bottom w:val="single" w:sz="4" w:space="0" w:color="auto"/>
              <w:right w:val="single" w:sz="4" w:space="0" w:color="auto"/>
            </w:tcBorders>
            <w:noWrap/>
            <w:vAlign w:val="center"/>
            <w:hideMark/>
          </w:tcPr>
          <w:p w14:paraId="2F18C70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5,206,319 </w:t>
            </w:r>
          </w:p>
        </w:tc>
      </w:tr>
      <w:tr w:rsidR="007A02DE" w:rsidRPr="007A02DE" w14:paraId="0A28C574"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34901728"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16</w:t>
            </w:r>
          </w:p>
        </w:tc>
        <w:tc>
          <w:tcPr>
            <w:tcW w:w="7250" w:type="dxa"/>
            <w:tcBorders>
              <w:top w:val="nil"/>
              <w:left w:val="nil"/>
              <w:bottom w:val="single" w:sz="4" w:space="0" w:color="auto"/>
              <w:right w:val="single" w:sz="4" w:space="0" w:color="auto"/>
            </w:tcBorders>
            <w:noWrap/>
            <w:vAlign w:val="center"/>
            <w:hideMark/>
          </w:tcPr>
          <w:p w14:paraId="16D5377F"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TS=(prospective* or retrospective* or observation* or "cross-section*" or "cross section*" or "real world" or "real-world" or "real life" or cohort* or  registr*)</w:t>
            </w:r>
          </w:p>
        </w:tc>
        <w:tc>
          <w:tcPr>
            <w:tcW w:w="788" w:type="dxa"/>
            <w:tcBorders>
              <w:top w:val="nil"/>
              <w:left w:val="nil"/>
              <w:bottom w:val="single" w:sz="4" w:space="0" w:color="auto"/>
              <w:right w:val="single" w:sz="4" w:space="0" w:color="auto"/>
            </w:tcBorders>
            <w:noWrap/>
            <w:vAlign w:val="center"/>
            <w:hideMark/>
          </w:tcPr>
          <w:p w14:paraId="0CBEAE13"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4,358,701 </w:t>
            </w:r>
          </w:p>
        </w:tc>
      </w:tr>
      <w:tr w:rsidR="007A02DE" w:rsidRPr="007A02DE" w14:paraId="76328517"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592BAF9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17</w:t>
            </w:r>
          </w:p>
        </w:tc>
        <w:tc>
          <w:tcPr>
            <w:tcW w:w="7250" w:type="dxa"/>
            <w:tcBorders>
              <w:top w:val="nil"/>
              <w:left w:val="nil"/>
              <w:bottom w:val="single" w:sz="4" w:space="0" w:color="auto"/>
              <w:right w:val="single" w:sz="4" w:space="0" w:color="auto"/>
            </w:tcBorders>
            <w:noWrap/>
            <w:vAlign w:val="center"/>
            <w:hideMark/>
          </w:tcPr>
          <w:p w14:paraId="7BFCBD8C"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#15 or #16</w:t>
            </w:r>
          </w:p>
        </w:tc>
        <w:tc>
          <w:tcPr>
            <w:tcW w:w="788" w:type="dxa"/>
            <w:tcBorders>
              <w:top w:val="nil"/>
              <w:left w:val="nil"/>
              <w:bottom w:val="single" w:sz="4" w:space="0" w:color="auto"/>
              <w:right w:val="single" w:sz="4" w:space="0" w:color="auto"/>
            </w:tcBorders>
            <w:noWrap/>
            <w:vAlign w:val="center"/>
            <w:hideMark/>
          </w:tcPr>
          <w:p w14:paraId="2A00A7C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8,769,932 </w:t>
            </w:r>
          </w:p>
        </w:tc>
      </w:tr>
      <w:tr w:rsidR="007A02DE" w:rsidRPr="007A02DE" w14:paraId="75E98081"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0B28BBD8"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18</w:t>
            </w:r>
          </w:p>
        </w:tc>
        <w:tc>
          <w:tcPr>
            <w:tcW w:w="7250" w:type="dxa"/>
            <w:tcBorders>
              <w:top w:val="nil"/>
              <w:left w:val="nil"/>
              <w:bottom w:val="single" w:sz="4" w:space="0" w:color="auto"/>
              <w:right w:val="single" w:sz="4" w:space="0" w:color="auto"/>
            </w:tcBorders>
            <w:noWrap/>
            <w:vAlign w:val="center"/>
            <w:hideMark/>
          </w:tcPr>
          <w:p w14:paraId="34BB03F1"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TS=((("Factor VIII" or "Factor Ⅷ" or "Factor 8" or "AHF VIII" or "AHF Ⅷ" or "Factor eight" or FVIII or FⅧ) and Recombinant) or rFⅧ or rFVIII)</w:t>
            </w:r>
          </w:p>
        </w:tc>
        <w:tc>
          <w:tcPr>
            <w:tcW w:w="788" w:type="dxa"/>
            <w:tcBorders>
              <w:top w:val="nil"/>
              <w:left w:val="nil"/>
              <w:bottom w:val="single" w:sz="4" w:space="0" w:color="auto"/>
              <w:right w:val="single" w:sz="4" w:space="0" w:color="auto"/>
            </w:tcBorders>
            <w:noWrap/>
            <w:vAlign w:val="center"/>
            <w:hideMark/>
          </w:tcPr>
          <w:p w14:paraId="0593106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4,191 </w:t>
            </w:r>
          </w:p>
        </w:tc>
      </w:tr>
      <w:tr w:rsidR="007A02DE" w:rsidRPr="007A02DE" w14:paraId="53D2C60E"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19F3D871"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19</w:t>
            </w:r>
          </w:p>
        </w:tc>
        <w:tc>
          <w:tcPr>
            <w:tcW w:w="7250" w:type="dxa"/>
            <w:tcBorders>
              <w:top w:val="nil"/>
              <w:left w:val="nil"/>
              <w:bottom w:val="single" w:sz="4" w:space="0" w:color="auto"/>
              <w:right w:val="single" w:sz="4" w:space="0" w:color="auto"/>
            </w:tcBorders>
            <w:noWrap/>
            <w:vAlign w:val="center"/>
            <w:hideMark/>
          </w:tcPr>
          <w:p w14:paraId="3AC31907"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#17 and #18</w:t>
            </w:r>
          </w:p>
        </w:tc>
        <w:tc>
          <w:tcPr>
            <w:tcW w:w="788" w:type="dxa"/>
            <w:tcBorders>
              <w:top w:val="nil"/>
              <w:left w:val="nil"/>
              <w:bottom w:val="single" w:sz="4" w:space="0" w:color="auto"/>
              <w:right w:val="single" w:sz="4" w:space="0" w:color="auto"/>
            </w:tcBorders>
            <w:noWrap/>
            <w:vAlign w:val="center"/>
            <w:hideMark/>
          </w:tcPr>
          <w:p w14:paraId="69A4014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878 </w:t>
            </w:r>
          </w:p>
        </w:tc>
      </w:tr>
      <w:tr w:rsidR="007A02DE" w:rsidRPr="007A02DE" w14:paraId="2CF24C57"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5804F42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20</w:t>
            </w:r>
          </w:p>
        </w:tc>
        <w:tc>
          <w:tcPr>
            <w:tcW w:w="7250" w:type="dxa"/>
            <w:tcBorders>
              <w:top w:val="nil"/>
              <w:left w:val="nil"/>
              <w:bottom w:val="single" w:sz="4" w:space="0" w:color="auto"/>
              <w:right w:val="single" w:sz="4" w:space="0" w:color="auto"/>
            </w:tcBorders>
            <w:noWrap/>
            <w:vAlign w:val="center"/>
            <w:hideMark/>
          </w:tcPr>
          <w:p w14:paraId="5118748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TS=(inhibitor* or antibod*)</w:t>
            </w:r>
          </w:p>
        </w:tc>
        <w:tc>
          <w:tcPr>
            <w:tcW w:w="788" w:type="dxa"/>
            <w:tcBorders>
              <w:top w:val="nil"/>
              <w:left w:val="nil"/>
              <w:bottom w:val="single" w:sz="4" w:space="0" w:color="auto"/>
              <w:right w:val="single" w:sz="4" w:space="0" w:color="auto"/>
            </w:tcBorders>
            <w:noWrap/>
            <w:vAlign w:val="center"/>
            <w:hideMark/>
          </w:tcPr>
          <w:p w14:paraId="323B6DD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2,728,595 </w:t>
            </w:r>
          </w:p>
        </w:tc>
      </w:tr>
      <w:tr w:rsidR="007A02DE" w:rsidRPr="007A02DE" w14:paraId="59FC5D15"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66678104"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21</w:t>
            </w:r>
          </w:p>
        </w:tc>
        <w:tc>
          <w:tcPr>
            <w:tcW w:w="7250" w:type="dxa"/>
            <w:tcBorders>
              <w:top w:val="nil"/>
              <w:left w:val="nil"/>
              <w:bottom w:val="single" w:sz="4" w:space="0" w:color="auto"/>
              <w:right w:val="single" w:sz="4" w:space="0" w:color="auto"/>
            </w:tcBorders>
            <w:noWrap/>
            <w:vAlign w:val="center"/>
            <w:hideMark/>
          </w:tcPr>
          <w:p w14:paraId="2BCD675F"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TS=("immune tolerance induction" or "ITI" or "Factor VIII" or "Factor Ⅷ" or "Factor 8" or "AHF VIII" or "AHF Ⅷ" or "Factor eight" or FVIII or FⅧ)</w:t>
            </w:r>
          </w:p>
        </w:tc>
        <w:tc>
          <w:tcPr>
            <w:tcW w:w="788" w:type="dxa"/>
            <w:tcBorders>
              <w:top w:val="nil"/>
              <w:left w:val="nil"/>
              <w:bottom w:val="single" w:sz="4" w:space="0" w:color="auto"/>
              <w:right w:val="single" w:sz="4" w:space="0" w:color="auto"/>
            </w:tcBorders>
            <w:noWrap/>
            <w:vAlign w:val="center"/>
            <w:hideMark/>
          </w:tcPr>
          <w:p w14:paraId="02037717"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21,596 </w:t>
            </w:r>
          </w:p>
        </w:tc>
      </w:tr>
      <w:tr w:rsidR="007A02DE" w:rsidRPr="007A02DE" w14:paraId="127BFB94"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418BE38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22</w:t>
            </w:r>
          </w:p>
        </w:tc>
        <w:tc>
          <w:tcPr>
            <w:tcW w:w="7250" w:type="dxa"/>
            <w:tcBorders>
              <w:top w:val="nil"/>
              <w:left w:val="nil"/>
              <w:bottom w:val="single" w:sz="4" w:space="0" w:color="auto"/>
              <w:right w:val="single" w:sz="4" w:space="0" w:color="auto"/>
            </w:tcBorders>
            <w:noWrap/>
            <w:vAlign w:val="center"/>
            <w:hideMark/>
          </w:tcPr>
          <w:p w14:paraId="2EA43D95"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TS=(aPCC or "activated prothrombin complex concentrate" or "prothrombin complex concentrate" or PCC or bypassing or rFⅦa or rFVIIa or "recombinant activated factor VII" or "recombinant activated factor 7" or emicizumab or hemlibra or ACE910)</w:t>
            </w:r>
          </w:p>
        </w:tc>
        <w:tc>
          <w:tcPr>
            <w:tcW w:w="788" w:type="dxa"/>
            <w:tcBorders>
              <w:top w:val="nil"/>
              <w:left w:val="nil"/>
              <w:bottom w:val="single" w:sz="4" w:space="0" w:color="auto"/>
              <w:right w:val="single" w:sz="4" w:space="0" w:color="auto"/>
            </w:tcBorders>
            <w:noWrap/>
            <w:vAlign w:val="center"/>
            <w:hideMark/>
          </w:tcPr>
          <w:p w14:paraId="6DDB55E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177,115 </w:t>
            </w:r>
          </w:p>
        </w:tc>
      </w:tr>
      <w:tr w:rsidR="007A02DE" w:rsidRPr="007A02DE" w14:paraId="4441EFFC"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396F232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23</w:t>
            </w:r>
          </w:p>
        </w:tc>
        <w:tc>
          <w:tcPr>
            <w:tcW w:w="7250" w:type="dxa"/>
            <w:tcBorders>
              <w:top w:val="nil"/>
              <w:left w:val="nil"/>
              <w:bottom w:val="single" w:sz="4" w:space="0" w:color="auto"/>
              <w:right w:val="single" w:sz="4" w:space="0" w:color="auto"/>
            </w:tcBorders>
            <w:noWrap/>
            <w:vAlign w:val="center"/>
            <w:hideMark/>
          </w:tcPr>
          <w:p w14:paraId="77A34B9A"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#21 or #22</w:t>
            </w:r>
          </w:p>
        </w:tc>
        <w:tc>
          <w:tcPr>
            <w:tcW w:w="788" w:type="dxa"/>
            <w:tcBorders>
              <w:top w:val="nil"/>
              <w:left w:val="nil"/>
              <w:bottom w:val="single" w:sz="4" w:space="0" w:color="auto"/>
              <w:right w:val="single" w:sz="4" w:space="0" w:color="auto"/>
            </w:tcBorders>
            <w:noWrap/>
            <w:vAlign w:val="center"/>
            <w:hideMark/>
          </w:tcPr>
          <w:p w14:paraId="4E98500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197,269 </w:t>
            </w:r>
          </w:p>
        </w:tc>
      </w:tr>
      <w:tr w:rsidR="007A02DE" w:rsidRPr="007A02DE" w14:paraId="4D1EB47B"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30A0642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24</w:t>
            </w:r>
          </w:p>
        </w:tc>
        <w:tc>
          <w:tcPr>
            <w:tcW w:w="7250" w:type="dxa"/>
            <w:tcBorders>
              <w:top w:val="nil"/>
              <w:left w:val="nil"/>
              <w:bottom w:val="single" w:sz="4" w:space="0" w:color="auto"/>
              <w:right w:val="single" w:sz="4" w:space="0" w:color="auto"/>
            </w:tcBorders>
            <w:noWrap/>
            <w:vAlign w:val="center"/>
            <w:hideMark/>
          </w:tcPr>
          <w:p w14:paraId="142FCCB8"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#17 and #20 and #23</w:t>
            </w:r>
          </w:p>
        </w:tc>
        <w:tc>
          <w:tcPr>
            <w:tcW w:w="788" w:type="dxa"/>
            <w:tcBorders>
              <w:top w:val="nil"/>
              <w:left w:val="nil"/>
              <w:bottom w:val="single" w:sz="4" w:space="0" w:color="auto"/>
              <w:right w:val="single" w:sz="4" w:space="0" w:color="auto"/>
            </w:tcBorders>
            <w:noWrap/>
            <w:vAlign w:val="center"/>
            <w:hideMark/>
          </w:tcPr>
          <w:p w14:paraId="08CD756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615 </w:t>
            </w:r>
          </w:p>
        </w:tc>
      </w:tr>
      <w:tr w:rsidR="007A02DE" w:rsidRPr="007A02DE" w14:paraId="1B4CD810"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2DFEC361"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25</w:t>
            </w:r>
          </w:p>
        </w:tc>
        <w:tc>
          <w:tcPr>
            <w:tcW w:w="7250" w:type="dxa"/>
            <w:tcBorders>
              <w:top w:val="nil"/>
              <w:left w:val="nil"/>
              <w:bottom w:val="single" w:sz="4" w:space="0" w:color="auto"/>
              <w:right w:val="single" w:sz="4" w:space="0" w:color="auto"/>
            </w:tcBorders>
            <w:noWrap/>
            <w:vAlign w:val="center"/>
            <w:hideMark/>
          </w:tcPr>
          <w:p w14:paraId="219A1AE9"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TS=("hemophilic arthropath*" or "joint* damage" or "joint* bleeding" or disability or disable or "Intracerebral hemorrhage" or "Intracerebral bleeding" or stroke or "intracranial bleeding" or "intracranial hemorrhage" or "ICH" or "CNS bleeding" or "central nervous system bleeding" or "gastrointestinal bleeding" or "gastrointestinal hemorrhage" or gastrorrhagia or "urinary bleeding" or "urinary hemorrhage" or "renal bleeding" or "renal hemorrhage" or "bladder bleeding" or "bladder hemorrhage" or "urethral bleeding" or "urethral hemorrhage" or Hematuria or depression or anxiety or complication*)</w:t>
            </w:r>
          </w:p>
        </w:tc>
        <w:tc>
          <w:tcPr>
            <w:tcW w:w="788" w:type="dxa"/>
            <w:tcBorders>
              <w:top w:val="nil"/>
              <w:left w:val="nil"/>
              <w:bottom w:val="single" w:sz="4" w:space="0" w:color="auto"/>
              <w:right w:val="single" w:sz="4" w:space="0" w:color="auto"/>
            </w:tcBorders>
            <w:noWrap/>
            <w:vAlign w:val="center"/>
            <w:hideMark/>
          </w:tcPr>
          <w:p w14:paraId="300718B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2,106,513 </w:t>
            </w:r>
          </w:p>
        </w:tc>
      </w:tr>
      <w:tr w:rsidR="007A02DE" w:rsidRPr="007A02DE" w14:paraId="5DC193D0"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6E09A9A3"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26</w:t>
            </w:r>
          </w:p>
        </w:tc>
        <w:tc>
          <w:tcPr>
            <w:tcW w:w="7250" w:type="dxa"/>
            <w:tcBorders>
              <w:top w:val="nil"/>
              <w:left w:val="nil"/>
              <w:bottom w:val="single" w:sz="4" w:space="0" w:color="auto"/>
              <w:right w:val="single" w:sz="4" w:space="0" w:color="auto"/>
            </w:tcBorders>
            <w:noWrap/>
            <w:vAlign w:val="center"/>
            <w:hideMark/>
          </w:tcPr>
          <w:p w14:paraId="03BDCB87"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#11 and #25</w:t>
            </w:r>
          </w:p>
        </w:tc>
        <w:tc>
          <w:tcPr>
            <w:tcW w:w="788" w:type="dxa"/>
            <w:tcBorders>
              <w:top w:val="nil"/>
              <w:left w:val="nil"/>
              <w:bottom w:val="single" w:sz="4" w:space="0" w:color="auto"/>
              <w:right w:val="single" w:sz="4" w:space="0" w:color="auto"/>
            </w:tcBorders>
            <w:noWrap/>
            <w:vAlign w:val="center"/>
            <w:hideMark/>
          </w:tcPr>
          <w:p w14:paraId="2335B085"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32 </w:t>
            </w:r>
          </w:p>
        </w:tc>
      </w:tr>
      <w:tr w:rsidR="007A02DE" w:rsidRPr="007A02DE" w14:paraId="66DBB964"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665086ED"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lastRenderedPageBreak/>
              <w:t>27</w:t>
            </w:r>
          </w:p>
        </w:tc>
        <w:tc>
          <w:tcPr>
            <w:tcW w:w="7250" w:type="dxa"/>
            <w:tcBorders>
              <w:top w:val="nil"/>
              <w:left w:val="nil"/>
              <w:bottom w:val="single" w:sz="4" w:space="0" w:color="auto"/>
              <w:right w:val="single" w:sz="4" w:space="0" w:color="auto"/>
            </w:tcBorders>
            <w:noWrap/>
            <w:vAlign w:val="center"/>
            <w:hideMark/>
          </w:tcPr>
          <w:p w14:paraId="3A550F4F"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TS=(VAS or "visual analogue scale" or TTO or "time trade-off" or SG or "standard-gamble" or "EQ5D*" or "EQ-5D*" or "EuroQoL-5D*" or "EuroQol EQ-5D*" or "European Quality of Life-5 Dimensions" or "European Quality of Life 5 Dimensions" or "SF-36" or SF36 or "36-Item Short Form Survey" or "Short Form-36" or "Short Form 36 Health Survey" or "SF-12" or SF12 or "12-Item Short Form Survey" or "Short Form-12" or "WHO-BREF" or "WHO-QoL-BREF" or "WHOQOL-BREF" or "World Health Organization Quality of Life Brief Form" or "Haemo-QoL-A" or "haemophilia-specific health related quality of life questionnaire for adults" or "Haem-A-QoL" or "Haemophilia Quality of Life Questionnaire for Adults" or PedsQL or "pediatric quality of life inventory" or HJHS or "hemophilia joint health score" or FISH or "functional independence score in hemophilia" or HAL or "hemophilia activities list" or "pedHAL" or "pediatric hemophilia activities list" or "PROBE questionnaire" or CHO-KLAT or "Kids Life Assessment Tool")</w:t>
            </w:r>
          </w:p>
        </w:tc>
        <w:tc>
          <w:tcPr>
            <w:tcW w:w="788" w:type="dxa"/>
            <w:tcBorders>
              <w:top w:val="nil"/>
              <w:left w:val="nil"/>
              <w:bottom w:val="single" w:sz="4" w:space="0" w:color="auto"/>
              <w:right w:val="single" w:sz="4" w:space="0" w:color="auto"/>
            </w:tcBorders>
            <w:noWrap/>
            <w:vAlign w:val="center"/>
            <w:hideMark/>
          </w:tcPr>
          <w:p w14:paraId="6C39220A"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556,840 </w:t>
            </w:r>
          </w:p>
        </w:tc>
      </w:tr>
      <w:tr w:rsidR="007A02DE" w:rsidRPr="007A02DE" w14:paraId="14C29A0B"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16641091"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28</w:t>
            </w:r>
          </w:p>
        </w:tc>
        <w:tc>
          <w:tcPr>
            <w:tcW w:w="7250" w:type="dxa"/>
            <w:tcBorders>
              <w:top w:val="nil"/>
              <w:left w:val="nil"/>
              <w:bottom w:val="single" w:sz="4" w:space="0" w:color="auto"/>
              <w:right w:val="single" w:sz="4" w:space="0" w:color="auto"/>
            </w:tcBorders>
            <w:noWrap/>
            <w:vAlign w:val="center"/>
            <w:hideMark/>
          </w:tcPr>
          <w:p w14:paraId="17DC38FC"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#25</w:t>
            </w:r>
          </w:p>
        </w:tc>
        <w:tc>
          <w:tcPr>
            <w:tcW w:w="788" w:type="dxa"/>
            <w:tcBorders>
              <w:top w:val="nil"/>
              <w:left w:val="nil"/>
              <w:bottom w:val="single" w:sz="4" w:space="0" w:color="auto"/>
              <w:right w:val="single" w:sz="4" w:space="0" w:color="auto"/>
            </w:tcBorders>
            <w:noWrap/>
            <w:vAlign w:val="center"/>
            <w:hideMark/>
          </w:tcPr>
          <w:p w14:paraId="7682D8C3"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73 </w:t>
            </w:r>
          </w:p>
        </w:tc>
      </w:tr>
      <w:tr w:rsidR="007A02DE" w:rsidRPr="007A02DE" w14:paraId="247FFF79"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089C4C60"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29</w:t>
            </w:r>
          </w:p>
        </w:tc>
        <w:tc>
          <w:tcPr>
            <w:tcW w:w="7250" w:type="dxa"/>
            <w:tcBorders>
              <w:top w:val="nil"/>
              <w:left w:val="nil"/>
              <w:bottom w:val="single" w:sz="4" w:space="0" w:color="auto"/>
              <w:right w:val="single" w:sz="4" w:space="0" w:color="auto"/>
            </w:tcBorders>
            <w:noWrap/>
            <w:vAlign w:val="center"/>
            <w:hideMark/>
          </w:tcPr>
          <w:p w14:paraId="6F2AB113"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TS=("cost effectiveness" or "cost-effectiveness" or "cost utility" or "cost-utility" or "cost-benefit" or "cost benefit" or "cost-minimization" or "cost minimization" or "budget impact" or "budget-impact" or CEA or CUA  or CBA or CMA or BIA or ICER or "Incremental Cost Effectiveness Ratio*" or "economic burden" or "disease burden" or "illness burden" or "health technology assessment" or HTA or "net-benefit" or "net benefit")</w:t>
            </w:r>
          </w:p>
        </w:tc>
        <w:tc>
          <w:tcPr>
            <w:tcW w:w="788" w:type="dxa"/>
            <w:tcBorders>
              <w:top w:val="nil"/>
              <w:left w:val="nil"/>
              <w:bottom w:val="single" w:sz="4" w:space="0" w:color="auto"/>
              <w:right w:val="single" w:sz="4" w:space="0" w:color="auto"/>
            </w:tcBorders>
            <w:noWrap/>
            <w:vAlign w:val="center"/>
            <w:hideMark/>
          </w:tcPr>
          <w:p w14:paraId="53D81A91"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220,649 </w:t>
            </w:r>
          </w:p>
        </w:tc>
      </w:tr>
      <w:tr w:rsidR="007A02DE" w:rsidRPr="007A02DE" w14:paraId="72E9A7ED"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5D7893C8"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30</w:t>
            </w:r>
          </w:p>
        </w:tc>
        <w:tc>
          <w:tcPr>
            <w:tcW w:w="7250" w:type="dxa"/>
            <w:tcBorders>
              <w:top w:val="nil"/>
              <w:left w:val="nil"/>
              <w:bottom w:val="single" w:sz="4" w:space="0" w:color="auto"/>
              <w:right w:val="single" w:sz="4" w:space="0" w:color="auto"/>
            </w:tcBorders>
            <w:noWrap/>
            <w:vAlign w:val="center"/>
            <w:hideMark/>
          </w:tcPr>
          <w:p w14:paraId="75CA3CCA"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TS=("health resource utilization" or "health care utilization" or HRU or hospitalization* or "hospital admission*" or "hospital stay length" or "length of hospital stay" or "length of hospital stay" or "length of stay" or LOS or inpatient* or outpatient* or "emergency room visit*")</w:t>
            </w:r>
          </w:p>
        </w:tc>
        <w:tc>
          <w:tcPr>
            <w:tcW w:w="788" w:type="dxa"/>
            <w:tcBorders>
              <w:top w:val="nil"/>
              <w:left w:val="nil"/>
              <w:bottom w:val="single" w:sz="4" w:space="0" w:color="auto"/>
              <w:right w:val="single" w:sz="4" w:space="0" w:color="auto"/>
            </w:tcBorders>
            <w:noWrap/>
            <w:vAlign w:val="center"/>
            <w:hideMark/>
          </w:tcPr>
          <w:p w14:paraId="6A8B091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540,051 </w:t>
            </w:r>
          </w:p>
        </w:tc>
      </w:tr>
      <w:tr w:rsidR="007A02DE" w:rsidRPr="007A02DE" w14:paraId="1FA45F1E"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08DC1BBF"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31</w:t>
            </w:r>
          </w:p>
        </w:tc>
        <w:tc>
          <w:tcPr>
            <w:tcW w:w="7250" w:type="dxa"/>
            <w:tcBorders>
              <w:top w:val="nil"/>
              <w:left w:val="nil"/>
              <w:bottom w:val="single" w:sz="4" w:space="0" w:color="auto"/>
              <w:right w:val="single" w:sz="4" w:space="0" w:color="auto"/>
            </w:tcBorders>
            <w:noWrap/>
            <w:vAlign w:val="center"/>
            <w:hideMark/>
          </w:tcPr>
          <w:p w14:paraId="7F21308B"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TS=(cost* or expense* or expenditure* or payment* or insurance or reimbursement or claim*)</w:t>
            </w:r>
          </w:p>
        </w:tc>
        <w:tc>
          <w:tcPr>
            <w:tcW w:w="788" w:type="dxa"/>
            <w:tcBorders>
              <w:top w:val="nil"/>
              <w:left w:val="nil"/>
              <w:bottom w:val="single" w:sz="4" w:space="0" w:color="auto"/>
              <w:right w:val="single" w:sz="4" w:space="0" w:color="auto"/>
            </w:tcBorders>
            <w:noWrap/>
            <w:vAlign w:val="center"/>
            <w:hideMark/>
          </w:tcPr>
          <w:p w14:paraId="3750539C"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1,953,133 </w:t>
            </w:r>
          </w:p>
        </w:tc>
      </w:tr>
      <w:tr w:rsidR="007A02DE" w:rsidRPr="007A02DE" w14:paraId="7E8B93B5"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7FE1B466"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32</w:t>
            </w:r>
          </w:p>
        </w:tc>
        <w:tc>
          <w:tcPr>
            <w:tcW w:w="7250" w:type="dxa"/>
            <w:tcBorders>
              <w:top w:val="nil"/>
              <w:left w:val="nil"/>
              <w:bottom w:val="single" w:sz="4" w:space="0" w:color="auto"/>
              <w:right w:val="single" w:sz="4" w:space="0" w:color="auto"/>
            </w:tcBorders>
            <w:noWrap/>
            <w:vAlign w:val="center"/>
            <w:hideMark/>
          </w:tcPr>
          <w:p w14:paraId="10D2973B"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#27 or #28 or #29</w:t>
            </w:r>
          </w:p>
        </w:tc>
        <w:tc>
          <w:tcPr>
            <w:tcW w:w="788" w:type="dxa"/>
            <w:tcBorders>
              <w:top w:val="nil"/>
              <w:left w:val="nil"/>
              <w:bottom w:val="single" w:sz="4" w:space="0" w:color="auto"/>
              <w:right w:val="single" w:sz="4" w:space="0" w:color="auto"/>
            </w:tcBorders>
            <w:noWrap/>
            <w:vAlign w:val="center"/>
            <w:hideMark/>
          </w:tcPr>
          <w:p w14:paraId="7A0074BE"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2,475,872 </w:t>
            </w:r>
          </w:p>
        </w:tc>
      </w:tr>
      <w:tr w:rsidR="007A02DE" w:rsidRPr="007A02DE" w14:paraId="754D9339" w14:textId="77777777" w:rsidTr="007A02DE">
        <w:trPr>
          <w:trHeight w:val="320"/>
        </w:trPr>
        <w:tc>
          <w:tcPr>
            <w:tcW w:w="0" w:type="auto"/>
            <w:tcBorders>
              <w:top w:val="nil"/>
              <w:left w:val="single" w:sz="4" w:space="0" w:color="auto"/>
              <w:bottom w:val="single" w:sz="4" w:space="0" w:color="auto"/>
              <w:right w:val="single" w:sz="4" w:space="0" w:color="auto"/>
            </w:tcBorders>
            <w:noWrap/>
            <w:vAlign w:val="center"/>
            <w:hideMark/>
          </w:tcPr>
          <w:p w14:paraId="4BAE7C2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33</w:t>
            </w:r>
          </w:p>
        </w:tc>
        <w:tc>
          <w:tcPr>
            <w:tcW w:w="7250" w:type="dxa"/>
            <w:tcBorders>
              <w:top w:val="nil"/>
              <w:left w:val="nil"/>
              <w:bottom w:val="single" w:sz="4" w:space="0" w:color="auto"/>
              <w:right w:val="single" w:sz="4" w:space="0" w:color="auto"/>
            </w:tcBorders>
            <w:noWrap/>
            <w:vAlign w:val="center"/>
            <w:hideMark/>
          </w:tcPr>
          <w:p w14:paraId="7FDE495F" w14:textId="77777777" w:rsidR="007A02DE" w:rsidRPr="007A02DE" w:rsidRDefault="007A02DE">
            <w:pP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#7 and #9 and #32</w:t>
            </w:r>
          </w:p>
        </w:tc>
        <w:tc>
          <w:tcPr>
            <w:tcW w:w="788" w:type="dxa"/>
            <w:tcBorders>
              <w:top w:val="nil"/>
              <w:left w:val="nil"/>
              <w:bottom w:val="single" w:sz="4" w:space="0" w:color="auto"/>
              <w:right w:val="single" w:sz="4" w:space="0" w:color="auto"/>
            </w:tcBorders>
            <w:noWrap/>
            <w:vAlign w:val="center"/>
            <w:hideMark/>
          </w:tcPr>
          <w:p w14:paraId="0DB1B3DB" w14:textId="77777777" w:rsidR="007A02DE" w:rsidRPr="007A02DE" w:rsidRDefault="007A02DE">
            <w:pPr>
              <w:jc w:val="center"/>
              <w:rPr>
                <w:rFonts w:ascii="Times New Roman" w:eastAsia="微软雅黑" w:hAnsi="Times New Roman" w:cs="Times New Roman"/>
                <w:color w:val="000000"/>
                <w:sz w:val="18"/>
                <w:szCs w:val="18"/>
              </w:rPr>
            </w:pPr>
            <w:r w:rsidRPr="007A02DE">
              <w:rPr>
                <w:rFonts w:ascii="Times New Roman" w:eastAsia="微软雅黑" w:hAnsi="Times New Roman" w:cs="Times New Roman"/>
                <w:color w:val="000000"/>
                <w:sz w:val="18"/>
                <w:szCs w:val="18"/>
              </w:rPr>
              <w:t xml:space="preserve">17 </w:t>
            </w:r>
          </w:p>
        </w:tc>
      </w:tr>
    </w:tbl>
    <w:p w14:paraId="22147C22" w14:textId="77777777" w:rsidR="007A02DE" w:rsidRDefault="007A02DE" w:rsidP="0067426D"/>
    <w:p w14:paraId="6F72E492" w14:textId="54957AB1" w:rsidR="007A02DE" w:rsidRDefault="007A02DE" w:rsidP="007A02DE">
      <w:pPr>
        <w:pStyle w:val="3"/>
        <w:rPr>
          <w:b w:val="0"/>
          <w:bCs w:val="0"/>
        </w:rPr>
      </w:pPr>
      <w:bookmarkStart w:id="24" w:name="_Toc200988918"/>
      <w:bookmarkStart w:id="25" w:name="_Toc211440064"/>
      <w:r w:rsidRPr="007A02DE">
        <w:rPr>
          <w:b w:val="0"/>
          <w:bCs w:val="0"/>
        </w:rPr>
        <w:t>Table S2. Age-specific Baseline Intracranial Hemorrhage (ICH) Risks in the General Population from a Retrospective Cohort Study</w:t>
      </w:r>
      <w:bookmarkEnd w:id="24"/>
      <w:bookmarkEnd w:id="25"/>
    </w:p>
    <w:tbl>
      <w:tblPr>
        <w:tblW w:w="5000" w:type="pct"/>
        <w:tblLook w:val="04A0" w:firstRow="1" w:lastRow="0" w:firstColumn="1" w:lastColumn="0" w:noHBand="0" w:noVBand="1"/>
      </w:tblPr>
      <w:tblGrid>
        <w:gridCol w:w="1175"/>
        <w:gridCol w:w="1250"/>
        <w:gridCol w:w="1250"/>
        <w:gridCol w:w="1433"/>
        <w:gridCol w:w="1594"/>
        <w:gridCol w:w="1594"/>
      </w:tblGrid>
      <w:tr w:rsidR="007A02DE" w:rsidRPr="001D0D9B" w14:paraId="77F83A7A" w14:textId="77777777" w:rsidTr="007A02DE">
        <w:trPr>
          <w:trHeight w:val="320"/>
        </w:trPr>
        <w:tc>
          <w:tcPr>
            <w:tcW w:w="750" w:type="pct"/>
            <w:tcBorders>
              <w:top w:val="single" w:sz="4" w:space="0" w:color="auto"/>
              <w:left w:val="single" w:sz="4" w:space="0" w:color="auto"/>
              <w:bottom w:val="single" w:sz="4" w:space="0" w:color="auto"/>
              <w:right w:val="single" w:sz="4" w:space="0" w:color="auto"/>
            </w:tcBorders>
            <w:noWrap/>
            <w:vAlign w:val="center"/>
            <w:hideMark/>
          </w:tcPr>
          <w:p w14:paraId="72338AEC" w14:textId="143FD083" w:rsidR="007A02DE" w:rsidRPr="007A02DE" w:rsidRDefault="007A02DE" w:rsidP="00343EEE">
            <w:pPr>
              <w:jc w:val="center"/>
              <w:rPr>
                <w:rFonts w:ascii="Times New Roman" w:eastAsia="DengXian" w:hAnsi="Times New Roman" w:cs="Times New Roman"/>
                <w:b/>
                <w:bCs/>
                <w:color w:val="000000"/>
                <w:sz w:val="20"/>
                <w:szCs w:val="20"/>
              </w:rPr>
            </w:pPr>
            <w:r w:rsidRPr="007A02DE">
              <w:rPr>
                <w:rFonts w:ascii="Times New Roman" w:eastAsia="楷体" w:hAnsi="Times New Roman" w:cs="Times New Roman"/>
                <w:b/>
                <w:bCs/>
                <w:color w:val="000000"/>
                <w:sz w:val="20"/>
                <w:szCs w:val="20"/>
              </w:rPr>
              <w:t>Age group</w:t>
            </w:r>
          </w:p>
        </w:tc>
        <w:tc>
          <w:tcPr>
            <w:tcW w:w="795" w:type="pct"/>
            <w:tcBorders>
              <w:top w:val="single" w:sz="4" w:space="0" w:color="auto"/>
              <w:left w:val="nil"/>
              <w:bottom w:val="single" w:sz="4" w:space="0" w:color="auto"/>
              <w:right w:val="single" w:sz="4" w:space="0" w:color="auto"/>
            </w:tcBorders>
            <w:vAlign w:val="center"/>
            <w:hideMark/>
          </w:tcPr>
          <w:p w14:paraId="3E657A05" w14:textId="0AB21883" w:rsidR="007A02DE" w:rsidRPr="007A02DE" w:rsidRDefault="007A02DE" w:rsidP="00343EEE">
            <w:pPr>
              <w:jc w:val="center"/>
              <w:rPr>
                <w:rFonts w:ascii="Times New Roman" w:eastAsia="DengXian" w:hAnsi="Times New Roman" w:cs="Times New Roman"/>
                <w:b/>
                <w:bCs/>
                <w:sz w:val="20"/>
                <w:szCs w:val="20"/>
              </w:rPr>
            </w:pPr>
            <w:r w:rsidRPr="007A02DE">
              <w:rPr>
                <w:rFonts w:ascii="Times New Roman" w:eastAsia="楷体" w:hAnsi="Times New Roman" w:cs="Times New Roman"/>
                <w:b/>
                <w:bCs/>
                <w:sz w:val="20"/>
                <w:szCs w:val="20"/>
              </w:rPr>
              <w:t xml:space="preserve">Number of </w:t>
            </w:r>
            <w:r>
              <w:rPr>
                <w:rFonts w:ascii="Times New Roman" w:eastAsia="楷体" w:hAnsi="Times New Roman" w:cs="Times New Roman" w:hint="eastAsia"/>
                <w:b/>
                <w:bCs/>
                <w:sz w:val="20"/>
                <w:szCs w:val="20"/>
              </w:rPr>
              <w:t>studies</w:t>
            </w:r>
          </w:p>
        </w:tc>
        <w:tc>
          <w:tcPr>
            <w:tcW w:w="795" w:type="pct"/>
            <w:tcBorders>
              <w:top w:val="single" w:sz="4" w:space="0" w:color="auto"/>
              <w:left w:val="nil"/>
              <w:bottom w:val="single" w:sz="4" w:space="0" w:color="auto"/>
              <w:right w:val="single" w:sz="4" w:space="0" w:color="auto"/>
            </w:tcBorders>
            <w:vAlign w:val="center"/>
            <w:hideMark/>
          </w:tcPr>
          <w:p w14:paraId="5606D613" w14:textId="7A0DE135" w:rsidR="007A02DE" w:rsidRPr="007A02DE" w:rsidRDefault="007A02DE" w:rsidP="00343EEE">
            <w:pPr>
              <w:jc w:val="center"/>
              <w:rPr>
                <w:rFonts w:ascii="Times New Roman" w:eastAsia="DengXian" w:hAnsi="Times New Roman" w:cs="Times New Roman"/>
                <w:b/>
                <w:bCs/>
                <w:sz w:val="20"/>
                <w:szCs w:val="20"/>
              </w:rPr>
            </w:pPr>
            <w:r w:rsidRPr="007A02DE">
              <w:rPr>
                <w:rFonts w:ascii="Times New Roman" w:eastAsia="楷体" w:hAnsi="Times New Roman" w:cs="Times New Roman"/>
                <w:b/>
                <w:bCs/>
                <w:sz w:val="20"/>
                <w:szCs w:val="20"/>
              </w:rPr>
              <w:t>Sample size</w:t>
            </w:r>
          </w:p>
        </w:tc>
        <w:tc>
          <w:tcPr>
            <w:tcW w:w="656" w:type="pct"/>
            <w:tcBorders>
              <w:top w:val="single" w:sz="4" w:space="0" w:color="auto"/>
              <w:left w:val="nil"/>
              <w:bottom w:val="single" w:sz="4" w:space="0" w:color="auto"/>
              <w:right w:val="single" w:sz="4" w:space="0" w:color="auto"/>
            </w:tcBorders>
            <w:noWrap/>
            <w:vAlign w:val="center"/>
            <w:hideMark/>
          </w:tcPr>
          <w:p w14:paraId="5F4F82F3" w14:textId="2216E3BD" w:rsidR="007A02DE" w:rsidRPr="007A02DE" w:rsidRDefault="00FF20D2" w:rsidP="00343EEE">
            <w:pPr>
              <w:jc w:val="center"/>
              <w:rPr>
                <w:rFonts w:ascii="Times New Roman" w:eastAsia="DengXian" w:hAnsi="Times New Roman" w:cs="Times New Roman"/>
                <w:b/>
                <w:bCs/>
                <w:color w:val="000000"/>
                <w:sz w:val="20"/>
                <w:szCs w:val="20"/>
              </w:rPr>
            </w:pPr>
            <w:r w:rsidRPr="007C4DE3">
              <w:rPr>
                <w:rFonts w:ascii="Times New Roman" w:eastAsia="楷体" w:hAnsi="Times New Roman" w:cs="Times New Roman"/>
                <w:b/>
                <w:bCs/>
                <w:color w:val="000000"/>
                <w:sz w:val="20"/>
                <w:szCs w:val="20"/>
              </w:rPr>
              <w:t>Baseline</w:t>
            </w:r>
            <w:r>
              <w:rPr>
                <w:rFonts w:ascii="Times New Roman" w:eastAsia="楷体" w:hAnsi="Times New Roman" w:cs="Times New Roman" w:hint="eastAsia"/>
                <w:b/>
                <w:bCs/>
                <w:color w:val="000000"/>
                <w:sz w:val="20"/>
                <w:szCs w:val="20"/>
              </w:rPr>
              <w:t xml:space="preserve"> value</w:t>
            </w:r>
          </w:p>
        </w:tc>
        <w:tc>
          <w:tcPr>
            <w:tcW w:w="2003" w:type="pct"/>
            <w:gridSpan w:val="2"/>
            <w:tcBorders>
              <w:top w:val="single" w:sz="4" w:space="0" w:color="auto"/>
              <w:left w:val="nil"/>
              <w:bottom w:val="single" w:sz="4" w:space="0" w:color="auto"/>
              <w:right w:val="single" w:sz="4" w:space="0" w:color="auto"/>
            </w:tcBorders>
            <w:noWrap/>
            <w:vAlign w:val="center"/>
            <w:hideMark/>
          </w:tcPr>
          <w:p w14:paraId="5208DB7C" w14:textId="6463CD38" w:rsidR="007A02DE" w:rsidRPr="007A02DE" w:rsidRDefault="007A02DE" w:rsidP="007A02DE">
            <w:pPr>
              <w:jc w:val="center"/>
              <w:rPr>
                <w:rFonts w:ascii="Times New Roman" w:eastAsia="DengXian" w:hAnsi="Times New Roman" w:cs="Times New Roman"/>
                <w:b/>
                <w:bCs/>
                <w:color w:val="000000"/>
                <w:sz w:val="20"/>
                <w:szCs w:val="20"/>
              </w:rPr>
            </w:pPr>
            <w:r w:rsidRPr="007A02DE">
              <w:rPr>
                <w:rFonts w:ascii="Times New Roman" w:eastAsia="DengXian" w:hAnsi="Times New Roman" w:cs="Times New Roman"/>
                <w:b/>
                <w:bCs/>
                <w:color w:val="000000"/>
                <w:sz w:val="20"/>
                <w:szCs w:val="20"/>
              </w:rPr>
              <w:t>95%CI</w:t>
            </w:r>
          </w:p>
        </w:tc>
      </w:tr>
      <w:tr w:rsidR="007A02DE" w:rsidRPr="001D0D9B" w14:paraId="2ACF95C9"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08E85F2C" w14:textId="76F5BDAB"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0~14</w:t>
            </w:r>
          </w:p>
        </w:tc>
        <w:tc>
          <w:tcPr>
            <w:tcW w:w="795" w:type="pct"/>
            <w:tcBorders>
              <w:top w:val="nil"/>
              <w:left w:val="nil"/>
              <w:bottom w:val="single" w:sz="4" w:space="0" w:color="auto"/>
              <w:right w:val="single" w:sz="4" w:space="0" w:color="auto"/>
            </w:tcBorders>
            <w:vAlign w:val="center"/>
            <w:hideMark/>
          </w:tcPr>
          <w:p w14:paraId="5597D068"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3C23132D"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40442</w:t>
            </w:r>
          </w:p>
        </w:tc>
        <w:tc>
          <w:tcPr>
            <w:tcW w:w="656" w:type="pct"/>
            <w:tcBorders>
              <w:top w:val="nil"/>
              <w:left w:val="nil"/>
              <w:bottom w:val="single" w:sz="4" w:space="0" w:color="auto"/>
              <w:right w:val="single" w:sz="4" w:space="0" w:color="auto"/>
            </w:tcBorders>
            <w:noWrap/>
            <w:vAlign w:val="center"/>
            <w:hideMark/>
          </w:tcPr>
          <w:p w14:paraId="28A386AE"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c>
          <w:tcPr>
            <w:tcW w:w="1002" w:type="pct"/>
            <w:tcBorders>
              <w:top w:val="nil"/>
              <w:left w:val="nil"/>
              <w:bottom w:val="single" w:sz="4" w:space="0" w:color="auto"/>
              <w:right w:val="single" w:sz="4" w:space="0" w:color="auto"/>
            </w:tcBorders>
            <w:vAlign w:val="center"/>
            <w:hideMark/>
          </w:tcPr>
          <w:p w14:paraId="2472992E"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　</w:t>
            </w:r>
          </w:p>
        </w:tc>
        <w:tc>
          <w:tcPr>
            <w:tcW w:w="1002" w:type="pct"/>
            <w:tcBorders>
              <w:top w:val="nil"/>
              <w:left w:val="nil"/>
              <w:bottom w:val="single" w:sz="4" w:space="0" w:color="auto"/>
              <w:right w:val="single" w:sz="4" w:space="0" w:color="auto"/>
            </w:tcBorders>
            <w:vAlign w:val="center"/>
            <w:hideMark/>
          </w:tcPr>
          <w:p w14:paraId="5B6B36A0"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　</w:t>
            </w:r>
          </w:p>
        </w:tc>
      </w:tr>
      <w:tr w:rsidR="007A02DE" w:rsidRPr="001D0D9B" w14:paraId="3DEFDF18"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78B21715" w14:textId="4C7A40C8"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15~24</w:t>
            </w:r>
          </w:p>
        </w:tc>
        <w:tc>
          <w:tcPr>
            <w:tcW w:w="795" w:type="pct"/>
            <w:tcBorders>
              <w:top w:val="nil"/>
              <w:left w:val="nil"/>
              <w:bottom w:val="single" w:sz="4" w:space="0" w:color="auto"/>
              <w:right w:val="single" w:sz="4" w:space="0" w:color="auto"/>
            </w:tcBorders>
            <w:vAlign w:val="center"/>
            <w:hideMark/>
          </w:tcPr>
          <w:p w14:paraId="632C8361"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3DB8F8BB"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33452</w:t>
            </w:r>
          </w:p>
        </w:tc>
        <w:tc>
          <w:tcPr>
            <w:tcW w:w="656" w:type="pct"/>
            <w:tcBorders>
              <w:top w:val="nil"/>
              <w:left w:val="nil"/>
              <w:bottom w:val="single" w:sz="4" w:space="0" w:color="auto"/>
              <w:right w:val="single" w:sz="4" w:space="0" w:color="auto"/>
            </w:tcBorders>
            <w:noWrap/>
            <w:vAlign w:val="center"/>
            <w:hideMark/>
          </w:tcPr>
          <w:p w14:paraId="7C2AE543"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c>
          <w:tcPr>
            <w:tcW w:w="1002" w:type="pct"/>
            <w:tcBorders>
              <w:top w:val="nil"/>
              <w:left w:val="nil"/>
              <w:bottom w:val="single" w:sz="4" w:space="0" w:color="auto"/>
              <w:right w:val="single" w:sz="4" w:space="0" w:color="auto"/>
            </w:tcBorders>
            <w:vAlign w:val="center"/>
            <w:hideMark/>
          </w:tcPr>
          <w:p w14:paraId="14AA388C"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　</w:t>
            </w:r>
          </w:p>
        </w:tc>
        <w:tc>
          <w:tcPr>
            <w:tcW w:w="1002" w:type="pct"/>
            <w:tcBorders>
              <w:top w:val="nil"/>
              <w:left w:val="nil"/>
              <w:bottom w:val="single" w:sz="4" w:space="0" w:color="auto"/>
              <w:right w:val="single" w:sz="4" w:space="0" w:color="auto"/>
            </w:tcBorders>
            <w:vAlign w:val="center"/>
            <w:hideMark/>
          </w:tcPr>
          <w:p w14:paraId="61481A6A"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　</w:t>
            </w:r>
          </w:p>
        </w:tc>
      </w:tr>
      <w:tr w:rsidR="007A02DE" w:rsidRPr="001D0D9B" w14:paraId="7544627E"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364E819F" w14:textId="091415A5"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25~34</w:t>
            </w:r>
          </w:p>
        </w:tc>
        <w:tc>
          <w:tcPr>
            <w:tcW w:w="795" w:type="pct"/>
            <w:tcBorders>
              <w:top w:val="nil"/>
              <w:left w:val="nil"/>
              <w:bottom w:val="single" w:sz="4" w:space="0" w:color="auto"/>
              <w:right w:val="single" w:sz="4" w:space="0" w:color="auto"/>
            </w:tcBorders>
            <w:vAlign w:val="center"/>
            <w:hideMark/>
          </w:tcPr>
          <w:p w14:paraId="7CCF8BCC"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4133058C"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49460</w:t>
            </w:r>
          </w:p>
        </w:tc>
        <w:tc>
          <w:tcPr>
            <w:tcW w:w="656" w:type="pct"/>
            <w:tcBorders>
              <w:top w:val="nil"/>
              <w:left w:val="nil"/>
              <w:bottom w:val="single" w:sz="4" w:space="0" w:color="auto"/>
              <w:right w:val="single" w:sz="4" w:space="0" w:color="auto"/>
            </w:tcBorders>
            <w:noWrap/>
            <w:vAlign w:val="center"/>
            <w:hideMark/>
          </w:tcPr>
          <w:p w14:paraId="5D68B030"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c>
          <w:tcPr>
            <w:tcW w:w="1002" w:type="pct"/>
            <w:tcBorders>
              <w:top w:val="nil"/>
              <w:left w:val="nil"/>
              <w:bottom w:val="single" w:sz="4" w:space="0" w:color="auto"/>
              <w:right w:val="single" w:sz="4" w:space="0" w:color="auto"/>
            </w:tcBorders>
            <w:vAlign w:val="center"/>
            <w:hideMark/>
          </w:tcPr>
          <w:p w14:paraId="143C0399"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c>
          <w:tcPr>
            <w:tcW w:w="1002" w:type="pct"/>
            <w:tcBorders>
              <w:top w:val="nil"/>
              <w:left w:val="nil"/>
              <w:bottom w:val="single" w:sz="4" w:space="0" w:color="auto"/>
              <w:right w:val="single" w:sz="4" w:space="0" w:color="auto"/>
            </w:tcBorders>
            <w:vAlign w:val="center"/>
            <w:hideMark/>
          </w:tcPr>
          <w:p w14:paraId="5D62B61C"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r>
      <w:tr w:rsidR="007A02DE" w:rsidRPr="001D0D9B" w14:paraId="5BB17C23"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5B83669F" w14:textId="628F1E60"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35~44</w:t>
            </w:r>
          </w:p>
        </w:tc>
        <w:tc>
          <w:tcPr>
            <w:tcW w:w="795" w:type="pct"/>
            <w:tcBorders>
              <w:top w:val="nil"/>
              <w:left w:val="nil"/>
              <w:bottom w:val="single" w:sz="4" w:space="0" w:color="auto"/>
              <w:right w:val="single" w:sz="4" w:space="0" w:color="auto"/>
            </w:tcBorders>
            <w:vAlign w:val="center"/>
            <w:hideMark/>
          </w:tcPr>
          <w:p w14:paraId="5B04BC80"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5FC05310"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65694</w:t>
            </w:r>
          </w:p>
        </w:tc>
        <w:tc>
          <w:tcPr>
            <w:tcW w:w="656" w:type="pct"/>
            <w:tcBorders>
              <w:top w:val="nil"/>
              <w:left w:val="nil"/>
              <w:bottom w:val="single" w:sz="4" w:space="0" w:color="auto"/>
              <w:right w:val="single" w:sz="4" w:space="0" w:color="auto"/>
            </w:tcBorders>
            <w:noWrap/>
            <w:vAlign w:val="center"/>
            <w:hideMark/>
          </w:tcPr>
          <w:p w14:paraId="703F8179"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c>
          <w:tcPr>
            <w:tcW w:w="1002" w:type="pct"/>
            <w:tcBorders>
              <w:top w:val="nil"/>
              <w:left w:val="nil"/>
              <w:bottom w:val="single" w:sz="4" w:space="0" w:color="auto"/>
              <w:right w:val="single" w:sz="4" w:space="0" w:color="auto"/>
            </w:tcBorders>
            <w:vAlign w:val="center"/>
            <w:hideMark/>
          </w:tcPr>
          <w:p w14:paraId="4F56F80A"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c>
          <w:tcPr>
            <w:tcW w:w="1002" w:type="pct"/>
            <w:tcBorders>
              <w:top w:val="nil"/>
              <w:left w:val="nil"/>
              <w:bottom w:val="single" w:sz="4" w:space="0" w:color="auto"/>
              <w:right w:val="single" w:sz="4" w:space="0" w:color="auto"/>
            </w:tcBorders>
            <w:vAlign w:val="center"/>
            <w:hideMark/>
          </w:tcPr>
          <w:p w14:paraId="567685DA"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r>
      <w:tr w:rsidR="007A02DE" w:rsidRPr="001D0D9B" w14:paraId="46544223"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42F4321E" w14:textId="278D3500"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45~54</w:t>
            </w:r>
          </w:p>
        </w:tc>
        <w:tc>
          <w:tcPr>
            <w:tcW w:w="795" w:type="pct"/>
            <w:tcBorders>
              <w:top w:val="nil"/>
              <w:left w:val="nil"/>
              <w:bottom w:val="single" w:sz="4" w:space="0" w:color="auto"/>
              <w:right w:val="single" w:sz="4" w:space="0" w:color="auto"/>
            </w:tcBorders>
            <w:vAlign w:val="center"/>
            <w:hideMark/>
          </w:tcPr>
          <w:p w14:paraId="2D3375DA"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2A3CF494"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36088</w:t>
            </w:r>
          </w:p>
        </w:tc>
        <w:tc>
          <w:tcPr>
            <w:tcW w:w="656" w:type="pct"/>
            <w:tcBorders>
              <w:top w:val="nil"/>
              <w:left w:val="nil"/>
              <w:bottom w:val="single" w:sz="4" w:space="0" w:color="auto"/>
              <w:right w:val="single" w:sz="4" w:space="0" w:color="auto"/>
            </w:tcBorders>
            <w:noWrap/>
            <w:vAlign w:val="center"/>
            <w:hideMark/>
          </w:tcPr>
          <w:p w14:paraId="7F7F9712"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0.001 </w:t>
            </w:r>
          </w:p>
        </w:tc>
        <w:tc>
          <w:tcPr>
            <w:tcW w:w="1002" w:type="pct"/>
            <w:tcBorders>
              <w:top w:val="nil"/>
              <w:left w:val="nil"/>
              <w:bottom w:val="single" w:sz="4" w:space="0" w:color="auto"/>
              <w:right w:val="single" w:sz="4" w:space="0" w:color="auto"/>
            </w:tcBorders>
            <w:vAlign w:val="center"/>
            <w:hideMark/>
          </w:tcPr>
          <w:p w14:paraId="5CD38E6A"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0.000 </w:t>
            </w:r>
          </w:p>
        </w:tc>
        <w:tc>
          <w:tcPr>
            <w:tcW w:w="1002" w:type="pct"/>
            <w:tcBorders>
              <w:top w:val="nil"/>
              <w:left w:val="nil"/>
              <w:bottom w:val="single" w:sz="4" w:space="0" w:color="auto"/>
              <w:right w:val="single" w:sz="4" w:space="0" w:color="auto"/>
            </w:tcBorders>
            <w:vAlign w:val="center"/>
            <w:hideMark/>
          </w:tcPr>
          <w:p w14:paraId="3B0B6288"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0.001 </w:t>
            </w:r>
          </w:p>
        </w:tc>
      </w:tr>
      <w:tr w:rsidR="007A02DE" w:rsidRPr="001D0D9B" w14:paraId="6DE9F5DE"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297A0B23" w14:textId="6F36F898"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55~64</w:t>
            </w:r>
          </w:p>
        </w:tc>
        <w:tc>
          <w:tcPr>
            <w:tcW w:w="795" w:type="pct"/>
            <w:tcBorders>
              <w:top w:val="nil"/>
              <w:left w:val="nil"/>
              <w:bottom w:val="single" w:sz="4" w:space="0" w:color="auto"/>
              <w:right w:val="single" w:sz="4" w:space="0" w:color="auto"/>
            </w:tcBorders>
            <w:vAlign w:val="center"/>
            <w:hideMark/>
          </w:tcPr>
          <w:p w14:paraId="4A0A1010"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7F170130"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24144</w:t>
            </w:r>
          </w:p>
        </w:tc>
        <w:tc>
          <w:tcPr>
            <w:tcW w:w="656" w:type="pct"/>
            <w:tcBorders>
              <w:top w:val="nil"/>
              <w:left w:val="nil"/>
              <w:bottom w:val="single" w:sz="4" w:space="0" w:color="auto"/>
              <w:right w:val="single" w:sz="4" w:space="0" w:color="auto"/>
            </w:tcBorders>
            <w:noWrap/>
            <w:vAlign w:val="center"/>
            <w:hideMark/>
          </w:tcPr>
          <w:p w14:paraId="3095844D"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0.003 </w:t>
            </w:r>
          </w:p>
        </w:tc>
        <w:tc>
          <w:tcPr>
            <w:tcW w:w="1002" w:type="pct"/>
            <w:tcBorders>
              <w:top w:val="nil"/>
              <w:left w:val="nil"/>
              <w:bottom w:val="single" w:sz="4" w:space="0" w:color="auto"/>
              <w:right w:val="single" w:sz="4" w:space="0" w:color="auto"/>
            </w:tcBorders>
            <w:vAlign w:val="center"/>
            <w:hideMark/>
          </w:tcPr>
          <w:p w14:paraId="73014D2B"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0.002 </w:t>
            </w:r>
          </w:p>
        </w:tc>
        <w:tc>
          <w:tcPr>
            <w:tcW w:w="1002" w:type="pct"/>
            <w:tcBorders>
              <w:top w:val="nil"/>
              <w:left w:val="nil"/>
              <w:bottom w:val="single" w:sz="4" w:space="0" w:color="auto"/>
              <w:right w:val="single" w:sz="4" w:space="0" w:color="auto"/>
            </w:tcBorders>
            <w:vAlign w:val="center"/>
            <w:hideMark/>
          </w:tcPr>
          <w:p w14:paraId="13FA6A9A"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0.004 </w:t>
            </w:r>
          </w:p>
        </w:tc>
      </w:tr>
      <w:tr w:rsidR="007A02DE" w:rsidRPr="001D0D9B" w14:paraId="09821985"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438A391D" w14:textId="2AEBD6E1"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lastRenderedPageBreak/>
              <w:t>65~74</w:t>
            </w:r>
          </w:p>
        </w:tc>
        <w:tc>
          <w:tcPr>
            <w:tcW w:w="795" w:type="pct"/>
            <w:tcBorders>
              <w:top w:val="nil"/>
              <w:left w:val="nil"/>
              <w:bottom w:val="single" w:sz="4" w:space="0" w:color="auto"/>
              <w:right w:val="single" w:sz="4" w:space="0" w:color="auto"/>
            </w:tcBorders>
            <w:vAlign w:val="center"/>
            <w:hideMark/>
          </w:tcPr>
          <w:p w14:paraId="28BDE3EE"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17DDE580"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19622</w:t>
            </w:r>
          </w:p>
        </w:tc>
        <w:tc>
          <w:tcPr>
            <w:tcW w:w="656" w:type="pct"/>
            <w:tcBorders>
              <w:top w:val="nil"/>
              <w:left w:val="nil"/>
              <w:bottom w:val="single" w:sz="4" w:space="0" w:color="auto"/>
              <w:right w:val="single" w:sz="4" w:space="0" w:color="auto"/>
            </w:tcBorders>
            <w:noWrap/>
            <w:vAlign w:val="center"/>
            <w:hideMark/>
          </w:tcPr>
          <w:p w14:paraId="36BA1047"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0.009 </w:t>
            </w:r>
          </w:p>
        </w:tc>
        <w:tc>
          <w:tcPr>
            <w:tcW w:w="1002" w:type="pct"/>
            <w:tcBorders>
              <w:top w:val="nil"/>
              <w:left w:val="nil"/>
              <w:bottom w:val="single" w:sz="4" w:space="0" w:color="auto"/>
              <w:right w:val="single" w:sz="4" w:space="0" w:color="auto"/>
            </w:tcBorders>
            <w:vAlign w:val="center"/>
            <w:hideMark/>
          </w:tcPr>
          <w:p w14:paraId="1B0F5727"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0.007 </w:t>
            </w:r>
          </w:p>
        </w:tc>
        <w:tc>
          <w:tcPr>
            <w:tcW w:w="1002" w:type="pct"/>
            <w:tcBorders>
              <w:top w:val="nil"/>
              <w:left w:val="nil"/>
              <w:bottom w:val="single" w:sz="4" w:space="0" w:color="auto"/>
              <w:right w:val="single" w:sz="4" w:space="0" w:color="auto"/>
            </w:tcBorders>
            <w:vAlign w:val="center"/>
            <w:hideMark/>
          </w:tcPr>
          <w:p w14:paraId="368F211A"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0.010 </w:t>
            </w:r>
          </w:p>
        </w:tc>
      </w:tr>
      <w:tr w:rsidR="007A02DE" w:rsidRPr="001D0D9B" w14:paraId="2F29090F" w14:textId="77777777" w:rsidTr="007A02DE">
        <w:trPr>
          <w:trHeight w:val="340"/>
        </w:trPr>
        <w:tc>
          <w:tcPr>
            <w:tcW w:w="750" w:type="pct"/>
            <w:tcBorders>
              <w:top w:val="nil"/>
              <w:left w:val="single" w:sz="4" w:space="0" w:color="auto"/>
              <w:bottom w:val="single" w:sz="4" w:space="0" w:color="auto"/>
              <w:right w:val="single" w:sz="4" w:space="0" w:color="auto"/>
            </w:tcBorders>
            <w:vAlign w:val="center"/>
            <w:hideMark/>
          </w:tcPr>
          <w:p w14:paraId="5F19B5D1" w14:textId="64F69201"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75</w:t>
            </w:r>
            <w:r>
              <w:rPr>
                <w:rFonts w:ascii="Times New Roman" w:eastAsia="DengXian" w:hAnsi="Times New Roman" w:cs="Times New Roman" w:hint="eastAsia"/>
                <w:sz w:val="21"/>
                <w:szCs w:val="21"/>
              </w:rPr>
              <w:t>~</w:t>
            </w:r>
          </w:p>
        </w:tc>
        <w:tc>
          <w:tcPr>
            <w:tcW w:w="795" w:type="pct"/>
            <w:tcBorders>
              <w:top w:val="nil"/>
              <w:left w:val="nil"/>
              <w:bottom w:val="single" w:sz="4" w:space="0" w:color="auto"/>
              <w:right w:val="single" w:sz="4" w:space="0" w:color="auto"/>
            </w:tcBorders>
            <w:vAlign w:val="center"/>
            <w:hideMark/>
          </w:tcPr>
          <w:p w14:paraId="7860FD19"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5" w:type="pct"/>
            <w:tcBorders>
              <w:top w:val="nil"/>
              <w:left w:val="nil"/>
              <w:bottom w:val="single" w:sz="4" w:space="0" w:color="auto"/>
              <w:right w:val="single" w:sz="4" w:space="0" w:color="auto"/>
            </w:tcBorders>
            <w:noWrap/>
            <w:vAlign w:val="center"/>
            <w:hideMark/>
          </w:tcPr>
          <w:p w14:paraId="3BDA90AF" w14:textId="77777777" w:rsidR="007A02DE" w:rsidRPr="001D0D9B" w:rsidRDefault="007A02DE" w:rsidP="00343EE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8470</w:t>
            </w:r>
          </w:p>
        </w:tc>
        <w:tc>
          <w:tcPr>
            <w:tcW w:w="656" w:type="pct"/>
            <w:tcBorders>
              <w:top w:val="nil"/>
              <w:left w:val="nil"/>
              <w:bottom w:val="single" w:sz="4" w:space="0" w:color="auto"/>
              <w:right w:val="single" w:sz="4" w:space="0" w:color="auto"/>
            </w:tcBorders>
            <w:noWrap/>
            <w:vAlign w:val="center"/>
            <w:hideMark/>
          </w:tcPr>
          <w:p w14:paraId="4AED52EE"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0.017 </w:t>
            </w:r>
          </w:p>
        </w:tc>
        <w:tc>
          <w:tcPr>
            <w:tcW w:w="1002" w:type="pct"/>
            <w:tcBorders>
              <w:top w:val="nil"/>
              <w:left w:val="nil"/>
              <w:bottom w:val="single" w:sz="4" w:space="0" w:color="auto"/>
              <w:right w:val="single" w:sz="4" w:space="0" w:color="auto"/>
            </w:tcBorders>
            <w:vAlign w:val="center"/>
            <w:hideMark/>
          </w:tcPr>
          <w:p w14:paraId="0D9347A2"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0.014 </w:t>
            </w:r>
          </w:p>
        </w:tc>
        <w:tc>
          <w:tcPr>
            <w:tcW w:w="1002" w:type="pct"/>
            <w:tcBorders>
              <w:top w:val="nil"/>
              <w:left w:val="nil"/>
              <w:bottom w:val="single" w:sz="4" w:space="0" w:color="auto"/>
              <w:right w:val="single" w:sz="4" w:space="0" w:color="auto"/>
            </w:tcBorders>
            <w:vAlign w:val="center"/>
            <w:hideMark/>
          </w:tcPr>
          <w:p w14:paraId="662FDD27" w14:textId="77777777" w:rsidR="007A02DE" w:rsidRPr="001D0D9B" w:rsidRDefault="007A02DE" w:rsidP="00343EE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0.020 </w:t>
            </w:r>
          </w:p>
        </w:tc>
      </w:tr>
    </w:tbl>
    <w:p w14:paraId="0027D068" w14:textId="77777777" w:rsidR="007A02DE" w:rsidRDefault="007A02DE" w:rsidP="007A02DE"/>
    <w:p w14:paraId="334730DB" w14:textId="65242677" w:rsidR="007A02DE" w:rsidRDefault="007A02DE" w:rsidP="007A02DE">
      <w:pPr>
        <w:pStyle w:val="3"/>
        <w:rPr>
          <w:b w:val="0"/>
          <w:bCs w:val="0"/>
        </w:rPr>
      </w:pPr>
      <w:bookmarkStart w:id="26" w:name="_Toc200988919"/>
      <w:bookmarkStart w:id="27" w:name="_Toc211440065"/>
      <w:r w:rsidRPr="007A02DE">
        <w:rPr>
          <w:b w:val="0"/>
          <w:bCs w:val="0"/>
        </w:rPr>
        <w:t>Table S3. Hemophilia-Specific Mortality Risks for Patients Without Bleeding-Related Complications</w:t>
      </w:r>
      <w:bookmarkEnd w:id="26"/>
      <w:bookmarkEnd w:id="27"/>
    </w:p>
    <w:tbl>
      <w:tblPr>
        <w:tblW w:w="5000" w:type="pct"/>
        <w:tblLook w:val="04A0" w:firstRow="1" w:lastRow="0" w:firstColumn="1" w:lastColumn="0" w:noHBand="0" w:noVBand="1"/>
      </w:tblPr>
      <w:tblGrid>
        <w:gridCol w:w="1178"/>
        <w:gridCol w:w="1251"/>
        <w:gridCol w:w="1251"/>
        <w:gridCol w:w="1433"/>
        <w:gridCol w:w="1593"/>
        <w:gridCol w:w="1590"/>
      </w:tblGrid>
      <w:tr w:rsidR="007A02DE" w:rsidRPr="001D0D9B" w14:paraId="3D98E3B3" w14:textId="77777777" w:rsidTr="007A02DE">
        <w:trPr>
          <w:trHeight w:val="320"/>
        </w:trPr>
        <w:tc>
          <w:tcPr>
            <w:tcW w:w="755" w:type="pct"/>
            <w:tcBorders>
              <w:top w:val="single" w:sz="4" w:space="0" w:color="auto"/>
              <w:left w:val="single" w:sz="4" w:space="0" w:color="auto"/>
              <w:bottom w:val="single" w:sz="4" w:space="0" w:color="auto"/>
              <w:right w:val="single" w:sz="4" w:space="0" w:color="auto"/>
            </w:tcBorders>
            <w:noWrap/>
            <w:vAlign w:val="center"/>
            <w:hideMark/>
          </w:tcPr>
          <w:p w14:paraId="174E6F98" w14:textId="4B3E5DA3" w:rsidR="007A02DE" w:rsidRPr="001D0D9B" w:rsidRDefault="007A02DE" w:rsidP="007A02DE">
            <w:pPr>
              <w:jc w:val="center"/>
              <w:rPr>
                <w:rFonts w:ascii="Times New Roman" w:eastAsia="DengXian" w:hAnsi="Times New Roman" w:cs="Times New Roman"/>
                <w:b/>
                <w:bCs/>
                <w:color w:val="000000"/>
                <w:sz w:val="21"/>
                <w:szCs w:val="21"/>
              </w:rPr>
            </w:pPr>
            <w:r w:rsidRPr="007A02DE">
              <w:rPr>
                <w:rFonts w:ascii="Times New Roman" w:eastAsia="楷体" w:hAnsi="Times New Roman" w:cs="Times New Roman"/>
                <w:b/>
                <w:bCs/>
                <w:color w:val="000000"/>
                <w:sz w:val="20"/>
                <w:szCs w:val="20"/>
              </w:rPr>
              <w:t>Age group</w:t>
            </w:r>
          </w:p>
        </w:tc>
        <w:tc>
          <w:tcPr>
            <w:tcW w:w="799" w:type="pct"/>
            <w:tcBorders>
              <w:top w:val="single" w:sz="4" w:space="0" w:color="auto"/>
              <w:left w:val="nil"/>
              <w:bottom w:val="single" w:sz="4" w:space="0" w:color="auto"/>
              <w:right w:val="single" w:sz="4" w:space="0" w:color="auto"/>
            </w:tcBorders>
            <w:vAlign w:val="center"/>
            <w:hideMark/>
          </w:tcPr>
          <w:p w14:paraId="371BDFAE" w14:textId="4466F86E" w:rsidR="007A02DE" w:rsidRPr="001D0D9B" w:rsidRDefault="007A02DE" w:rsidP="007A02DE">
            <w:pPr>
              <w:jc w:val="center"/>
              <w:rPr>
                <w:rFonts w:ascii="Times New Roman" w:eastAsia="DengXian" w:hAnsi="Times New Roman" w:cs="Times New Roman"/>
                <w:b/>
                <w:bCs/>
                <w:sz w:val="21"/>
                <w:szCs w:val="21"/>
              </w:rPr>
            </w:pPr>
            <w:r w:rsidRPr="007A02DE">
              <w:rPr>
                <w:rFonts w:ascii="Times New Roman" w:eastAsia="楷体" w:hAnsi="Times New Roman" w:cs="Times New Roman"/>
                <w:b/>
                <w:bCs/>
                <w:sz w:val="20"/>
                <w:szCs w:val="20"/>
              </w:rPr>
              <w:t xml:space="preserve">Number of </w:t>
            </w:r>
            <w:r>
              <w:rPr>
                <w:rFonts w:ascii="Times New Roman" w:eastAsia="楷体" w:hAnsi="Times New Roman" w:cs="Times New Roman" w:hint="eastAsia"/>
                <w:b/>
                <w:bCs/>
                <w:sz w:val="20"/>
                <w:szCs w:val="20"/>
              </w:rPr>
              <w:t>studies</w:t>
            </w:r>
          </w:p>
        </w:tc>
        <w:tc>
          <w:tcPr>
            <w:tcW w:w="799" w:type="pct"/>
            <w:tcBorders>
              <w:top w:val="single" w:sz="4" w:space="0" w:color="auto"/>
              <w:left w:val="nil"/>
              <w:bottom w:val="single" w:sz="4" w:space="0" w:color="auto"/>
              <w:right w:val="single" w:sz="4" w:space="0" w:color="auto"/>
            </w:tcBorders>
            <w:vAlign w:val="center"/>
            <w:hideMark/>
          </w:tcPr>
          <w:p w14:paraId="4360D84C" w14:textId="10179205" w:rsidR="007A02DE" w:rsidRPr="001D0D9B" w:rsidRDefault="007A02DE" w:rsidP="007A02DE">
            <w:pPr>
              <w:jc w:val="center"/>
              <w:rPr>
                <w:rFonts w:ascii="Times New Roman" w:eastAsia="DengXian" w:hAnsi="Times New Roman" w:cs="Times New Roman"/>
                <w:b/>
                <w:bCs/>
                <w:sz w:val="21"/>
                <w:szCs w:val="21"/>
              </w:rPr>
            </w:pPr>
            <w:r w:rsidRPr="007A02DE">
              <w:rPr>
                <w:rFonts w:ascii="Times New Roman" w:eastAsia="楷体" w:hAnsi="Times New Roman" w:cs="Times New Roman"/>
                <w:b/>
                <w:bCs/>
                <w:sz w:val="20"/>
                <w:szCs w:val="20"/>
              </w:rPr>
              <w:t>Sample size</w:t>
            </w:r>
          </w:p>
        </w:tc>
        <w:tc>
          <w:tcPr>
            <w:tcW w:w="639" w:type="pct"/>
            <w:tcBorders>
              <w:top w:val="single" w:sz="4" w:space="0" w:color="auto"/>
              <w:left w:val="nil"/>
              <w:bottom w:val="single" w:sz="4" w:space="0" w:color="auto"/>
              <w:right w:val="single" w:sz="4" w:space="0" w:color="auto"/>
            </w:tcBorders>
            <w:noWrap/>
            <w:vAlign w:val="center"/>
            <w:hideMark/>
          </w:tcPr>
          <w:p w14:paraId="7556BD63" w14:textId="44F5403F" w:rsidR="007A02DE" w:rsidRPr="001D0D9B" w:rsidRDefault="00FF20D2" w:rsidP="007A02DE">
            <w:pPr>
              <w:jc w:val="center"/>
              <w:rPr>
                <w:rFonts w:ascii="Times New Roman" w:eastAsia="DengXian" w:hAnsi="Times New Roman" w:cs="Times New Roman"/>
                <w:b/>
                <w:bCs/>
                <w:color w:val="000000"/>
                <w:sz w:val="21"/>
                <w:szCs w:val="21"/>
              </w:rPr>
            </w:pPr>
            <w:r w:rsidRPr="007C4DE3">
              <w:rPr>
                <w:rFonts w:ascii="Times New Roman" w:eastAsia="楷体" w:hAnsi="Times New Roman" w:cs="Times New Roman"/>
                <w:b/>
                <w:bCs/>
                <w:color w:val="000000"/>
                <w:sz w:val="20"/>
                <w:szCs w:val="20"/>
              </w:rPr>
              <w:t>Baseline</w:t>
            </w:r>
            <w:r>
              <w:rPr>
                <w:rFonts w:ascii="Times New Roman" w:eastAsia="楷体" w:hAnsi="Times New Roman" w:cs="Times New Roman" w:hint="eastAsia"/>
                <w:b/>
                <w:bCs/>
                <w:color w:val="000000"/>
                <w:sz w:val="20"/>
                <w:szCs w:val="20"/>
              </w:rPr>
              <w:t xml:space="preserve"> value</w:t>
            </w:r>
          </w:p>
        </w:tc>
        <w:tc>
          <w:tcPr>
            <w:tcW w:w="2008" w:type="pct"/>
            <w:gridSpan w:val="2"/>
            <w:tcBorders>
              <w:top w:val="single" w:sz="4" w:space="0" w:color="auto"/>
              <w:left w:val="nil"/>
              <w:bottom w:val="single" w:sz="4" w:space="0" w:color="auto"/>
              <w:right w:val="single" w:sz="4" w:space="0" w:color="auto"/>
            </w:tcBorders>
            <w:noWrap/>
            <w:vAlign w:val="center"/>
            <w:hideMark/>
          </w:tcPr>
          <w:p w14:paraId="43D3C394" w14:textId="3FA9E8F2" w:rsidR="007A02DE" w:rsidRPr="001D0D9B" w:rsidRDefault="007A02DE" w:rsidP="007A02DE">
            <w:pPr>
              <w:jc w:val="center"/>
              <w:rPr>
                <w:rFonts w:ascii="Times New Roman" w:eastAsia="DengXian" w:hAnsi="Times New Roman" w:cs="Times New Roman"/>
                <w:b/>
                <w:bCs/>
                <w:color w:val="000000"/>
                <w:sz w:val="21"/>
                <w:szCs w:val="21"/>
              </w:rPr>
            </w:pPr>
            <w:r w:rsidRPr="007A02DE">
              <w:rPr>
                <w:rFonts w:ascii="Times New Roman" w:eastAsia="DengXian" w:hAnsi="Times New Roman" w:cs="Times New Roman"/>
                <w:b/>
                <w:bCs/>
                <w:color w:val="000000"/>
                <w:sz w:val="20"/>
                <w:szCs w:val="20"/>
              </w:rPr>
              <w:t>95%CI</w:t>
            </w:r>
          </w:p>
        </w:tc>
      </w:tr>
      <w:tr w:rsidR="007A02DE" w:rsidRPr="001D0D9B" w14:paraId="2FCE0A10"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2D64188E" w14:textId="63FFD0AB"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0~14</w:t>
            </w:r>
          </w:p>
        </w:tc>
        <w:tc>
          <w:tcPr>
            <w:tcW w:w="799" w:type="pct"/>
            <w:tcBorders>
              <w:top w:val="nil"/>
              <w:left w:val="nil"/>
              <w:bottom w:val="single" w:sz="4" w:space="0" w:color="auto"/>
              <w:right w:val="single" w:sz="4" w:space="0" w:color="auto"/>
            </w:tcBorders>
            <w:vAlign w:val="center"/>
            <w:hideMark/>
          </w:tcPr>
          <w:p w14:paraId="740EC0D8"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750926AF"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80000 </w:t>
            </w:r>
          </w:p>
        </w:tc>
        <w:tc>
          <w:tcPr>
            <w:tcW w:w="639" w:type="pct"/>
            <w:tcBorders>
              <w:top w:val="nil"/>
              <w:left w:val="nil"/>
              <w:bottom w:val="single" w:sz="4" w:space="0" w:color="auto"/>
              <w:right w:val="single" w:sz="4" w:space="0" w:color="auto"/>
            </w:tcBorders>
            <w:noWrap/>
            <w:vAlign w:val="center"/>
            <w:hideMark/>
          </w:tcPr>
          <w:p w14:paraId="7B1E1077"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1.351 </w:t>
            </w:r>
          </w:p>
        </w:tc>
        <w:tc>
          <w:tcPr>
            <w:tcW w:w="1005" w:type="pct"/>
            <w:tcBorders>
              <w:top w:val="nil"/>
              <w:left w:val="nil"/>
              <w:bottom w:val="single" w:sz="4" w:space="0" w:color="auto"/>
              <w:right w:val="single" w:sz="4" w:space="0" w:color="auto"/>
            </w:tcBorders>
            <w:vAlign w:val="center"/>
            <w:hideMark/>
          </w:tcPr>
          <w:p w14:paraId="4B6AA00A"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1.000 </w:t>
            </w:r>
          </w:p>
        </w:tc>
        <w:tc>
          <w:tcPr>
            <w:tcW w:w="1003" w:type="pct"/>
            <w:tcBorders>
              <w:top w:val="nil"/>
              <w:left w:val="nil"/>
              <w:bottom w:val="single" w:sz="4" w:space="0" w:color="auto"/>
              <w:right w:val="single" w:sz="4" w:space="0" w:color="auto"/>
            </w:tcBorders>
            <w:vAlign w:val="center"/>
            <w:hideMark/>
          </w:tcPr>
          <w:p w14:paraId="548A6E62"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2.070 </w:t>
            </w:r>
          </w:p>
        </w:tc>
      </w:tr>
      <w:tr w:rsidR="007A02DE" w:rsidRPr="001D0D9B" w14:paraId="6FE5838E"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0E64C4F5" w14:textId="6F99124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15~24</w:t>
            </w:r>
          </w:p>
        </w:tc>
        <w:tc>
          <w:tcPr>
            <w:tcW w:w="799" w:type="pct"/>
            <w:tcBorders>
              <w:top w:val="nil"/>
              <w:left w:val="nil"/>
              <w:bottom w:val="single" w:sz="4" w:space="0" w:color="auto"/>
              <w:right w:val="single" w:sz="4" w:space="0" w:color="auto"/>
            </w:tcBorders>
            <w:vAlign w:val="center"/>
            <w:hideMark/>
          </w:tcPr>
          <w:p w14:paraId="4AE4A6DF"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40E297DF"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34286 </w:t>
            </w:r>
          </w:p>
        </w:tc>
        <w:tc>
          <w:tcPr>
            <w:tcW w:w="639" w:type="pct"/>
            <w:tcBorders>
              <w:top w:val="nil"/>
              <w:left w:val="nil"/>
              <w:bottom w:val="single" w:sz="4" w:space="0" w:color="auto"/>
              <w:right w:val="single" w:sz="4" w:space="0" w:color="auto"/>
            </w:tcBorders>
            <w:noWrap/>
            <w:vAlign w:val="center"/>
            <w:hideMark/>
          </w:tcPr>
          <w:p w14:paraId="4FE91E34"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4.070 </w:t>
            </w:r>
          </w:p>
        </w:tc>
        <w:tc>
          <w:tcPr>
            <w:tcW w:w="1005" w:type="pct"/>
            <w:tcBorders>
              <w:top w:val="nil"/>
              <w:left w:val="nil"/>
              <w:bottom w:val="single" w:sz="4" w:space="0" w:color="auto"/>
              <w:right w:val="single" w:sz="4" w:space="0" w:color="auto"/>
            </w:tcBorders>
            <w:vAlign w:val="center"/>
            <w:hideMark/>
          </w:tcPr>
          <w:p w14:paraId="3D3882B6"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3.205 </w:t>
            </w:r>
          </w:p>
        </w:tc>
        <w:tc>
          <w:tcPr>
            <w:tcW w:w="1003" w:type="pct"/>
            <w:tcBorders>
              <w:top w:val="nil"/>
              <w:left w:val="nil"/>
              <w:bottom w:val="single" w:sz="4" w:space="0" w:color="auto"/>
              <w:right w:val="single" w:sz="4" w:space="0" w:color="auto"/>
            </w:tcBorders>
            <w:vAlign w:val="center"/>
            <w:hideMark/>
          </w:tcPr>
          <w:p w14:paraId="3BFB6772"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5.167 </w:t>
            </w:r>
          </w:p>
        </w:tc>
      </w:tr>
      <w:tr w:rsidR="007A02DE" w:rsidRPr="001D0D9B" w14:paraId="29B1546F"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52F4C9E2" w14:textId="03520E86"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25~34</w:t>
            </w:r>
          </w:p>
        </w:tc>
        <w:tc>
          <w:tcPr>
            <w:tcW w:w="799" w:type="pct"/>
            <w:tcBorders>
              <w:top w:val="nil"/>
              <w:left w:val="nil"/>
              <w:bottom w:val="single" w:sz="4" w:space="0" w:color="auto"/>
              <w:right w:val="single" w:sz="4" w:space="0" w:color="auto"/>
            </w:tcBorders>
            <w:vAlign w:val="center"/>
            <w:hideMark/>
          </w:tcPr>
          <w:p w14:paraId="13F1C124"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3C8B33FB"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44000 </w:t>
            </w:r>
          </w:p>
        </w:tc>
        <w:tc>
          <w:tcPr>
            <w:tcW w:w="639" w:type="pct"/>
            <w:tcBorders>
              <w:top w:val="nil"/>
              <w:left w:val="nil"/>
              <w:bottom w:val="single" w:sz="4" w:space="0" w:color="auto"/>
              <w:right w:val="single" w:sz="4" w:space="0" w:color="auto"/>
            </w:tcBorders>
            <w:noWrap/>
            <w:vAlign w:val="center"/>
            <w:hideMark/>
          </w:tcPr>
          <w:p w14:paraId="4355FCF9"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1.664 </w:t>
            </w:r>
          </w:p>
        </w:tc>
        <w:tc>
          <w:tcPr>
            <w:tcW w:w="1005" w:type="pct"/>
            <w:tcBorders>
              <w:top w:val="nil"/>
              <w:left w:val="nil"/>
              <w:bottom w:val="single" w:sz="4" w:space="0" w:color="auto"/>
              <w:right w:val="single" w:sz="4" w:space="0" w:color="auto"/>
            </w:tcBorders>
            <w:vAlign w:val="center"/>
            <w:hideMark/>
          </w:tcPr>
          <w:p w14:paraId="54D6BFA9"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1.303 </w:t>
            </w:r>
          </w:p>
        </w:tc>
        <w:tc>
          <w:tcPr>
            <w:tcW w:w="1003" w:type="pct"/>
            <w:tcBorders>
              <w:top w:val="nil"/>
              <w:left w:val="nil"/>
              <w:bottom w:val="single" w:sz="4" w:space="0" w:color="auto"/>
              <w:right w:val="single" w:sz="4" w:space="0" w:color="auto"/>
            </w:tcBorders>
            <w:vAlign w:val="center"/>
            <w:hideMark/>
          </w:tcPr>
          <w:p w14:paraId="4D83A31D"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2.125 </w:t>
            </w:r>
          </w:p>
        </w:tc>
      </w:tr>
      <w:tr w:rsidR="007A02DE" w:rsidRPr="001D0D9B" w14:paraId="27B0E4DE"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1300DFDF" w14:textId="769688E2"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35~44</w:t>
            </w:r>
          </w:p>
        </w:tc>
        <w:tc>
          <w:tcPr>
            <w:tcW w:w="799" w:type="pct"/>
            <w:tcBorders>
              <w:top w:val="nil"/>
              <w:left w:val="nil"/>
              <w:bottom w:val="single" w:sz="4" w:space="0" w:color="auto"/>
              <w:right w:val="single" w:sz="4" w:space="0" w:color="auto"/>
            </w:tcBorders>
            <w:vAlign w:val="center"/>
            <w:hideMark/>
          </w:tcPr>
          <w:p w14:paraId="239934AC"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478668F9"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27500 </w:t>
            </w:r>
          </w:p>
        </w:tc>
        <w:tc>
          <w:tcPr>
            <w:tcW w:w="639" w:type="pct"/>
            <w:tcBorders>
              <w:top w:val="nil"/>
              <w:left w:val="nil"/>
              <w:bottom w:val="single" w:sz="4" w:space="0" w:color="auto"/>
              <w:right w:val="single" w:sz="4" w:space="0" w:color="auto"/>
            </w:tcBorders>
            <w:noWrap/>
            <w:vAlign w:val="center"/>
            <w:hideMark/>
          </w:tcPr>
          <w:p w14:paraId="0A760508"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1.455 </w:t>
            </w:r>
          </w:p>
        </w:tc>
        <w:tc>
          <w:tcPr>
            <w:tcW w:w="1005" w:type="pct"/>
            <w:tcBorders>
              <w:top w:val="nil"/>
              <w:left w:val="nil"/>
              <w:bottom w:val="single" w:sz="4" w:space="0" w:color="auto"/>
              <w:right w:val="single" w:sz="4" w:space="0" w:color="auto"/>
            </w:tcBorders>
            <w:vAlign w:val="center"/>
            <w:hideMark/>
          </w:tcPr>
          <w:p w14:paraId="6CABBEF3"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1.153 </w:t>
            </w:r>
          </w:p>
        </w:tc>
        <w:tc>
          <w:tcPr>
            <w:tcW w:w="1003" w:type="pct"/>
            <w:tcBorders>
              <w:top w:val="nil"/>
              <w:left w:val="nil"/>
              <w:bottom w:val="single" w:sz="4" w:space="0" w:color="auto"/>
              <w:right w:val="single" w:sz="4" w:space="0" w:color="auto"/>
            </w:tcBorders>
            <w:vAlign w:val="center"/>
            <w:hideMark/>
          </w:tcPr>
          <w:p w14:paraId="13C94F37"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1.835 </w:t>
            </w:r>
          </w:p>
        </w:tc>
      </w:tr>
      <w:tr w:rsidR="007A02DE" w:rsidRPr="001D0D9B" w14:paraId="0CDC9C0A"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4848D5DD" w14:textId="23EE8FA4"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45~54</w:t>
            </w:r>
          </w:p>
        </w:tc>
        <w:tc>
          <w:tcPr>
            <w:tcW w:w="799" w:type="pct"/>
            <w:tcBorders>
              <w:top w:val="nil"/>
              <w:left w:val="nil"/>
              <w:bottom w:val="single" w:sz="4" w:space="0" w:color="auto"/>
              <w:right w:val="single" w:sz="4" w:space="0" w:color="auto"/>
            </w:tcBorders>
            <w:vAlign w:val="center"/>
            <w:hideMark/>
          </w:tcPr>
          <w:p w14:paraId="2D41687C"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415237C9"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18537 </w:t>
            </w:r>
          </w:p>
        </w:tc>
        <w:tc>
          <w:tcPr>
            <w:tcW w:w="639" w:type="pct"/>
            <w:tcBorders>
              <w:top w:val="nil"/>
              <w:left w:val="nil"/>
              <w:bottom w:val="single" w:sz="4" w:space="0" w:color="auto"/>
              <w:right w:val="single" w:sz="4" w:space="0" w:color="auto"/>
            </w:tcBorders>
            <w:noWrap/>
            <w:vAlign w:val="center"/>
            <w:hideMark/>
          </w:tcPr>
          <w:p w14:paraId="0A32F297"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1.660 </w:t>
            </w:r>
          </w:p>
        </w:tc>
        <w:tc>
          <w:tcPr>
            <w:tcW w:w="1005" w:type="pct"/>
            <w:tcBorders>
              <w:top w:val="nil"/>
              <w:left w:val="nil"/>
              <w:bottom w:val="single" w:sz="4" w:space="0" w:color="auto"/>
              <w:right w:val="single" w:sz="4" w:space="0" w:color="auto"/>
            </w:tcBorders>
            <w:vAlign w:val="center"/>
            <w:hideMark/>
          </w:tcPr>
          <w:p w14:paraId="5F9132CA"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1.372 </w:t>
            </w:r>
          </w:p>
        </w:tc>
        <w:tc>
          <w:tcPr>
            <w:tcW w:w="1003" w:type="pct"/>
            <w:tcBorders>
              <w:top w:val="nil"/>
              <w:left w:val="nil"/>
              <w:bottom w:val="single" w:sz="4" w:space="0" w:color="auto"/>
              <w:right w:val="single" w:sz="4" w:space="0" w:color="auto"/>
            </w:tcBorders>
            <w:vAlign w:val="center"/>
            <w:hideMark/>
          </w:tcPr>
          <w:p w14:paraId="60566877"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2.008 </w:t>
            </w:r>
          </w:p>
        </w:tc>
      </w:tr>
      <w:tr w:rsidR="007A02DE" w:rsidRPr="001D0D9B" w14:paraId="71298370"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065AD66C" w14:textId="0935838B"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55~64</w:t>
            </w:r>
          </w:p>
        </w:tc>
        <w:tc>
          <w:tcPr>
            <w:tcW w:w="799" w:type="pct"/>
            <w:tcBorders>
              <w:top w:val="nil"/>
              <w:left w:val="nil"/>
              <w:bottom w:val="single" w:sz="4" w:space="0" w:color="auto"/>
              <w:right w:val="single" w:sz="4" w:space="0" w:color="auto"/>
            </w:tcBorders>
            <w:vAlign w:val="center"/>
            <w:hideMark/>
          </w:tcPr>
          <w:p w14:paraId="65E095D8"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73E16A8A"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10893 </w:t>
            </w:r>
          </w:p>
        </w:tc>
        <w:tc>
          <w:tcPr>
            <w:tcW w:w="639" w:type="pct"/>
            <w:tcBorders>
              <w:top w:val="nil"/>
              <w:left w:val="nil"/>
              <w:bottom w:val="single" w:sz="4" w:space="0" w:color="auto"/>
              <w:right w:val="single" w:sz="4" w:space="0" w:color="auto"/>
            </w:tcBorders>
            <w:noWrap/>
            <w:vAlign w:val="center"/>
            <w:hideMark/>
          </w:tcPr>
          <w:p w14:paraId="29C11FA1"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2.214 </w:t>
            </w:r>
          </w:p>
        </w:tc>
        <w:tc>
          <w:tcPr>
            <w:tcW w:w="1005" w:type="pct"/>
            <w:tcBorders>
              <w:top w:val="nil"/>
              <w:left w:val="nil"/>
              <w:bottom w:val="single" w:sz="4" w:space="0" w:color="auto"/>
              <w:right w:val="single" w:sz="4" w:space="0" w:color="auto"/>
            </w:tcBorders>
            <w:vAlign w:val="center"/>
            <w:hideMark/>
          </w:tcPr>
          <w:p w14:paraId="70E721C0"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1.928 </w:t>
            </w:r>
          </w:p>
        </w:tc>
        <w:tc>
          <w:tcPr>
            <w:tcW w:w="1003" w:type="pct"/>
            <w:tcBorders>
              <w:top w:val="nil"/>
              <w:left w:val="nil"/>
              <w:bottom w:val="single" w:sz="4" w:space="0" w:color="auto"/>
              <w:right w:val="single" w:sz="4" w:space="0" w:color="auto"/>
            </w:tcBorders>
            <w:vAlign w:val="center"/>
            <w:hideMark/>
          </w:tcPr>
          <w:p w14:paraId="6E06C0C7"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2.541 </w:t>
            </w:r>
          </w:p>
        </w:tc>
      </w:tr>
      <w:tr w:rsidR="007A02DE" w:rsidRPr="001D0D9B" w14:paraId="7AC3C6CA"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60A44823" w14:textId="6A616569"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65~74</w:t>
            </w:r>
          </w:p>
        </w:tc>
        <w:tc>
          <w:tcPr>
            <w:tcW w:w="799" w:type="pct"/>
            <w:tcBorders>
              <w:top w:val="nil"/>
              <w:left w:val="nil"/>
              <w:bottom w:val="single" w:sz="4" w:space="0" w:color="auto"/>
              <w:right w:val="single" w:sz="4" w:space="0" w:color="auto"/>
            </w:tcBorders>
            <w:vAlign w:val="center"/>
            <w:hideMark/>
          </w:tcPr>
          <w:p w14:paraId="197048A6"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039FCB4B"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5449 </w:t>
            </w:r>
          </w:p>
        </w:tc>
        <w:tc>
          <w:tcPr>
            <w:tcW w:w="639" w:type="pct"/>
            <w:tcBorders>
              <w:top w:val="nil"/>
              <w:left w:val="nil"/>
              <w:bottom w:val="single" w:sz="4" w:space="0" w:color="auto"/>
              <w:right w:val="single" w:sz="4" w:space="0" w:color="auto"/>
            </w:tcBorders>
            <w:noWrap/>
            <w:vAlign w:val="center"/>
            <w:hideMark/>
          </w:tcPr>
          <w:p w14:paraId="2446BE8F"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2.576 </w:t>
            </w:r>
          </w:p>
        </w:tc>
        <w:tc>
          <w:tcPr>
            <w:tcW w:w="1005" w:type="pct"/>
            <w:tcBorders>
              <w:top w:val="nil"/>
              <w:left w:val="nil"/>
              <w:bottom w:val="single" w:sz="4" w:space="0" w:color="auto"/>
              <w:right w:val="single" w:sz="4" w:space="0" w:color="auto"/>
            </w:tcBorders>
            <w:vAlign w:val="center"/>
            <w:hideMark/>
          </w:tcPr>
          <w:p w14:paraId="49094446"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2.304 </w:t>
            </w:r>
          </w:p>
        </w:tc>
        <w:tc>
          <w:tcPr>
            <w:tcW w:w="1003" w:type="pct"/>
            <w:tcBorders>
              <w:top w:val="nil"/>
              <w:left w:val="nil"/>
              <w:bottom w:val="single" w:sz="4" w:space="0" w:color="auto"/>
              <w:right w:val="single" w:sz="4" w:space="0" w:color="auto"/>
            </w:tcBorders>
            <w:vAlign w:val="center"/>
            <w:hideMark/>
          </w:tcPr>
          <w:p w14:paraId="038D007C"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2.879 </w:t>
            </w:r>
          </w:p>
        </w:tc>
      </w:tr>
      <w:tr w:rsidR="007A02DE" w:rsidRPr="001D0D9B" w14:paraId="2A455841" w14:textId="77777777" w:rsidTr="007A02DE">
        <w:trPr>
          <w:trHeight w:val="340"/>
        </w:trPr>
        <w:tc>
          <w:tcPr>
            <w:tcW w:w="755" w:type="pct"/>
            <w:tcBorders>
              <w:top w:val="nil"/>
              <w:left w:val="single" w:sz="4" w:space="0" w:color="auto"/>
              <w:bottom w:val="single" w:sz="4" w:space="0" w:color="auto"/>
              <w:right w:val="single" w:sz="4" w:space="0" w:color="auto"/>
            </w:tcBorders>
            <w:vAlign w:val="center"/>
            <w:hideMark/>
          </w:tcPr>
          <w:p w14:paraId="43AE3EC0" w14:textId="7FF1F2B8"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75</w:t>
            </w:r>
            <w:r>
              <w:rPr>
                <w:rFonts w:ascii="Times New Roman" w:eastAsia="DengXian" w:hAnsi="Times New Roman" w:cs="Times New Roman" w:hint="eastAsia"/>
                <w:sz w:val="21"/>
                <w:szCs w:val="21"/>
              </w:rPr>
              <w:t>~</w:t>
            </w:r>
          </w:p>
        </w:tc>
        <w:tc>
          <w:tcPr>
            <w:tcW w:w="799" w:type="pct"/>
            <w:tcBorders>
              <w:top w:val="nil"/>
              <w:left w:val="nil"/>
              <w:bottom w:val="single" w:sz="4" w:space="0" w:color="auto"/>
              <w:right w:val="single" w:sz="4" w:space="0" w:color="auto"/>
            </w:tcBorders>
            <w:vAlign w:val="center"/>
            <w:hideMark/>
          </w:tcPr>
          <w:p w14:paraId="0EAA1FE6"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1</w:t>
            </w:r>
          </w:p>
        </w:tc>
        <w:tc>
          <w:tcPr>
            <w:tcW w:w="799" w:type="pct"/>
            <w:tcBorders>
              <w:top w:val="nil"/>
              <w:left w:val="nil"/>
              <w:bottom w:val="single" w:sz="4" w:space="0" w:color="auto"/>
              <w:right w:val="single" w:sz="4" w:space="0" w:color="auto"/>
            </w:tcBorders>
            <w:noWrap/>
            <w:vAlign w:val="center"/>
            <w:hideMark/>
          </w:tcPr>
          <w:p w14:paraId="2F966D5B" w14:textId="77777777" w:rsidR="007A02DE" w:rsidRPr="001D0D9B" w:rsidRDefault="007A02DE" w:rsidP="007A02DE">
            <w:pPr>
              <w:jc w:val="center"/>
              <w:rPr>
                <w:rFonts w:ascii="Times New Roman" w:eastAsia="DengXian" w:hAnsi="Times New Roman" w:cs="Times New Roman"/>
                <w:color w:val="000000"/>
                <w:sz w:val="21"/>
                <w:szCs w:val="21"/>
              </w:rPr>
            </w:pPr>
            <w:r w:rsidRPr="001D0D9B">
              <w:rPr>
                <w:rFonts w:ascii="Times New Roman" w:eastAsia="DengXian" w:hAnsi="Times New Roman" w:cs="Times New Roman"/>
                <w:color w:val="000000"/>
                <w:sz w:val="21"/>
                <w:szCs w:val="21"/>
              </w:rPr>
              <w:t xml:space="preserve">1813 </w:t>
            </w:r>
          </w:p>
        </w:tc>
        <w:tc>
          <w:tcPr>
            <w:tcW w:w="639" w:type="pct"/>
            <w:tcBorders>
              <w:top w:val="nil"/>
              <w:left w:val="nil"/>
              <w:bottom w:val="single" w:sz="4" w:space="0" w:color="auto"/>
              <w:right w:val="single" w:sz="4" w:space="0" w:color="auto"/>
            </w:tcBorders>
            <w:noWrap/>
            <w:vAlign w:val="center"/>
            <w:hideMark/>
          </w:tcPr>
          <w:p w14:paraId="38EE1BBE"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2.470 </w:t>
            </w:r>
          </w:p>
        </w:tc>
        <w:tc>
          <w:tcPr>
            <w:tcW w:w="1005" w:type="pct"/>
            <w:tcBorders>
              <w:top w:val="nil"/>
              <w:left w:val="nil"/>
              <w:bottom w:val="single" w:sz="4" w:space="0" w:color="auto"/>
              <w:right w:val="single" w:sz="4" w:space="0" w:color="auto"/>
            </w:tcBorders>
            <w:vAlign w:val="center"/>
            <w:hideMark/>
          </w:tcPr>
          <w:p w14:paraId="21AB2024"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2.217 </w:t>
            </w:r>
          </w:p>
        </w:tc>
        <w:tc>
          <w:tcPr>
            <w:tcW w:w="1003" w:type="pct"/>
            <w:tcBorders>
              <w:top w:val="nil"/>
              <w:left w:val="nil"/>
              <w:bottom w:val="single" w:sz="4" w:space="0" w:color="auto"/>
              <w:right w:val="single" w:sz="4" w:space="0" w:color="auto"/>
            </w:tcBorders>
            <w:vAlign w:val="center"/>
            <w:hideMark/>
          </w:tcPr>
          <w:p w14:paraId="3CFCCFEF" w14:textId="77777777" w:rsidR="007A02DE" w:rsidRPr="001D0D9B" w:rsidRDefault="007A02DE" w:rsidP="007A02DE">
            <w:pPr>
              <w:jc w:val="center"/>
              <w:rPr>
                <w:rFonts w:ascii="Times New Roman" w:eastAsia="DengXian" w:hAnsi="Times New Roman" w:cs="Times New Roman"/>
                <w:sz w:val="21"/>
                <w:szCs w:val="21"/>
              </w:rPr>
            </w:pPr>
            <w:r w:rsidRPr="001D0D9B">
              <w:rPr>
                <w:rFonts w:ascii="Times New Roman" w:eastAsia="DengXian" w:hAnsi="Times New Roman" w:cs="Times New Roman"/>
                <w:sz w:val="21"/>
                <w:szCs w:val="21"/>
              </w:rPr>
              <w:t xml:space="preserve">2.747 </w:t>
            </w:r>
          </w:p>
        </w:tc>
      </w:tr>
    </w:tbl>
    <w:p w14:paraId="4D39D4D1" w14:textId="77777777" w:rsidR="007A02DE" w:rsidRDefault="007A02DE" w:rsidP="007A02DE"/>
    <w:p w14:paraId="42CD0AA7" w14:textId="6F22AE32" w:rsidR="007C4DE3" w:rsidRDefault="007C4DE3" w:rsidP="007C4DE3">
      <w:pPr>
        <w:pStyle w:val="3"/>
        <w:rPr>
          <w:b w:val="0"/>
          <w:bCs w:val="0"/>
        </w:rPr>
      </w:pPr>
      <w:bookmarkStart w:id="28" w:name="_Toc200988920"/>
      <w:bookmarkStart w:id="29" w:name="_Toc211440066"/>
      <w:r w:rsidRPr="007C4DE3">
        <w:rPr>
          <w:b w:val="0"/>
          <w:bCs w:val="0"/>
        </w:rPr>
        <w:t>Table S4. First-Year Mortality Rates for Three Bleeding-Related Complications and Long-Term Relative Mortality Risk for Intracranial Hemorrhage (ICH)</w:t>
      </w:r>
      <w:bookmarkEnd w:id="28"/>
      <w:bookmarkEnd w:id="29"/>
    </w:p>
    <w:tbl>
      <w:tblPr>
        <w:tblW w:w="5000" w:type="pct"/>
        <w:tblLook w:val="04A0" w:firstRow="1" w:lastRow="0" w:firstColumn="1" w:lastColumn="0" w:noHBand="0" w:noVBand="1"/>
      </w:tblPr>
      <w:tblGrid>
        <w:gridCol w:w="2948"/>
        <w:gridCol w:w="1069"/>
        <w:gridCol w:w="1070"/>
        <w:gridCol w:w="1070"/>
        <w:gridCol w:w="1070"/>
        <w:gridCol w:w="1069"/>
      </w:tblGrid>
      <w:tr w:rsidR="007C4DE3" w:rsidRPr="007C4DE3" w14:paraId="38364C56" w14:textId="77777777" w:rsidTr="007C4DE3">
        <w:trPr>
          <w:trHeight w:val="660"/>
        </w:trPr>
        <w:tc>
          <w:tcPr>
            <w:tcW w:w="1777" w:type="pct"/>
            <w:tcBorders>
              <w:top w:val="single" w:sz="4" w:space="0" w:color="auto"/>
              <w:left w:val="single" w:sz="4" w:space="0" w:color="auto"/>
              <w:bottom w:val="single" w:sz="4" w:space="0" w:color="auto"/>
              <w:right w:val="single" w:sz="4" w:space="0" w:color="auto"/>
            </w:tcBorders>
            <w:vAlign w:val="center"/>
            <w:hideMark/>
          </w:tcPr>
          <w:p w14:paraId="1601B6E2" w14:textId="6AAA5291" w:rsidR="007C4DE3" w:rsidRPr="007C4DE3" w:rsidRDefault="007C4DE3" w:rsidP="007C4DE3">
            <w:pPr>
              <w:pStyle w:val="p1"/>
              <w:jc w:val="center"/>
              <w:rPr>
                <w:rFonts w:ascii="Times New Roman" w:hAnsi="Times New Roman" w:cs="Times New Roman"/>
                <w:sz w:val="20"/>
                <w:szCs w:val="20"/>
              </w:rPr>
            </w:pPr>
            <w:r w:rsidRPr="007C4DE3">
              <w:rPr>
                <w:rFonts w:ascii="Times New Roman" w:hAnsi="Times New Roman" w:cs="Times New Roman"/>
                <w:b/>
                <w:bCs/>
                <w:sz w:val="20"/>
                <w:szCs w:val="20"/>
              </w:rPr>
              <w:t>Parameter Name</w:t>
            </w:r>
          </w:p>
        </w:tc>
        <w:tc>
          <w:tcPr>
            <w:tcW w:w="644" w:type="pct"/>
            <w:tcBorders>
              <w:top w:val="single" w:sz="4" w:space="0" w:color="auto"/>
              <w:left w:val="nil"/>
              <w:bottom w:val="single" w:sz="4" w:space="0" w:color="auto"/>
              <w:right w:val="single" w:sz="4" w:space="0" w:color="auto"/>
            </w:tcBorders>
            <w:vAlign w:val="center"/>
            <w:hideMark/>
          </w:tcPr>
          <w:p w14:paraId="5AD1AEFA" w14:textId="3EACA976" w:rsidR="007C4DE3" w:rsidRPr="007C4DE3" w:rsidRDefault="007C4DE3" w:rsidP="007C4DE3">
            <w:pPr>
              <w:jc w:val="center"/>
              <w:rPr>
                <w:rFonts w:ascii="Times New Roman" w:eastAsia="DengXian" w:hAnsi="Times New Roman" w:cs="Times New Roman"/>
                <w:b/>
                <w:bCs/>
                <w:sz w:val="20"/>
                <w:szCs w:val="20"/>
              </w:rPr>
            </w:pPr>
            <w:r w:rsidRPr="007C4DE3">
              <w:rPr>
                <w:rFonts w:ascii="Times New Roman" w:eastAsia="楷体" w:hAnsi="Times New Roman" w:cs="Times New Roman"/>
                <w:b/>
                <w:bCs/>
                <w:sz w:val="20"/>
                <w:szCs w:val="20"/>
              </w:rPr>
              <w:t>Number of studies</w:t>
            </w:r>
          </w:p>
        </w:tc>
        <w:tc>
          <w:tcPr>
            <w:tcW w:w="645" w:type="pct"/>
            <w:tcBorders>
              <w:top w:val="single" w:sz="4" w:space="0" w:color="auto"/>
              <w:left w:val="nil"/>
              <w:bottom w:val="single" w:sz="4" w:space="0" w:color="auto"/>
              <w:right w:val="single" w:sz="4" w:space="0" w:color="auto"/>
            </w:tcBorders>
            <w:vAlign w:val="center"/>
            <w:hideMark/>
          </w:tcPr>
          <w:p w14:paraId="39329379" w14:textId="6E777059" w:rsidR="007C4DE3" w:rsidRPr="007C4DE3" w:rsidRDefault="007C4DE3" w:rsidP="007C4DE3">
            <w:pPr>
              <w:jc w:val="center"/>
              <w:rPr>
                <w:rFonts w:ascii="Times New Roman" w:eastAsia="DengXian" w:hAnsi="Times New Roman" w:cs="Times New Roman"/>
                <w:b/>
                <w:bCs/>
                <w:sz w:val="20"/>
                <w:szCs w:val="20"/>
              </w:rPr>
            </w:pPr>
            <w:r w:rsidRPr="007C4DE3">
              <w:rPr>
                <w:rFonts w:ascii="Times New Roman" w:eastAsia="楷体" w:hAnsi="Times New Roman" w:cs="Times New Roman"/>
                <w:b/>
                <w:bCs/>
                <w:sz w:val="20"/>
                <w:szCs w:val="20"/>
              </w:rPr>
              <w:t>Sample size</w:t>
            </w:r>
          </w:p>
        </w:tc>
        <w:tc>
          <w:tcPr>
            <w:tcW w:w="645" w:type="pct"/>
            <w:tcBorders>
              <w:top w:val="single" w:sz="4" w:space="0" w:color="auto"/>
              <w:left w:val="nil"/>
              <w:bottom w:val="single" w:sz="4" w:space="0" w:color="auto"/>
              <w:right w:val="single" w:sz="4" w:space="0" w:color="auto"/>
            </w:tcBorders>
            <w:vAlign w:val="center"/>
            <w:hideMark/>
          </w:tcPr>
          <w:p w14:paraId="64505CF3" w14:textId="79A61AE3" w:rsidR="007C4DE3" w:rsidRPr="007C4DE3" w:rsidRDefault="007C4DE3" w:rsidP="007C4DE3">
            <w:pPr>
              <w:jc w:val="center"/>
              <w:rPr>
                <w:rFonts w:ascii="Times New Roman" w:eastAsia="DengXian" w:hAnsi="Times New Roman" w:cs="Times New Roman"/>
                <w:b/>
                <w:bCs/>
                <w:color w:val="000000"/>
                <w:sz w:val="20"/>
                <w:szCs w:val="20"/>
              </w:rPr>
            </w:pPr>
            <w:r w:rsidRPr="007C4DE3">
              <w:rPr>
                <w:rFonts w:ascii="Times New Roman" w:eastAsia="楷体" w:hAnsi="Times New Roman" w:cs="Times New Roman"/>
                <w:b/>
                <w:bCs/>
                <w:color w:val="000000"/>
                <w:sz w:val="20"/>
                <w:szCs w:val="20"/>
              </w:rPr>
              <w:t>Baseline</w:t>
            </w:r>
            <w:r w:rsidR="00FF20D2">
              <w:rPr>
                <w:rFonts w:ascii="Times New Roman" w:eastAsia="楷体" w:hAnsi="Times New Roman" w:cs="Times New Roman" w:hint="eastAsia"/>
                <w:b/>
                <w:bCs/>
                <w:color w:val="000000"/>
                <w:sz w:val="20"/>
                <w:szCs w:val="20"/>
              </w:rPr>
              <w:t xml:space="preserve"> value</w:t>
            </w:r>
          </w:p>
        </w:tc>
        <w:tc>
          <w:tcPr>
            <w:tcW w:w="1289" w:type="pct"/>
            <w:gridSpan w:val="2"/>
            <w:tcBorders>
              <w:top w:val="single" w:sz="4" w:space="0" w:color="auto"/>
              <w:left w:val="nil"/>
              <w:bottom w:val="single" w:sz="4" w:space="0" w:color="auto"/>
              <w:right w:val="single" w:sz="4" w:space="0" w:color="auto"/>
            </w:tcBorders>
            <w:vAlign w:val="center"/>
            <w:hideMark/>
          </w:tcPr>
          <w:p w14:paraId="0AA27794" w14:textId="5C691F5D" w:rsidR="007C4DE3" w:rsidRPr="007C4DE3" w:rsidRDefault="007C4DE3" w:rsidP="007C4DE3">
            <w:pPr>
              <w:jc w:val="center"/>
              <w:rPr>
                <w:rFonts w:ascii="Times New Roman" w:eastAsia="DengXian" w:hAnsi="Times New Roman" w:cs="Times New Roman"/>
                <w:b/>
                <w:bCs/>
                <w:color w:val="000000"/>
                <w:sz w:val="20"/>
                <w:szCs w:val="20"/>
              </w:rPr>
            </w:pPr>
            <w:r w:rsidRPr="007C4DE3">
              <w:rPr>
                <w:rFonts w:ascii="Times New Roman" w:eastAsia="DengXian" w:hAnsi="Times New Roman" w:cs="Times New Roman"/>
                <w:b/>
                <w:bCs/>
                <w:color w:val="000000"/>
                <w:sz w:val="20"/>
                <w:szCs w:val="20"/>
              </w:rPr>
              <w:t>95%CI</w:t>
            </w:r>
          </w:p>
        </w:tc>
      </w:tr>
      <w:tr w:rsidR="007C4DE3" w:rsidRPr="007C4DE3" w14:paraId="4E2B5FBC" w14:textId="77777777" w:rsidTr="00651543">
        <w:trPr>
          <w:trHeight w:val="631"/>
        </w:trPr>
        <w:tc>
          <w:tcPr>
            <w:tcW w:w="1777" w:type="pct"/>
            <w:tcBorders>
              <w:top w:val="nil"/>
              <w:left w:val="single" w:sz="4" w:space="0" w:color="auto"/>
              <w:bottom w:val="single" w:sz="4" w:space="0" w:color="auto"/>
              <w:right w:val="single" w:sz="4" w:space="0" w:color="auto"/>
            </w:tcBorders>
            <w:vAlign w:val="center"/>
            <w:hideMark/>
          </w:tcPr>
          <w:p w14:paraId="161B430E" w14:textId="77328345" w:rsidR="007C4DE3" w:rsidRPr="007C4DE3" w:rsidRDefault="007C4DE3" w:rsidP="00343EEE">
            <w:pPr>
              <w:rPr>
                <w:rFonts w:ascii="Times New Roman" w:eastAsia="DengXian" w:hAnsi="Times New Roman" w:cs="Times New Roman"/>
                <w:sz w:val="20"/>
                <w:szCs w:val="20"/>
              </w:rPr>
            </w:pPr>
            <w:r w:rsidRPr="007C4DE3">
              <w:rPr>
                <w:rFonts w:ascii="Times New Roman" w:eastAsia="楷体" w:hAnsi="Times New Roman" w:cs="Times New Roman"/>
                <w:sz w:val="20"/>
                <w:szCs w:val="20"/>
              </w:rPr>
              <w:t>First-Year Mortality Rates for ICH</w:t>
            </w:r>
          </w:p>
        </w:tc>
        <w:tc>
          <w:tcPr>
            <w:tcW w:w="644" w:type="pct"/>
            <w:tcBorders>
              <w:top w:val="nil"/>
              <w:left w:val="nil"/>
              <w:bottom w:val="single" w:sz="4" w:space="0" w:color="auto"/>
              <w:right w:val="single" w:sz="4" w:space="0" w:color="auto"/>
            </w:tcBorders>
            <w:vAlign w:val="center"/>
            <w:hideMark/>
          </w:tcPr>
          <w:p w14:paraId="2EE83253"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1</w:t>
            </w:r>
          </w:p>
        </w:tc>
        <w:tc>
          <w:tcPr>
            <w:tcW w:w="645" w:type="pct"/>
            <w:tcBorders>
              <w:top w:val="nil"/>
              <w:left w:val="nil"/>
              <w:bottom w:val="single" w:sz="4" w:space="0" w:color="auto"/>
              <w:right w:val="single" w:sz="4" w:space="0" w:color="auto"/>
            </w:tcBorders>
            <w:vAlign w:val="center"/>
            <w:hideMark/>
          </w:tcPr>
          <w:p w14:paraId="1CDF6382"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125 </w:t>
            </w:r>
          </w:p>
        </w:tc>
        <w:tc>
          <w:tcPr>
            <w:tcW w:w="645" w:type="pct"/>
            <w:tcBorders>
              <w:top w:val="nil"/>
              <w:left w:val="nil"/>
              <w:bottom w:val="single" w:sz="4" w:space="0" w:color="auto"/>
              <w:right w:val="single" w:sz="4" w:space="0" w:color="auto"/>
            </w:tcBorders>
            <w:vAlign w:val="center"/>
            <w:hideMark/>
          </w:tcPr>
          <w:p w14:paraId="40F94566"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34.8%</w:t>
            </w:r>
          </w:p>
        </w:tc>
        <w:tc>
          <w:tcPr>
            <w:tcW w:w="645" w:type="pct"/>
            <w:tcBorders>
              <w:top w:val="nil"/>
              <w:left w:val="nil"/>
              <w:bottom w:val="single" w:sz="4" w:space="0" w:color="auto"/>
              <w:right w:val="single" w:sz="4" w:space="0" w:color="auto"/>
            </w:tcBorders>
            <w:vAlign w:val="center"/>
            <w:hideMark/>
          </w:tcPr>
          <w:p w14:paraId="35E8255C"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27.0%</w:t>
            </w:r>
          </w:p>
        </w:tc>
        <w:tc>
          <w:tcPr>
            <w:tcW w:w="644" w:type="pct"/>
            <w:tcBorders>
              <w:top w:val="nil"/>
              <w:left w:val="nil"/>
              <w:bottom w:val="single" w:sz="4" w:space="0" w:color="auto"/>
              <w:right w:val="single" w:sz="4" w:space="0" w:color="auto"/>
            </w:tcBorders>
            <w:vAlign w:val="center"/>
            <w:hideMark/>
          </w:tcPr>
          <w:p w14:paraId="25EE02F4"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43.5%</w:t>
            </w:r>
          </w:p>
        </w:tc>
      </w:tr>
      <w:tr w:rsidR="007C4DE3" w:rsidRPr="007C4DE3" w14:paraId="75F7E2E5" w14:textId="77777777" w:rsidTr="00651543">
        <w:trPr>
          <w:trHeight w:val="683"/>
        </w:trPr>
        <w:tc>
          <w:tcPr>
            <w:tcW w:w="1777" w:type="pct"/>
            <w:tcBorders>
              <w:top w:val="nil"/>
              <w:left w:val="single" w:sz="4" w:space="0" w:color="auto"/>
              <w:bottom w:val="single" w:sz="4" w:space="0" w:color="auto"/>
              <w:right w:val="single" w:sz="4" w:space="0" w:color="auto"/>
            </w:tcBorders>
            <w:vAlign w:val="center"/>
            <w:hideMark/>
          </w:tcPr>
          <w:p w14:paraId="71049A11" w14:textId="4D6C3E75" w:rsidR="007C4DE3" w:rsidRPr="007C4DE3" w:rsidRDefault="007C4DE3" w:rsidP="00343EEE">
            <w:pPr>
              <w:rPr>
                <w:rFonts w:ascii="Times New Roman" w:eastAsia="DengXian" w:hAnsi="Times New Roman" w:cs="Times New Roman"/>
                <w:sz w:val="20"/>
                <w:szCs w:val="20"/>
              </w:rPr>
            </w:pPr>
            <w:r w:rsidRPr="007C4DE3">
              <w:rPr>
                <w:rFonts w:ascii="Times New Roman" w:eastAsia="楷体" w:hAnsi="Times New Roman" w:cs="Times New Roman"/>
                <w:sz w:val="20"/>
                <w:szCs w:val="20"/>
              </w:rPr>
              <w:t>First-Year Mortality Rates for</w:t>
            </w:r>
            <w:r w:rsidRPr="007C4DE3">
              <w:rPr>
                <w:rFonts w:ascii="Times New Roman" w:hAnsi="Times New Roman" w:cs="Times New Roman"/>
                <w:sz w:val="20"/>
                <w:szCs w:val="20"/>
              </w:rPr>
              <w:t xml:space="preserve"> GI bleeding</w:t>
            </w:r>
          </w:p>
        </w:tc>
        <w:tc>
          <w:tcPr>
            <w:tcW w:w="644" w:type="pct"/>
            <w:tcBorders>
              <w:top w:val="nil"/>
              <w:left w:val="nil"/>
              <w:bottom w:val="single" w:sz="4" w:space="0" w:color="auto"/>
              <w:right w:val="single" w:sz="4" w:space="0" w:color="auto"/>
            </w:tcBorders>
            <w:vAlign w:val="center"/>
            <w:hideMark/>
          </w:tcPr>
          <w:p w14:paraId="58977828"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2</w:t>
            </w:r>
          </w:p>
        </w:tc>
        <w:tc>
          <w:tcPr>
            <w:tcW w:w="645" w:type="pct"/>
            <w:tcBorders>
              <w:top w:val="nil"/>
              <w:left w:val="nil"/>
              <w:bottom w:val="single" w:sz="4" w:space="0" w:color="auto"/>
              <w:right w:val="single" w:sz="4" w:space="0" w:color="auto"/>
            </w:tcBorders>
            <w:vAlign w:val="center"/>
            <w:hideMark/>
          </w:tcPr>
          <w:p w14:paraId="45E98BA5"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2B9F0F1C"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5.8%</w:t>
            </w:r>
          </w:p>
        </w:tc>
        <w:tc>
          <w:tcPr>
            <w:tcW w:w="645" w:type="pct"/>
            <w:tcBorders>
              <w:top w:val="nil"/>
              <w:left w:val="nil"/>
              <w:bottom w:val="single" w:sz="4" w:space="0" w:color="auto"/>
              <w:right w:val="single" w:sz="4" w:space="0" w:color="auto"/>
            </w:tcBorders>
            <w:vAlign w:val="center"/>
            <w:hideMark/>
          </w:tcPr>
          <w:p w14:paraId="10137AAB"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4.5%</w:t>
            </w:r>
          </w:p>
        </w:tc>
        <w:tc>
          <w:tcPr>
            <w:tcW w:w="644" w:type="pct"/>
            <w:tcBorders>
              <w:top w:val="nil"/>
              <w:left w:val="nil"/>
              <w:bottom w:val="single" w:sz="4" w:space="0" w:color="auto"/>
              <w:right w:val="single" w:sz="4" w:space="0" w:color="auto"/>
            </w:tcBorders>
            <w:vAlign w:val="center"/>
            <w:hideMark/>
          </w:tcPr>
          <w:p w14:paraId="5655AF43"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7.2%</w:t>
            </w:r>
          </w:p>
        </w:tc>
      </w:tr>
      <w:tr w:rsidR="007C4DE3" w:rsidRPr="007C4DE3" w14:paraId="7FC116FF" w14:textId="77777777" w:rsidTr="007C4DE3">
        <w:trPr>
          <w:trHeight w:val="56"/>
        </w:trPr>
        <w:tc>
          <w:tcPr>
            <w:tcW w:w="1777" w:type="pct"/>
            <w:tcBorders>
              <w:top w:val="nil"/>
              <w:left w:val="single" w:sz="4" w:space="0" w:color="auto"/>
              <w:bottom w:val="single" w:sz="4" w:space="0" w:color="auto"/>
              <w:right w:val="single" w:sz="4" w:space="0" w:color="auto"/>
            </w:tcBorders>
            <w:vAlign w:val="center"/>
            <w:hideMark/>
          </w:tcPr>
          <w:p w14:paraId="41C869BF" w14:textId="2EA8EAEB" w:rsidR="007C4DE3" w:rsidRPr="007C4DE3" w:rsidRDefault="007C4DE3" w:rsidP="00343EEE">
            <w:pPr>
              <w:rPr>
                <w:rFonts w:ascii="Times New Roman" w:eastAsia="DengXian" w:hAnsi="Times New Roman" w:cs="Times New Roman"/>
                <w:b/>
                <w:bCs/>
                <w:sz w:val="20"/>
                <w:szCs w:val="20"/>
              </w:rPr>
            </w:pPr>
            <w:r w:rsidRPr="007C4DE3">
              <w:rPr>
                <w:rFonts w:ascii="Times New Roman" w:eastAsia="楷体" w:hAnsi="Times New Roman" w:cs="Times New Roman"/>
                <w:sz w:val="20"/>
                <w:szCs w:val="20"/>
              </w:rPr>
              <w:t>First-Year Mortality Rates for</w:t>
            </w:r>
            <w:r w:rsidRPr="007C4DE3">
              <w:rPr>
                <w:rFonts w:ascii="Times New Roman" w:hAnsi="Times New Roman" w:cs="Times New Roman"/>
                <w:sz w:val="20"/>
                <w:szCs w:val="20"/>
              </w:rPr>
              <w:t xml:space="preserve"> hemophilic arthropathy</w:t>
            </w:r>
          </w:p>
        </w:tc>
        <w:tc>
          <w:tcPr>
            <w:tcW w:w="644" w:type="pct"/>
            <w:tcBorders>
              <w:top w:val="nil"/>
              <w:left w:val="nil"/>
              <w:bottom w:val="single" w:sz="4" w:space="0" w:color="auto"/>
              <w:right w:val="single" w:sz="4" w:space="0" w:color="auto"/>
            </w:tcBorders>
            <w:vAlign w:val="center"/>
            <w:hideMark/>
          </w:tcPr>
          <w:p w14:paraId="408D9649"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　</w:t>
            </w:r>
          </w:p>
        </w:tc>
        <w:tc>
          <w:tcPr>
            <w:tcW w:w="645" w:type="pct"/>
            <w:tcBorders>
              <w:top w:val="nil"/>
              <w:left w:val="nil"/>
              <w:bottom w:val="single" w:sz="4" w:space="0" w:color="auto"/>
              <w:right w:val="single" w:sz="4" w:space="0" w:color="auto"/>
            </w:tcBorders>
            <w:vAlign w:val="center"/>
            <w:hideMark/>
          </w:tcPr>
          <w:p w14:paraId="12CB3674"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　</w:t>
            </w:r>
          </w:p>
        </w:tc>
        <w:tc>
          <w:tcPr>
            <w:tcW w:w="645" w:type="pct"/>
            <w:tcBorders>
              <w:top w:val="nil"/>
              <w:left w:val="nil"/>
              <w:bottom w:val="single" w:sz="4" w:space="0" w:color="auto"/>
              <w:right w:val="single" w:sz="4" w:space="0" w:color="auto"/>
            </w:tcBorders>
            <w:vAlign w:val="center"/>
            <w:hideMark/>
          </w:tcPr>
          <w:p w14:paraId="18F4C201"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5" w:type="pct"/>
            <w:tcBorders>
              <w:top w:val="nil"/>
              <w:left w:val="nil"/>
              <w:bottom w:val="single" w:sz="4" w:space="0" w:color="auto"/>
              <w:right w:val="single" w:sz="4" w:space="0" w:color="auto"/>
            </w:tcBorders>
            <w:vAlign w:val="center"/>
            <w:hideMark/>
          </w:tcPr>
          <w:p w14:paraId="00C36D3E"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6442A4EF"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5F33DC25"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2D9C4087" w14:textId="3FFD35E6"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0~4</w:t>
            </w:r>
          </w:p>
        </w:tc>
        <w:tc>
          <w:tcPr>
            <w:tcW w:w="644" w:type="pct"/>
            <w:tcBorders>
              <w:top w:val="nil"/>
              <w:left w:val="nil"/>
              <w:bottom w:val="single" w:sz="4" w:space="0" w:color="auto"/>
              <w:right w:val="single" w:sz="4" w:space="0" w:color="auto"/>
            </w:tcBorders>
            <w:vAlign w:val="center"/>
            <w:hideMark/>
          </w:tcPr>
          <w:p w14:paraId="5E6459AD"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4AD12B7F"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12667 </w:t>
            </w:r>
          </w:p>
        </w:tc>
        <w:tc>
          <w:tcPr>
            <w:tcW w:w="645" w:type="pct"/>
            <w:tcBorders>
              <w:top w:val="nil"/>
              <w:left w:val="nil"/>
              <w:bottom w:val="single" w:sz="4" w:space="0" w:color="auto"/>
              <w:right w:val="single" w:sz="4" w:space="0" w:color="auto"/>
            </w:tcBorders>
            <w:vAlign w:val="center"/>
            <w:hideMark/>
          </w:tcPr>
          <w:p w14:paraId="557E8552"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0.0%</w:t>
            </w:r>
          </w:p>
        </w:tc>
        <w:tc>
          <w:tcPr>
            <w:tcW w:w="645" w:type="pct"/>
            <w:tcBorders>
              <w:top w:val="nil"/>
              <w:left w:val="nil"/>
              <w:bottom w:val="single" w:sz="4" w:space="0" w:color="auto"/>
              <w:right w:val="single" w:sz="4" w:space="0" w:color="auto"/>
            </w:tcBorders>
            <w:vAlign w:val="center"/>
            <w:hideMark/>
          </w:tcPr>
          <w:p w14:paraId="71CD80FD"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0.0%</w:t>
            </w:r>
          </w:p>
        </w:tc>
        <w:tc>
          <w:tcPr>
            <w:tcW w:w="644" w:type="pct"/>
            <w:tcBorders>
              <w:top w:val="nil"/>
              <w:left w:val="nil"/>
              <w:bottom w:val="single" w:sz="4" w:space="0" w:color="auto"/>
              <w:right w:val="single" w:sz="4" w:space="0" w:color="auto"/>
            </w:tcBorders>
            <w:vAlign w:val="center"/>
            <w:hideMark/>
          </w:tcPr>
          <w:p w14:paraId="73DA60D2"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0.1%</w:t>
            </w:r>
          </w:p>
        </w:tc>
      </w:tr>
      <w:tr w:rsidR="007C4DE3" w:rsidRPr="007C4DE3" w14:paraId="32D03D86"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639166C8" w14:textId="73D9F861"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5~14</w:t>
            </w:r>
          </w:p>
        </w:tc>
        <w:tc>
          <w:tcPr>
            <w:tcW w:w="644" w:type="pct"/>
            <w:tcBorders>
              <w:top w:val="nil"/>
              <w:left w:val="nil"/>
              <w:bottom w:val="single" w:sz="4" w:space="0" w:color="auto"/>
              <w:right w:val="single" w:sz="4" w:space="0" w:color="auto"/>
            </w:tcBorders>
            <w:vAlign w:val="center"/>
            <w:hideMark/>
          </w:tcPr>
          <w:p w14:paraId="5C2103B6"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79983D06"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80000 </w:t>
            </w:r>
          </w:p>
        </w:tc>
        <w:tc>
          <w:tcPr>
            <w:tcW w:w="645" w:type="pct"/>
            <w:tcBorders>
              <w:top w:val="nil"/>
              <w:left w:val="nil"/>
              <w:bottom w:val="single" w:sz="4" w:space="0" w:color="auto"/>
              <w:right w:val="single" w:sz="4" w:space="0" w:color="auto"/>
            </w:tcBorders>
            <w:vAlign w:val="center"/>
            <w:hideMark/>
          </w:tcPr>
          <w:p w14:paraId="6069FC33"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0.0%</w:t>
            </w:r>
          </w:p>
        </w:tc>
        <w:tc>
          <w:tcPr>
            <w:tcW w:w="645" w:type="pct"/>
            <w:tcBorders>
              <w:top w:val="nil"/>
              <w:left w:val="nil"/>
              <w:bottom w:val="single" w:sz="4" w:space="0" w:color="auto"/>
              <w:right w:val="single" w:sz="4" w:space="0" w:color="auto"/>
            </w:tcBorders>
            <w:vAlign w:val="center"/>
            <w:hideMark/>
          </w:tcPr>
          <w:p w14:paraId="5CFD1574"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0.0%</w:t>
            </w:r>
          </w:p>
        </w:tc>
        <w:tc>
          <w:tcPr>
            <w:tcW w:w="644" w:type="pct"/>
            <w:tcBorders>
              <w:top w:val="nil"/>
              <w:left w:val="nil"/>
              <w:bottom w:val="single" w:sz="4" w:space="0" w:color="auto"/>
              <w:right w:val="single" w:sz="4" w:space="0" w:color="auto"/>
            </w:tcBorders>
            <w:vAlign w:val="center"/>
            <w:hideMark/>
          </w:tcPr>
          <w:p w14:paraId="742CF6AD"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0.0%</w:t>
            </w:r>
          </w:p>
        </w:tc>
      </w:tr>
      <w:tr w:rsidR="007C4DE3" w:rsidRPr="007C4DE3" w14:paraId="2AADD9FC"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79D4F9FE" w14:textId="0C1A87F8"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15~24</w:t>
            </w:r>
          </w:p>
        </w:tc>
        <w:tc>
          <w:tcPr>
            <w:tcW w:w="644" w:type="pct"/>
            <w:tcBorders>
              <w:top w:val="nil"/>
              <w:left w:val="nil"/>
              <w:bottom w:val="single" w:sz="4" w:space="0" w:color="auto"/>
              <w:right w:val="single" w:sz="4" w:space="0" w:color="auto"/>
            </w:tcBorders>
            <w:vAlign w:val="center"/>
            <w:hideMark/>
          </w:tcPr>
          <w:p w14:paraId="7A878DF0"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3D5D3C61"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34286 </w:t>
            </w:r>
          </w:p>
        </w:tc>
        <w:tc>
          <w:tcPr>
            <w:tcW w:w="645" w:type="pct"/>
            <w:tcBorders>
              <w:top w:val="nil"/>
              <w:left w:val="nil"/>
              <w:bottom w:val="single" w:sz="4" w:space="0" w:color="auto"/>
              <w:right w:val="single" w:sz="4" w:space="0" w:color="auto"/>
            </w:tcBorders>
            <w:vAlign w:val="center"/>
            <w:hideMark/>
          </w:tcPr>
          <w:p w14:paraId="3CE22962"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0.2%</w:t>
            </w:r>
          </w:p>
        </w:tc>
        <w:tc>
          <w:tcPr>
            <w:tcW w:w="645" w:type="pct"/>
            <w:tcBorders>
              <w:top w:val="nil"/>
              <w:left w:val="nil"/>
              <w:bottom w:val="single" w:sz="4" w:space="0" w:color="auto"/>
              <w:right w:val="single" w:sz="4" w:space="0" w:color="auto"/>
            </w:tcBorders>
            <w:vAlign w:val="center"/>
            <w:hideMark/>
          </w:tcPr>
          <w:p w14:paraId="4B5A6DC4"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0.2%</w:t>
            </w:r>
          </w:p>
        </w:tc>
        <w:tc>
          <w:tcPr>
            <w:tcW w:w="644" w:type="pct"/>
            <w:tcBorders>
              <w:top w:val="nil"/>
              <w:left w:val="nil"/>
              <w:bottom w:val="single" w:sz="4" w:space="0" w:color="auto"/>
              <w:right w:val="single" w:sz="4" w:space="0" w:color="auto"/>
            </w:tcBorders>
            <w:vAlign w:val="center"/>
            <w:hideMark/>
          </w:tcPr>
          <w:p w14:paraId="6731D7E2"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0.2%</w:t>
            </w:r>
          </w:p>
        </w:tc>
      </w:tr>
      <w:tr w:rsidR="007C4DE3" w:rsidRPr="007C4DE3" w14:paraId="4AAFADD3"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6A905DB4" w14:textId="70DEE9C4"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25~34</w:t>
            </w:r>
          </w:p>
        </w:tc>
        <w:tc>
          <w:tcPr>
            <w:tcW w:w="644" w:type="pct"/>
            <w:tcBorders>
              <w:top w:val="nil"/>
              <w:left w:val="nil"/>
              <w:bottom w:val="single" w:sz="4" w:space="0" w:color="auto"/>
              <w:right w:val="single" w:sz="4" w:space="0" w:color="auto"/>
            </w:tcBorders>
            <w:vAlign w:val="center"/>
            <w:hideMark/>
          </w:tcPr>
          <w:p w14:paraId="3F67B555"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08A449C9"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44000 </w:t>
            </w:r>
          </w:p>
        </w:tc>
        <w:tc>
          <w:tcPr>
            <w:tcW w:w="645" w:type="pct"/>
            <w:tcBorders>
              <w:top w:val="nil"/>
              <w:left w:val="nil"/>
              <w:bottom w:val="single" w:sz="4" w:space="0" w:color="auto"/>
              <w:right w:val="single" w:sz="4" w:space="0" w:color="auto"/>
            </w:tcBorders>
            <w:vAlign w:val="center"/>
            <w:hideMark/>
          </w:tcPr>
          <w:p w14:paraId="21AF5793"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0.1%</w:t>
            </w:r>
          </w:p>
        </w:tc>
        <w:tc>
          <w:tcPr>
            <w:tcW w:w="645" w:type="pct"/>
            <w:tcBorders>
              <w:top w:val="nil"/>
              <w:left w:val="nil"/>
              <w:bottom w:val="single" w:sz="4" w:space="0" w:color="auto"/>
              <w:right w:val="single" w:sz="4" w:space="0" w:color="auto"/>
            </w:tcBorders>
            <w:vAlign w:val="center"/>
            <w:hideMark/>
          </w:tcPr>
          <w:p w14:paraId="5EBF54AD"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0.1%</w:t>
            </w:r>
          </w:p>
        </w:tc>
        <w:tc>
          <w:tcPr>
            <w:tcW w:w="644" w:type="pct"/>
            <w:tcBorders>
              <w:top w:val="nil"/>
              <w:left w:val="nil"/>
              <w:bottom w:val="single" w:sz="4" w:space="0" w:color="auto"/>
              <w:right w:val="single" w:sz="4" w:space="0" w:color="auto"/>
            </w:tcBorders>
            <w:vAlign w:val="center"/>
            <w:hideMark/>
          </w:tcPr>
          <w:p w14:paraId="6D206C7A"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0.2%</w:t>
            </w:r>
          </w:p>
        </w:tc>
      </w:tr>
      <w:tr w:rsidR="007C4DE3" w:rsidRPr="007C4DE3" w14:paraId="7FE8331C"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50AC5C5B" w14:textId="32BAF8A5"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35~44</w:t>
            </w:r>
          </w:p>
        </w:tc>
        <w:tc>
          <w:tcPr>
            <w:tcW w:w="644" w:type="pct"/>
            <w:tcBorders>
              <w:top w:val="nil"/>
              <w:left w:val="nil"/>
              <w:bottom w:val="single" w:sz="4" w:space="0" w:color="auto"/>
              <w:right w:val="single" w:sz="4" w:space="0" w:color="auto"/>
            </w:tcBorders>
            <w:vAlign w:val="center"/>
            <w:hideMark/>
          </w:tcPr>
          <w:p w14:paraId="7F5FEDB1"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1E2E88F4"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27500 </w:t>
            </w:r>
          </w:p>
        </w:tc>
        <w:tc>
          <w:tcPr>
            <w:tcW w:w="645" w:type="pct"/>
            <w:tcBorders>
              <w:top w:val="nil"/>
              <w:left w:val="nil"/>
              <w:bottom w:val="single" w:sz="4" w:space="0" w:color="auto"/>
              <w:right w:val="single" w:sz="4" w:space="0" w:color="auto"/>
            </w:tcBorders>
            <w:vAlign w:val="center"/>
            <w:hideMark/>
          </w:tcPr>
          <w:p w14:paraId="7A48B09C"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0.3%</w:t>
            </w:r>
          </w:p>
        </w:tc>
        <w:tc>
          <w:tcPr>
            <w:tcW w:w="645" w:type="pct"/>
            <w:tcBorders>
              <w:top w:val="nil"/>
              <w:left w:val="nil"/>
              <w:bottom w:val="single" w:sz="4" w:space="0" w:color="auto"/>
              <w:right w:val="single" w:sz="4" w:space="0" w:color="auto"/>
            </w:tcBorders>
            <w:vAlign w:val="center"/>
            <w:hideMark/>
          </w:tcPr>
          <w:p w14:paraId="51AC44CF"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0.2%</w:t>
            </w:r>
          </w:p>
        </w:tc>
        <w:tc>
          <w:tcPr>
            <w:tcW w:w="644" w:type="pct"/>
            <w:tcBorders>
              <w:top w:val="nil"/>
              <w:left w:val="nil"/>
              <w:bottom w:val="single" w:sz="4" w:space="0" w:color="auto"/>
              <w:right w:val="single" w:sz="4" w:space="0" w:color="auto"/>
            </w:tcBorders>
            <w:vAlign w:val="center"/>
            <w:hideMark/>
          </w:tcPr>
          <w:p w14:paraId="58D8A804"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0.3%</w:t>
            </w:r>
          </w:p>
        </w:tc>
      </w:tr>
      <w:tr w:rsidR="007C4DE3" w:rsidRPr="007C4DE3" w14:paraId="352371A9"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09FDA393" w14:textId="49E18FE8"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45~54</w:t>
            </w:r>
          </w:p>
        </w:tc>
        <w:tc>
          <w:tcPr>
            <w:tcW w:w="644" w:type="pct"/>
            <w:tcBorders>
              <w:top w:val="nil"/>
              <w:left w:val="nil"/>
              <w:bottom w:val="single" w:sz="4" w:space="0" w:color="auto"/>
              <w:right w:val="single" w:sz="4" w:space="0" w:color="auto"/>
            </w:tcBorders>
            <w:vAlign w:val="center"/>
            <w:hideMark/>
          </w:tcPr>
          <w:p w14:paraId="6278EF2E"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547C9B11"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18537 </w:t>
            </w:r>
          </w:p>
        </w:tc>
        <w:tc>
          <w:tcPr>
            <w:tcW w:w="645" w:type="pct"/>
            <w:tcBorders>
              <w:top w:val="nil"/>
              <w:left w:val="nil"/>
              <w:bottom w:val="single" w:sz="4" w:space="0" w:color="auto"/>
              <w:right w:val="single" w:sz="4" w:space="0" w:color="auto"/>
            </w:tcBorders>
            <w:vAlign w:val="center"/>
            <w:hideMark/>
          </w:tcPr>
          <w:p w14:paraId="4B55AF78"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0.6%</w:t>
            </w:r>
          </w:p>
        </w:tc>
        <w:tc>
          <w:tcPr>
            <w:tcW w:w="645" w:type="pct"/>
            <w:tcBorders>
              <w:top w:val="nil"/>
              <w:left w:val="nil"/>
              <w:bottom w:val="single" w:sz="4" w:space="0" w:color="auto"/>
              <w:right w:val="single" w:sz="4" w:space="0" w:color="auto"/>
            </w:tcBorders>
            <w:vAlign w:val="center"/>
            <w:hideMark/>
          </w:tcPr>
          <w:p w14:paraId="313975B2"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0.5%</w:t>
            </w:r>
          </w:p>
        </w:tc>
        <w:tc>
          <w:tcPr>
            <w:tcW w:w="644" w:type="pct"/>
            <w:tcBorders>
              <w:top w:val="nil"/>
              <w:left w:val="nil"/>
              <w:bottom w:val="single" w:sz="4" w:space="0" w:color="auto"/>
              <w:right w:val="single" w:sz="4" w:space="0" w:color="auto"/>
            </w:tcBorders>
            <w:vAlign w:val="center"/>
            <w:hideMark/>
          </w:tcPr>
          <w:p w14:paraId="0465051C"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0.7%</w:t>
            </w:r>
          </w:p>
        </w:tc>
      </w:tr>
      <w:tr w:rsidR="007C4DE3" w:rsidRPr="007C4DE3" w14:paraId="46F54B84"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2BCC22A2" w14:textId="6D5A996F"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55~64</w:t>
            </w:r>
          </w:p>
        </w:tc>
        <w:tc>
          <w:tcPr>
            <w:tcW w:w="644" w:type="pct"/>
            <w:tcBorders>
              <w:top w:val="nil"/>
              <w:left w:val="nil"/>
              <w:bottom w:val="single" w:sz="4" w:space="0" w:color="auto"/>
              <w:right w:val="single" w:sz="4" w:space="0" w:color="auto"/>
            </w:tcBorders>
            <w:vAlign w:val="center"/>
            <w:hideMark/>
          </w:tcPr>
          <w:p w14:paraId="51596A35"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6E4C466C"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10893 </w:t>
            </w:r>
          </w:p>
        </w:tc>
        <w:tc>
          <w:tcPr>
            <w:tcW w:w="645" w:type="pct"/>
            <w:tcBorders>
              <w:top w:val="nil"/>
              <w:left w:val="nil"/>
              <w:bottom w:val="single" w:sz="4" w:space="0" w:color="auto"/>
              <w:right w:val="single" w:sz="4" w:space="0" w:color="auto"/>
            </w:tcBorders>
            <w:vAlign w:val="center"/>
            <w:hideMark/>
          </w:tcPr>
          <w:p w14:paraId="7F368EE6"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1.8%</w:t>
            </w:r>
          </w:p>
        </w:tc>
        <w:tc>
          <w:tcPr>
            <w:tcW w:w="645" w:type="pct"/>
            <w:tcBorders>
              <w:top w:val="nil"/>
              <w:left w:val="nil"/>
              <w:bottom w:val="single" w:sz="4" w:space="0" w:color="auto"/>
              <w:right w:val="single" w:sz="4" w:space="0" w:color="auto"/>
            </w:tcBorders>
            <w:vAlign w:val="center"/>
            <w:hideMark/>
          </w:tcPr>
          <w:p w14:paraId="6B14FC85"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1.6%</w:t>
            </w:r>
          </w:p>
        </w:tc>
        <w:tc>
          <w:tcPr>
            <w:tcW w:w="644" w:type="pct"/>
            <w:tcBorders>
              <w:top w:val="nil"/>
              <w:left w:val="nil"/>
              <w:bottom w:val="single" w:sz="4" w:space="0" w:color="auto"/>
              <w:right w:val="single" w:sz="4" w:space="0" w:color="auto"/>
            </w:tcBorders>
            <w:vAlign w:val="center"/>
            <w:hideMark/>
          </w:tcPr>
          <w:p w14:paraId="1F287AF8"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2.1%</w:t>
            </w:r>
          </w:p>
        </w:tc>
      </w:tr>
      <w:tr w:rsidR="007C4DE3" w:rsidRPr="007C4DE3" w14:paraId="7191ACE6"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4B5ED34E" w14:textId="47BD3594"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65~74</w:t>
            </w:r>
          </w:p>
        </w:tc>
        <w:tc>
          <w:tcPr>
            <w:tcW w:w="644" w:type="pct"/>
            <w:tcBorders>
              <w:top w:val="nil"/>
              <w:left w:val="nil"/>
              <w:bottom w:val="single" w:sz="4" w:space="0" w:color="auto"/>
              <w:right w:val="single" w:sz="4" w:space="0" w:color="auto"/>
            </w:tcBorders>
            <w:vAlign w:val="center"/>
            <w:hideMark/>
          </w:tcPr>
          <w:p w14:paraId="0FDD34B3"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343B76F1"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5449 </w:t>
            </w:r>
          </w:p>
        </w:tc>
        <w:tc>
          <w:tcPr>
            <w:tcW w:w="645" w:type="pct"/>
            <w:tcBorders>
              <w:top w:val="nil"/>
              <w:left w:val="nil"/>
              <w:bottom w:val="single" w:sz="4" w:space="0" w:color="auto"/>
              <w:right w:val="single" w:sz="4" w:space="0" w:color="auto"/>
            </w:tcBorders>
            <w:vAlign w:val="center"/>
            <w:hideMark/>
          </w:tcPr>
          <w:p w14:paraId="684ED311"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5.4%</w:t>
            </w:r>
          </w:p>
        </w:tc>
        <w:tc>
          <w:tcPr>
            <w:tcW w:w="645" w:type="pct"/>
            <w:tcBorders>
              <w:top w:val="nil"/>
              <w:left w:val="nil"/>
              <w:bottom w:val="single" w:sz="4" w:space="0" w:color="auto"/>
              <w:right w:val="single" w:sz="4" w:space="0" w:color="auto"/>
            </w:tcBorders>
            <w:vAlign w:val="center"/>
            <w:hideMark/>
          </w:tcPr>
          <w:p w14:paraId="33041303"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4.8%</w:t>
            </w:r>
          </w:p>
        </w:tc>
        <w:tc>
          <w:tcPr>
            <w:tcW w:w="644" w:type="pct"/>
            <w:tcBorders>
              <w:top w:val="nil"/>
              <w:left w:val="nil"/>
              <w:bottom w:val="single" w:sz="4" w:space="0" w:color="auto"/>
              <w:right w:val="single" w:sz="4" w:space="0" w:color="auto"/>
            </w:tcBorders>
            <w:vAlign w:val="center"/>
            <w:hideMark/>
          </w:tcPr>
          <w:p w14:paraId="3E5A19C8"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6.0%</w:t>
            </w:r>
          </w:p>
        </w:tc>
      </w:tr>
      <w:tr w:rsidR="007C4DE3" w:rsidRPr="007C4DE3" w14:paraId="58B82D72"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7CA2D87B" w14:textId="38F8EF96" w:rsidR="007C4DE3" w:rsidRPr="007C4DE3" w:rsidRDefault="007C4DE3" w:rsidP="00343EEE">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75~</w:t>
            </w:r>
          </w:p>
        </w:tc>
        <w:tc>
          <w:tcPr>
            <w:tcW w:w="644" w:type="pct"/>
            <w:tcBorders>
              <w:top w:val="nil"/>
              <w:left w:val="nil"/>
              <w:bottom w:val="single" w:sz="4" w:space="0" w:color="auto"/>
              <w:right w:val="single" w:sz="4" w:space="0" w:color="auto"/>
            </w:tcBorders>
            <w:vAlign w:val="center"/>
            <w:hideMark/>
          </w:tcPr>
          <w:p w14:paraId="0E57DA4D"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5B5E79F0"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1813 </w:t>
            </w:r>
          </w:p>
        </w:tc>
        <w:tc>
          <w:tcPr>
            <w:tcW w:w="645" w:type="pct"/>
            <w:tcBorders>
              <w:top w:val="nil"/>
              <w:left w:val="nil"/>
              <w:bottom w:val="single" w:sz="4" w:space="0" w:color="auto"/>
              <w:right w:val="single" w:sz="4" w:space="0" w:color="auto"/>
            </w:tcBorders>
            <w:vAlign w:val="center"/>
            <w:hideMark/>
          </w:tcPr>
          <w:p w14:paraId="5278CE58"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15.6%</w:t>
            </w:r>
          </w:p>
        </w:tc>
        <w:tc>
          <w:tcPr>
            <w:tcW w:w="645" w:type="pct"/>
            <w:tcBorders>
              <w:top w:val="nil"/>
              <w:left w:val="nil"/>
              <w:bottom w:val="single" w:sz="4" w:space="0" w:color="auto"/>
              <w:right w:val="single" w:sz="4" w:space="0" w:color="auto"/>
            </w:tcBorders>
            <w:vAlign w:val="center"/>
            <w:hideMark/>
          </w:tcPr>
          <w:p w14:paraId="7F90DDDB"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14.0%</w:t>
            </w:r>
          </w:p>
        </w:tc>
        <w:tc>
          <w:tcPr>
            <w:tcW w:w="644" w:type="pct"/>
            <w:tcBorders>
              <w:top w:val="nil"/>
              <w:left w:val="nil"/>
              <w:bottom w:val="single" w:sz="4" w:space="0" w:color="auto"/>
              <w:right w:val="single" w:sz="4" w:space="0" w:color="auto"/>
            </w:tcBorders>
            <w:vAlign w:val="center"/>
            <w:hideMark/>
          </w:tcPr>
          <w:p w14:paraId="739C1D3B"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17.3%</w:t>
            </w:r>
          </w:p>
        </w:tc>
      </w:tr>
      <w:tr w:rsidR="007C4DE3" w:rsidRPr="007C4DE3" w14:paraId="40619099" w14:textId="77777777" w:rsidTr="007C4DE3">
        <w:trPr>
          <w:trHeight w:val="521"/>
        </w:trPr>
        <w:tc>
          <w:tcPr>
            <w:tcW w:w="1777" w:type="pct"/>
            <w:tcBorders>
              <w:top w:val="nil"/>
              <w:left w:val="single" w:sz="4" w:space="0" w:color="auto"/>
              <w:bottom w:val="single" w:sz="4" w:space="0" w:color="auto"/>
              <w:right w:val="single" w:sz="4" w:space="0" w:color="auto"/>
            </w:tcBorders>
            <w:vAlign w:val="center"/>
            <w:hideMark/>
          </w:tcPr>
          <w:p w14:paraId="2CB44FF9" w14:textId="34FFE5F3" w:rsidR="007C4DE3" w:rsidRPr="007C4DE3" w:rsidRDefault="007C4DE3" w:rsidP="00343EEE">
            <w:pPr>
              <w:rPr>
                <w:rFonts w:ascii="Times New Roman" w:eastAsia="DengXian" w:hAnsi="Times New Roman" w:cs="Times New Roman"/>
                <w:sz w:val="20"/>
                <w:szCs w:val="20"/>
              </w:rPr>
            </w:pPr>
            <w:r w:rsidRPr="007C4DE3">
              <w:rPr>
                <w:rFonts w:ascii="Times New Roman" w:hAnsi="Times New Roman" w:cs="Times New Roman"/>
                <w:sz w:val="20"/>
                <w:szCs w:val="20"/>
              </w:rPr>
              <w:t>Long-Term Relative Mortality Risk for Intracranial Hemorrhage (ICH)</w:t>
            </w:r>
          </w:p>
        </w:tc>
        <w:tc>
          <w:tcPr>
            <w:tcW w:w="644" w:type="pct"/>
            <w:tcBorders>
              <w:top w:val="nil"/>
              <w:left w:val="nil"/>
              <w:bottom w:val="single" w:sz="4" w:space="0" w:color="auto"/>
              <w:right w:val="single" w:sz="4" w:space="0" w:color="auto"/>
            </w:tcBorders>
            <w:vAlign w:val="center"/>
            <w:hideMark/>
          </w:tcPr>
          <w:p w14:paraId="1C6CC9F8"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　</w:t>
            </w:r>
          </w:p>
        </w:tc>
        <w:tc>
          <w:tcPr>
            <w:tcW w:w="645" w:type="pct"/>
            <w:tcBorders>
              <w:top w:val="nil"/>
              <w:left w:val="nil"/>
              <w:bottom w:val="single" w:sz="4" w:space="0" w:color="auto"/>
              <w:right w:val="single" w:sz="4" w:space="0" w:color="auto"/>
            </w:tcBorders>
            <w:vAlign w:val="center"/>
            <w:hideMark/>
          </w:tcPr>
          <w:p w14:paraId="148CDFA6" w14:textId="77777777" w:rsidR="007C4DE3" w:rsidRPr="007C4DE3" w:rsidRDefault="007C4DE3" w:rsidP="00343EEE">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 xml:space="preserve">　</w:t>
            </w:r>
          </w:p>
        </w:tc>
        <w:tc>
          <w:tcPr>
            <w:tcW w:w="645" w:type="pct"/>
            <w:tcBorders>
              <w:top w:val="nil"/>
              <w:left w:val="nil"/>
              <w:bottom w:val="single" w:sz="4" w:space="0" w:color="auto"/>
              <w:right w:val="single" w:sz="4" w:space="0" w:color="auto"/>
            </w:tcBorders>
            <w:vAlign w:val="center"/>
            <w:hideMark/>
          </w:tcPr>
          <w:p w14:paraId="7B6CB1C0"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5" w:type="pct"/>
            <w:tcBorders>
              <w:top w:val="nil"/>
              <w:left w:val="nil"/>
              <w:bottom w:val="single" w:sz="4" w:space="0" w:color="auto"/>
              <w:right w:val="single" w:sz="4" w:space="0" w:color="auto"/>
            </w:tcBorders>
            <w:vAlign w:val="center"/>
            <w:hideMark/>
          </w:tcPr>
          <w:p w14:paraId="13EC19C6"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63A580B1" w14:textId="77777777" w:rsidR="007C4DE3" w:rsidRPr="007C4DE3" w:rsidRDefault="007C4DE3" w:rsidP="00343EEE">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240A0969"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79F522E2" w14:textId="3B13778F"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0~4</w:t>
            </w:r>
          </w:p>
        </w:tc>
        <w:tc>
          <w:tcPr>
            <w:tcW w:w="644" w:type="pct"/>
            <w:tcBorders>
              <w:top w:val="nil"/>
              <w:left w:val="nil"/>
              <w:bottom w:val="single" w:sz="4" w:space="0" w:color="auto"/>
              <w:right w:val="single" w:sz="4" w:space="0" w:color="auto"/>
            </w:tcBorders>
            <w:vAlign w:val="center"/>
            <w:hideMark/>
          </w:tcPr>
          <w:p w14:paraId="4C48281E"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0737F605"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08E5DF9B"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32.174 </w:t>
            </w:r>
          </w:p>
        </w:tc>
        <w:tc>
          <w:tcPr>
            <w:tcW w:w="645" w:type="pct"/>
            <w:tcBorders>
              <w:top w:val="nil"/>
              <w:left w:val="nil"/>
              <w:bottom w:val="single" w:sz="4" w:space="0" w:color="auto"/>
              <w:right w:val="single" w:sz="4" w:space="0" w:color="auto"/>
            </w:tcBorders>
            <w:vAlign w:val="center"/>
            <w:hideMark/>
          </w:tcPr>
          <w:p w14:paraId="75C00337"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624840E0"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70FD0956"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3017B692" w14:textId="7B7E70BE"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lastRenderedPageBreak/>
              <w:t>5~14</w:t>
            </w:r>
          </w:p>
        </w:tc>
        <w:tc>
          <w:tcPr>
            <w:tcW w:w="644" w:type="pct"/>
            <w:tcBorders>
              <w:top w:val="nil"/>
              <w:left w:val="nil"/>
              <w:bottom w:val="single" w:sz="4" w:space="0" w:color="auto"/>
              <w:right w:val="single" w:sz="4" w:space="0" w:color="auto"/>
            </w:tcBorders>
            <w:vAlign w:val="center"/>
            <w:hideMark/>
          </w:tcPr>
          <w:p w14:paraId="18C3C613"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299281DF"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748D1FFA"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30.411 </w:t>
            </w:r>
          </w:p>
        </w:tc>
        <w:tc>
          <w:tcPr>
            <w:tcW w:w="645" w:type="pct"/>
            <w:tcBorders>
              <w:top w:val="nil"/>
              <w:left w:val="nil"/>
              <w:bottom w:val="single" w:sz="4" w:space="0" w:color="auto"/>
              <w:right w:val="single" w:sz="4" w:space="0" w:color="auto"/>
            </w:tcBorders>
            <w:vAlign w:val="center"/>
            <w:hideMark/>
          </w:tcPr>
          <w:p w14:paraId="65109D19"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4967BBD9"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20878512"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365C2B5E" w14:textId="7E4F1C31"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15~24</w:t>
            </w:r>
          </w:p>
        </w:tc>
        <w:tc>
          <w:tcPr>
            <w:tcW w:w="644" w:type="pct"/>
            <w:tcBorders>
              <w:top w:val="nil"/>
              <w:left w:val="nil"/>
              <w:bottom w:val="single" w:sz="4" w:space="0" w:color="auto"/>
              <w:right w:val="single" w:sz="4" w:space="0" w:color="auto"/>
            </w:tcBorders>
            <w:vAlign w:val="center"/>
            <w:hideMark/>
          </w:tcPr>
          <w:p w14:paraId="08F88A32"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41DA59DC"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70B62183"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26.005 </w:t>
            </w:r>
          </w:p>
        </w:tc>
        <w:tc>
          <w:tcPr>
            <w:tcW w:w="645" w:type="pct"/>
            <w:tcBorders>
              <w:top w:val="nil"/>
              <w:left w:val="nil"/>
              <w:bottom w:val="single" w:sz="4" w:space="0" w:color="auto"/>
              <w:right w:val="single" w:sz="4" w:space="0" w:color="auto"/>
            </w:tcBorders>
            <w:vAlign w:val="center"/>
            <w:hideMark/>
          </w:tcPr>
          <w:p w14:paraId="1630A191"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62B2FEA2"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7D8A286D"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0A08C016" w14:textId="6F88FDD4"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25~34</w:t>
            </w:r>
          </w:p>
        </w:tc>
        <w:tc>
          <w:tcPr>
            <w:tcW w:w="644" w:type="pct"/>
            <w:tcBorders>
              <w:top w:val="nil"/>
              <w:left w:val="nil"/>
              <w:bottom w:val="single" w:sz="4" w:space="0" w:color="auto"/>
              <w:right w:val="single" w:sz="4" w:space="0" w:color="auto"/>
            </w:tcBorders>
            <w:vAlign w:val="center"/>
            <w:hideMark/>
          </w:tcPr>
          <w:p w14:paraId="0CBDB67B"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650E3FC8"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6EB1D736"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21.600 </w:t>
            </w:r>
          </w:p>
        </w:tc>
        <w:tc>
          <w:tcPr>
            <w:tcW w:w="645" w:type="pct"/>
            <w:tcBorders>
              <w:top w:val="nil"/>
              <w:left w:val="nil"/>
              <w:bottom w:val="single" w:sz="4" w:space="0" w:color="auto"/>
              <w:right w:val="single" w:sz="4" w:space="0" w:color="auto"/>
            </w:tcBorders>
            <w:vAlign w:val="center"/>
            <w:hideMark/>
          </w:tcPr>
          <w:p w14:paraId="379A209D"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2EE1F363"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3312917A"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383DDB7A" w14:textId="14A43210"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35~44</w:t>
            </w:r>
          </w:p>
        </w:tc>
        <w:tc>
          <w:tcPr>
            <w:tcW w:w="644" w:type="pct"/>
            <w:tcBorders>
              <w:top w:val="nil"/>
              <w:left w:val="nil"/>
              <w:bottom w:val="single" w:sz="4" w:space="0" w:color="auto"/>
              <w:right w:val="single" w:sz="4" w:space="0" w:color="auto"/>
            </w:tcBorders>
            <w:vAlign w:val="center"/>
            <w:hideMark/>
          </w:tcPr>
          <w:p w14:paraId="3819B728"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4D943938"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4A640251"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17.194 </w:t>
            </w:r>
          </w:p>
        </w:tc>
        <w:tc>
          <w:tcPr>
            <w:tcW w:w="645" w:type="pct"/>
            <w:tcBorders>
              <w:top w:val="nil"/>
              <w:left w:val="nil"/>
              <w:bottom w:val="single" w:sz="4" w:space="0" w:color="auto"/>
              <w:right w:val="single" w:sz="4" w:space="0" w:color="auto"/>
            </w:tcBorders>
            <w:vAlign w:val="center"/>
            <w:hideMark/>
          </w:tcPr>
          <w:p w14:paraId="79B9C99E"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6778BDB0"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4DA7FB76"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6A63D081" w14:textId="68224AEF"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45~54</w:t>
            </w:r>
          </w:p>
        </w:tc>
        <w:tc>
          <w:tcPr>
            <w:tcW w:w="644" w:type="pct"/>
            <w:tcBorders>
              <w:top w:val="nil"/>
              <w:left w:val="nil"/>
              <w:bottom w:val="single" w:sz="4" w:space="0" w:color="auto"/>
              <w:right w:val="single" w:sz="4" w:space="0" w:color="auto"/>
            </w:tcBorders>
            <w:vAlign w:val="center"/>
            <w:hideMark/>
          </w:tcPr>
          <w:p w14:paraId="1242E73E"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2BADEB19"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4A20F30D"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12.788 </w:t>
            </w:r>
          </w:p>
        </w:tc>
        <w:tc>
          <w:tcPr>
            <w:tcW w:w="645" w:type="pct"/>
            <w:tcBorders>
              <w:top w:val="nil"/>
              <w:left w:val="nil"/>
              <w:bottom w:val="single" w:sz="4" w:space="0" w:color="auto"/>
              <w:right w:val="single" w:sz="4" w:space="0" w:color="auto"/>
            </w:tcBorders>
            <w:vAlign w:val="center"/>
            <w:hideMark/>
          </w:tcPr>
          <w:p w14:paraId="6D1912CF"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75F38E46"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5DB763B8"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4066AD71" w14:textId="012D89F3"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55~64</w:t>
            </w:r>
          </w:p>
        </w:tc>
        <w:tc>
          <w:tcPr>
            <w:tcW w:w="644" w:type="pct"/>
            <w:tcBorders>
              <w:top w:val="nil"/>
              <w:left w:val="nil"/>
              <w:bottom w:val="single" w:sz="4" w:space="0" w:color="auto"/>
              <w:right w:val="single" w:sz="4" w:space="0" w:color="auto"/>
            </w:tcBorders>
            <w:vAlign w:val="center"/>
            <w:hideMark/>
          </w:tcPr>
          <w:p w14:paraId="3E189E25"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5177BFF7"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7A0C4E5A"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8.382 </w:t>
            </w:r>
          </w:p>
        </w:tc>
        <w:tc>
          <w:tcPr>
            <w:tcW w:w="645" w:type="pct"/>
            <w:tcBorders>
              <w:top w:val="nil"/>
              <w:left w:val="nil"/>
              <w:bottom w:val="single" w:sz="4" w:space="0" w:color="auto"/>
              <w:right w:val="single" w:sz="4" w:space="0" w:color="auto"/>
            </w:tcBorders>
            <w:vAlign w:val="center"/>
            <w:hideMark/>
          </w:tcPr>
          <w:p w14:paraId="4526DAEA"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7EA92589"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0A383B27"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5F796B19" w14:textId="054F3928"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65~74</w:t>
            </w:r>
          </w:p>
        </w:tc>
        <w:tc>
          <w:tcPr>
            <w:tcW w:w="644" w:type="pct"/>
            <w:tcBorders>
              <w:top w:val="nil"/>
              <w:left w:val="nil"/>
              <w:bottom w:val="single" w:sz="4" w:space="0" w:color="auto"/>
              <w:right w:val="single" w:sz="4" w:space="0" w:color="auto"/>
            </w:tcBorders>
            <w:vAlign w:val="center"/>
            <w:hideMark/>
          </w:tcPr>
          <w:p w14:paraId="500E9571"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5A87F773"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2D2CEA18"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3.976 </w:t>
            </w:r>
          </w:p>
        </w:tc>
        <w:tc>
          <w:tcPr>
            <w:tcW w:w="645" w:type="pct"/>
            <w:tcBorders>
              <w:top w:val="nil"/>
              <w:left w:val="nil"/>
              <w:bottom w:val="single" w:sz="4" w:space="0" w:color="auto"/>
              <w:right w:val="single" w:sz="4" w:space="0" w:color="auto"/>
            </w:tcBorders>
            <w:vAlign w:val="center"/>
            <w:hideMark/>
          </w:tcPr>
          <w:p w14:paraId="2F1D631A"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156FA1C2"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r w:rsidR="007C4DE3" w:rsidRPr="007C4DE3" w14:paraId="71EEC304" w14:textId="77777777" w:rsidTr="007C4DE3">
        <w:trPr>
          <w:trHeight w:val="340"/>
        </w:trPr>
        <w:tc>
          <w:tcPr>
            <w:tcW w:w="1777" w:type="pct"/>
            <w:tcBorders>
              <w:top w:val="nil"/>
              <w:left w:val="single" w:sz="4" w:space="0" w:color="auto"/>
              <w:bottom w:val="single" w:sz="4" w:space="0" w:color="auto"/>
              <w:right w:val="single" w:sz="4" w:space="0" w:color="auto"/>
            </w:tcBorders>
            <w:vAlign w:val="center"/>
            <w:hideMark/>
          </w:tcPr>
          <w:p w14:paraId="2A41FB8B" w14:textId="668F6944" w:rsidR="007C4DE3" w:rsidRPr="007C4DE3" w:rsidRDefault="007C4DE3" w:rsidP="007C4DE3">
            <w:pPr>
              <w:ind w:firstLineChars="100" w:firstLine="200"/>
              <w:rPr>
                <w:rFonts w:ascii="Times New Roman" w:eastAsia="DengXian" w:hAnsi="Times New Roman" w:cs="Times New Roman"/>
                <w:sz w:val="20"/>
                <w:szCs w:val="20"/>
              </w:rPr>
            </w:pPr>
            <w:r w:rsidRPr="007C4DE3">
              <w:rPr>
                <w:rFonts w:ascii="Times New Roman" w:eastAsia="DengXian" w:hAnsi="Times New Roman" w:cs="Times New Roman"/>
                <w:sz w:val="20"/>
                <w:szCs w:val="20"/>
              </w:rPr>
              <w:t>75~</w:t>
            </w:r>
          </w:p>
        </w:tc>
        <w:tc>
          <w:tcPr>
            <w:tcW w:w="644" w:type="pct"/>
            <w:tcBorders>
              <w:top w:val="nil"/>
              <w:left w:val="nil"/>
              <w:bottom w:val="single" w:sz="4" w:space="0" w:color="auto"/>
              <w:right w:val="single" w:sz="4" w:space="0" w:color="auto"/>
            </w:tcBorders>
            <w:vAlign w:val="center"/>
            <w:hideMark/>
          </w:tcPr>
          <w:p w14:paraId="405BDC10"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1</w:t>
            </w:r>
          </w:p>
        </w:tc>
        <w:tc>
          <w:tcPr>
            <w:tcW w:w="645" w:type="pct"/>
            <w:tcBorders>
              <w:top w:val="nil"/>
              <w:left w:val="nil"/>
              <w:bottom w:val="single" w:sz="4" w:space="0" w:color="auto"/>
              <w:right w:val="single" w:sz="4" w:space="0" w:color="auto"/>
            </w:tcBorders>
            <w:vAlign w:val="center"/>
            <w:hideMark/>
          </w:tcPr>
          <w:p w14:paraId="1F16201D" w14:textId="77777777" w:rsidR="007C4DE3" w:rsidRPr="007C4DE3" w:rsidRDefault="007C4DE3" w:rsidP="007C4DE3">
            <w:pPr>
              <w:jc w:val="center"/>
              <w:rPr>
                <w:rFonts w:ascii="Times New Roman" w:eastAsia="DengXian" w:hAnsi="Times New Roman" w:cs="Times New Roman"/>
                <w:color w:val="000000"/>
                <w:sz w:val="20"/>
                <w:szCs w:val="20"/>
              </w:rPr>
            </w:pPr>
            <w:r w:rsidRPr="007C4DE3">
              <w:rPr>
                <w:rFonts w:ascii="Times New Roman" w:eastAsia="DengXian" w:hAnsi="Times New Roman" w:cs="Times New Roman"/>
                <w:color w:val="000000"/>
                <w:sz w:val="20"/>
                <w:szCs w:val="20"/>
              </w:rPr>
              <w:t>-</w:t>
            </w:r>
          </w:p>
        </w:tc>
        <w:tc>
          <w:tcPr>
            <w:tcW w:w="645" w:type="pct"/>
            <w:tcBorders>
              <w:top w:val="nil"/>
              <w:left w:val="nil"/>
              <w:bottom w:val="single" w:sz="4" w:space="0" w:color="auto"/>
              <w:right w:val="single" w:sz="4" w:space="0" w:color="auto"/>
            </w:tcBorders>
            <w:vAlign w:val="center"/>
            <w:hideMark/>
          </w:tcPr>
          <w:p w14:paraId="2EDACB42"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2.470 </w:t>
            </w:r>
          </w:p>
        </w:tc>
        <w:tc>
          <w:tcPr>
            <w:tcW w:w="645" w:type="pct"/>
            <w:tcBorders>
              <w:top w:val="nil"/>
              <w:left w:val="nil"/>
              <w:bottom w:val="single" w:sz="4" w:space="0" w:color="auto"/>
              <w:right w:val="single" w:sz="4" w:space="0" w:color="auto"/>
            </w:tcBorders>
            <w:vAlign w:val="center"/>
            <w:hideMark/>
          </w:tcPr>
          <w:p w14:paraId="1AB46AD6"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c>
          <w:tcPr>
            <w:tcW w:w="644" w:type="pct"/>
            <w:tcBorders>
              <w:top w:val="nil"/>
              <w:left w:val="nil"/>
              <w:bottom w:val="single" w:sz="4" w:space="0" w:color="auto"/>
              <w:right w:val="single" w:sz="4" w:space="0" w:color="auto"/>
            </w:tcBorders>
            <w:vAlign w:val="center"/>
            <w:hideMark/>
          </w:tcPr>
          <w:p w14:paraId="16734EA4" w14:textId="77777777" w:rsidR="007C4DE3" w:rsidRPr="007C4DE3" w:rsidRDefault="007C4DE3" w:rsidP="007C4DE3">
            <w:pPr>
              <w:jc w:val="center"/>
              <w:rPr>
                <w:rFonts w:ascii="Times New Roman" w:eastAsia="DengXian" w:hAnsi="Times New Roman" w:cs="Times New Roman"/>
                <w:sz w:val="20"/>
                <w:szCs w:val="20"/>
              </w:rPr>
            </w:pPr>
            <w:r w:rsidRPr="007C4DE3">
              <w:rPr>
                <w:rFonts w:ascii="Times New Roman" w:eastAsia="DengXian" w:hAnsi="Times New Roman" w:cs="Times New Roman"/>
                <w:sz w:val="20"/>
                <w:szCs w:val="20"/>
              </w:rPr>
              <w:t xml:space="preserve">　</w:t>
            </w:r>
          </w:p>
        </w:tc>
      </w:tr>
    </w:tbl>
    <w:p w14:paraId="309D8D2B" w14:textId="448184C0" w:rsidR="007C4DE3" w:rsidRPr="00651543" w:rsidRDefault="005363CE" w:rsidP="007C4DE3">
      <w:pPr>
        <w:rPr>
          <w:rFonts w:ascii="Times New Roman" w:hAnsi="Times New Roman" w:cs="Times New Roman"/>
          <w:sz w:val="18"/>
          <w:szCs w:val="18"/>
        </w:rPr>
      </w:pPr>
      <w:r w:rsidRPr="00651543">
        <w:rPr>
          <w:rFonts w:ascii="Times New Roman" w:hAnsi="Times New Roman" w:cs="Times New Roman"/>
          <w:sz w:val="18"/>
          <w:szCs w:val="18"/>
        </w:rPr>
        <w:t xml:space="preserve">*GI: </w:t>
      </w:r>
      <w:r w:rsidRPr="00651543">
        <w:rPr>
          <w:rFonts w:ascii="Times New Roman" w:hAnsi="Times New Roman"/>
          <w:sz w:val="18"/>
          <w:szCs w:val="18"/>
        </w:rPr>
        <w:t>gastrointestinal</w:t>
      </w:r>
      <w:r w:rsidRPr="00651543">
        <w:rPr>
          <w:rFonts w:ascii="Times New Roman" w:hAnsi="Times New Roman" w:cs="Times New Roman"/>
          <w:sz w:val="18"/>
          <w:szCs w:val="18"/>
        </w:rPr>
        <w:t xml:space="preserve">; ICH: </w:t>
      </w:r>
      <w:r w:rsidRPr="00651543">
        <w:rPr>
          <w:rFonts w:ascii="Times New Roman" w:hAnsi="Times New Roman"/>
          <w:sz w:val="18"/>
          <w:szCs w:val="18"/>
        </w:rPr>
        <w:t>intracranial hemorrhage</w:t>
      </w:r>
    </w:p>
    <w:p w14:paraId="12B89BCD" w14:textId="38A3E0BA" w:rsidR="00037C91" w:rsidRPr="00037C91" w:rsidRDefault="00037C91" w:rsidP="00037C91">
      <w:pPr>
        <w:pStyle w:val="3"/>
        <w:rPr>
          <w:b w:val="0"/>
          <w:bCs w:val="0"/>
        </w:rPr>
      </w:pPr>
      <w:bookmarkStart w:id="30" w:name="_Toc200988921"/>
      <w:bookmarkStart w:id="31" w:name="_Toc211440067"/>
      <w:r w:rsidRPr="00037C91">
        <w:rPr>
          <w:b w:val="0"/>
          <w:bCs w:val="0"/>
        </w:rPr>
        <w:t>Table S</w:t>
      </w:r>
      <w:r w:rsidRPr="00037C91">
        <w:rPr>
          <w:rFonts w:hint="eastAsia"/>
          <w:b w:val="0"/>
          <w:bCs w:val="0"/>
        </w:rPr>
        <w:t>5</w:t>
      </w:r>
      <w:r w:rsidRPr="00037C91">
        <w:rPr>
          <w:b w:val="0"/>
          <w:bCs w:val="0"/>
        </w:rPr>
        <w:t>. Detailed Breakdown of Drug Acquisition Costs</w:t>
      </w:r>
      <w:r w:rsidR="00FF20D2">
        <w:rPr>
          <w:rFonts w:hint="eastAsia"/>
          <w:b w:val="0"/>
          <w:bCs w:val="0"/>
        </w:rPr>
        <w:t xml:space="preserve"> at </w:t>
      </w:r>
      <w:r w:rsidR="00370CE4">
        <w:rPr>
          <w:rFonts w:hint="eastAsia"/>
          <w:b w:val="0"/>
          <w:bCs w:val="0"/>
        </w:rPr>
        <w:t>I</w:t>
      </w:r>
      <w:r w:rsidR="00FF20D2">
        <w:rPr>
          <w:b w:val="0"/>
          <w:bCs w:val="0"/>
        </w:rPr>
        <w:t>nitial</w:t>
      </w:r>
      <w:r w:rsidR="00FF20D2">
        <w:rPr>
          <w:rFonts w:hint="eastAsia"/>
          <w:b w:val="0"/>
          <w:bCs w:val="0"/>
        </w:rPr>
        <w:t xml:space="preserve"> </w:t>
      </w:r>
      <w:r w:rsidR="00370CE4">
        <w:rPr>
          <w:rFonts w:hint="eastAsia"/>
          <w:b w:val="0"/>
          <w:bCs w:val="0"/>
        </w:rPr>
        <w:t>A</w:t>
      </w:r>
      <w:r w:rsidR="00FF20D2">
        <w:rPr>
          <w:rFonts w:hint="eastAsia"/>
          <w:b w:val="0"/>
          <w:bCs w:val="0"/>
        </w:rPr>
        <w:t>ge</w:t>
      </w:r>
      <w:bookmarkEnd w:id="30"/>
      <w:bookmarkEnd w:id="31"/>
      <w:r w:rsidR="00C05E32">
        <w:rPr>
          <w:rStyle w:val="aff"/>
          <w:b w:val="0"/>
          <w:bCs w:val="0"/>
        </w:rPr>
        <w:footnoteReference w:id="1"/>
      </w:r>
    </w:p>
    <w:tbl>
      <w:tblPr>
        <w:tblStyle w:val="af5"/>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2016"/>
        <w:gridCol w:w="939"/>
        <w:gridCol w:w="983"/>
        <w:gridCol w:w="1150"/>
      </w:tblGrid>
      <w:tr w:rsidR="00037C91" w:rsidRPr="00037C91" w14:paraId="780A6D4A" w14:textId="77777777" w:rsidTr="005363CE">
        <w:trPr>
          <w:trHeight w:val="1200"/>
        </w:trPr>
        <w:tc>
          <w:tcPr>
            <w:tcW w:w="2067" w:type="pct"/>
            <w:tcBorders>
              <w:top w:val="single" w:sz="4" w:space="0" w:color="auto"/>
              <w:bottom w:val="single" w:sz="4" w:space="0" w:color="auto"/>
            </w:tcBorders>
            <w:vAlign w:val="center"/>
            <w:hideMark/>
          </w:tcPr>
          <w:p w14:paraId="2882CBA0" w14:textId="608C0524" w:rsidR="00037C91" w:rsidRPr="00FF20D2" w:rsidRDefault="00FF20D2" w:rsidP="00037C91">
            <w:pPr>
              <w:jc w:val="center"/>
              <w:rPr>
                <w:rFonts w:ascii="Times New Roman" w:eastAsia="DengXian" w:hAnsi="Times New Roman" w:cs="Times New Roman"/>
                <w:b/>
                <w:bCs/>
                <w:sz w:val="20"/>
                <w:szCs w:val="20"/>
              </w:rPr>
            </w:pPr>
            <w:r w:rsidRPr="00FF20D2">
              <w:rPr>
                <w:rFonts w:ascii="Times New Roman" w:eastAsia="DengXian" w:hAnsi="Times New Roman" w:cs="Times New Roman" w:hint="eastAsia"/>
                <w:b/>
                <w:bCs/>
                <w:sz w:val="20"/>
                <w:szCs w:val="20"/>
              </w:rPr>
              <w:t>Treatment pattern</w:t>
            </w:r>
          </w:p>
        </w:tc>
        <w:tc>
          <w:tcPr>
            <w:tcW w:w="1214" w:type="pct"/>
            <w:tcBorders>
              <w:top w:val="single" w:sz="4" w:space="0" w:color="auto"/>
              <w:bottom w:val="single" w:sz="4" w:space="0" w:color="auto"/>
            </w:tcBorders>
            <w:noWrap/>
            <w:vAlign w:val="center"/>
            <w:hideMark/>
          </w:tcPr>
          <w:p w14:paraId="3CCA7DD6" w14:textId="77777777" w:rsidR="00037C91" w:rsidRPr="00037C91" w:rsidRDefault="00037C91" w:rsidP="00037C91">
            <w:pPr>
              <w:jc w:val="center"/>
              <w:rPr>
                <w:rFonts w:ascii="Times New Roman" w:eastAsia="DengXian" w:hAnsi="Times New Roman" w:cs="Times New Roman"/>
                <w:b/>
                <w:bCs/>
                <w:sz w:val="20"/>
                <w:szCs w:val="20"/>
              </w:rPr>
            </w:pPr>
            <w:r w:rsidRPr="00037C91">
              <w:rPr>
                <w:rFonts w:ascii="Times New Roman" w:eastAsia="DengXian" w:hAnsi="Times New Roman" w:cs="Times New Roman"/>
                <w:b/>
                <w:bCs/>
                <w:sz w:val="20"/>
                <w:szCs w:val="20"/>
              </w:rPr>
              <w:t>Medication</w:t>
            </w:r>
          </w:p>
        </w:tc>
        <w:tc>
          <w:tcPr>
            <w:tcW w:w="565" w:type="pct"/>
            <w:tcBorders>
              <w:top w:val="single" w:sz="4" w:space="0" w:color="auto"/>
              <w:bottom w:val="single" w:sz="4" w:space="0" w:color="auto"/>
            </w:tcBorders>
            <w:vAlign w:val="center"/>
            <w:hideMark/>
          </w:tcPr>
          <w:p w14:paraId="3F4A43DF" w14:textId="77777777" w:rsidR="00037C91" w:rsidRPr="00037C91" w:rsidRDefault="00037C91" w:rsidP="00037C91">
            <w:pPr>
              <w:jc w:val="center"/>
              <w:rPr>
                <w:rFonts w:ascii="Times New Roman" w:eastAsia="DengXian" w:hAnsi="Times New Roman" w:cs="Times New Roman"/>
                <w:b/>
                <w:bCs/>
                <w:sz w:val="20"/>
                <w:szCs w:val="20"/>
              </w:rPr>
            </w:pPr>
            <w:r w:rsidRPr="00037C91">
              <w:rPr>
                <w:rFonts w:ascii="Times New Roman" w:eastAsia="DengXian" w:hAnsi="Times New Roman" w:cs="Times New Roman"/>
                <w:b/>
                <w:bCs/>
                <w:sz w:val="20"/>
                <w:szCs w:val="20"/>
              </w:rPr>
              <w:t>Annual dosage quantity</w:t>
            </w:r>
          </w:p>
        </w:tc>
        <w:tc>
          <w:tcPr>
            <w:tcW w:w="461" w:type="pct"/>
            <w:tcBorders>
              <w:top w:val="single" w:sz="4" w:space="0" w:color="auto"/>
              <w:bottom w:val="single" w:sz="4" w:space="0" w:color="auto"/>
            </w:tcBorders>
            <w:vAlign w:val="center"/>
            <w:hideMark/>
          </w:tcPr>
          <w:p w14:paraId="1F1AA6A5" w14:textId="602159DC" w:rsidR="00037C91" w:rsidRPr="00037C91" w:rsidRDefault="00037C91" w:rsidP="00037C91">
            <w:pPr>
              <w:jc w:val="center"/>
              <w:rPr>
                <w:rFonts w:ascii="Times New Roman" w:hAnsi="Times New Roman" w:cs="Times New Roman"/>
                <w:b/>
                <w:bCs/>
                <w:sz w:val="20"/>
                <w:szCs w:val="20"/>
              </w:rPr>
            </w:pPr>
            <w:r w:rsidRPr="00037C91">
              <w:rPr>
                <w:rFonts w:ascii="Times New Roman" w:hAnsi="Times New Roman" w:cs="Times New Roman"/>
                <w:b/>
                <w:bCs/>
                <w:sz w:val="20"/>
                <w:szCs w:val="20"/>
              </w:rPr>
              <w:t>Drug unit price</w:t>
            </w:r>
            <w:r w:rsidR="00C7707D">
              <w:rPr>
                <w:rFonts w:ascii="Times New Roman" w:hAnsi="Times New Roman" w:cs="Times New Roman" w:hint="eastAsia"/>
                <w:b/>
                <w:bCs/>
                <w:sz w:val="20"/>
                <w:szCs w:val="20"/>
              </w:rPr>
              <w:t>[32]</w:t>
            </w:r>
          </w:p>
        </w:tc>
        <w:tc>
          <w:tcPr>
            <w:tcW w:w="692" w:type="pct"/>
            <w:tcBorders>
              <w:top w:val="single" w:sz="4" w:space="0" w:color="auto"/>
              <w:bottom w:val="single" w:sz="4" w:space="0" w:color="auto"/>
            </w:tcBorders>
            <w:vAlign w:val="center"/>
            <w:hideMark/>
          </w:tcPr>
          <w:p w14:paraId="5C77B93E" w14:textId="77777777" w:rsidR="00037C91" w:rsidRPr="00037C91" w:rsidRDefault="00037C91" w:rsidP="00037C91">
            <w:pPr>
              <w:jc w:val="center"/>
              <w:rPr>
                <w:rFonts w:ascii="Times New Roman" w:eastAsia="DengXian" w:hAnsi="Times New Roman" w:cs="Times New Roman"/>
                <w:b/>
                <w:bCs/>
                <w:sz w:val="20"/>
                <w:szCs w:val="20"/>
              </w:rPr>
            </w:pPr>
            <w:r w:rsidRPr="00037C91">
              <w:rPr>
                <w:rFonts w:ascii="Times New Roman" w:eastAsia="DengXian" w:hAnsi="Times New Roman" w:cs="Times New Roman"/>
                <w:b/>
                <w:bCs/>
                <w:sz w:val="20"/>
                <w:szCs w:val="20"/>
              </w:rPr>
              <w:t>Annual drug acquisition costs</w:t>
            </w:r>
          </w:p>
        </w:tc>
      </w:tr>
      <w:tr w:rsidR="00037C91" w:rsidRPr="00037C91" w14:paraId="3A51FB6A" w14:textId="77777777" w:rsidTr="005363CE">
        <w:trPr>
          <w:trHeight w:val="320"/>
        </w:trPr>
        <w:tc>
          <w:tcPr>
            <w:tcW w:w="2067" w:type="pct"/>
            <w:vMerge w:val="restart"/>
            <w:tcBorders>
              <w:top w:val="single" w:sz="4" w:space="0" w:color="auto"/>
              <w:bottom w:val="nil"/>
            </w:tcBorders>
            <w:vAlign w:val="center"/>
            <w:hideMark/>
          </w:tcPr>
          <w:p w14:paraId="430FB40E"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prophylaxis</w:t>
            </w:r>
          </w:p>
        </w:tc>
        <w:tc>
          <w:tcPr>
            <w:tcW w:w="1214" w:type="pct"/>
            <w:tcBorders>
              <w:top w:val="single" w:sz="4" w:space="0" w:color="auto"/>
              <w:bottom w:val="nil"/>
            </w:tcBorders>
            <w:noWrap/>
            <w:vAlign w:val="center"/>
            <w:hideMark/>
          </w:tcPr>
          <w:p w14:paraId="4C7B66CF"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500IU</w:t>
            </w:r>
          </w:p>
        </w:tc>
        <w:tc>
          <w:tcPr>
            <w:tcW w:w="565" w:type="pct"/>
            <w:tcBorders>
              <w:top w:val="single" w:sz="4" w:space="0" w:color="auto"/>
              <w:bottom w:val="nil"/>
            </w:tcBorders>
            <w:vAlign w:val="center"/>
            <w:hideMark/>
          </w:tcPr>
          <w:p w14:paraId="3523F85A"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167</w:t>
            </w:r>
          </w:p>
        </w:tc>
        <w:tc>
          <w:tcPr>
            <w:tcW w:w="461" w:type="pct"/>
            <w:tcBorders>
              <w:top w:val="single" w:sz="4" w:space="0" w:color="auto"/>
              <w:bottom w:val="nil"/>
            </w:tcBorders>
            <w:noWrap/>
            <w:vAlign w:val="center"/>
            <w:hideMark/>
          </w:tcPr>
          <w:p w14:paraId="3FFB76C7" w14:textId="348F82E3"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¥1,170</w:t>
            </w:r>
          </w:p>
        </w:tc>
        <w:tc>
          <w:tcPr>
            <w:tcW w:w="692" w:type="pct"/>
            <w:vMerge w:val="restart"/>
            <w:tcBorders>
              <w:top w:val="single" w:sz="4" w:space="0" w:color="auto"/>
              <w:bottom w:val="nil"/>
            </w:tcBorders>
            <w:vAlign w:val="center"/>
            <w:hideMark/>
          </w:tcPr>
          <w:p w14:paraId="2D088138" w14:textId="009D1B4E"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¥310,296</w:t>
            </w:r>
          </w:p>
        </w:tc>
      </w:tr>
      <w:tr w:rsidR="00037C91" w:rsidRPr="00037C91" w14:paraId="5046EE8C" w14:textId="77777777" w:rsidTr="005363CE">
        <w:trPr>
          <w:trHeight w:val="320"/>
        </w:trPr>
        <w:tc>
          <w:tcPr>
            <w:tcW w:w="2067" w:type="pct"/>
            <w:vMerge/>
            <w:tcBorders>
              <w:top w:val="nil"/>
              <w:bottom w:val="single" w:sz="4" w:space="0" w:color="auto"/>
            </w:tcBorders>
            <w:vAlign w:val="center"/>
            <w:hideMark/>
          </w:tcPr>
          <w:p w14:paraId="7626E294" w14:textId="77777777" w:rsidR="00037C91" w:rsidRPr="00037C91" w:rsidRDefault="00037C91" w:rsidP="00037C91">
            <w:pPr>
              <w:jc w:val="center"/>
              <w:rPr>
                <w:rFonts w:ascii="Times New Roman" w:eastAsia="DengXian" w:hAnsi="Times New Roman" w:cs="Times New Roman"/>
                <w:sz w:val="20"/>
                <w:szCs w:val="20"/>
              </w:rPr>
            </w:pPr>
          </w:p>
        </w:tc>
        <w:tc>
          <w:tcPr>
            <w:tcW w:w="1214" w:type="pct"/>
            <w:tcBorders>
              <w:top w:val="nil"/>
              <w:bottom w:val="single" w:sz="4" w:space="0" w:color="auto"/>
            </w:tcBorders>
            <w:noWrap/>
            <w:vAlign w:val="center"/>
            <w:hideMark/>
          </w:tcPr>
          <w:p w14:paraId="4CCF3622"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250IU</w:t>
            </w:r>
          </w:p>
        </w:tc>
        <w:tc>
          <w:tcPr>
            <w:tcW w:w="565" w:type="pct"/>
            <w:tcBorders>
              <w:top w:val="nil"/>
              <w:bottom w:val="single" w:sz="4" w:space="0" w:color="auto"/>
            </w:tcBorders>
            <w:vAlign w:val="center"/>
            <w:hideMark/>
          </w:tcPr>
          <w:p w14:paraId="445CA59F"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167</w:t>
            </w:r>
          </w:p>
        </w:tc>
        <w:tc>
          <w:tcPr>
            <w:tcW w:w="461" w:type="pct"/>
            <w:tcBorders>
              <w:top w:val="nil"/>
              <w:bottom w:val="single" w:sz="4" w:space="0" w:color="auto"/>
            </w:tcBorders>
            <w:noWrap/>
            <w:vAlign w:val="center"/>
            <w:hideMark/>
          </w:tcPr>
          <w:p w14:paraId="314A947D" w14:textId="262D34D6"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¥688</w:t>
            </w:r>
          </w:p>
        </w:tc>
        <w:tc>
          <w:tcPr>
            <w:tcW w:w="692" w:type="pct"/>
            <w:vMerge/>
            <w:tcBorders>
              <w:top w:val="nil"/>
              <w:bottom w:val="single" w:sz="4" w:space="0" w:color="auto"/>
            </w:tcBorders>
            <w:vAlign w:val="center"/>
            <w:hideMark/>
          </w:tcPr>
          <w:p w14:paraId="152F3D14" w14:textId="77777777" w:rsidR="00037C91" w:rsidRPr="00037C91" w:rsidRDefault="00037C91" w:rsidP="00037C91">
            <w:pPr>
              <w:jc w:val="center"/>
              <w:rPr>
                <w:rFonts w:ascii="Times New Roman" w:eastAsia="DengXian" w:hAnsi="Times New Roman" w:cs="Times New Roman"/>
                <w:sz w:val="20"/>
                <w:szCs w:val="20"/>
              </w:rPr>
            </w:pPr>
          </w:p>
        </w:tc>
      </w:tr>
      <w:tr w:rsidR="00037C91" w:rsidRPr="00037C91" w14:paraId="429DAE76" w14:textId="77777777" w:rsidTr="005363CE">
        <w:trPr>
          <w:trHeight w:val="320"/>
        </w:trPr>
        <w:tc>
          <w:tcPr>
            <w:tcW w:w="2067" w:type="pct"/>
            <w:vMerge w:val="restart"/>
            <w:tcBorders>
              <w:top w:val="single" w:sz="4" w:space="0" w:color="auto"/>
              <w:bottom w:val="single" w:sz="4" w:space="0" w:color="auto"/>
            </w:tcBorders>
            <w:vAlign w:val="center"/>
            <w:hideMark/>
          </w:tcPr>
          <w:p w14:paraId="4C3A593C"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prophylaxis</w:t>
            </w:r>
          </w:p>
        </w:tc>
        <w:tc>
          <w:tcPr>
            <w:tcW w:w="1214" w:type="pct"/>
            <w:tcBorders>
              <w:top w:val="single" w:sz="4" w:space="0" w:color="auto"/>
              <w:bottom w:val="nil"/>
            </w:tcBorders>
            <w:noWrap/>
            <w:vAlign w:val="center"/>
            <w:hideMark/>
          </w:tcPr>
          <w:p w14:paraId="757E2D9B"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500IU</w:t>
            </w:r>
          </w:p>
        </w:tc>
        <w:tc>
          <w:tcPr>
            <w:tcW w:w="565" w:type="pct"/>
            <w:tcBorders>
              <w:top w:val="single" w:sz="4" w:space="0" w:color="auto"/>
              <w:bottom w:val="nil"/>
            </w:tcBorders>
            <w:vAlign w:val="center"/>
            <w:hideMark/>
          </w:tcPr>
          <w:p w14:paraId="04A89936"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167</w:t>
            </w:r>
          </w:p>
        </w:tc>
        <w:tc>
          <w:tcPr>
            <w:tcW w:w="461" w:type="pct"/>
            <w:tcBorders>
              <w:top w:val="single" w:sz="4" w:space="0" w:color="auto"/>
              <w:bottom w:val="nil"/>
            </w:tcBorders>
            <w:noWrap/>
            <w:vAlign w:val="center"/>
            <w:hideMark/>
          </w:tcPr>
          <w:p w14:paraId="530A5082" w14:textId="0B184E72"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¥1,34</w:t>
            </w:r>
            <w:r w:rsidRPr="00037C91">
              <w:rPr>
                <w:rFonts w:ascii="Times New Roman" w:eastAsia="DengXian" w:hAnsi="Times New Roman" w:cs="Times New Roman" w:hint="eastAsia"/>
                <w:sz w:val="20"/>
                <w:szCs w:val="20"/>
              </w:rPr>
              <w:t>4</w:t>
            </w:r>
          </w:p>
        </w:tc>
        <w:tc>
          <w:tcPr>
            <w:tcW w:w="692" w:type="pct"/>
            <w:vMerge w:val="restart"/>
            <w:tcBorders>
              <w:top w:val="single" w:sz="4" w:space="0" w:color="auto"/>
              <w:bottom w:val="nil"/>
            </w:tcBorders>
            <w:vAlign w:val="center"/>
            <w:hideMark/>
          </w:tcPr>
          <w:p w14:paraId="4DBF654A" w14:textId="487238BC"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¥356,400</w:t>
            </w:r>
          </w:p>
        </w:tc>
      </w:tr>
      <w:tr w:rsidR="00037C91" w:rsidRPr="00037C91" w14:paraId="6D859D70" w14:textId="77777777" w:rsidTr="005363CE">
        <w:trPr>
          <w:trHeight w:val="320"/>
        </w:trPr>
        <w:tc>
          <w:tcPr>
            <w:tcW w:w="2067" w:type="pct"/>
            <w:vMerge/>
            <w:tcBorders>
              <w:top w:val="nil"/>
              <w:bottom w:val="single" w:sz="4" w:space="0" w:color="auto"/>
            </w:tcBorders>
            <w:vAlign w:val="center"/>
            <w:hideMark/>
          </w:tcPr>
          <w:p w14:paraId="363AB1E5" w14:textId="77777777" w:rsidR="00037C91" w:rsidRPr="00037C91" w:rsidRDefault="00037C91" w:rsidP="00037C91">
            <w:pPr>
              <w:jc w:val="center"/>
              <w:rPr>
                <w:rFonts w:ascii="Times New Roman" w:eastAsia="DengXian" w:hAnsi="Times New Roman" w:cs="Times New Roman"/>
                <w:sz w:val="20"/>
                <w:szCs w:val="20"/>
              </w:rPr>
            </w:pPr>
          </w:p>
        </w:tc>
        <w:tc>
          <w:tcPr>
            <w:tcW w:w="1214" w:type="pct"/>
            <w:tcBorders>
              <w:top w:val="nil"/>
              <w:bottom w:val="single" w:sz="4" w:space="0" w:color="auto"/>
            </w:tcBorders>
            <w:noWrap/>
            <w:vAlign w:val="center"/>
            <w:hideMark/>
          </w:tcPr>
          <w:p w14:paraId="04C76D8B"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250IU</w:t>
            </w:r>
          </w:p>
        </w:tc>
        <w:tc>
          <w:tcPr>
            <w:tcW w:w="565" w:type="pct"/>
            <w:tcBorders>
              <w:top w:val="nil"/>
              <w:bottom w:val="single" w:sz="4" w:space="0" w:color="auto"/>
            </w:tcBorders>
            <w:vAlign w:val="center"/>
            <w:hideMark/>
          </w:tcPr>
          <w:p w14:paraId="71C22EAE"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167</w:t>
            </w:r>
          </w:p>
        </w:tc>
        <w:tc>
          <w:tcPr>
            <w:tcW w:w="461" w:type="pct"/>
            <w:tcBorders>
              <w:top w:val="nil"/>
              <w:bottom w:val="single" w:sz="4" w:space="0" w:color="auto"/>
            </w:tcBorders>
            <w:noWrap/>
            <w:vAlign w:val="center"/>
            <w:hideMark/>
          </w:tcPr>
          <w:p w14:paraId="4185CA76" w14:textId="3E862D80"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¥790</w:t>
            </w:r>
          </w:p>
        </w:tc>
        <w:tc>
          <w:tcPr>
            <w:tcW w:w="692" w:type="pct"/>
            <w:vMerge/>
            <w:tcBorders>
              <w:top w:val="nil"/>
              <w:bottom w:val="single" w:sz="4" w:space="0" w:color="auto"/>
            </w:tcBorders>
            <w:vAlign w:val="center"/>
            <w:hideMark/>
          </w:tcPr>
          <w:p w14:paraId="44B4F772" w14:textId="77777777" w:rsidR="00037C91" w:rsidRPr="00037C91" w:rsidRDefault="00037C91" w:rsidP="00037C91">
            <w:pPr>
              <w:jc w:val="center"/>
              <w:rPr>
                <w:rFonts w:ascii="Times New Roman" w:eastAsia="DengXian" w:hAnsi="Times New Roman" w:cs="Times New Roman"/>
                <w:sz w:val="20"/>
                <w:szCs w:val="20"/>
              </w:rPr>
            </w:pPr>
          </w:p>
        </w:tc>
      </w:tr>
      <w:tr w:rsidR="00037C91" w:rsidRPr="00037C91" w14:paraId="07BEF58E" w14:textId="77777777" w:rsidTr="005363CE">
        <w:trPr>
          <w:trHeight w:val="320"/>
        </w:trPr>
        <w:tc>
          <w:tcPr>
            <w:tcW w:w="2067" w:type="pct"/>
            <w:vMerge w:val="restart"/>
            <w:tcBorders>
              <w:top w:val="single" w:sz="4" w:space="0" w:color="auto"/>
              <w:bottom w:val="nil"/>
            </w:tcBorders>
            <w:vAlign w:val="center"/>
            <w:hideMark/>
          </w:tcPr>
          <w:p w14:paraId="39F5C767" w14:textId="4BFBD57D"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hemostasis</w:t>
            </w:r>
          </w:p>
        </w:tc>
        <w:tc>
          <w:tcPr>
            <w:tcW w:w="1214" w:type="pct"/>
            <w:tcBorders>
              <w:top w:val="single" w:sz="4" w:space="0" w:color="auto"/>
              <w:bottom w:val="nil"/>
            </w:tcBorders>
            <w:noWrap/>
            <w:vAlign w:val="center"/>
            <w:hideMark/>
          </w:tcPr>
          <w:p w14:paraId="24EF7BAF"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1000IU</w:t>
            </w:r>
          </w:p>
        </w:tc>
        <w:tc>
          <w:tcPr>
            <w:tcW w:w="565" w:type="pct"/>
            <w:tcBorders>
              <w:top w:val="single" w:sz="4" w:space="0" w:color="auto"/>
              <w:bottom w:val="nil"/>
            </w:tcBorders>
            <w:vAlign w:val="center"/>
            <w:hideMark/>
          </w:tcPr>
          <w:p w14:paraId="1268A412"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25</w:t>
            </w:r>
          </w:p>
        </w:tc>
        <w:tc>
          <w:tcPr>
            <w:tcW w:w="461" w:type="pct"/>
            <w:tcBorders>
              <w:top w:val="single" w:sz="4" w:space="0" w:color="auto"/>
              <w:bottom w:val="nil"/>
            </w:tcBorders>
            <w:noWrap/>
            <w:vAlign w:val="center"/>
            <w:hideMark/>
          </w:tcPr>
          <w:p w14:paraId="536B028E" w14:textId="71AFCA91"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¥1,98</w:t>
            </w:r>
            <w:r w:rsidRPr="00037C91">
              <w:rPr>
                <w:rFonts w:ascii="Times New Roman" w:eastAsia="DengXian" w:hAnsi="Times New Roman" w:cs="Times New Roman" w:hint="eastAsia"/>
                <w:sz w:val="20"/>
                <w:szCs w:val="20"/>
              </w:rPr>
              <w:t>9</w:t>
            </w:r>
          </w:p>
        </w:tc>
        <w:tc>
          <w:tcPr>
            <w:tcW w:w="692" w:type="pct"/>
            <w:vMerge w:val="restart"/>
            <w:tcBorders>
              <w:top w:val="single" w:sz="4" w:space="0" w:color="auto"/>
              <w:bottom w:val="single" w:sz="4" w:space="0" w:color="auto"/>
            </w:tcBorders>
            <w:vAlign w:val="center"/>
            <w:hideMark/>
          </w:tcPr>
          <w:p w14:paraId="4B4DEE62" w14:textId="1CF1551A"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¥66,855</w:t>
            </w:r>
          </w:p>
        </w:tc>
      </w:tr>
      <w:tr w:rsidR="00037C91" w:rsidRPr="00037C91" w14:paraId="6807B5E4" w14:textId="77777777" w:rsidTr="005363CE">
        <w:trPr>
          <w:trHeight w:val="320"/>
        </w:trPr>
        <w:tc>
          <w:tcPr>
            <w:tcW w:w="2067" w:type="pct"/>
            <w:vMerge/>
            <w:tcBorders>
              <w:top w:val="nil"/>
              <w:bottom w:val="single" w:sz="4" w:space="0" w:color="auto"/>
            </w:tcBorders>
            <w:vAlign w:val="center"/>
            <w:hideMark/>
          </w:tcPr>
          <w:p w14:paraId="43DEF4CB" w14:textId="77777777" w:rsidR="00037C91" w:rsidRPr="00037C91" w:rsidRDefault="00037C91" w:rsidP="00037C91">
            <w:pPr>
              <w:jc w:val="center"/>
              <w:rPr>
                <w:rFonts w:ascii="Times New Roman" w:eastAsia="DengXian" w:hAnsi="Times New Roman" w:cs="Times New Roman"/>
                <w:sz w:val="20"/>
                <w:szCs w:val="20"/>
              </w:rPr>
            </w:pPr>
          </w:p>
        </w:tc>
        <w:tc>
          <w:tcPr>
            <w:tcW w:w="1214" w:type="pct"/>
            <w:tcBorders>
              <w:top w:val="nil"/>
              <w:bottom w:val="single" w:sz="4" w:space="0" w:color="auto"/>
            </w:tcBorders>
            <w:noWrap/>
            <w:vAlign w:val="center"/>
            <w:hideMark/>
          </w:tcPr>
          <w:p w14:paraId="5B61F007"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250IU</w:t>
            </w:r>
          </w:p>
        </w:tc>
        <w:tc>
          <w:tcPr>
            <w:tcW w:w="565" w:type="pct"/>
            <w:tcBorders>
              <w:top w:val="nil"/>
              <w:bottom w:val="single" w:sz="4" w:space="0" w:color="auto"/>
            </w:tcBorders>
            <w:vAlign w:val="center"/>
            <w:hideMark/>
          </w:tcPr>
          <w:p w14:paraId="5742260A"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25</w:t>
            </w:r>
          </w:p>
        </w:tc>
        <w:tc>
          <w:tcPr>
            <w:tcW w:w="461" w:type="pct"/>
            <w:tcBorders>
              <w:top w:val="nil"/>
              <w:bottom w:val="single" w:sz="4" w:space="0" w:color="auto"/>
            </w:tcBorders>
            <w:noWrap/>
            <w:vAlign w:val="center"/>
            <w:hideMark/>
          </w:tcPr>
          <w:p w14:paraId="1FBA443F" w14:textId="715A9AD0"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¥688</w:t>
            </w:r>
          </w:p>
        </w:tc>
        <w:tc>
          <w:tcPr>
            <w:tcW w:w="692" w:type="pct"/>
            <w:vMerge/>
            <w:tcBorders>
              <w:top w:val="nil"/>
              <w:bottom w:val="single" w:sz="4" w:space="0" w:color="auto"/>
            </w:tcBorders>
            <w:vAlign w:val="center"/>
            <w:hideMark/>
          </w:tcPr>
          <w:p w14:paraId="47D8ECF8" w14:textId="77777777" w:rsidR="00037C91" w:rsidRPr="00037C91" w:rsidRDefault="00037C91" w:rsidP="00037C91">
            <w:pPr>
              <w:jc w:val="center"/>
              <w:rPr>
                <w:rFonts w:ascii="Times New Roman" w:eastAsia="DengXian" w:hAnsi="Times New Roman" w:cs="Times New Roman"/>
                <w:sz w:val="20"/>
                <w:szCs w:val="20"/>
              </w:rPr>
            </w:pPr>
          </w:p>
        </w:tc>
      </w:tr>
      <w:tr w:rsidR="00037C91" w:rsidRPr="00037C91" w14:paraId="5ED561E3" w14:textId="77777777" w:rsidTr="005363CE">
        <w:trPr>
          <w:trHeight w:val="320"/>
        </w:trPr>
        <w:tc>
          <w:tcPr>
            <w:tcW w:w="2067" w:type="pct"/>
            <w:vMerge w:val="restart"/>
            <w:tcBorders>
              <w:top w:val="single" w:sz="4" w:space="0" w:color="auto"/>
              <w:bottom w:val="nil"/>
            </w:tcBorders>
            <w:vAlign w:val="center"/>
            <w:hideMark/>
          </w:tcPr>
          <w:p w14:paraId="0AD9D6D4"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hemostasis</w:t>
            </w:r>
          </w:p>
        </w:tc>
        <w:tc>
          <w:tcPr>
            <w:tcW w:w="1214" w:type="pct"/>
            <w:tcBorders>
              <w:top w:val="single" w:sz="4" w:space="0" w:color="auto"/>
              <w:bottom w:val="nil"/>
            </w:tcBorders>
            <w:noWrap/>
            <w:vAlign w:val="center"/>
            <w:hideMark/>
          </w:tcPr>
          <w:p w14:paraId="6213452D"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1000IU</w:t>
            </w:r>
          </w:p>
        </w:tc>
        <w:tc>
          <w:tcPr>
            <w:tcW w:w="565" w:type="pct"/>
            <w:tcBorders>
              <w:top w:val="single" w:sz="4" w:space="0" w:color="auto"/>
              <w:bottom w:val="nil"/>
            </w:tcBorders>
            <w:vAlign w:val="center"/>
            <w:hideMark/>
          </w:tcPr>
          <w:p w14:paraId="1851B81A"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37</w:t>
            </w:r>
          </w:p>
        </w:tc>
        <w:tc>
          <w:tcPr>
            <w:tcW w:w="461" w:type="pct"/>
            <w:tcBorders>
              <w:top w:val="single" w:sz="4" w:space="0" w:color="auto"/>
              <w:bottom w:val="nil"/>
            </w:tcBorders>
            <w:noWrap/>
            <w:vAlign w:val="center"/>
            <w:hideMark/>
          </w:tcPr>
          <w:p w14:paraId="12106E60" w14:textId="7FFB0D9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¥2,284</w:t>
            </w:r>
          </w:p>
        </w:tc>
        <w:tc>
          <w:tcPr>
            <w:tcW w:w="692" w:type="pct"/>
            <w:vMerge w:val="restart"/>
            <w:tcBorders>
              <w:top w:val="single" w:sz="4" w:space="0" w:color="auto"/>
              <w:bottom w:val="single" w:sz="4" w:space="0" w:color="auto"/>
            </w:tcBorders>
            <w:vAlign w:val="center"/>
            <w:hideMark/>
          </w:tcPr>
          <w:p w14:paraId="1B6723CE" w14:textId="4FB5193F"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¥114,512</w:t>
            </w:r>
          </w:p>
        </w:tc>
      </w:tr>
      <w:tr w:rsidR="00037C91" w:rsidRPr="00037C91" w14:paraId="435E63B8" w14:textId="77777777" w:rsidTr="005363CE">
        <w:trPr>
          <w:trHeight w:val="320"/>
        </w:trPr>
        <w:tc>
          <w:tcPr>
            <w:tcW w:w="2067" w:type="pct"/>
            <w:vMerge/>
            <w:tcBorders>
              <w:top w:val="nil"/>
              <w:bottom w:val="single" w:sz="4" w:space="0" w:color="auto"/>
            </w:tcBorders>
            <w:vAlign w:val="center"/>
            <w:hideMark/>
          </w:tcPr>
          <w:p w14:paraId="3B192951" w14:textId="77777777" w:rsidR="00037C91" w:rsidRPr="00037C91" w:rsidRDefault="00037C91" w:rsidP="00037C91">
            <w:pPr>
              <w:jc w:val="center"/>
              <w:rPr>
                <w:rFonts w:ascii="Times New Roman" w:eastAsia="DengXian" w:hAnsi="Times New Roman" w:cs="Times New Roman"/>
                <w:sz w:val="20"/>
                <w:szCs w:val="20"/>
              </w:rPr>
            </w:pPr>
          </w:p>
        </w:tc>
        <w:tc>
          <w:tcPr>
            <w:tcW w:w="1214" w:type="pct"/>
            <w:tcBorders>
              <w:top w:val="nil"/>
              <w:bottom w:val="single" w:sz="4" w:space="0" w:color="auto"/>
            </w:tcBorders>
            <w:noWrap/>
            <w:vAlign w:val="center"/>
            <w:hideMark/>
          </w:tcPr>
          <w:p w14:paraId="4F52D8D3"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250IU</w:t>
            </w:r>
          </w:p>
        </w:tc>
        <w:tc>
          <w:tcPr>
            <w:tcW w:w="565" w:type="pct"/>
            <w:tcBorders>
              <w:top w:val="nil"/>
              <w:bottom w:val="single" w:sz="4" w:space="0" w:color="auto"/>
            </w:tcBorders>
            <w:vAlign w:val="center"/>
            <w:hideMark/>
          </w:tcPr>
          <w:p w14:paraId="3854ECAC"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37</w:t>
            </w:r>
          </w:p>
        </w:tc>
        <w:tc>
          <w:tcPr>
            <w:tcW w:w="461" w:type="pct"/>
            <w:tcBorders>
              <w:top w:val="nil"/>
              <w:bottom w:val="single" w:sz="4" w:space="0" w:color="auto"/>
            </w:tcBorders>
            <w:noWrap/>
            <w:vAlign w:val="center"/>
            <w:hideMark/>
          </w:tcPr>
          <w:p w14:paraId="2D084A0B" w14:textId="4715D4C9"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¥790</w:t>
            </w:r>
          </w:p>
        </w:tc>
        <w:tc>
          <w:tcPr>
            <w:tcW w:w="692" w:type="pct"/>
            <w:vMerge/>
            <w:tcBorders>
              <w:top w:val="nil"/>
              <w:bottom w:val="single" w:sz="4" w:space="0" w:color="auto"/>
            </w:tcBorders>
            <w:vAlign w:val="center"/>
            <w:hideMark/>
          </w:tcPr>
          <w:p w14:paraId="320D4D62" w14:textId="77777777" w:rsidR="00037C91" w:rsidRPr="00037C91" w:rsidRDefault="00037C91" w:rsidP="00037C91">
            <w:pPr>
              <w:jc w:val="center"/>
              <w:rPr>
                <w:rFonts w:ascii="Times New Roman" w:eastAsia="DengXian" w:hAnsi="Times New Roman" w:cs="Times New Roman"/>
                <w:sz w:val="20"/>
                <w:szCs w:val="20"/>
              </w:rPr>
            </w:pPr>
          </w:p>
        </w:tc>
      </w:tr>
      <w:tr w:rsidR="00037C91" w:rsidRPr="00037C91" w14:paraId="180FA9BD" w14:textId="77777777" w:rsidTr="005363CE">
        <w:trPr>
          <w:trHeight w:val="320"/>
        </w:trPr>
        <w:tc>
          <w:tcPr>
            <w:tcW w:w="2067" w:type="pct"/>
            <w:tcBorders>
              <w:top w:val="single" w:sz="4" w:space="0" w:color="auto"/>
              <w:bottom w:val="single" w:sz="4" w:space="0" w:color="auto"/>
            </w:tcBorders>
            <w:vAlign w:val="center"/>
            <w:hideMark/>
          </w:tcPr>
          <w:p w14:paraId="17246FC0"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high-dose prophylaxis for LTI eradication treatment</w:t>
            </w:r>
          </w:p>
        </w:tc>
        <w:tc>
          <w:tcPr>
            <w:tcW w:w="1214" w:type="pct"/>
            <w:tcBorders>
              <w:top w:val="single" w:sz="4" w:space="0" w:color="auto"/>
              <w:bottom w:val="single" w:sz="4" w:space="0" w:color="auto"/>
            </w:tcBorders>
            <w:noWrap/>
            <w:vAlign w:val="center"/>
            <w:hideMark/>
          </w:tcPr>
          <w:p w14:paraId="6BDFCD6C"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1000IU</w:t>
            </w:r>
          </w:p>
        </w:tc>
        <w:tc>
          <w:tcPr>
            <w:tcW w:w="565" w:type="pct"/>
            <w:tcBorders>
              <w:top w:val="single" w:sz="4" w:space="0" w:color="auto"/>
              <w:bottom w:val="single" w:sz="4" w:space="0" w:color="auto"/>
            </w:tcBorders>
            <w:vAlign w:val="center"/>
            <w:hideMark/>
          </w:tcPr>
          <w:p w14:paraId="03D89CAD"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183</w:t>
            </w:r>
          </w:p>
        </w:tc>
        <w:tc>
          <w:tcPr>
            <w:tcW w:w="461" w:type="pct"/>
            <w:tcBorders>
              <w:top w:val="single" w:sz="4" w:space="0" w:color="auto"/>
              <w:bottom w:val="single" w:sz="4" w:space="0" w:color="auto"/>
            </w:tcBorders>
            <w:noWrap/>
            <w:vAlign w:val="center"/>
            <w:hideMark/>
          </w:tcPr>
          <w:p w14:paraId="27FF56D1" w14:textId="5C68C3F6"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¥1,98</w:t>
            </w:r>
            <w:r w:rsidRPr="00037C91">
              <w:rPr>
                <w:rFonts w:ascii="Times New Roman" w:eastAsia="DengXian" w:hAnsi="Times New Roman" w:cs="Times New Roman" w:hint="eastAsia"/>
                <w:sz w:val="20"/>
                <w:szCs w:val="20"/>
              </w:rPr>
              <w:t>9</w:t>
            </w:r>
          </w:p>
        </w:tc>
        <w:tc>
          <w:tcPr>
            <w:tcW w:w="692" w:type="pct"/>
            <w:tcBorders>
              <w:top w:val="single" w:sz="4" w:space="0" w:color="auto"/>
              <w:bottom w:val="single" w:sz="4" w:space="0" w:color="auto"/>
            </w:tcBorders>
            <w:vAlign w:val="center"/>
            <w:hideMark/>
          </w:tcPr>
          <w:p w14:paraId="09B24BB9" w14:textId="34B930B2"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¥363,206</w:t>
            </w:r>
          </w:p>
        </w:tc>
      </w:tr>
      <w:tr w:rsidR="00037C91" w:rsidRPr="00037C91" w14:paraId="66AB5830" w14:textId="77777777" w:rsidTr="005363CE">
        <w:trPr>
          <w:trHeight w:val="320"/>
        </w:trPr>
        <w:tc>
          <w:tcPr>
            <w:tcW w:w="2067" w:type="pct"/>
            <w:tcBorders>
              <w:top w:val="single" w:sz="4" w:space="0" w:color="auto"/>
              <w:bottom w:val="single" w:sz="4" w:space="0" w:color="auto"/>
            </w:tcBorders>
            <w:vAlign w:val="center"/>
            <w:hideMark/>
          </w:tcPr>
          <w:p w14:paraId="2BEF6D9C"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high-dose prophylaxis for LTI eradication treatment</w:t>
            </w:r>
          </w:p>
        </w:tc>
        <w:tc>
          <w:tcPr>
            <w:tcW w:w="1214" w:type="pct"/>
            <w:tcBorders>
              <w:top w:val="single" w:sz="4" w:space="0" w:color="auto"/>
              <w:bottom w:val="single" w:sz="4" w:space="0" w:color="auto"/>
            </w:tcBorders>
            <w:noWrap/>
            <w:vAlign w:val="center"/>
            <w:hideMark/>
          </w:tcPr>
          <w:p w14:paraId="1B4CCB1F"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1000IU</w:t>
            </w:r>
          </w:p>
        </w:tc>
        <w:tc>
          <w:tcPr>
            <w:tcW w:w="565" w:type="pct"/>
            <w:tcBorders>
              <w:top w:val="single" w:sz="4" w:space="0" w:color="auto"/>
              <w:bottom w:val="single" w:sz="4" w:space="0" w:color="auto"/>
            </w:tcBorders>
            <w:vAlign w:val="center"/>
            <w:hideMark/>
          </w:tcPr>
          <w:p w14:paraId="6C1928BE"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183</w:t>
            </w:r>
          </w:p>
        </w:tc>
        <w:tc>
          <w:tcPr>
            <w:tcW w:w="461" w:type="pct"/>
            <w:tcBorders>
              <w:top w:val="single" w:sz="4" w:space="0" w:color="auto"/>
              <w:bottom w:val="single" w:sz="4" w:space="0" w:color="auto"/>
            </w:tcBorders>
            <w:noWrap/>
            <w:vAlign w:val="center"/>
            <w:hideMark/>
          </w:tcPr>
          <w:p w14:paraId="1C3D01FA" w14:textId="3A32A4FC"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¥2,284</w:t>
            </w:r>
          </w:p>
        </w:tc>
        <w:tc>
          <w:tcPr>
            <w:tcW w:w="692" w:type="pct"/>
            <w:tcBorders>
              <w:top w:val="single" w:sz="4" w:space="0" w:color="auto"/>
              <w:bottom w:val="single" w:sz="4" w:space="0" w:color="auto"/>
            </w:tcBorders>
            <w:vAlign w:val="center"/>
            <w:hideMark/>
          </w:tcPr>
          <w:p w14:paraId="6B819E86" w14:textId="428A37CE"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¥417,170</w:t>
            </w:r>
          </w:p>
        </w:tc>
      </w:tr>
      <w:tr w:rsidR="00037C91" w:rsidRPr="00037C91" w14:paraId="5B4C20E0" w14:textId="77777777" w:rsidTr="005363CE">
        <w:trPr>
          <w:trHeight w:val="320"/>
        </w:trPr>
        <w:tc>
          <w:tcPr>
            <w:tcW w:w="2067" w:type="pct"/>
            <w:vMerge w:val="restart"/>
            <w:tcBorders>
              <w:top w:val="single" w:sz="4" w:space="0" w:color="auto"/>
              <w:bottom w:val="nil"/>
            </w:tcBorders>
            <w:vAlign w:val="center"/>
            <w:hideMark/>
          </w:tcPr>
          <w:p w14:paraId="56631DA6"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ITI treatment with rAHF-PFM or pdFVIII for HTI eradication treatment</w:t>
            </w:r>
          </w:p>
        </w:tc>
        <w:tc>
          <w:tcPr>
            <w:tcW w:w="1214" w:type="pct"/>
            <w:tcBorders>
              <w:top w:val="single" w:sz="4" w:space="0" w:color="auto"/>
              <w:bottom w:val="nil"/>
            </w:tcBorders>
            <w:noWrap/>
            <w:vAlign w:val="center"/>
            <w:hideMark/>
          </w:tcPr>
          <w:p w14:paraId="33755EF1"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1000IU</w:t>
            </w:r>
          </w:p>
        </w:tc>
        <w:tc>
          <w:tcPr>
            <w:tcW w:w="565" w:type="pct"/>
            <w:tcBorders>
              <w:top w:val="single" w:sz="4" w:space="0" w:color="auto"/>
              <w:bottom w:val="nil"/>
            </w:tcBorders>
            <w:vAlign w:val="center"/>
            <w:hideMark/>
          </w:tcPr>
          <w:p w14:paraId="38C82422"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183</w:t>
            </w:r>
          </w:p>
        </w:tc>
        <w:tc>
          <w:tcPr>
            <w:tcW w:w="461" w:type="pct"/>
            <w:tcBorders>
              <w:top w:val="single" w:sz="4" w:space="0" w:color="auto"/>
              <w:bottom w:val="nil"/>
            </w:tcBorders>
            <w:noWrap/>
            <w:vAlign w:val="center"/>
            <w:hideMark/>
          </w:tcPr>
          <w:p w14:paraId="711F0B5C" w14:textId="1491A84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¥1,98</w:t>
            </w:r>
            <w:r w:rsidRPr="00037C91">
              <w:rPr>
                <w:rFonts w:ascii="Times New Roman" w:eastAsia="DengXian" w:hAnsi="Times New Roman" w:cs="Times New Roman" w:hint="eastAsia"/>
                <w:sz w:val="20"/>
                <w:szCs w:val="20"/>
              </w:rPr>
              <w:t>9</w:t>
            </w:r>
          </w:p>
        </w:tc>
        <w:tc>
          <w:tcPr>
            <w:tcW w:w="692" w:type="pct"/>
            <w:vMerge w:val="restart"/>
            <w:tcBorders>
              <w:top w:val="single" w:sz="4" w:space="0" w:color="auto"/>
              <w:bottom w:val="single" w:sz="4" w:space="0" w:color="auto"/>
            </w:tcBorders>
            <w:vAlign w:val="center"/>
            <w:hideMark/>
          </w:tcPr>
          <w:p w14:paraId="4F03AE8C" w14:textId="497025E8"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¥452,932</w:t>
            </w:r>
          </w:p>
        </w:tc>
      </w:tr>
      <w:tr w:rsidR="00037C91" w:rsidRPr="00037C91" w14:paraId="61EEB172" w14:textId="77777777" w:rsidTr="005363CE">
        <w:trPr>
          <w:trHeight w:val="320"/>
        </w:trPr>
        <w:tc>
          <w:tcPr>
            <w:tcW w:w="2067" w:type="pct"/>
            <w:vMerge/>
            <w:tcBorders>
              <w:top w:val="nil"/>
              <w:bottom w:val="single" w:sz="4" w:space="0" w:color="auto"/>
            </w:tcBorders>
            <w:vAlign w:val="center"/>
            <w:hideMark/>
          </w:tcPr>
          <w:p w14:paraId="1296206C" w14:textId="77777777" w:rsidR="00037C91" w:rsidRPr="00037C91" w:rsidRDefault="00037C91" w:rsidP="00037C91">
            <w:pPr>
              <w:jc w:val="center"/>
              <w:rPr>
                <w:rFonts w:ascii="Times New Roman" w:eastAsia="DengXian" w:hAnsi="Times New Roman" w:cs="Times New Roman"/>
                <w:sz w:val="20"/>
                <w:szCs w:val="20"/>
              </w:rPr>
            </w:pPr>
          </w:p>
        </w:tc>
        <w:tc>
          <w:tcPr>
            <w:tcW w:w="1214" w:type="pct"/>
            <w:tcBorders>
              <w:top w:val="nil"/>
              <w:bottom w:val="single" w:sz="4" w:space="0" w:color="auto"/>
            </w:tcBorders>
            <w:noWrap/>
            <w:vAlign w:val="center"/>
            <w:hideMark/>
          </w:tcPr>
          <w:p w14:paraId="24668A0E"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rAHF-PFM 250IU</w:t>
            </w:r>
          </w:p>
        </w:tc>
        <w:tc>
          <w:tcPr>
            <w:tcW w:w="565" w:type="pct"/>
            <w:tcBorders>
              <w:top w:val="nil"/>
              <w:bottom w:val="single" w:sz="4" w:space="0" w:color="auto"/>
            </w:tcBorders>
            <w:vAlign w:val="center"/>
            <w:hideMark/>
          </w:tcPr>
          <w:p w14:paraId="0CCB051E"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183</w:t>
            </w:r>
          </w:p>
        </w:tc>
        <w:tc>
          <w:tcPr>
            <w:tcW w:w="461" w:type="pct"/>
            <w:tcBorders>
              <w:top w:val="nil"/>
              <w:bottom w:val="single" w:sz="4" w:space="0" w:color="auto"/>
            </w:tcBorders>
            <w:noWrap/>
            <w:vAlign w:val="center"/>
            <w:hideMark/>
          </w:tcPr>
          <w:p w14:paraId="6390150E" w14:textId="6E6B1B08"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¥688</w:t>
            </w:r>
          </w:p>
        </w:tc>
        <w:tc>
          <w:tcPr>
            <w:tcW w:w="692" w:type="pct"/>
            <w:vMerge/>
            <w:tcBorders>
              <w:top w:val="nil"/>
              <w:bottom w:val="single" w:sz="4" w:space="0" w:color="auto"/>
            </w:tcBorders>
            <w:vAlign w:val="center"/>
            <w:hideMark/>
          </w:tcPr>
          <w:p w14:paraId="2984AD07" w14:textId="77777777" w:rsidR="00037C91" w:rsidRPr="00037C91" w:rsidRDefault="00037C91" w:rsidP="00037C91">
            <w:pPr>
              <w:jc w:val="center"/>
              <w:rPr>
                <w:rFonts w:ascii="Times New Roman" w:eastAsia="DengXian" w:hAnsi="Times New Roman" w:cs="Times New Roman"/>
                <w:sz w:val="20"/>
                <w:szCs w:val="20"/>
              </w:rPr>
            </w:pPr>
          </w:p>
        </w:tc>
      </w:tr>
      <w:tr w:rsidR="00037C91" w:rsidRPr="00037C91" w14:paraId="5079BC16" w14:textId="77777777" w:rsidTr="005363CE">
        <w:trPr>
          <w:trHeight w:val="340"/>
        </w:trPr>
        <w:tc>
          <w:tcPr>
            <w:tcW w:w="2067" w:type="pct"/>
            <w:vMerge w:val="restart"/>
            <w:tcBorders>
              <w:top w:val="single" w:sz="4" w:space="0" w:color="auto"/>
            </w:tcBorders>
            <w:vAlign w:val="center"/>
            <w:hideMark/>
          </w:tcPr>
          <w:p w14:paraId="1D1A3C55"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ITI treatment with BAY 81-8973 or pdFVIII for HTI eradication treatment</w:t>
            </w:r>
          </w:p>
        </w:tc>
        <w:tc>
          <w:tcPr>
            <w:tcW w:w="1214" w:type="pct"/>
            <w:tcBorders>
              <w:top w:val="single" w:sz="4" w:space="0" w:color="auto"/>
            </w:tcBorders>
            <w:noWrap/>
            <w:vAlign w:val="center"/>
            <w:hideMark/>
          </w:tcPr>
          <w:p w14:paraId="12893B29"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1000IU</w:t>
            </w:r>
          </w:p>
        </w:tc>
        <w:tc>
          <w:tcPr>
            <w:tcW w:w="565" w:type="pct"/>
            <w:tcBorders>
              <w:top w:val="single" w:sz="4" w:space="0" w:color="auto"/>
            </w:tcBorders>
            <w:vAlign w:val="center"/>
            <w:hideMark/>
          </w:tcPr>
          <w:p w14:paraId="35AF42CD"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183</w:t>
            </w:r>
          </w:p>
        </w:tc>
        <w:tc>
          <w:tcPr>
            <w:tcW w:w="461" w:type="pct"/>
            <w:tcBorders>
              <w:top w:val="single" w:sz="4" w:space="0" w:color="auto"/>
            </w:tcBorders>
            <w:noWrap/>
            <w:vAlign w:val="center"/>
            <w:hideMark/>
          </w:tcPr>
          <w:p w14:paraId="1FA28113" w14:textId="32F17B25"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¥2,284</w:t>
            </w:r>
          </w:p>
        </w:tc>
        <w:tc>
          <w:tcPr>
            <w:tcW w:w="692" w:type="pct"/>
            <w:vMerge w:val="restart"/>
            <w:tcBorders>
              <w:top w:val="single" w:sz="4" w:space="0" w:color="auto"/>
            </w:tcBorders>
            <w:vAlign w:val="center"/>
            <w:hideMark/>
          </w:tcPr>
          <w:p w14:paraId="383E7E22" w14:textId="72EA13E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¥506,633</w:t>
            </w:r>
          </w:p>
        </w:tc>
      </w:tr>
      <w:tr w:rsidR="00037C91" w:rsidRPr="00037C91" w14:paraId="2B09DD10" w14:textId="77777777" w:rsidTr="005363CE">
        <w:trPr>
          <w:trHeight w:val="340"/>
        </w:trPr>
        <w:tc>
          <w:tcPr>
            <w:tcW w:w="2067" w:type="pct"/>
            <w:vMerge/>
            <w:vAlign w:val="center"/>
            <w:hideMark/>
          </w:tcPr>
          <w:p w14:paraId="69317ABF" w14:textId="77777777" w:rsidR="00037C91" w:rsidRPr="00037C91" w:rsidRDefault="00037C91" w:rsidP="00037C91">
            <w:pPr>
              <w:jc w:val="center"/>
              <w:rPr>
                <w:rFonts w:ascii="Times New Roman" w:eastAsia="DengXian" w:hAnsi="Times New Roman" w:cs="Times New Roman"/>
                <w:sz w:val="20"/>
                <w:szCs w:val="20"/>
              </w:rPr>
            </w:pPr>
          </w:p>
        </w:tc>
        <w:tc>
          <w:tcPr>
            <w:tcW w:w="1214" w:type="pct"/>
            <w:noWrap/>
            <w:vAlign w:val="center"/>
            <w:hideMark/>
          </w:tcPr>
          <w:p w14:paraId="2A3EDAAA"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BAY 81-8973 250IU</w:t>
            </w:r>
          </w:p>
        </w:tc>
        <w:tc>
          <w:tcPr>
            <w:tcW w:w="565" w:type="pct"/>
            <w:vAlign w:val="center"/>
            <w:hideMark/>
          </w:tcPr>
          <w:p w14:paraId="4857671A" w14:textId="77777777"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183</w:t>
            </w:r>
          </w:p>
        </w:tc>
        <w:tc>
          <w:tcPr>
            <w:tcW w:w="461" w:type="pct"/>
            <w:noWrap/>
            <w:vAlign w:val="center"/>
            <w:hideMark/>
          </w:tcPr>
          <w:p w14:paraId="5C1B24E3" w14:textId="347B2A61" w:rsidR="00037C91" w:rsidRPr="00037C91" w:rsidRDefault="00037C91" w:rsidP="00037C91">
            <w:pPr>
              <w:jc w:val="center"/>
              <w:rPr>
                <w:rFonts w:ascii="Times New Roman" w:eastAsia="DengXian" w:hAnsi="Times New Roman" w:cs="Times New Roman"/>
                <w:sz w:val="20"/>
                <w:szCs w:val="20"/>
              </w:rPr>
            </w:pPr>
            <w:r w:rsidRPr="00037C91">
              <w:rPr>
                <w:rFonts w:ascii="Times New Roman" w:eastAsia="DengXian" w:hAnsi="Times New Roman" w:cs="Times New Roman"/>
                <w:sz w:val="20"/>
                <w:szCs w:val="20"/>
              </w:rPr>
              <w:t>¥790</w:t>
            </w:r>
          </w:p>
        </w:tc>
        <w:tc>
          <w:tcPr>
            <w:tcW w:w="692" w:type="pct"/>
            <w:vMerge/>
            <w:vAlign w:val="center"/>
            <w:hideMark/>
          </w:tcPr>
          <w:p w14:paraId="18630D81" w14:textId="77777777" w:rsidR="00037C91" w:rsidRPr="00037C91" w:rsidRDefault="00037C91" w:rsidP="00037C91">
            <w:pPr>
              <w:jc w:val="center"/>
              <w:rPr>
                <w:rFonts w:ascii="Times New Roman" w:eastAsia="DengXian" w:hAnsi="Times New Roman" w:cs="Times New Roman"/>
                <w:sz w:val="20"/>
                <w:szCs w:val="20"/>
              </w:rPr>
            </w:pPr>
          </w:p>
        </w:tc>
      </w:tr>
    </w:tbl>
    <w:p w14:paraId="411840C6" w14:textId="14825DD3" w:rsidR="005363CE" w:rsidRPr="00830BB5" w:rsidRDefault="005363CE" w:rsidP="00E34247">
      <w:pPr>
        <w:rPr>
          <w:rFonts w:ascii="Times New Roman" w:hAnsi="Times New Roman" w:cs="Times New Roman"/>
          <w:sz w:val="18"/>
          <w:szCs w:val="18"/>
        </w:rPr>
      </w:pPr>
      <w:r w:rsidRPr="00651543">
        <w:rPr>
          <w:rFonts w:ascii="Times New Roman" w:hAnsi="Times New Roman" w:cs="Times New Roman"/>
          <w:sz w:val="18"/>
          <w:szCs w:val="18"/>
        </w:rPr>
        <w:t>*</w:t>
      </w:r>
      <w:r w:rsidRPr="00830BB5">
        <w:rPr>
          <w:rFonts w:ascii="Times New Roman" w:hAnsi="Times New Roman" w:cs="Times New Roman" w:hint="eastAsia"/>
          <w:sz w:val="18"/>
          <w:szCs w:val="18"/>
        </w:rPr>
        <w:t xml:space="preserve">LTI: </w:t>
      </w:r>
      <w:r w:rsidRPr="00651543">
        <w:rPr>
          <w:rFonts w:ascii="Times New Roman" w:hAnsi="Times New Roman"/>
          <w:sz w:val="18"/>
          <w:szCs w:val="18"/>
        </w:rPr>
        <w:t>low-titer inhibitors</w:t>
      </w:r>
      <w:r w:rsidRPr="00830BB5">
        <w:rPr>
          <w:rFonts w:ascii="Times New Roman" w:hAnsi="Times New Roman" w:cs="Times New Roman" w:hint="eastAsia"/>
          <w:sz w:val="18"/>
          <w:szCs w:val="18"/>
        </w:rPr>
        <w:t xml:space="preserve">; HTI: </w:t>
      </w:r>
      <w:r w:rsidRPr="00651543">
        <w:rPr>
          <w:rFonts w:ascii="Times New Roman" w:hAnsi="Times New Roman"/>
          <w:sz w:val="18"/>
          <w:szCs w:val="18"/>
        </w:rPr>
        <w:t>high-titer inhibitors</w:t>
      </w:r>
      <w:r w:rsidRPr="00830BB5">
        <w:rPr>
          <w:rFonts w:ascii="Times New Roman" w:hAnsi="Times New Roman" w:cs="Times New Roman" w:hint="eastAsia"/>
          <w:sz w:val="18"/>
          <w:szCs w:val="18"/>
        </w:rPr>
        <w:t xml:space="preserve">; pdFVIII: </w:t>
      </w:r>
      <w:r w:rsidR="00830BB5" w:rsidRPr="00830BB5">
        <w:rPr>
          <w:rFonts w:ascii="Times New Roman" w:hAnsi="Times New Roman" w:cs="Times New Roman"/>
          <w:sz w:val="18"/>
          <w:szCs w:val="18"/>
        </w:rPr>
        <w:t>plasma-derived Factor VIII</w:t>
      </w:r>
    </w:p>
    <w:p w14:paraId="561B368A" w14:textId="54A7B6AF" w:rsidR="00E34247" w:rsidRPr="00E34247" w:rsidRDefault="00E34247" w:rsidP="00E34247">
      <w:pPr>
        <w:rPr>
          <w:rFonts w:ascii="Times New Roman" w:hAnsi="Times New Roman" w:cs="Times New Roman"/>
          <w:sz w:val="18"/>
          <w:szCs w:val="18"/>
        </w:rPr>
      </w:pPr>
      <w:r w:rsidRPr="00E34247">
        <w:rPr>
          <w:rFonts w:ascii="Times New Roman" w:hAnsi="Times New Roman" w:cs="Times New Roman"/>
          <w:sz w:val="18"/>
          <w:szCs w:val="18"/>
        </w:rPr>
        <w:t>1.</w:t>
      </w:r>
      <w:r w:rsidRPr="00E34247">
        <w:rPr>
          <w:rFonts w:ascii="Times New Roman" w:hAnsi="Times New Roman" w:cs="Times New Roman"/>
          <w:sz w:val="18"/>
          <w:szCs w:val="18"/>
        </w:rPr>
        <w:tab/>
        <w:t>Weight and Initial Age: The table shows the drug acquisition costs corresponding to the model cohort’s initial weight (27.3kg). It is important to note that in the model, drug costs will dynamically change as the simulation progresses, depending on factors such as patient weight, treatment regimens, and treatment duration.</w:t>
      </w:r>
    </w:p>
    <w:p w14:paraId="6D0836FA" w14:textId="6D3CF9C4" w:rsidR="00E34247" w:rsidRPr="00E34247" w:rsidRDefault="00E34247" w:rsidP="00E34247">
      <w:pPr>
        <w:rPr>
          <w:rFonts w:ascii="Times New Roman" w:hAnsi="Times New Roman" w:cs="Times New Roman"/>
          <w:sz w:val="18"/>
          <w:szCs w:val="18"/>
        </w:rPr>
      </w:pPr>
      <w:r w:rsidRPr="00E34247">
        <w:rPr>
          <w:rFonts w:ascii="Times New Roman" w:hAnsi="Times New Roman" w:cs="Times New Roman"/>
          <w:sz w:val="18"/>
          <w:szCs w:val="18"/>
        </w:rPr>
        <w:lastRenderedPageBreak/>
        <w:t>2.</w:t>
      </w:r>
      <w:r w:rsidRPr="00E34247">
        <w:rPr>
          <w:rFonts w:ascii="Times New Roman" w:hAnsi="Times New Roman" w:cs="Times New Roman"/>
          <w:sz w:val="18"/>
          <w:szCs w:val="18"/>
        </w:rPr>
        <w:tab/>
        <w:t>Annual Dosage Quantity for Hemostasis: The Annual dosage quantity for hemostasis is calculated as the product of the average number of doses per bleeding episode (7 doses) and the ABR for the two drugs.</w:t>
      </w:r>
    </w:p>
    <w:p w14:paraId="6F3215C5" w14:textId="3B345CE1" w:rsidR="00E34247" w:rsidRPr="00E34247" w:rsidRDefault="00E34247" w:rsidP="00E34247">
      <w:pPr>
        <w:rPr>
          <w:rFonts w:ascii="Times New Roman" w:hAnsi="Times New Roman" w:cs="Times New Roman"/>
          <w:sz w:val="18"/>
          <w:szCs w:val="18"/>
        </w:rPr>
      </w:pPr>
      <w:r w:rsidRPr="00E34247">
        <w:rPr>
          <w:rFonts w:ascii="Times New Roman" w:hAnsi="Times New Roman" w:cs="Times New Roman"/>
          <w:sz w:val="18"/>
          <w:szCs w:val="18"/>
        </w:rPr>
        <w:t>3.</w:t>
      </w:r>
      <w:r w:rsidRPr="00E34247">
        <w:rPr>
          <w:rFonts w:ascii="Times New Roman" w:hAnsi="Times New Roman" w:cs="Times New Roman"/>
          <w:sz w:val="18"/>
          <w:szCs w:val="18"/>
        </w:rPr>
        <w:tab/>
        <w:t>HTI Eradication Treatment: The costs for HTI eradication treatment are weighted. The table lists the drug acquisition costs for rAHF-PFM and BAY 81-8973 monotherapy. The calculation includes a weighted sum of the annual costs corresponding to three treatment regimens (FVIII, FVIII+Prednisone, FVIII+Rituximab) with weights of 32.0%, 42.0%, and 26.0%, respectively. Additionally, the FVIII cost is weighted based on rFVIII and pdFVIII, with weights of 21.3% and 78.8%, respectively.</w:t>
      </w:r>
    </w:p>
    <w:p w14:paraId="6F7A17A1" w14:textId="77777777" w:rsidR="00E34247" w:rsidRDefault="00E34247" w:rsidP="00E34247"/>
    <w:p w14:paraId="4E14D56B" w14:textId="702D0809" w:rsidR="00FF20D2" w:rsidRPr="00037C91" w:rsidRDefault="00FF20D2" w:rsidP="00FF20D2">
      <w:pPr>
        <w:pStyle w:val="3"/>
        <w:rPr>
          <w:b w:val="0"/>
          <w:bCs w:val="0"/>
        </w:rPr>
      </w:pPr>
      <w:bookmarkStart w:id="32" w:name="_Toc200988922"/>
      <w:bookmarkStart w:id="33" w:name="_Toc211440068"/>
      <w:r w:rsidRPr="00037C91">
        <w:rPr>
          <w:b w:val="0"/>
          <w:bCs w:val="0"/>
        </w:rPr>
        <w:t>Table S</w:t>
      </w:r>
      <w:r>
        <w:rPr>
          <w:rFonts w:hint="eastAsia"/>
          <w:b w:val="0"/>
          <w:bCs w:val="0"/>
        </w:rPr>
        <w:t>6</w:t>
      </w:r>
      <w:r w:rsidRPr="00037C91">
        <w:rPr>
          <w:b w:val="0"/>
          <w:bCs w:val="0"/>
        </w:rPr>
        <w:t xml:space="preserve">. </w:t>
      </w:r>
      <w:r>
        <w:rPr>
          <w:rFonts w:hint="eastAsia"/>
          <w:b w:val="0"/>
          <w:bCs w:val="0"/>
        </w:rPr>
        <w:t>Other Direct Medical Costs</w:t>
      </w:r>
      <w:bookmarkEnd w:id="32"/>
      <w:bookmarkEnd w:id="33"/>
      <w:r w:rsidR="00C05E32">
        <w:rPr>
          <w:rStyle w:val="aff"/>
          <w:b w:val="0"/>
          <w:bCs w:val="0"/>
        </w:rPr>
        <w:footnoteReference w:id="2"/>
      </w:r>
    </w:p>
    <w:tbl>
      <w:tblPr>
        <w:tblW w:w="5000" w:type="pct"/>
        <w:tblBorders>
          <w:top w:val="single" w:sz="4" w:space="0" w:color="auto"/>
          <w:bottom w:val="single" w:sz="4" w:space="0" w:color="auto"/>
        </w:tblBorders>
        <w:tblLook w:val="04A0" w:firstRow="1" w:lastRow="0" w:firstColumn="1" w:lastColumn="0" w:noHBand="0" w:noVBand="1"/>
      </w:tblPr>
      <w:tblGrid>
        <w:gridCol w:w="6359"/>
        <w:gridCol w:w="1947"/>
      </w:tblGrid>
      <w:tr w:rsidR="00FF20D2" w:rsidRPr="00FF20D2" w14:paraId="7B279DB9" w14:textId="77777777" w:rsidTr="00FF20D2">
        <w:trPr>
          <w:trHeight w:val="320"/>
        </w:trPr>
        <w:tc>
          <w:tcPr>
            <w:tcW w:w="3828" w:type="pct"/>
            <w:tcBorders>
              <w:top w:val="single" w:sz="4" w:space="0" w:color="auto"/>
              <w:bottom w:val="single" w:sz="4" w:space="0" w:color="auto"/>
            </w:tcBorders>
            <w:noWrap/>
            <w:vAlign w:val="center"/>
            <w:hideMark/>
          </w:tcPr>
          <w:p w14:paraId="46FD952D" w14:textId="77777777" w:rsidR="00FF20D2" w:rsidRPr="00FF20D2" w:rsidRDefault="00FF20D2" w:rsidP="00FF20D2">
            <w:pPr>
              <w:jc w:val="center"/>
              <w:rPr>
                <w:rFonts w:ascii="Times New Roman" w:eastAsia="DengXian" w:hAnsi="Times New Roman" w:cs="Times New Roman"/>
                <w:b/>
                <w:bCs/>
                <w:color w:val="000000"/>
                <w:sz w:val="20"/>
                <w:szCs w:val="20"/>
              </w:rPr>
            </w:pPr>
            <w:r w:rsidRPr="00FF20D2">
              <w:rPr>
                <w:rFonts w:ascii="Times New Roman" w:eastAsia="DengXian" w:hAnsi="Times New Roman" w:cs="Times New Roman"/>
                <w:b/>
                <w:bCs/>
                <w:color w:val="000000"/>
                <w:sz w:val="20"/>
                <w:szCs w:val="20"/>
              </w:rPr>
              <w:t>Cost Item</w:t>
            </w:r>
          </w:p>
        </w:tc>
        <w:tc>
          <w:tcPr>
            <w:tcW w:w="1172" w:type="pct"/>
            <w:tcBorders>
              <w:top w:val="single" w:sz="4" w:space="0" w:color="auto"/>
              <w:bottom w:val="single" w:sz="4" w:space="0" w:color="auto"/>
            </w:tcBorders>
            <w:noWrap/>
            <w:vAlign w:val="center"/>
            <w:hideMark/>
          </w:tcPr>
          <w:p w14:paraId="0950C87A" w14:textId="7138B680" w:rsidR="00FF20D2" w:rsidRPr="00FF20D2" w:rsidRDefault="00FF20D2" w:rsidP="00FF20D2">
            <w:pPr>
              <w:jc w:val="center"/>
              <w:rPr>
                <w:rFonts w:ascii="Times New Roman" w:eastAsia="DengXian" w:hAnsi="Times New Roman" w:cs="Times New Roman"/>
                <w:b/>
                <w:bCs/>
                <w:color w:val="000000"/>
                <w:sz w:val="20"/>
                <w:szCs w:val="20"/>
              </w:rPr>
            </w:pPr>
            <w:r w:rsidRPr="00FF20D2">
              <w:rPr>
                <w:rFonts w:ascii="Times New Roman" w:eastAsia="DengXian" w:hAnsi="Times New Roman" w:cs="Times New Roman"/>
                <w:b/>
                <w:bCs/>
                <w:color w:val="000000"/>
                <w:sz w:val="20"/>
                <w:szCs w:val="20"/>
              </w:rPr>
              <w:t>Baseline Value</w:t>
            </w:r>
            <w:r w:rsidR="00C7707D">
              <w:rPr>
                <w:rFonts w:ascii="Times New Roman" w:eastAsia="DengXian" w:hAnsi="Times New Roman" w:cs="Times New Roman" w:hint="eastAsia"/>
                <w:b/>
                <w:bCs/>
                <w:color w:val="000000"/>
                <w:sz w:val="20"/>
                <w:szCs w:val="20"/>
              </w:rPr>
              <w:t>[32]</w:t>
            </w:r>
          </w:p>
        </w:tc>
      </w:tr>
      <w:tr w:rsidR="00FF20D2" w:rsidRPr="00FF20D2" w14:paraId="3BEC4E08" w14:textId="77777777" w:rsidTr="00FF20D2">
        <w:trPr>
          <w:trHeight w:val="320"/>
        </w:trPr>
        <w:tc>
          <w:tcPr>
            <w:tcW w:w="3828" w:type="pct"/>
            <w:tcBorders>
              <w:top w:val="single" w:sz="4" w:space="0" w:color="auto"/>
            </w:tcBorders>
            <w:noWrap/>
            <w:vAlign w:val="center"/>
            <w:hideMark/>
          </w:tcPr>
          <w:p w14:paraId="39DAC542"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Average dosage cost per administration</w:t>
            </w:r>
          </w:p>
        </w:tc>
        <w:tc>
          <w:tcPr>
            <w:tcW w:w="1172" w:type="pct"/>
            <w:tcBorders>
              <w:top w:val="single" w:sz="4" w:space="0" w:color="auto"/>
            </w:tcBorders>
            <w:noWrap/>
            <w:vAlign w:val="center"/>
            <w:hideMark/>
          </w:tcPr>
          <w:p w14:paraId="18CE42FB" w14:textId="2C13A7C3"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¥25</w:t>
            </w:r>
          </w:p>
        </w:tc>
      </w:tr>
      <w:tr w:rsidR="00FF20D2" w:rsidRPr="00FF20D2" w14:paraId="25D3D22D" w14:textId="77777777" w:rsidTr="00FF20D2">
        <w:trPr>
          <w:trHeight w:val="320"/>
        </w:trPr>
        <w:tc>
          <w:tcPr>
            <w:tcW w:w="3828" w:type="pct"/>
            <w:noWrap/>
            <w:vAlign w:val="center"/>
            <w:hideMark/>
          </w:tcPr>
          <w:p w14:paraId="737A613E"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Inhibitor testing cost (First year)</w:t>
            </w:r>
          </w:p>
        </w:tc>
        <w:tc>
          <w:tcPr>
            <w:tcW w:w="1172" w:type="pct"/>
            <w:noWrap/>
            <w:vAlign w:val="center"/>
            <w:hideMark/>
          </w:tcPr>
          <w:p w14:paraId="38F18DA5" w14:textId="0917A422"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¥2,520</w:t>
            </w:r>
          </w:p>
        </w:tc>
      </w:tr>
      <w:tr w:rsidR="00FF20D2" w:rsidRPr="00FF20D2" w14:paraId="219B0A1C" w14:textId="77777777" w:rsidTr="00FF20D2">
        <w:trPr>
          <w:trHeight w:val="320"/>
        </w:trPr>
        <w:tc>
          <w:tcPr>
            <w:tcW w:w="3828" w:type="pct"/>
            <w:noWrap/>
            <w:vAlign w:val="center"/>
            <w:hideMark/>
          </w:tcPr>
          <w:p w14:paraId="4A32DD04"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Inhibitor testing cost (Annual cost after the first year)</w:t>
            </w:r>
          </w:p>
        </w:tc>
        <w:tc>
          <w:tcPr>
            <w:tcW w:w="1172" w:type="pct"/>
            <w:noWrap/>
            <w:vAlign w:val="center"/>
            <w:hideMark/>
          </w:tcPr>
          <w:p w14:paraId="1C55C609" w14:textId="6B0059FB"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¥720</w:t>
            </w:r>
          </w:p>
        </w:tc>
      </w:tr>
      <w:tr w:rsidR="00FF20D2" w:rsidRPr="00FF20D2" w14:paraId="55A292E6" w14:textId="77777777" w:rsidTr="00FF20D2">
        <w:trPr>
          <w:trHeight w:val="320"/>
        </w:trPr>
        <w:tc>
          <w:tcPr>
            <w:tcW w:w="3828" w:type="pct"/>
            <w:noWrap/>
            <w:vAlign w:val="center"/>
            <w:hideMark/>
          </w:tcPr>
          <w:p w14:paraId="53DF888C"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Complication treatment costs (First year)</w:t>
            </w:r>
          </w:p>
        </w:tc>
        <w:tc>
          <w:tcPr>
            <w:tcW w:w="1172" w:type="pct"/>
            <w:noWrap/>
            <w:vAlign w:val="center"/>
            <w:hideMark/>
          </w:tcPr>
          <w:p w14:paraId="41863B6D" w14:textId="77777777" w:rsidR="00FF20D2" w:rsidRPr="00FF20D2" w:rsidRDefault="00FF20D2" w:rsidP="00FF20D2">
            <w:pPr>
              <w:jc w:val="center"/>
              <w:rPr>
                <w:rFonts w:ascii="Times New Roman" w:eastAsia="DengXian" w:hAnsi="Times New Roman" w:cs="Times New Roman"/>
                <w:color w:val="000000"/>
                <w:sz w:val="20"/>
                <w:szCs w:val="20"/>
              </w:rPr>
            </w:pPr>
          </w:p>
        </w:tc>
      </w:tr>
      <w:tr w:rsidR="00FF20D2" w:rsidRPr="00FF20D2" w14:paraId="6889948F" w14:textId="77777777" w:rsidTr="00FF20D2">
        <w:trPr>
          <w:trHeight w:val="320"/>
        </w:trPr>
        <w:tc>
          <w:tcPr>
            <w:tcW w:w="3828" w:type="pct"/>
            <w:noWrap/>
            <w:vAlign w:val="center"/>
            <w:hideMark/>
          </w:tcPr>
          <w:p w14:paraId="58EA5446"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Intracranial hemorrhage</w:t>
            </w:r>
          </w:p>
        </w:tc>
        <w:tc>
          <w:tcPr>
            <w:tcW w:w="1172" w:type="pct"/>
            <w:noWrap/>
            <w:vAlign w:val="center"/>
            <w:hideMark/>
          </w:tcPr>
          <w:p w14:paraId="30AFEFA7" w14:textId="0788E3C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¥166,667</w:t>
            </w:r>
          </w:p>
        </w:tc>
      </w:tr>
      <w:tr w:rsidR="00FF20D2" w:rsidRPr="00FF20D2" w14:paraId="2F23E966" w14:textId="77777777" w:rsidTr="00FF20D2">
        <w:trPr>
          <w:trHeight w:val="320"/>
        </w:trPr>
        <w:tc>
          <w:tcPr>
            <w:tcW w:w="3828" w:type="pct"/>
            <w:noWrap/>
            <w:vAlign w:val="center"/>
            <w:hideMark/>
          </w:tcPr>
          <w:p w14:paraId="01152950"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Hemophilic arthropathy (Non-surgical treatment)</w:t>
            </w:r>
          </w:p>
        </w:tc>
        <w:tc>
          <w:tcPr>
            <w:tcW w:w="1172" w:type="pct"/>
            <w:noWrap/>
            <w:vAlign w:val="center"/>
            <w:hideMark/>
          </w:tcPr>
          <w:p w14:paraId="23DEA31A" w14:textId="29970ADB"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¥17,000</w:t>
            </w:r>
          </w:p>
        </w:tc>
      </w:tr>
      <w:tr w:rsidR="00FF20D2" w:rsidRPr="00FF20D2" w14:paraId="2C67AE5E" w14:textId="77777777" w:rsidTr="00FF20D2">
        <w:trPr>
          <w:trHeight w:val="320"/>
        </w:trPr>
        <w:tc>
          <w:tcPr>
            <w:tcW w:w="3828" w:type="pct"/>
            <w:noWrap/>
            <w:vAlign w:val="center"/>
            <w:hideMark/>
          </w:tcPr>
          <w:p w14:paraId="0FBDC1F1"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Hemophilic arthropathy (Surgical treatment)</w:t>
            </w:r>
          </w:p>
        </w:tc>
        <w:tc>
          <w:tcPr>
            <w:tcW w:w="1172" w:type="pct"/>
            <w:noWrap/>
            <w:vAlign w:val="center"/>
            <w:hideMark/>
          </w:tcPr>
          <w:p w14:paraId="7DC5E824" w14:textId="22884AED"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¥168,333</w:t>
            </w:r>
          </w:p>
        </w:tc>
      </w:tr>
      <w:tr w:rsidR="00FF20D2" w:rsidRPr="00FF20D2" w14:paraId="0CE19DE5" w14:textId="77777777" w:rsidTr="00FF20D2">
        <w:trPr>
          <w:trHeight w:val="320"/>
        </w:trPr>
        <w:tc>
          <w:tcPr>
            <w:tcW w:w="3828" w:type="pct"/>
            <w:noWrap/>
            <w:vAlign w:val="center"/>
            <w:hideMark/>
          </w:tcPr>
          <w:p w14:paraId="209922FE"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Gastrointestinal bleeding</w:t>
            </w:r>
          </w:p>
        </w:tc>
        <w:tc>
          <w:tcPr>
            <w:tcW w:w="1172" w:type="pct"/>
            <w:noWrap/>
            <w:vAlign w:val="center"/>
            <w:hideMark/>
          </w:tcPr>
          <w:p w14:paraId="2DE031C2" w14:textId="61AF37FE"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¥29,667</w:t>
            </w:r>
          </w:p>
        </w:tc>
      </w:tr>
      <w:tr w:rsidR="00FF20D2" w:rsidRPr="00FF20D2" w14:paraId="420577F8" w14:textId="77777777" w:rsidTr="00FF20D2">
        <w:trPr>
          <w:trHeight w:val="320"/>
        </w:trPr>
        <w:tc>
          <w:tcPr>
            <w:tcW w:w="3828" w:type="pct"/>
            <w:noWrap/>
            <w:vAlign w:val="center"/>
            <w:hideMark/>
          </w:tcPr>
          <w:p w14:paraId="4673196E"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Complication management costs (Annual cost after the first year)</w:t>
            </w:r>
          </w:p>
        </w:tc>
        <w:tc>
          <w:tcPr>
            <w:tcW w:w="1172" w:type="pct"/>
            <w:noWrap/>
            <w:vAlign w:val="center"/>
            <w:hideMark/>
          </w:tcPr>
          <w:p w14:paraId="48A3767D" w14:textId="77777777" w:rsidR="00FF20D2" w:rsidRPr="00FF20D2" w:rsidRDefault="00FF20D2" w:rsidP="00FF20D2">
            <w:pPr>
              <w:jc w:val="center"/>
              <w:rPr>
                <w:rFonts w:ascii="Times New Roman" w:eastAsia="DengXian" w:hAnsi="Times New Roman" w:cs="Times New Roman"/>
                <w:color w:val="000000"/>
                <w:sz w:val="20"/>
                <w:szCs w:val="20"/>
              </w:rPr>
            </w:pPr>
          </w:p>
        </w:tc>
      </w:tr>
      <w:tr w:rsidR="00FF20D2" w:rsidRPr="00FF20D2" w14:paraId="2FDA38A0" w14:textId="77777777" w:rsidTr="00FF20D2">
        <w:trPr>
          <w:trHeight w:val="320"/>
        </w:trPr>
        <w:tc>
          <w:tcPr>
            <w:tcW w:w="3828" w:type="pct"/>
            <w:noWrap/>
            <w:vAlign w:val="center"/>
            <w:hideMark/>
          </w:tcPr>
          <w:p w14:paraId="66D847C6"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Intracranial hemorrhage</w:t>
            </w:r>
          </w:p>
        </w:tc>
        <w:tc>
          <w:tcPr>
            <w:tcW w:w="1172" w:type="pct"/>
            <w:noWrap/>
            <w:vAlign w:val="center"/>
            <w:hideMark/>
          </w:tcPr>
          <w:p w14:paraId="1246593D" w14:textId="1A03F992"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¥12,500</w:t>
            </w:r>
          </w:p>
        </w:tc>
      </w:tr>
      <w:tr w:rsidR="00FF20D2" w:rsidRPr="00FF20D2" w14:paraId="365A933A" w14:textId="77777777" w:rsidTr="00FF20D2">
        <w:trPr>
          <w:trHeight w:val="320"/>
        </w:trPr>
        <w:tc>
          <w:tcPr>
            <w:tcW w:w="3828" w:type="pct"/>
            <w:noWrap/>
            <w:vAlign w:val="center"/>
            <w:hideMark/>
          </w:tcPr>
          <w:p w14:paraId="61BB2631" w14:textId="7777777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Hemophilic arthropathy</w:t>
            </w:r>
          </w:p>
        </w:tc>
        <w:tc>
          <w:tcPr>
            <w:tcW w:w="1172" w:type="pct"/>
            <w:noWrap/>
            <w:vAlign w:val="center"/>
            <w:hideMark/>
          </w:tcPr>
          <w:p w14:paraId="63B51E5C" w14:textId="258A17E7" w:rsidR="00FF20D2" w:rsidRPr="00FF20D2" w:rsidRDefault="00FF20D2" w:rsidP="00FF20D2">
            <w:pPr>
              <w:jc w:val="center"/>
              <w:rPr>
                <w:rFonts w:ascii="Times New Roman" w:eastAsia="DengXian" w:hAnsi="Times New Roman" w:cs="Times New Roman"/>
                <w:color w:val="000000"/>
                <w:sz w:val="20"/>
                <w:szCs w:val="20"/>
              </w:rPr>
            </w:pPr>
            <w:r w:rsidRPr="00FF20D2">
              <w:rPr>
                <w:rFonts w:ascii="Times New Roman" w:eastAsia="DengXian" w:hAnsi="Times New Roman" w:cs="Times New Roman"/>
                <w:color w:val="000000"/>
                <w:sz w:val="20"/>
                <w:szCs w:val="20"/>
              </w:rPr>
              <w:t>¥10,513</w:t>
            </w:r>
          </w:p>
        </w:tc>
      </w:tr>
    </w:tbl>
    <w:p w14:paraId="3F55D033" w14:textId="158EFDC1" w:rsidR="00037C91" w:rsidRDefault="00037C91" w:rsidP="00E34247"/>
    <w:p w14:paraId="2C8689AC" w14:textId="47EDC7B3" w:rsidR="00306C82" w:rsidRDefault="0066147A" w:rsidP="001D420C">
      <w:pPr>
        <w:pStyle w:val="3"/>
        <w:rPr>
          <w:b w:val="0"/>
          <w:bCs w:val="0"/>
        </w:rPr>
      </w:pPr>
      <w:bookmarkStart w:id="34" w:name="_Toc211440069"/>
      <w:bookmarkStart w:id="35" w:name="_Toc200988923"/>
      <w:r w:rsidRPr="0066147A">
        <w:rPr>
          <w:b w:val="0"/>
          <w:bCs w:val="0"/>
        </w:rPr>
        <w:t>Table S</w:t>
      </w:r>
      <w:r>
        <w:rPr>
          <w:rFonts w:hint="eastAsia"/>
          <w:b w:val="0"/>
          <w:bCs w:val="0"/>
        </w:rPr>
        <w:t>7</w:t>
      </w:r>
      <w:r w:rsidRPr="0066147A">
        <w:rPr>
          <w:b w:val="0"/>
          <w:bCs w:val="0"/>
        </w:rPr>
        <w:t>: Parameters and Distributions for Probabilistic Sensitivity Analysis (PSA)</w:t>
      </w:r>
      <w:bookmarkEnd w:id="34"/>
    </w:p>
    <w:tbl>
      <w:tblPr>
        <w:tblW w:w="5000" w:type="pct"/>
        <w:tblLook w:val="04A0" w:firstRow="1" w:lastRow="0" w:firstColumn="1" w:lastColumn="0" w:noHBand="0" w:noVBand="1"/>
      </w:tblPr>
      <w:tblGrid>
        <w:gridCol w:w="4818"/>
        <w:gridCol w:w="1004"/>
        <w:gridCol w:w="1239"/>
        <w:gridCol w:w="1235"/>
      </w:tblGrid>
      <w:tr w:rsidR="00306C82" w:rsidRPr="00306C82" w14:paraId="706570D5" w14:textId="77777777" w:rsidTr="00306C82">
        <w:trPr>
          <w:trHeight w:val="340"/>
        </w:trPr>
        <w:tc>
          <w:tcPr>
            <w:tcW w:w="2904" w:type="pct"/>
            <w:tcBorders>
              <w:top w:val="single" w:sz="4" w:space="0" w:color="auto"/>
              <w:left w:val="single" w:sz="4" w:space="0" w:color="auto"/>
              <w:bottom w:val="single" w:sz="4" w:space="0" w:color="auto"/>
              <w:right w:val="single" w:sz="4" w:space="0" w:color="auto"/>
            </w:tcBorders>
            <w:noWrap/>
            <w:vAlign w:val="center"/>
            <w:hideMark/>
          </w:tcPr>
          <w:p w14:paraId="490BC246" w14:textId="77777777" w:rsidR="00306C82" w:rsidRPr="00306C82" w:rsidRDefault="00306C82">
            <w:pPr>
              <w:rPr>
                <w:rFonts w:ascii="Times New Roman" w:eastAsia="DengXian" w:hAnsi="Times New Roman" w:cs="Times New Roman"/>
                <w:b/>
                <w:bCs/>
                <w:color w:val="000000"/>
                <w:sz w:val="20"/>
                <w:szCs w:val="20"/>
              </w:rPr>
            </w:pPr>
            <w:r w:rsidRPr="00306C82">
              <w:rPr>
                <w:rFonts w:ascii="Times New Roman" w:eastAsia="DengXian" w:hAnsi="Times New Roman" w:cs="Times New Roman"/>
                <w:b/>
                <w:bCs/>
                <w:color w:val="000000"/>
                <w:sz w:val="20"/>
                <w:szCs w:val="20"/>
              </w:rPr>
              <w:t>Parameter</w:t>
            </w:r>
          </w:p>
        </w:tc>
        <w:tc>
          <w:tcPr>
            <w:tcW w:w="605" w:type="pct"/>
            <w:tcBorders>
              <w:top w:val="single" w:sz="4" w:space="0" w:color="auto"/>
              <w:left w:val="nil"/>
              <w:bottom w:val="single" w:sz="4" w:space="0" w:color="auto"/>
              <w:right w:val="single" w:sz="4" w:space="0" w:color="auto"/>
            </w:tcBorders>
            <w:noWrap/>
            <w:vAlign w:val="center"/>
            <w:hideMark/>
          </w:tcPr>
          <w:p w14:paraId="6328D2C4" w14:textId="77777777" w:rsidR="00306C82" w:rsidRPr="00306C82" w:rsidRDefault="00306C82">
            <w:pPr>
              <w:jc w:val="center"/>
              <w:rPr>
                <w:rFonts w:ascii="Times New Roman" w:eastAsia="DengXian" w:hAnsi="Times New Roman" w:cs="Times New Roman"/>
                <w:b/>
                <w:bCs/>
                <w:color w:val="000000"/>
                <w:sz w:val="20"/>
                <w:szCs w:val="20"/>
              </w:rPr>
            </w:pPr>
            <w:r w:rsidRPr="00306C82">
              <w:rPr>
                <w:rFonts w:ascii="Times New Roman" w:eastAsia="DengXian" w:hAnsi="Times New Roman" w:cs="Times New Roman"/>
                <w:b/>
                <w:bCs/>
                <w:color w:val="000000"/>
                <w:sz w:val="20"/>
                <w:szCs w:val="20"/>
              </w:rPr>
              <w:t>Distribution</w:t>
            </w:r>
          </w:p>
        </w:tc>
        <w:tc>
          <w:tcPr>
            <w:tcW w:w="747" w:type="pct"/>
            <w:tcBorders>
              <w:top w:val="single" w:sz="4" w:space="0" w:color="auto"/>
              <w:left w:val="nil"/>
              <w:bottom w:val="single" w:sz="4" w:space="0" w:color="auto"/>
              <w:right w:val="single" w:sz="4" w:space="0" w:color="auto"/>
            </w:tcBorders>
            <w:noWrap/>
            <w:vAlign w:val="center"/>
            <w:hideMark/>
          </w:tcPr>
          <w:p w14:paraId="302A9327" w14:textId="77777777" w:rsidR="00306C82" w:rsidRPr="00306C82" w:rsidRDefault="00306C82">
            <w:pPr>
              <w:jc w:val="center"/>
              <w:rPr>
                <w:rFonts w:ascii="Times New Roman" w:eastAsia="DengXian" w:hAnsi="Times New Roman" w:cs="Times New Roman"/>
                <w:b/>
                <w:bCs/>
                <w:color w:val="000000"/>
                <w:sz w:val="20"/>
                <w:szCs w:val="20"/>
              </w:rPr>
            </w:pPr>
            <w:r w:rsidRPr="00306C82">
              <w:rPr>
                <w:rFonts w:ascii="Times New Roman" w:eastAsia="DengXian" w:hAnsi="Times New Roman" w:cs="Times New Roman"/>
                <w:b/>
                <w:bCs/>
                <w:color w:val="000000"/>
                <w:sz w:val="20"/>
                <w:szCs w:val="20"/>
              </w:rPr>
              <w:t>Parameter 1 (α)</w:t>
            </w:r>
          </w:p>
        </w:tc>
        <w:tc>
          <w:tcPr>
            <w:tcW w:w="744" w:type="pct"/>
            <w:tcBorders>
              <w:top w:val="single" w:sz="4" w:space="0" w:color="auto"/>
              <w:left w:val="nil"/>
              <w:bottom w:val="single" w:sz="4" w:space="0" w:color="auto"/>
              <w:right w:val="single" w:sz="4" w:space="0" w:color="auto"/>
            </w:tcBorders>
            <w:noWrap/>
            <w:vAlign w:val="center"/>
            <w:hideMark/>
          </w:tcPr>
          <w:p w14:paraId="6C5C12DC" w14:textId="77777777" w:rsidR="00306C82" w:rsidRPr="00306C82" w:rsidRDefault="00306C82">
            <w:pPr>
              <w:jc w:val="center"/>
              <w:rPr>
                <w:rFonts w:ascii="Times New Roman" w:eastAsia="DengXian" w:hAnsi="Times New Roman" w:cs="Times New Roman"/>
                <w:b/>
                <w:bCs/>
                <w:color w:val="000000"/>
                <w:sz w:val="20"/>
                <w:szCs w:val="20"/>
              </w:rPr>
            </w:pPr>
            <w:r w:rsidRPr="00306C82">
              <w:rPr>
                <w:rFonts w:ascii="Times New Roman" w:eastAsia="DengXian" w:hAnsi="Times New Roman" w:cs="Times New Roman"/>
                <w:b/>
                <w:bCs/>
                <w:color w:val="000000"/>
                <w:sz w:val="20"/>
                <w:szCs w:val="20"/>
              </w:rPr>
              <w:t>Parameter 2 (β)</w:t>
            </w:r>
          </w:p>
        </w:tc>
      </w:tr>
      <w:tr w:rsidR="00306C82" w:rsidRPr="00306C82" w14:paraId="6103333C"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88ABE69"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Mean age (years)</w:t>
            </w:r>
          </w:p>
        </w:tc>
        <w:tc>
          <w:tcPr>
            <w:tcW w:w="605" w:type="pct"/>
            <w:tcBorders>
              <w:top w:val="nil"/>
              <w:left w:val="nil"/>
              <w:bottom w:val="single" w:sz="4" w:space="0" w:color="auto"/>
              <w:right w:val="single" w:sz="4" w:space="0" w:color="auto"/>
            </w:tcBorders>
            <w:noWrap/>
            <w:vAlign w:val="center"/>
            <w:hideMark/>
          </w:tcPr>
          <w:p w14:paraId="0DB79804"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Gamma</w:t>
            </w:r>
          </w:p>
        </w:tc>
        <w:tc>
          <w:tcPr>
            <w:tcW w:w="747" w:type="pct"/>
            <w:tcBorders>
              <w:top w:val="nil"/>
              <w:left w:val="nil"/>
              <w:bottom w:val="single" w:sz="4" w:space="0" w:color="auto"/>
              <w:right w:val="single" w:sz="4" w:space="0" w:color="auto"/>
            </w:tcBorders>
            <w:noWrap/>
            <w:vAlign w:val="center"/>
            <w:hideMark/>
          </w:tcPr>
          <w:p w14:paraId="574F8B12"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441.3</w:t>
            </w:r>
          </w:p>
        </w:tc>
        <w:tc>
          <w:tcPr>
            <w:tcW w:w="744" w:type="pct"/>
            <w:tcBorders>
              <w:top w:val="nil"/>
              <w:left w:val="nil"/>
              <w:bottom w:val="single" w:sz="4" w:space="0" w:color="auto"/>
              <w:right w:val="single" w:sz="4" w:space="0" w:color="auto"/>
            </w:tcBorders>
            <w:noWrap/>
            <w:vAlign w:val="center"/>
            <w:hideMark/>
          </w:tcPr>
          <w:p w14:paraId="21972588"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0.02</w:t>
            </w:r>
          </w:p>
        </w:tc>
      </w:tr>
      <w:tr w:rsidR="00306C82" w:rsidRPr="00306C82" w14:paraId="286E8C7A"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13074DF"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Age indication for joint surgery (years)</w:t>
            </w:r>
          </w:p>
        </w:tc>
        <w:tc>
          <w:tcPr>
            <w:tcW w:w="605" w:type="pct"/>
            <w:tcBorders>
              <w:top w:val="nil"/>
              <w:left w:val="nil"/>
              <w:bottom w:val="single" w:sz="4" w:space="0" w:color="auto"/>
              <w:right w:val="single" w:sz="4" w:space="0" w:color="auto"/>
            </w:tcBorders>
            <w:noWrap/>
            <w:vAlign w:val="center"/>
            <w:hideMark/>
          </w:tcPr>
          <w:p w14:paraId="6B009342"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Gamma</w:t>
            </w:r>
          </w:p>
        </w:tc>
        <w:tc>
          <w:tcPr>
            <w:tcW w:w="747" w:type="pct"/>
            <w:tcBorders>
              <w:top w:val="nil"/>
              <w:left w:val="nil"/>
              <w:bottom w:val="single" w:sz="4" w:space="0" w:color="auto"/>
              <w:right w:val="single" w:sz="4" w:space="0" w:color="auto"/>
            </w:tcBorders>
            <w:noWrap/>
            <w:vAlign w:val="center"/>
            <w:hideMark/>
          </w:tcPr>
          <w:p w14:paraId="101E3BBF"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918.8</w:t>
            </w:r>
          </w:p>
        </w:tc>
        <w:tc>
          <w:tcPr>
            <w:tcW w:w="744" w:type="pct"/>
            <w:tcBorders>
              <w:top w:val="nil"/>
              <w:left w:val="nil"/>
              <w:bottom w:val="single" w:sz="4" w:space="0" w:color="auto"/>
              <w:right w:val="single" w:sz="4" w:space="0" w:color="auto"/>
            </w:tcBorders>
            <w:noWrap/>
            <w:vAlign w:val="center"/>
            <w:hideMark/>
          </w:tcPr>
          <w:p w14:paraId="72E6D01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0.04</w:t>
            </w:r>
          </w:p>
        </w:tc>
      </w:tr>
      <w:tr w:rsidR="00306C82" w:rsidRPr="00306C82" w14:paraId="54B17C0D"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748839F"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Proportion of patients with hemophilic arthropathy undergoing joint surgery</w:t>
            </w:r>
          </w:p>
        </w:tc>
        <w:tc>
          <w:tcPr>
            <w:tcW w:w="605" w:type="pct"/>
            <w:tcBorders>
              <w:top w:val="nil"/>
              <w:left w:val="nil"/>
              <w:bottom w:val="single" w:sz="4" w:space="0" w:color="auto"/>
              <w:right w:val="single" w:sz="4" w:space="0" w:color="auto"/>
            </w:tcBorders>
            <w:noWrap/>
            <w:vAlign w:val="center"/>
            <w:hideMark/>
          </w:tcPr>
          <w:p w14:paraId="73EE3370"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438573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54.46</w:t>
            </w:r>
          </w:p>
        </w:tc>
        <w:tc>
          <w:tcPr>
            <w:tcW w:w="744" w:type="pct"/>
            <w:tcBorders>
              <w:top w:val="nil"/>
              <w:left w:val="nil"/>
              <w:bottom w:val="single" w:sz="4" w:space="0" w:color="auto"/>
              <w:right w:val="single" w:sz="4" w:space="0" w:color="auto"/>
            </w:tcBorders>
            <w:noWrap/>
            <w:vAlign w:val="center"/>
            <w:hideMark/>
          </w:tcPr>
          <w:p w14:paraId="507762E6"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90.77</w:t>
            </w:r>
          </w:p>
        </w:tc>
      </w:tr>
      <w:tr w:rsidR="00306C82" w:rsidRPr="00306C82" w14:paraId="08396294"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41A08D0"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Inhibitor incidence: rAHF-PFM</w:t>
            </w:r>
          </w:p>
        </w:tc>
        <w:tc>
          <w:tcPr>
            <w:tcW w:w="605" w:type="pct"/>
            <w:tcBorders>
              <w:top w:val="nil"/>
              <w:left w:val="nil"/>
              <w:bottom w:val="single" w:sz="4" w:space="0" w:color="auto"/>
              <w:right w:val="single" w:sz="4" w:space="0" w:color="auto"/>
            </w:tcBorders>
            <w:noWrap/>
            <w:vAlign w:val="center"/>
            <w:hideMark/>
          </w:tcPr>
          <w:p w14:paraId="25D10634"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5EE7CF6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8.88</w:t>
            </w:r>
          </w:p>
        </w:tc>
        <w:tc>
          <w:tcPr>
            <w:tcW w:w="744" w:type="pct"/>
            <w:tcBorders>
              <w:top w:val="nil"/>
              <w:left w:val="nil"/>
              <w:bottom w:val="single" w:sz="4" w:space="0" w:color="auto"/>
              <w:right w:val="single" w:sz="4" w:space="0" w:color="auto"/>
            </w:tcBorders>
            <w:noWrap/>
            <w:vAlign w:val="center"/>
            <w:hideMark/>
          </w:tcPr>
          <w:p w14:paraId="7E0DA74B"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20.47</w:t>
            </w:r>
          </w:p>
        </w:tc>
      </w:tr>
      <w:tr w:rsidR="00306C82" w:rsidRPr="00306C82" w14:paraId="6D3957B6"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059A868"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Annualized bleeding proportion: rAHF-PFM</w:t>
            </w:r>
          </w:p>
        </w:tc>
        <w:tc>
          <w:tcPr>
            <w:tcW w:w="605" w:type="pct"/>
            <w:tcBorders>
              <w:top w:val="nil"/>
              <w:left w:val="nil"/>
              <w:bottom w:val="single" w:sz="4" w:space="0" w:color="auto"/>
              <w:right w:val="single" w:sz="4" w:space="0" w:color="auto"/>
            </w:tcBorders>
            <w:noWrap/>
            <w:vAlign w:val="center"/>
            <w:hideMark/>
          </w:tcPr>
          <w:p w14:paraId="7A9E7213"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2B8B2A01"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58.4</w:t>
            </w:r>
          </w:p>
        </w:tc>
        <w:tc>
          <w:tcPr>
            <w:tcW w:w="744" w:type="pct"/>
            <w:tcBorders>
              <w:top w:val="nil"/>
              <w:left w:val="nil"/>
              <w:bottom w:val="single" w:sz="4" w:space="0" w:color="auto"/>
              <w:right w:val="single" w:sz="4" w:space="0" w:color="auto"/>
            </w:tcBorders>
            <w:noWrap/>
            <w:vAlign w:val="center"/>
            <w:hideMark/>
          </w:tcPr>
          <w:p w14:paraId="14D73FCF"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26.01</w:t>
            </w:r>
          </w:p>
        </w:tc>
      </w:tr>
      <w:tr w:rsidR="00306C82" w:rsidRPr="00306C82" w14:paraId="072698D4"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EB6AF33"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Annualized bleeding rate: rAHF-PFM</w:t>
            </w:r>
          </w:p>
        </w:tc>
        <w:tc>
          <w:tcPr>
            <w:tcW w:w="605" w:type="pct"/>
            <w:tcBorders>
              <w:top w:val="nil"/>
              <w:left w:val="nil"/>
              <w:bottom w:val="single" w:sz="4" w:space="0" w:color="auto"/>
              <w:right w:val="single" w:sz="4" w:space="0" w:color="auto"/>
            </w:tcBorders>
            <w:noWrap/>
            <w:vAlign w:val="center"/>
            <w:hideMark/>
          </w:tcPr>
          <w:p w14:paraId="016C2022"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Gamma</w:t>
            </w:r>
          </w:p>
        </w:tc>
        <w:tc>
          <w:tcPr>
            <w:tcW w:w="747" w:type="pct"/>
            <w:tcBorders>
              <w:top w:val="nil"/>
              <w:left w:val="nil"/>
              <w:bottom w:val="single" w:sz="4" w:space="0" w:color="auto"/>
              <w:right w:val="single" w:sz="4" w:space="0" w:color="auto"/>
            </w:tcBorders>
            <w:noWrap/>
            <w:vAlign w:val="center"/>
            <w:hideMark/>
          </w:tcPr>
          <w:p w14:paraId="2C195B58"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38.93</w:t>
            </w:r>
          </w:p>
        </w:tc>
        <w:tc>
          <w:tcPr>
            <w:tcW w:w="744" w:type="pct"/>
            <w:tcBorders>
              <w:top w:val="nil"/>
              <w:left w:val="nil"/>
              <w:bottom w:val="single" w:sz="4" w:space="0" w:color="auto"/>
              <w:right w:val="single" w:sz="4" w:space="0" w:color="auto"/>
            </w:tcBorders>
            <w:noWrap/>
            <w:vAlign w:val="center"/>
            <w:hideMark/>
          </w:tcPr>
          <w:p w14:paraId="63D2122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0.09</w:t>
            </w:r>
          </w:p>
        </w:tc>
      </w:tr>
      <w:tr w:rsidR="00306C82" w:rsidRPr="00306C82" w14:paraId="0765959A"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ACA4652"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Inhibitor incidence: BAY 81-8973</w:t>
            </w:r>
          </w:p>
        </w:tc>
        <w:tc>
          <w:tcPr>
            <w:tcW w:w="605" w:type="pct"/>
            <w:tcBorders>
              <w:top w:val="nil"/>
              <w:left w:val="nil"/>
              <w:bottom w:val="single" w:sz="4" w:space="0" w:color="auto"/>
              <w:right w:val="single" w:sz="4" w:space="0" w:color="auto"/>
            </w:tcBorders>
            <w:noWrap/>
            <w:vAlign w:val="center"/>
            <w:hideMark/>
          </w:tcPr>
          <w:p w14:paraId="0CF87BC1"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33B044ED"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23.86</w:t>
            </w:r>
          </w:p>
        </w:tc>
        <w:tc>
          <w:tcPr>
            <w:tcW w:w="744" w:type="pct"/>
            <w:tcBorders>
              <w:top w:val="nil"/>
              <w:left w:val="nil"/>
              <w:bottom w:val="single" w:sz="4" w:space="0" w:color="auto"/>
              <w:right w:val="single" w:sz="4" w:space="0" w:color="auto"/>
            </w:tcBorders>
            <w:noWrap/>
            <w:vAlign w:val="center"/>
            <w:hideMark/>
          </w:tcPr>
          <w:p w14:paraId="0C50F937"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19.68</w:t>
            </w:r>
          </w:p>
        </w:tc>
      </w:tr>
      <w:tr w:rsidR="00306C82" w:rsidRPr="00306C82" w14:paraId="414F458E"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7055264"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Annualized bleeding proportion: BAY 81-8973</w:t>
            </w:r>
          </w:p>
        </w:tc>
        <w:tc>
          <w:tcPr>
            <w:tcW w:w="605" w:type="pct"/>
            <w:tcBorders>
              <w:top w:val="nil"/>
              <w:left w:val="nil"/>
              <w:bottom w:val="single" w:sz="4" w:space="0" w:color="auto"/>
              <w:right w:val="single" w:sz="4" w:space="0" w:color="auto"/>
            </w:tcBorders>
            <w:noWrap/>
            <w:vAlign w:val="center"/>
            <w:hideMark/>
          </w:tcPr>
          <w:p w14:paraId="3236B260"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7765E3DD"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62.08</w:t>
            </w:r>
          </w:p>
        </w:tc>
        <w:tc>
          <w:tcPr>
            <w:tcW w:w="744" w:type="pct"/>
            <w:tcBorders>
              <w:top w:val="nil"/>
              <w:left w:val="nil"/>
              <w:bottom w:val="single" w:sz="4" w:space="0" w:color="auto"/>
              <w:right w:val="single" w:sz="4" w:space="0" w:color="auto"/>
            </w:tcBorders>
            <w:noWrap/>
            <w:vAlign w:val="center"/>
            <w:hideMark/>
          </w:tcPr>
          <w:p w14:paraId="1AE39112"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22.95</w:t>
            </w:r>
          </w:p>
        </w:tc>
      </w:tr>
      <w:tr w:rsidR="00306C82" w:rsidRPr="00306C82" w14:paraId="41E2A932"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6EACD79"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Annualized bleeding rate: BAY 81-8973</w:t>
            </w:r>
          </w:p>
        </w:tc>
        <w:tc>
          <w:tcPr>
            <w:tcW w:w="605" w:type="pct"/>
            <w:tcBorders>
              <w:top w:val="nil"/>
              <w:left w:val="nil"/>
              <w:bottom w:val="single" w:sz="4" w:space="0" w:color="auto"/>
              <w:right w:val="single" w:sz="4" w:space="0" w:color="auto"/>
            </w:tcBorders>
            <w:noWrap/>
            <w:vAlign w:val="center"/>
            <w:hideMark/>
          </w:tcPr>
          <w:p w14:paraId="78D95313"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Gamma</w:t>
            </w:r>
          </w:p>
        </w:tc>
        <w:tc>
          <w:tcPr>
            <w:tcW w:w="747" w:type="pct"/>
            <w:tcBorders>
              <w:top w:val="nil"/>
              <w:left w:val="nil"/>
              <w:bottom w:val="single" w:sz="4" w:space="0" w:color="auto"/>
              <w:right w:val="single" w:sz="4" w:space="0" w:color="auto"/>
            </w:tcBorders>
            <w:noWrap/>
            <w:vAlign w:val="center"/>
            <w:hideMark/>
          </w:tcPr>
          <w:p w14:paraId="445501F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50.23</w:t>
            </w:r>
          </w:p>
        </w:tc>
        <w:tc>
          <w:tcPr>
            <w:tcW w:w="744" w:type="pct"/>
            <w:tcBorders>
              <w:top w:val="nil"/>
              <w:left w:val="nil"/>
              <w:bottom w:val="single" w:sz="4" w:space="0" w:color="auto"/>
              <w:right w:val="single" w:sz="4" w:space="0" w:color="auto"/>
            </w:tcBorders>
            <w:noWrap/>
            <w:vAlign w:val="center"/>
            <w:hideMark/>
          </w:tcPr>
          <w:p w14:paraId="0C39BA40"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0.11</w:t>
            </w:r>
          </w:p>
        </w:tc>
      </w:tr>
      <w:tr w:rsidR="00306C82" w:rsidRPr="00306C82" w14:paraId="0DC4F011"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0A02932"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Success rate of inhibitor eradication</w:t>
            </w:r>
          </w:p>
        </w:tc>
        <w:tc>
          <w:tcPr>
            <w:tcW w:w="605" w:type="pct"/>
            <w:tcBorders>
              <w:top w:val="nil"/>
              <w:left w:val="nil"/>
              <w:bottom w:val="single" w:sz="4" w:space="0" w:color="auto"/>
              <w:right w:val="single" w:sz="4" w:space="0" w:color="auto"/>
            </w:tcBorders>
            <w:noWrap/>
            <w:vAlign w:val="center"/>
            <w:hideMark/>
          </w:tcPr>
          <w:p w14:paraId="5B5949F7"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 xml:space="preserve">　</w:t>
            </w:r>
          </w:p>
        </w:tc>
        <w:tc>
          <w:tcPr>
            <w:tcW w:w="747" w:type="pct"/>
            <w:tcBorders>
              <w:top w:val="nil"/>
              <w:left w:val="nil"/>
              <w:bottom w:val="single" w:sz="4" w:space="0" w:color="auto"/>
              <w:right w:val="single" w:sz="4" w:space="0" w:color="auto"/>
            </w:tcBorders>
            <w:noWrap/>
            <w:vAlign w:val="center"/>
            <w:hideMark/>
          </w:tcPr>
          <w:p w14:paraId="0B776AA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c>
          <w:tcPr>
            <w:tcW w:w="744" w:type="pct"/>
            <w:tcBorders>
              <w:top w:val="nil"/>
              <w:left w:val="nil"/>
              <w:bottom w:val="single" w:sz="4" w:space="0" w:color="auto"/>
              <w:right w:val="single" w:sz="4" w:space="0" w:color="auto"/>
            </w:tcBorders>
            <w:noWrap/>
            <w:vAlign w:val="center"/>
            <w:hideMark/>
          </w:tcPr>
          <w:p w14:paraId="7F43BEBD"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r>
      <w:tr w:rsidR="00306C82" w:rsidRPr="00306C82" w14:paraId="763D9B1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F0C0E6D"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lastRenderedPageBreak/>
              <w:t>Low-titer inhibitors</w:t>
            </w:r>
          </w:p>
        </w:tc>
        <w:tc>
          <w:tcPr>
            <w:tcW w:w="605" w:type="pct"/>
            <w:tcBorders>
              <w:top w:val="nil"/>
              <w:left w:val="nil"/>
              <w:bottom w:val="single" w:sz="4" w:space="0" w:color="auto"/>
              <w:right w:val="single" w:sz="4" w:space="0" w:color="auto"/>
            </w:tcBorders>
            <w:noWrap/>
            <w:vAlign w:val="center"/>
            <w:hideMark/>
          </w:tcPr>
          <w:p w14:paraId="1C92419E"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31EC11F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22.4</w:t>
            </w:r>
          </w:p>
        </w:tc>
        <w:tc>
          <w:tcPr>
            <w:tcW w:w="744" w:type="pct"/>
            <w:tcBorders>
              <w:top w:val="nil"/>
              <w:left w:val="nil"/>
              <w:bottom w:val="single" w:sz="4" w:space="0" w:color="auto"/>
              <w:right w:val="single" w:sz="4" w:space="0" w:color="auto"/>
            </w:tcBorders>
            <w:noWrap/>
            <w:vAlign w:val="center"/>
            <w:hideMark/>
          </w:tcPr>
          <w:p w14:paraId="4879A96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1.28</w:t>
            </w:r>
          </w:p>
        </w:tc>
      </w:tr>
      <w:tr w:rsidR="00306C82" w:rsidRPr="00306C82" w14:paraId="3346825D"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61A42751"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High-titer inhibitors</w:t>
            </w:r>
          </w:p>
        </w:tc>
        <w:tc>
          <w:tcPr>
            <w:tcW w:w="605" w:type="pct"/>
            <w:tcBorders>
              <w:top w:val="nil"/>
              <w:left w:val="nil"/>
              <w:bottom w:val="single" w:sz="4" w:space="0" w:color="auto"/>
              <w:right w:val="single" w:sz="4" w:space="0" w:color="auto"/>
            </w:tcBorders>
            <w:noWrap/>
            <w:vAlign w:val="center"/>
            <w:hideMark/>
          </w:tcPr>
          <w:p w14:paraId="71852976"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C94884F"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100.99</w:t>
            </w:r>
          </w:p>
        </w:tc>
        <w:tc>
          <w:tcPr>
            <w:tcW w:w="744" w:type="pct"/>
            <w:tcBorders>
              <w:top w:val="nil"/>
              <w:left w:val="nil"/>
              <w:bottom w:val="single" w:sz="4" w:space="0" w:color="auto"/>
              <w:right w:val="single" w:sz="4" w:space="0" w:color="auto"/>
            </w:tcBorders>
            <w:noWrap/>
            <w:vAlign w:val="center"/>
            <w:hideMark/>
          </w:tcPr>
          <w:p w14:paraId="093DFCAB"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27.58</w:t>
            </w:r>
          </w:p>
        </w:tc>
      </w:tr>
      <w:tr w:rsidR="00306C82" w:rsidRPr="00306C82" w14:paraId="34E187A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257D3E6"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Annualized bleeding proportion</w:t>
            </w:r>
          </w:p>
        </w:tc>
        <w:tc>
          <w:tcPr>
            <w:tcW w:w="605" w:type="pct"/>
            <w:tcBorders>
              <w:top w:val="nil"/>
              <w:left w:val="nil"/>
              <w:bottom w:val="single" w:sz="4" w:space="0" w:color="auto"/>
              <w:right w:val="single" w:sz="4" w:space="0" w:color="auto"/>
            </w:tcBorders>
            <w:noWrap/>
            <w:vAlign w:val="center"/>
            <w:hideMark/>
          </w:tcPr>
          <w:p w14:paraId="6E68FADD"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 xml:space="preserve">　</w:t>
            </w:r>
          </w:p>
        </w:tc>
        <w:tc>
          <w:tcPr>
            <w:tcW w:w="747" w:type="pct"/>
            <w:tcBorders>
              <w:top w:val="nil"/>
              <w:left w:val="nil"/>
              <w:bottom w:val="single" w:sz="4" w:space="0" w:color="auto"/>
              <w:right w:val="single" w:sz="4" w:space="0" w:color="auto"/>
            </w:tcBorders>
            <w:noWrap/>
            <w:vAlign w:val="center"/>
            <w:hideMark/>
          </w:tcPr>
          <w:p w14:paraId="4C6CE818"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c>
          <w:tcPr>
            <w:tcW w:w="744" w:type="pct"/>
            <w:tcBorders>
              <w:top w:val="nil"/>
              <w:left w:val="nil"/>
              <w:bottom w:val="single" w:sz="4" w:space="0" w:color="auto"/>
              <w:right w:val="single" w:sz="4" w:space="0" w:color="auto"/>
            </w:tcBorders>
            <w:noWrap/>
            <w:vAlign w:val="center"/>
            <w:hideMark/>
          </w:tcPr>
          <w:p w14:paraId="0910CBA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r>
      <w:tr w:rsidR="00306C82" w:rsidRPr="00306C82" w14:paraId="21065F2E"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019E93A"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During ITI for high-titer inhibitors</w:t>
            </w:r>
          </w:p>
        </w:tc>
        <w:tc>
          <w:tcPr>
            <w:tcW w:w="605" w:type="pct"/>
            <w:tcBorders>
              <w:top w:val="nil"/>
              <w:left w:val="nil"/>
              <w:bottom w:val="single" w:sz="4" w:space="0" w:color="auto"/>
              <w:right w:val="single" w:sz="4" w:space="0" w:color="auto"/>
            </w:tcBorders>
            <w:noWrap/>
            <w:vAlign w:val="center"/>
            <w:hideMark/>
          </w:tcPr>
          <w:p w14:paraId="7D15069F"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2AABF694"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25.98</w:t>
            </w:r>
          </w:p>
        </w:tc>
        <w:tc>
          <w:tcPr>
            <w:tcW w:w="744" w:type="pct"/>
            <w:tcBorders>
              <w:top w:val="nil"/>
              <w:left w:val="nil"/>
              <w:bottom w:val="single" w:sz="4" w:space="0" w:color="auto"/>
              <w:right w:val="single" w:sz="4" w:space="0" w:color="auto"/>
            </w:tcBorders>
            <w:noWrap/>
            <w:vAlign w:val="center"/>
            <w:hideMark/>
          </w:tcPr>
          <w:p w14:paraId="221F53C6"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10.51</w:t>
            </w:r>
          </w:p>
        </w:tc>
      </w:tr>
      <w:tr w:rsidR="00306C82" w:rsidRPr="00306C82" w14:paraId="7158990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1EAD5099"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Prophylaxis for low-titer inhibitors: rAHF-PFM</w:t>
            </w:r>
          </w:p>
        </w:tc>
        <w:tc>
          <w:tcPr>
            <w:tcW w:w="605" w:type="pct"/>
            <w:tcBorders>
              <w:top w:val="nil"/>
              <w:left w:val="nil"/>
              <w:bottom w:val="single" w:sz="4" w:space="0" w:color="auto"/>
              <w:right w:val="single" w:sz="4" w:space="0" w:color="auto"/>
            </w:tcBorders>
            <w:noWrap/>
            <w:vAlign w:val="center"/>
            <w:hideMark/>
          </w:tcPr>
          <w:p w14:paraId="79F9BF5E"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7D2F656B"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58.4</w:t>
            </w:r>
          </w:p>
        </w:tc>
        <w:tc>
          <w:tcPr>
            <w:tcW w:w="744" w:type="pct"/>
            <w:tcBorders>
              <w:top w:val="nil"/>
              <w:left w:val="nil"/>
              <w:bottom w:val="single" w:sz="4" w:space="0" w:color="auto"/>
              <w:right w:val="single" w:sz="4" w:space="0" w:color="auto"/>
            </w:tcBorders>
            <w:noWrap/>
            <w:vAlign w:val="center"/>
            <w:hideMark/>
          </w:tcPr>
          <w:p w14:paraId="1E52A5D8"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26.01</w:t>
            </w:r>
          </w:p>
        </w:tc>
      </w:tr>
      <w:tr w:rsidR="00306C82" w:rsidRPr="00306C82" w14:paraId="178EFB77"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1D14DE30"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Prophylaxis for low-titer inhibitors: BAY 81-8973</w:t>
            </w:r>
          </w:p>
        </w:tc>
        <w:tc>
          <w:tcPr>
            <w:tcW w:w="605" w:type="pct"/>
            <w:tcBorders>
              <w:top w:val="nil"/>
              <w:left w:val="nil"/>
              <w:bottom w:val="single" w:sz="4" w:space="0" w:color="auto"/>
              <w:right w:val="single" w:sz="4" w:space="0" w:color="auto"/>
            </w:tcBorders>
            <w:noWrap/>
            <w:vAlign w:val="center"/>
            <w:hideMark/>
          </w:tcPr>
          <w:p w14:paraId="449C891D"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444507C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62.08</w:t>
            </w:r>
          </w:p>
        </w:tc>
        <w:tc>
          <w:tcPr>
            <w:tcW w:w="744" w:type="pct"/>
            <w:tcBorders>
              <w:top w:val="nil"/>
              <w:left w:val="nil"/>
              <w:bottom w:val="single" w:sz="4" w:space="0" w:color="auto"/>
              <w:right w:val="single" w:sz="4" w:space="0" w:color="auto"/>
            </w:tcBorders>
            <w:noWrap/>
            <w:vAlign w:val="center"/>
            <w:hideMark/>
          </w:tcPr>
          <w:p w14:paraId="2748733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22.95</w:t>
            </w:r>
          </w:p>
        </w:tc>
      </w:tr>
      <w:tr w:rsidR="00306C82" w:rsidRPr="00306C82" w14:paraId="5BA83E1B"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331ACE2"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Post-ITI failure on emicizumab prophylaxis: Low-titer</w:t>
            </w:r>
          </w:p>
        </w:tc>
        <w:tc>
          <w:tcPr>
            <w:tcW w:w="605" w:type="pct"/>
            <w:tcBorders>
              <w:top w:val="nil"/>
              <w:left w:val="nil"/>
              <w:bottom w:val="single" w:sz="4" w:space="0" w:color="auto"/>
              <w:right w:val="single" w:sz="4" w:space="0" w:color="auto"/>
            </w:tcBorders>
            <w:noWrap/>
            <w:vAlign w:val="center"/>
            <w:hideMark/>
          </w:tcPr>
          <w:p w14:paraId="63C221E2"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299AB564"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8.82</w:t>
            </w:r>
          </w:p>
        </w:tc>
        <w:tc>
          <w:tcPr>
            <w:tcW w:w="744" w:type="pct"/>
            <w:tcBorders>
              <w:top w:val="nil"/>
              <w:left w:val="nil"/>
              <w:bottom w:val="single" w:sz="4" w:space="0" w:color="auto"/>
              <w:right w:val="single" w:sz="4" w:space="0" w:color="auto"/>
            </w:tcBorders>
            <w:noWrap/>
            <w:vAlign w:val="center"/>
            <w:hideMark/>
          </w:tcPr>
          <w:p w14:paraId="2F2D927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73.29</w:t>
            </w:r>
          </w:p>
        </w:tc>
      </w:tr>
      <w:tr w:rsidR="00306C82" w:rsidRPr="00306C82" w14:paraId="26C15573"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5FBED87"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Post-ITI failure on emicizumab prophylaxis: High-titer</w:t>
            </w:r>
          </w:p>
        </w:tc>
        <w:tc>
          <w:tcPr>
            <w:tcW w:w="605" w:type="pct"/>
            <w:tcBorders>
              <w:top w:val="nil"/>
              <w:left w:val="nil"/>
              <w:bottom w:val="single" w:sz="4" w:space="0" w:color="auto"/>
              <w:right w:val="single" w:sz="4" w:space="0" w:color="auto"/>
            </w:tcBorders>
            <w:noWrap/>
            <w:vAlign w:val="center"/>
            <w:hideMark/>
          </w:tcPr>
          <w:p w14:paraId="2CD40AAB"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5DAA1C8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93.12</w:t>
            </w:r>
          </w:p>
        </w:tc>
        <w:tc>
          <w:tcPr>
            <w:tcW w:w="744" w:type="pct"/>
            <w:tcBorders>
              <w:top w:val="nil"/>
              <w:left w:val="nil"/>
              <w:bottom w:val="single" w:sz="4" w:space="0" w:color="auto"/>
              <w:right w:val="single" w:sz="4" w:space="0" w:color="auto"/>
            </w:tcBorders>
            <w:noWrap/>
            <w:vAlign w:val="center"/>
            <w:hideMark/>
          </w:tcPr>
          <w:p w14:paraId="62162107"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105.45</w:t>
            </w:r>
          </w:p>
        </w:tc>
      </w:tr>
      <w:tr w:rsidR="00306C82" w:rsidRPr="00306C82" w14:paraId="4B3BC985"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BDD2C2C"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Post-ITI failure on-demand therapy: Low-titer</w:t>
            </w:r>
          </w:p>
        </w:tc>
        <w:tc>
          <w:tcPr>
            <w:tcW w:w="605" w:type="pct"/>
            <w:tcBorders>
              <w:top w:val="nil"/>
              <w:left w:val="nil"/>
              <w:bottom w:val="single" w:sz="4" w:space="0" w:color="auto"/>
              <w:right w:val="single" w:sz="4" w:space="0" w:color="auto"/>
            </w:tcBorders>
            <w:noWrap/>
            <w:vAlign w:val="center"/>
            <w:hideMark/>
          </w:tcPr>
          <w:p w14:paraId="6EF47B88"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343411CF"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w:t>
            </w:r>
          </w:p>
        </w:tc>
        <w:tc>
          <w:tcPr>
            <w:tcW w:w="744" w:type="pct"/>
            <w:tcBorders>
              <w:top w:val="nil"/>
              <w:left w:val="nil"/>
              <w:bottom w:val="single" w:sz="4" w:space="0" w:color="auto"/>
              <w:right w:val="single" w:sz="4" w:space="0" w:color="auto"/>
            </w:tcBorders>
            <w:noWrap/>
            <w:vAlign w:val="center"/>
            <w:hideMark/>
          </w:tcPr>
          <w:p w14:paraId="4C9C005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w:t>
            </w:r>
          </w:p>
        </w:tc>
      </w:tr>
      <w:tr w:rsidR="00306C82" w:rsidRPr="00306C82" w14:paraId="29653D21"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2BCADBC9"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Post-ITI failure on-demand therapy: High-titer</w:t>
            </w:r>
          </w:p>
        </w:tc>
        <w:tc>
          <w:tcPr>
            <w:tcW w:w="605" w:type="pct"/>
            <w:tcBorders>
              <w:top w:val="nil"/>
              <w:left w:val="nil"/>
              <w:bottom w:val="single" w:sz="4" w:space="0" w:color="auto"/>
              <w:right w:val="single" w:sz="4" w:space="0" w:color="auto"/>
            </w:tcBorders>
            <w:noWrap/>
            <w:vAlign w:val="center"/>
            <w:hideMark/>
          </w:tcPr>
          <w:p w14:paraId="205E682B"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60CEEB4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w:t>
            </w:r>
          </w:p>
        </w:tc>
        <w:tc>
          <w:tcPr>
            <w:tcW w:w="744" w:type="pct"/>
            <w:tcBorders>
              <w:top w:val="nil"/>
              <w:left w:val="nil"/>
              <w:bottom w:val="single" w:sz="4" w:space="0" w:color="auto"/>
              <w:right w:val="single" w:sz="4" w:space="0" w:color="auto"/>
            </w:tcBorders>
            <w:noWrap/>
            <w:vAlign w:val="center"/>
            <w:hideMark/>
          </w:tcPr>
          <w:p w14:paraId="7D25ACDB"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w:t>
            </w:r>
          </w:p>
        </w:tc>
      </w:tr>
      <w:tr w:rsidR="00306C82" w:rsidRPr="00306C82" w14:paraId="30BCF8AC"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2BE6E04C"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ABR</w:t>
            </w:r>
          </w:p>
        </w:tc>
        <w:tc>
          <w:tcPr>
            <w:tcW w:w="605" w:type="pct"/>
            <w:tcBorders>
              <w:top w:val="nil"/>
              <w:left w:val="nil"/>
              <w:bottom w:val="single" w:sz="4" w:space="0" w:color="auto"/>
              <w:right w:val="single" w:sz="4" w:space="0" w:color="auto"/>
            </w:tcBorders>
            <w:noWrap/>
            <w:vAlign w:val="center"/>
            <w:hideMark/>
          </w:tcPr>
          <w:p w14:paraId="53379E1F"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 xml:space="preserve">　</w:t>
            </w:r>
          </w:p>
        </w:tc>
        <w:tc>
          <w:tcPr>
            <w:tcW w:w="747" w:type="pct"/>
            <w:tcBorders>
              <w:top w:val="nil"/>
              <w:left w:val="nil"/>
              <w:bottom w:val="single" w:sz="4" w:space="0" w:color="auto"/>
              <w:right w:val="single" w:sz="4" w:space="0" w:color="auto"/>
            </w:tcBorders>
            <w:noWrap/>
            <w:vAlign w:val="center"/>
            <w:hideMark/>
          </w:tcPr>
          <w:p w14:paraId="17B9F54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c>
          <w:tcPr>
            <w:tcW w:w="744" w:type="pct"/>
            <w:tcBorders>
              <w:top w:val="nil"/>
              <w:left w:val="nil"/>
              <w:bottom w:val="single" w:sz="4" w:space="0" w:color="auto"/>
              <w:right w:val="single" w:sz="4" w:space="0" w:color="auto"/>
            </w:tcBorders>
            <w:noWrap/>
            <w:vAlign w:val="center"/>
            <w:hideMark/>
          </w:tcPr>
          <w:p w14:paraId="5403CC2F"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r>
      <w:tr w:rsidR="00306C82" w:rsidRPr="00306C82" w14:paraId="361CFCEF"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5C9CB0E7"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During ITI for high-titer inhibitors</w:t>
            </w:r>
          </w:p>
        </w:tc>
        <w:tc>
          <w:tcPr>
            <w:tcW w:w="605" w:type="pct"/>
            <w:tcBorders>
              <w:top w:val="nil"/>
              <w:left w:val="nil"/>
              <w:bottom w:val="single" w:sz="4" w:space="0" w:color="auto"/>
              <w:right w:val="single" w:sz="4" w:space="0" w:color="auto"/>
            </w:tcBorders>
            <w:noWrap/>
            <w:vAlign w:val="center"/>
            <w:hideMark/>
          </w:tcPr>
          <w:p w14:paraId="023B86A2"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Gamma</w:t>
            </w:r>
          </w:p>
        </w:tc>
        <w:tc>
          <w:tcPr>
            <w:tcW w:w="747" w:type="pct"/>
            <w:tcBorders>
              <w:top w:val="nil"/>
              <w:left w:val="nil"/>
              <w:bottom w:val="single" w:sz="4" w:space="0" w:color="auto"/>
              <w:right w:val="single" w:sz="4" w:space="0" w:color="auto"/>
            </w:tcBorders>
            <w:noWrap/>
            <w:vAlign w:val="center"/>
            <w:hideMark/>
          </w:tcPr>
          <w:p w14:paraId="40A899D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20.48</w:t>
            </w:r>
          </w:p>
        </w:tc>
        <w:tc>
          <w:tcPr>
            <w:tcW w:w="744" w:type="pct"/>
            <w:tcBorders>
              <w:top w:val="nil"/>
              <w:left w:val="nil"/>
              <w:bottom w:val="single" w:sz="4" w:space="0" w:color="auto"/>
              <w:right w:val="single" w:sz="4" w:space="0" w:color="auto"/>
            </w:tcBorders>
            <w:noWrap/>
            <w:vAlign w:val="center"/>
            <w:hideMark/>
          </w:tcPr>
          <w:p w14:paraId="1F23A927"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0.23</w:t>
            </w:r>
          </w:p>
        </w:tc>
      </w:tr>
      <w:tr w:rsidR="00306C82" w:rsidRPr="00306C82" w14:paraId="0D88C66B"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11202668"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Prophylaxis for low-titer inhibitors: rAHF-PFM</w:t>
            </w:r>
          </w:p>
        </w:tc>
        <w:tc>
          <w:tcPr>
            <w:tcW w:w="605" w:type="pct"/>
            <w:tcBorders>
              <w:top w:val="nil"/>
              <w:left w:val="nil"/>
              <w:bottom w:val="single" w:sz="4" w:space="0" w:color="auto"/>
              <w:right w:val="single" w:sz="4" w:space="0" w:color="auto"/>
            </w:tcBorders>
            <w:noWrap/>
            <w:vAlign w:val="center"/>
            <w:hideMark/>
          </w:tcPr>
          <w:p w14:paraId="196E257F"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Gamma</w:t>
            </w:r>
          </w:p>
        </w:tc>
        <w:tc>
          <w:tcPr>
            <w:tcW w:w="747" w:type="pct"/>
            <w:tcBorders>
              <w:top w:val="nil"/>
              <w:left w:val="nil"/>
              <w:bottom w:val="single" w:sz="4" w:space="0" w:color="auto"/>
              <w:right w:val="single" w:sz="4" w:space="0" w:color="auto"/>
            </w:tcBorders>
            <w:noWrap/>
            <w:vAlign w:val="center"/>
            <w:hideMark/>
          </w:tcPr>
          <w:p w14:paraId="31A13814"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38.93</w:t>
            </w:r>
          </w:p>
        </w:tc>
        <w:tc>
          <w:tcPr>
            <w:tcW w:w="744" w:type="pct"/>
            <w:tcBorders>
              <w:top w:val="nil"/>
              <w:left w:val="nil"/>
              <w:bottom w:val="single" w:sz="4" w:space="0" w:color="auto"/>
              <w:right w:val="single" w:sz="4" w:space="0" w:color="auto"/>
            </w:tcBorders>
            <w:noWrap/>
            <w:vAlign w:val="center"/>
            <w:hideMark/>
          </w:tcPr>
          <w:p w14:paraId="10F120E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0.09</w:t>
            </w:r>
          </w:p>
        </w:tc>
      </w:tr>
      <w:tr w:rsidR="00306C82" w:rsidRPr="00306C82" w14:paraId="78CBA284"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5330B1B0"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Prophylaxis for low-titer inhibitors: BAY 81-8973</w:t>
            </w:r>
          </w:p>
        </w:tc>
        <w:tc>
          <w:tcPr>
            <w:tcW w:w="605" w:type="pct"/>
            <w:tcBorders>
              <w:top w:val="nil"/>
              <w:left w:val="nil"/>
              <w:bottom w:val="single" w:sz="4" w:space="0" w:color="auto"/>
              <w:right w:val="single" w:sz="4" w:space="0" w:color="auto"/>
            </w:tcBorders>
            <w:noWrap/>
            <w:vAlign w:val="center"/>
            <w:hideMark/>
          </w:tcPr>
          <w:p w14:paraId="0E1D9D55"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Gamma</w:t>
            </w:r>
          </w:p>
        </w:tc>
        <w:tc>
          <w:tcPr>
            <w:tcW w:w="747" w:type="pct"/>
            <w:tcBorders>
              <w:top w:val="nil"/>
              <w:left w:val="nil"/>
              <w:bottom w:val="single" w:sz="4" w:space="0" w:color="auto"/>
              <w:right w:val="single" w:sz="4" w:space="0" w:color="auto"/>
            </w:tcBorders>
            <w:noWrap/>
            <w:vAlign w:val="center"/>
            <w:hideMark/>
          </w:tcPr>
          <w:p w14:paraId="21298B0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50.23</w:t>
            </w:r>
          </w:p>
        </w:tc>
        <w:tc>
          <w:tcPr>
            <w:tcW w:w="744" w:type="pct"/>
            <w:tcBorders>
              <w:top w:val="nil"/>
              <w:left w:val="nil"/>
              <w:bottom w:val="single" w:sz="4" w:space="0" w:color="auto"/>
              <w:right w:val="single" w:sz="4" w:space="0" w:color="auto"/>
            </w:tcBorders>
            <w:noWrap/>
            <w:vAlign w:val="center"/>
            <w:hideMark/>
          </w:tcPr>
          <w:p w14:paraId="51C7CB3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0.11</w:t>
            </w:r>
          </w:p>
        </w:tc>
      </w:tr>
      <w:tr w:rsidR="00306C82" w:rsidRPr="00306C82" w14:paraId="51BDA0B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726A23B"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Age-specific Baseline ICH Risks in General Population</w:t>
            </w:r>
          </w:p>
        </w:tc>
        <w:tc>
          <w:tcPr>
            <w:tcW w:w="605" w:type="pct"/>
            <w:tcBorders>
              <w:top w:val="nil"/>
              <w:left w:val="nil"/>
              <w:bottom w:val="single" w:sz="4" w:space="0" w:color="auto"/>
              <w:right w:val="single" w:sz="4" w:space="0" w:color="auto"/>
            </w:tcBorders>
            <w:noWrap/>
            <w:vAlign w:val="center"/>
            <w:hideMark/>
          </w:tcPr>
          <w:p w14:paraId="602A8A12"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 xml:space="preserve">　</w:t>
            </w:r>
          </w:p>
        </w:tc>
        <w:tc>
          <w:tcPr>
            <w:tcW w:w="747" w:type="pct"/>
            <w:tcBorders>
              <w:top w:val="nil"/>
              <w:left w:val="nil"/>
              <w:bottom w:val="single" w:sz="4" w:space="0" w:color="auto"/>
              <w:right w:val="single" w:sz="4" w:space="0" w:color="auto"/>
            </w:tcBorders>
            <w:noWrap/>
            <w:vAlign w:val="center"/>
            <w:hideMark/>
          </w:tcPr>
          <w:p w14:paraId="5AFFD02B"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c>
          <w:tcPr>
            <w:tcW w:w="744" w:type="pct"/>
            <w:tcBorders>
              <w:top w:val="nil"/>
              <w:left w:val="nil"/>
              <w:bottom w:val="single" w:sz="4" w:space="0" w:color="auto"/>
              <w:right w:val="single" w:sz="4" w:space="0" w:color="auto"/>
            </w:tcBorders>
            <w:noWrap/>
            <w:vAlign w:val="center"/>
            <w:hideMark/>
          </w:tcPr>
          <w:p w14:paraId="22E1F696"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r>
      <w:tr w:rsidR="00306C82" w:rsidRPr="00306C82" w14:paraId="0A63E278"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2CBB6F1"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25-34 years</w:t>
            </w:r>
          </w:p>
        </w:tc>
        <w:tc>
          <w:tcPr>
            <w:tcW w:w="605" w:type="pct"/>
            <w:tcBorders>
              <w:top w:val="nil"/>
              <w:left w:val="nil"/>
              <w:bottom w:val="single" w:sz="4" w:space="0" w:color="auto"/>
              <w:right w:val="single" w:sz="4" w:space="0" w:color="auto"/>
            </w:tcBorders>
            <w:noWrap/>
            <w:vAlign w:val="center"/>
            <w:hideMark/>
          </w:tcPr>
          <w:p w14:paraId="0C361E4F"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3357FC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1.75</w:t>
            </w:r>
          </w:p>
        </w:tc>
        <w:tc>
          <w:tcPr>
            <w:tcW w:w="744" w:type="pct"/>
            <w:tcBorders>
              <w:top w:val="nil"/>
              <w:left w:val="nil"/>
              <w:bottom w:val="single" w:sz="4" w:space="0" w:color="auto"/>
              <w:right w:val="single" w:sz="4" w:space="0" w:color="auto"/>
            </w:tcBorders>
            <w:noWrap/>
            <w:vAlign w:val="center"/>
            <w:hideMark/>
          </w:tcPr>
          <w:p w14:paraId="06732520"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86795.78</w:t>
            </w:r>
          </w:p>
        </w:tc>
      </w:tr>
      <w:tr w:rsidR="00306C82" w:rsidRPr="00306C82" w14:paraId="332CC41B"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4F3BEA8"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35-44 years</w:t>
            </w:r>
          </w:p>
        </w:tc>
        <w:tc>
          <w:tcPr>
            <w:tcW w:w="605" w:type="pct"/>
            <w:tcBorders>
              <w:top w:val="nil"/>
              <w:left w:val="nil"/>
              <w:bottom w:val="single" w:sz="4" w:space="0" w:color="auto"/>
              <w:right w:val="single" w:sz="4" w:space="0" w:color="auto"/>
            </w:tcBorders>
            <w:noWrap/>
            <w:vAlign w:val="center"/>
            <w:hideMark/>
          </w:tcPr>
          <w:p w14:paraId="05E5FB31"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62E23734"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w:t>
            </w:r>
          </w:p>
        </w:tc>
        <w:tc>
          <w:tcPr>
            <w:tcW w:w="744" w:type="pct"/>
            <w:tcBorders>
              <w:top w:val="nil"/>
              <w:left w:val="nil"/>
              <w:bottom w:val="single" w:sz="4" w:space="0" w:color="auto"/>
              <w:right w:val="single" w:sz="4" w:space="0" w:color="auto"/>
            </w:tcBorders>
            <w:noWrap/>
            <w:vAlign w:val="center"/>
            <w:hideMark/>
          </w:tcPr>
          <w:p w14:paraId="1B6CACC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65660.5</w:t>
            </w:r>
          </w:p>
        </w:tc>
      </w:tr>
      <w:tr w:rsidR="00306C82" w:rsidRPr="00306C82" w14:paraId="43782C62"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576BFEAC"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45-54 years</w:t>
            </w:r>
          </w:p>
        </w:tc>
        <w:tc>
          <w:tcPr>
            <w:tcW w:w="605" w:type="pct"/>
            <w:tcBorders>
              <w:top w:val="nil"/>
              <w:left w:val="nil"/>
              <w:bottom w:val="single" w:sz="4" w:space="0" w:color="auto"/>
              <w:right w:val="single" w:sz="4" w:space="0" w:color="auto"/>
            </w:tcBorders>
            <w:noWrap/>
            <w:vAlign w:val="center"/>
            <w:hideMark/>
          </w:tcPr>
          <w:p w14:paraId="6515F588"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679559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25.98</w:t>
            </w:r>
          </w:p>
        </w:tc>
        <w:tc>
          <w:tcPr>
            <w:tcW w:w="744" w:type="pct"/>
            <w:tcBorders>
              <w:top w:val="nil"/>
              <w:left w:val="nil"/>
              <w:bottom w:val="single" w:sz="4" w:space="0" w:color="auto"/>
              <w:right w:val="single" w:sz="4" w:space="0" w:color="auto"/>
            </w:tcBorders>
            <w:noWrap/>
            <w:vAlign w:val="center"/>
            <w:hideMark/>
          </w:tcPr>
          <w:p w14:paraId="47D4A2D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36033.4</w:t>
            </w:r>
          </w:p>
        </w:tc>
      </w:tr>
      <w:tr w:rsidR="00306C82" w:rsidRPr="00306C82" w14:paraId="5AF2497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44B855D"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55-64 years</w:t>
            </w:r>
          </w:p>
        </w:tc>
        <w:tc>
          <w:tcPr>
            <w:tcW w:w="605" w:type="pct"/>
            <w:tcBorders>
              <w:top w:val="nil"/>
              <w:left w:val="nil"/>
              <w:bottom w:val="single" w:sz="4" w:space="0" w:color="auto"/>
              <w:right w:val="single" w:sz="4" w:space="0" w:color="auto"/>
            </w:tcBorders>
            <w:noWrap/>
            <w:vAlign w:val="center"/>
            <w:hideMark/>
          </w:tcPr>
          <w:p w14:paraId="104831DB"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3CAD55C8"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73.76</w:t>
            </w:r>
          </w:p>
        </w:tc>
        <w:tc>
          <w:tcPr>
            <w:tcW w:w="744" w:type="pct"/>
            <w:tcBorders>
              <w:top w:val="nil"/>
              <w:left w:val="nil"/>
              <w:bottom w:val="single" w:sz="4" w:space="0" w:color="auto"/>
              <w:right w:val="single" w:sz="4" w:space="0" w:color="auto"/>
            </w:tcBorders>
            <w:noWrap/>
            <w:vAlign w:val="center"/>
            <w:hideMark/>
          </w:tcPr>
          <w:p w14:paraId="60C0AE7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23993.74</w:t>
            </w:r>
          </w:p>
        </w:tc>
      </w:tr>
      <w:tr w:rsidR="00306C82" w:rsidRPr="00306C82" w14:paraId="6F08754C"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1BF987EB"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65-74 years</w:t>
            </w:r>
          </w:p>
        </w:tc>
        <w:tc>
          <w:tcPr>
            <w:tcW w:w="605" w:type="pct"/>
            <w:tcBorders>
              <w:top w:val="nil"/>
              <w:left w:val="nil"/>
              <w:bottom w:val="single" w:sz="4" w:space="0" w:color="auto"/>
              <w:right w:val="single" w:sz="4" w:space="0" w:color="auto"/>
            </w:tcBorders>
            <w:noWrap/>
            <w:vAlign w:val="center"/>
            <w:hideMark/>
          </w:tcPr>
          <w:p w14:paraId="4EDFF77F"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012694A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165.57</w:t>
            </w:r>
          </w:p>
        </w:tc>
        <w:tc>
          <w:tcPr>
            <w:tcW w:w="744" w:type="pct"/>
            <w:tcBorders>
              <w:top w:val="nil"/>
              <w:left w:val="nil"/>
              <w:bottom w:val="single" w:sz="4" w:space="0" w:color="auto"/>
              <w:right w:val="single" w:sz="4" w:space="0" w:color="auto"/>
            </w:tcBorders>
            <w:noWrap/>
            <w:vAlign w:val="center"/>
            <w:hideMark/>
          </w:tcPr>
          <w:p w14:paraId="4021E2D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19288.11</w:t>
            </w:r>
          </w:p>
        </w:tc>
      </w:tr>
      <w:tr w:rsidR="00306C82" w:rsidRPr="00306C82" w14:paraId="54799163"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288E171"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75+ years</w:t>
            </w:r>
          </w:p>
        </w:tc>
        <w:tc>
          <w:tcPr>
            <w:tcW w:w="605" w:type="pct"/>
            <w:tcBorders>
              <w:top w:val="nil"/>
              <w:left w:val="nil"/>
              <w:bottom w:val="single" w:sz="4" w:space="0" w:color="auto"/>
              <w:right w:val="single" w:sz="4" w:space="0" w:color="auto"/>
            </w:tcBorders>
            <w:noWrap/>
            <w:vAlign w:val="center"/>
            <w:hideMark/>
          </w:tcPr>
          <w:p w14:paraId="483D7734"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7912E6D8"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139.6</w:t>
            </w:r>
          </w:p>
        </w:tc>
        <w:tc>
          <w:tcPr>
            <w:tcW w:w="744" w:type="pct"/>
            <w:tcBorders>
              <w:top w:val="nil"/>
              <w:left w:val="nil"/>
              <w:bottom w:val="single" w:sz="4" w:space="0" w:color="auto"/>
              <w:right w:val="single" w:sz="4" w:space="0" w:color="auto"/>
            </w:tcBorders>
            <w:noWrap/>
            <w:vAlign w:val="center"/>
            <w:hideMark/>
          </w:tcPr>
          <w:p w14:paraId="652EEE51"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8187.17</w:t>
            </w:r>
          </w:p>
        </w:tc>
      </w:tr>
      <w:tr w:rsidR="00306C82" w:rsidRPr="00306C82" w14:paraId="0F3EAB5A"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56CB5563"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Mortality risk ratio for hemophilia patients vs. general population</w:t>
            </w:r>
          </w:p>
        </w:tc>
        <w:tc>
          <w:tcPr>
            <w:tcW w:w="605" w:type="pct"/>
            <w:tcBorders>
              <w:top w:val="nil"/>
              <w:left w:val="nil"/>
              <w:bottom w:val="single" w:sz="4" w:space="0" w:color="auto"/>
              <w:right w:val="single" w:sz="4" w:space="0" w:color="auto"/>
            </w:tcBorders>
            <w:noWrap/>
            <w:vAlign w:val="center"/>
            <w:hideMark/>
          </w:tcPr>
          <w:p w14:paraId="5197894F"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 xml:space="preserve">　</w:t>
            </w:r>
          </w:p>
        </w:tc>
        <w:tc>
          <w:tcPr>
            <w:tcW w:w="747" w:type="pct"/>
            <w:tcBorders>
              <w:top w:val="nil"/>
              <w:left w:val="nil"/>
              <w:bottom w:val="single" w:sz="4" w:space="0" w:color="auto"/>
              <w:right w:val="single" w:sz="4" w:space="0" w:color="auto"/>
            </w:tcBorders>
            <w:noWrap/>
            <w:vAlign w:val="center"/>
            <w:hideMark/>
          </w:tcPr>
          <w:p w14:paraId="3D7B8D71"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c>
          <w:tcPr>
            <w:tcW w:w="744" w:type="pct"/>
            <w:tcBorders>
              <w:top w:val="nil"/>
              <w:left w:val="nil"/>
              <w:bottom w:val="single" w:sz="4" w:space="0" w:color="auto"/>
              <w:right w:val="single" w:sz="4" w:space="0" w:color="auto"/>
            </w:tcBorders>
            <w:noWrap/>
            <w:vAlign w:val="center"/>
            <w:hideMark/>
          </w:tcPr>
          <w:p w14:paraId="47EDF78D"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r>
      <w:tr w:rsidR="00306C82" w:rsidRPr="00306C82" w14:paraId="426BB5FA"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24047FA"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0-4 years</w:t>
            </w:r>
          </w:p>
        </w:tc>
        <w:tc>
          <w:tcPr>
            <w:tcW w:w="605" w:type="pct"/>
            <w:tcBorders>
              <w:top w:val="nil"/>
              <w:left w:val="nil"/>
              <w:bottom w:val="single" w:sz="4" w:space="0" w:color="auto"/>
              <w:right w:val="single" w:sz="4" w:space="0" w:color="auto"/>
            </w:tcBorders>
            <w:noWrap/>
            <w:vAlign w:val="center"/>
            <w:hideMark/>
          </w:tcPr>
          <w:p w14:paraId="27162913"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8327D12"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-9.96</w:t>
            </w:r>
          </w:p>
        </w:tc>
        <w:tc>
          <w:tcPr>
            <w:tcW w:w="744" w:type="pct"/>
            <w:tcBorders>
              <w:top w:val="nil"/>
              <w:left w:val="nil"/>
              <w:bottom w:val="single" w:sz="4" w:space="0" w:color="auto"/>
              <w:right w:val="single" w:sz="4" w:space="0" w:color="auto"/>
            </w:tcBorders>
            <w:noWrap/>
            <w:vAlign w:val="center"/>
            <w:hideMark/>
          </w:tcPr>
          <w:p w14:paraId="63F4D3B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2.59</w:t>
            </w:r>
          </w:p>
        </w:tc>
      </w:tr>
      <w:tr w:rsidR="00306C82" w:rsidRPr="00306C82" w14:paraId="5E1DC95E"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9311A21"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5-14 years</w:t>
            </w:r>
          </w:p>
        </w:tc>
        <w:tc>
          <w:tcPr>
            <w:tcW w:w="605" w:type="pct"/>
            <w:tcBorders>
              <w:top w:val="nil"/>
              <w:left w:val="nil"/>
              <w:bottom w:val="single" w:sz="4" w:space="0" w:color="auto"/>
              <w:right w:val="single" w:sz="4" w:space="0" w:color="auto"/>
            </w:tcBorders>
            <w:noWrap/>
            <w:vAlign w:val="center"/>
            <w:hideMark/>
          </w:tcPr>
          <w:p w14:paraId="2BC42374"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E90ED36"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-9.96</w:t>
            </w:r>
          </w:p>
        </w:tc>
        <w:tc>
          <w:tcPr>
            <w:tcW w:w="744" w:type="pct"/>
            <w:tcBorders>
              <w:top w:val="nil"/>
              <w:left w:val="nil"/>
              <w:bottom w:val="single" w:sz="4" w:space="0" w:color="auto"/>
              <w:right w:val="single" w:sz="4" w:space="0" w:color="auto"/>
            </w:tcBorders>
            <w:noWrap/>
            <w:vAlign w:val="center"/>
            <w:hideMark/>
          </w:tcPr>
          <w:p w14:paraId="38E902D0"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2.59</w:t>
            </w:r>
          </w:p>
        </w:tc>
      </w:tr>
      <w:tr w:rsidR="00306C82" w:rsidRPr="00306C82" w14:paraId="33988DEB"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7C2F2E4"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15-24 years</w:t>
            </w:r>
          </w:p>
        </w:tc>
        <w:tc>
          <w:tcPr>
            <w:tcW w:w="605" w:type="pct"/>
            <w:tcBorders>
              <w:top w:val="nil"/>
              <w:left w:val="nil"/>
              <w:bottom w:val="single" w:sz="4" w:space="0" w:color="auto"/>
              <w:right w:val="single" w:sz="4" w:space="0" w:color="auto"/>
            </w:tcBorders>
            <w:noWrap/>
            <w:vAlign w:val="center"/>
            <w:hideMark/>
          </w:tcPr>
          <w:p w14:paraId="4CECE334"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36D51B9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-207.06</w:t>
            </w:r>
          </w:p>
        </w:tc>
        <w:tc>
          <w:tcPr>
            <w:tcW w:w="744" w:type="pct"/>
            <w:tcBorders>
              <w:top w:val="nil"/>
              <w:left w:val="nil"/>
              <w:bottom w:val="single" w:sz="4" w:space="0" w:color="auto"/>
              <w:right w:val="single" w:sz="4" w:space="0" w:color="auto"/>
            </w:tcBorders>
            <w:noWrap/>
            <w:vAlign w:val="center"/>
            <w:hideMark/>
          </w:tcPr>
          <w:p w14:paraId="288FE6D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156.18</w:t>
            </w:r>
          </w:p>
        </w:tc>
      </w:tr>
      <w:tr w:rsidR="00306C82" w:rsidRPr="00306C82" w14:paraId="45A418A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E893DD8"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25-34 years</w:t>
            </w:r>
          </w:p>
        </w:tc>
        <w:tc>
          <w:tcPr>
            <w:tcW w:w="605" w:type="pct"/>
            <w:tcBorders>
              <w:top w:val="nil"/>
              <w:left w:val="nil"/>
              <w:bottom w:val="single" w:sz="4" w:space="0" w:color="auto"/>
              <w:right w:val="single" w:sz="4" w:space="0" w:color="auto"/>
            </w:tcBorders>
            <w:noWrap/>
            <w:vAlign w:val="center"/>
            <w:hideMark/>
          </w:tcPr>
          <w:p w14:paraId="721680A0"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64516F6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-43.43</w:t>
            </w:r>
          </w:p>
        </w:tc>
        <w:tc>
          <w:tcPr>
            <w:tcW w:w="744" w:type="pct"/>
            <w:tcBorders>
              <w:top w:val="nil"/>
              <w:left w:val="nil"/>
              <w:bottom w:val="single" w:sz="4" w:space="0" w:color="auto"/>
              <w:right w:val="single" w:sz="4" w:space="0" w:color="auto"/>
            </w:tcBorders>
            <w:noWrap/>
            <w:vAlign w:val="center"/>
            <w:hideMark/>
          </w:tcPr>
          <w:p w14:paraId="232B0D2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17.33</w:t>
            </w:r>
          </w:p>
        </w:tc>
      </w:tr>
      <w:tr w:rsidR="00306C82" w:rsidRPr="00306C82" w14:paraId="038343AF"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352EB87"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35-44 years</w:t>
            </w:r>
          </w:p>
        </w:tc>
        <w:tc>
          <w:tcPr>
            <w:tcW w:w="605" w:type="pct"/>
            <w:tcBorders>
              <w:top w:val="nil"/>
              <w:left w:val="nil"/>
              <w:bottom w:val="single" w:sz="4" w:space="0" w:color="auto"/>
              <w:right w:val="single" w:sz="4" w:space="0" w:color="auto"/>
            </w:tcBorders>
            <w:noWrap/>
            <w:vAlign w:val="center"/>
            <w:hideMark/>
          </w:tcPr>
          <w:p w14:paraId="5F22759B"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480693C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-33.22</w:t>
            </w:r>
          </w:p>
        </w:tc>
        <w:tc>
          <w:tcPr>
            <w:tcW w:w="744" w:type="pct"/>
            <w:tcBorders>
              <w:top w:val="nil"/>
              <w:left w:val="nil"/>
              <w:bottom w:val="single" w:sz="4" w:space="0" w:color="auto"/>
              <w:right w:val="single" w:sz="4" w:space="0" w:color="auto"/>
            </w:tcBorders>
            <w:noWrap/>
            <w:vAlign w:val="center"/>
            <w:hideMark/>
          </w:tcPr>
          <w:p w14:paraId="3F60E6C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10.38</w:t>
            </w:r>
          </w:p>
        </w:tc>
      </w:tr>
      <w:tr w:rsidR="00306C82" w:rsidRPr="00306C82" w14:paraId="2C66FAE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5DC831B1"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45-54 years</w:t>
            </w:r>
          </w:p>
        </w:tc>
        <w:tc>
          <w:tcPr>
            <w:tcW w:w="605" w:type="pct"/>
            <w:tcBorders>
              <w:top w:val="nil"/>
              <w:left w:val="nil"/>
              <w:bottom w:val="single" w:sz="4" w:space="0" w:color="auto"/>
              <w:right w:val="single" w:sz="4" w:space="0" w:color="auto"/>
            </w:tcBorders>
            <w:noWrap/>
            <w:vAlign w:val="center"/>
            <w:hideMark/>
          </w:tcPr>
          <w:p w14:paraId="64273814"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4F9F3CD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-70.67</w:t>
            </w:r>
          </w:p>
        </w:tc>
        <w:tc>
          <w:tcPr>
            <w:tcW w:w="744" w:type="pct"/>
            <w:tcBorders>
              <w:top w:val="nil"/>
              <w:left w:val="nil"/>
              <w:bottom w:val="single" w:sz="4" w:space="0" w:color="auto"/>
              <w:right w:val="single" w:sz="4" w:space="0" w:color="auto"/>
            </w:tcBorders>
            <w:noWrap/>
            <w:vAlign w:val="center"/>
            <w:hideMark/>
          </w:tcPr>
          <w:p w14:paraId="2AEEF62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28.09</w:t>
            </w:r>
          </w:p>
        </w:tc>
      </w:tr>
      <w:tr w:rsidR="00306C82" w:rsidRPr="00306C82" w14:paraId="6B46766B"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5B478F7"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55-64 years</w:t>
            </w:r>
          </w:p>
        </w:tc>
        <w:tc>
          <w:tcPr>
            <w:tcW w:w="605" w:type="pct"/>
            <w:tcBorders>
              <w:top w:val="nil"/>
              <w:left w:val="nil"/>
              <w:bottom w:val="single" w:sz="4" w:space="0" w:color="auto"/>
              <w:right w:val="single" w:sz="4" w:space="0" w:color="auto"/>
            </w:tcBorders>
            <w:noWrap/>
            <w:vAlign w:val="center"/>
            <w:hideMark/>
          </w:tcPr>
          <w:p w14:paraId="779157AC"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DDD4750"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-246.1</w:t>
            </w:r>
          </w:p>
        </w:tc>
        <w:tc>
          <w:tcPr>
            <w:tcW w:w="744" w:type="pct"/>
            <w:tcBorders>
              <w:top w:val="nil"/>
              <w:left w:val="nil"/>
              <w:bottom w:val="single" w:sz="4" w:space="0" w:color="auto"/>
              <w:right w:val="single" w:sz="4" w:space="0" w:color="auto"/>
            </w:tcBorders>
            <w:noWrap/>
            <w:vAlign w:val="center"/>
            <w:hideMark/>
          </w:tcPr>
          <w:p w14:paraId="4D059C3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134.94</w:t>
            </w:r>
          </w:p>
        </w:tc>
      </w:tr>
      <w:tr w:rsidR="00306C82" w:rsidRPr="00306C82" w14:paraId="6F11CC44"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939C68F"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65-74 years</w:t>
            </w:r>
          </w:p>
        </w:tc>
        <w:tc>
          <w:tcPr>
            <w:tcW w:w="605" w:type="pct"/>
            <w:tcBorders>
              <w:top w:val="nil"/>
              <w:left w:val="nil"/>
              <w:bottom w:val="single" w:sz="4" w:space="0" w:color="auto"/>
              <w:right w:val="single" w:sz="4" w:space="0" w:color="auto"/>
            </w:tcBorders>
            <w:noWrap/>
            <w:vAlign w:val="center"/>
            <w:hideMark/>
          </w:tcPr>
          <w:p w14:paraId="08830DC8"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26B45D1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-489.26</w:t>
            </w:r>
          </w:p>
        </w:tc>
        <w:tc>
          <w:tcPr>
            <w:tcW w:w="744" w:type="pct"/>
            <w:tcBorders>
              <w:top w:val="nil"/>
              <w:left w:val="nil"/>
              <w:bottom w:val="single" w:sz="4" w:space="0" w:color="auto"/>
              <w:right w:val="single" w:sz="4" w:space="0" w:color="auto"/>
            </w:tcBorders>
            <w:noWrap/>
            <w:vAlign w:val="center"/>
            <w:hideMark/>
          </w:tcPr>
          <w:p w14:paraId="706508D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299.34</w:t>
            </w:r>
          </w:p>
        </w:tc>
      </w:tr>
      <w:tr w:rsidR="00306C82" w:rsidRPr="00306C82" w14:paraId="65F86F1A"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18D63FB9"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75+ years</w:t>
            </w:r>
          </w:p>
        </w:tc>
        <w:tc>
          <w:tcPr>
            <w:tcW w:w="605" w:type="pct"/>
            <w:tcBorders>
              <w:top w:val="nil"/>
              <w:left w:val="nil"/>
              <w:bottom w:val="single" w:sz="4" w:space="0" w:color="auto"/>
              <w:right w:val="single" w:sz="4" w:space="0" w:color="auto"/>
            </w:tcBorders>
            <w:noWrap/>
            <w:vAlign w:val="center"/>
            <w:hideMark/>
          </w:tcPr>
          <w:p w14:paraId="6E5748C9"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25904A25"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-493.06</w:t>
            </w:r>
          </w:p>
        </w:tc>
        <w:tc>
          <w:tcPr>
            <w:tcW w:w="744" w:type="pct"/>
            <w:tcBorders>
              <w:top w:val="nil"/>
              <w:left w:val="nil"/>
              <w:bottom w:val="single" w:sz="4" w:space="0" w:color="auto"/>
              <w:right w:val="single" w:sz="4" w:space="0" w:color="auto"/>
            </w:tcBorders>
            <w:noWrap/>
            <w:vAlign w:val="center"/>
            <w:hideMark/>
          </w:tcPr>
          <w:p w14:paraId="2B79427D"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293.46</w:t>
            </w:r>
          </w:p>
        </w:tc>
      </w:tr>
      <w:tr w:rsidR="00306C82" w:rsidRPr="00306C82" w14:paraId="17CD7465"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6CB3368"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Mortality in the first year of a complication</w:t>
            </w:r>
          </w:p>
        </w:tc>
        <w:tc>
          <w:tcPr>
            <w:tcW w:w="605" w:type="pct"/>
            <w:tcBorders>
              <w:top w:val="nil"/>
              <w:left w:val="nil"/>
              <w:bottom w:val="single" w:sz="4" w:space="0" w:color="auto"/>
              <w:right w:val="single" w:sz="4" w:space="0" w:color="auto"/>
            </w:tcBorders>
            <w:noWrap/>
            <w:vAlign w:val="center"/>
            <w:hideMark/>
          </w:tcPr>
          <w:p w14:paraId="3C7FD308"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 xml:space="preserve">　</w:t>
            </w:r>
          </w:p>
        </w:tc>
        <w:tc>
          <w:tcPr>
            <w:tcW w:w="747" w:type="pct"/>
            <w:tcBorders>
              <w:top w:val="nil"/>
              <w:left w:val="nil"/>
              <w:bottom w:val="single" w:sz="4" w:space="0" w:color="auto"/>
              <w:right w:val="single" w:sz="4" w:space="0" w:color="auto"/>
            </w:tcBorders>
            <w:noWrap/>
            <w:vAlign w:val="center"/>
            <w:hideMark/>
          </w:tcPr>
          <w:p w14:paraId="0ECFA0D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c>
          <w:tcPr>
            <w:tcW w:w="744" w:type="pct"/>
            <w:tcBorders>
              <w:top w:val="nil"/>
              <w:left w:val="nil"/>
              <w:bottom w:val="single" w:sz="4" w:space="0" w:color="auto"/>
              <w:right w:val="single" w:sz="4" w:space="0" w:color="auto"/>
            </w:tcBorders>
            <w:noWrap/>
            <w:vAlign w:val="center"/>
            <w:hideMark/>
          </w:tcPr>
          <w:p w14:paraId="4E5B18A6"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r>
      <w:tr w:rsidR="00306C82" w:rsidRPr="00306C82" w14:paraId="3C83BB73"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3FF7033C"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ICH</w:t>
            </w:r>
          </w:p>
        </w:tc>
        <w:tc>
          <w:tcPr>
            <w:tcW w:w="605" w:type="pct"/>
            <w:tcBorders>
              <w:top w:val="nil"/>
              <w:left w:val="nil"/>
              <w:bottom w:val="single" w:sz="4" w:space="0" w:color="auto"/>
              <w:right w:val="single" w:sz="4" w:space="0" w:color="auto"/>
            </w:tcBorders>
            <w:noWrap/>
            <w:vAlign w:val="center"/>
            <w:hideMark/>
          </w:tcPr>
          <w:p w14:paraId="0243E5A6"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01CDC46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43.94</w:t>
            </w:r>
          </w:p>
        </w:tc>
        <w:tc>
          <w:tcPr>
            <w:tcW w:w="744" w:type="pct"/>
            <w:tcBorders>
              <w:top w:val="nil"/>
              <w:left w:val="nil"/>
              <w:bottom w:val="single" w:sz="4" w:space="0" w:color="auto"/>
              <w:right w:val="single" w:sz="4" w:space="0" w:color="auto"/>
            </w:tcBorders>
            <w:noWrap/>
            <w:vAlign w:val="center"/>
            <w:hideMark/>
          </w:tcPr>
          <w:p w14:paraId="4DF49EF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82.39</w:t>
            </w:r>
          </w:p>
        </w:tc>
      </w:tr>
      <w:tr w:rsidR="00306C82" w:rsidRPr="00306C82" w14:paraId="611A58E9"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24BB0CC9"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0-4 years</w:t>
            </w:r>
          </w:p>
        </w:tc>
        <w:tc>
          <w:tcPr>
            <w:tcW w:w="605" w:type="pct"/>
            <w:tcBorders>
              <w:top w:val="nil"/>
              <w:left w:val="nil"/>
              <w:bottom w:val="single" w:sz="4" w:space="0" w:color="auto"/>
              <w:right w:val="single" w:sz="4" w:space="0" w:color="auto"/>
            </w:tcBorders>
            <w:noWrap/>
            <w:vAlign w:val="center"/>
            <w:hideMark/>
          </w:tcPr>
          <w:p w14:paraId="36E644FA"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3AF0E90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0.57</w:t>
            </w:r>
          </w:p>
        </w:tc>
        <w:tc>
          <w:tcPr>
            <w:tcW w:w="744" w:type="pct"/>
            <w:tcBorders>
              <w:top w:val="nil"/>
              <w:left w:val="nil"/>
              <w:bottom w:val="single" w:sz="4" w:space="0" w:color="auto"/>
              <w:right w:val="single" w:sz="4" w:space="0" w:color="auto"/>
            </w:tcBorders>
            <w:noWrap/>
            <w:vAlign w:val="center"/>
            <w:hideMark/>
          </w:tcPr>
          <w:p w14:paraId="4727E8CA"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5321.72</w:t>
            </w:r>
          </w:p>
        </w:tc>
      </w:tr>
      <w:tr w:rsidR="00306C82" w:rsidRPr="00306C82" w14:paraId="44105584"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AD1C014"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5-14 years</w:t>
            </w:r>
          </w:p>
        </w:tc>
        <w:tc>
          <w:tcPr>
            <w:tcW w:w="605" w:type="pct"/>
            <w:tcBorders>
              <w:top w:val="nil"/>
              <w:left w:val="nil"/>
              <w:bottom w:val="single" w:sz="4" w:space="0" w:color="auto"/>
              <w:right w:val="single" w:sz="4" w:space="0" w:color="auto"/>
            </w:tcBorders>
            <w:noWrap/>
            <w:vAlign w:val="center"/>
            <w:hideMark/>
          </w:tcPr>
          <w:p w14:paraId="6BC2AC82"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2660F0FD"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19.88</w:t>
            </w:r>
          </w:p>
        </w:tc>
        <w:tc>
          <w:tcPr>
            <w:tcW w:w="744" w:type="pct"/>
            <w:tcBorders>
              <w:top w:val="nil"/>
              <w:left w:val="nil"/>
              <w:bottom w:val="single" w:sz="4" w:space="0" w:color="auto"/>
              <w:right w:val="single" w:sz="4" w:space="0" w:color="auto"/>
            </w:tcBorders>
            <w:noWrap/>
            <w:vAlign w:val="center"/>
            <w:hideMark/>
          </w:tcPr>
          <w:p w14:paraId="7009D3D4"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75307.53</w:t>
            </w:r>
          </w:p>
        </w:tc>
      </w:tr>
      <w:tr w:rsidR="00306C82" w:rsidRPr="00306C82" w14:paraId="05101433"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1AD7934"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15-24 years</w:t>
            </w:r>
          </w:p>
        </w:tc>
        <w:tc>
          <w:tcPr>
            <w:tcW w:w="605" w:type="pct"/>
            <w:tcBorders>
              <w:top w:val="nil"/>
              <w:left w:val="nil"/>
              <w:bottom w:val="single" w:sz="4" w:space="0" w:color="auto"/>
              <w:right w:val="single" w:sz="4" w:space="0" w:color="auto"/>
            </w:tcBorders>
            <w:noWrap/>
            <w:vAlign w:val="center"/>
            <w:hideMark/>
          </w:tcPr>
          <w:p w14:paraId="370F87F9"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69E02B41"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65.99</w:t>
            </w:r>
          </w:p>
        </w:tc>
        <w:tc>
          <w:tcPr>
            <w:tcW w:w="744" w:type="pct"/>
            <w:tcBorders>
              <w:top w:val="nil"/>
              <w:left w:val="nil"/>
              <w:bottom w:val="single" w:sz="4" w:space="0" w:color="auto"/>
              <w:right w:val="single" w:sz="4" w:space="0" w:color="auto"/>
            </w:tcBorders>
            <w:noWrap/>
            <w:vAlign w:val="center"/>
            <w:hideMark/>
          </w:tcPr>
          <w:p w14:paraId="57E8479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33580.81</w:t>
            </w:r>
          </w:p>
        </w:tc>
      </w:tr>
      <w:tr w:rsidR="00306C82" w:rsidRPr="00306C82" w14:paraId="41927CF2"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54E3AAEA"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25-34 years</w:t>
            </w:r>
          </w:p>
        </w:tc>
        <w:tc>
          <w:tcPr>
            <w:tcW w:w="605" w:type="pct"/>
            <w:tcBorders>
              <w:top w:val="nil"/>
              <w:left w:val="nil"/>
              <w:bottom w:val="single" w:sz="4" w:space="0" w:color="auto"/>
              <w:right w:val="single" w:sz="4" w:space="0" w:color="auto"/>
            </w:tcBorders>
            <w:noWrap/>
            <w:vAlign w:val="center"/>
            <w:hideMark/>
          </w:tcPr>
          <w:p w14:paraId="3D20AA4D"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293216E7"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62.82</w:t>
            </w:r>
          </w:p>
        </w:tc>
        <w:tc>
          <w:tcPr>
            <w:tcW w:w="744" w:type="pct"/>
            <w:tcBorders>
              <w:top w:val="nil"/>
              <w:left w:val="nil"/>
              <w:bottom w:val="single" w:sz="4" w:space="0" w:color="auto"/>
              <w:right w:val="single" w:sz="4" w:space="0" w:color="auto"/>
            </w:tcBorders>
            <w:noWrap/>
            <w:vAlign w:val="center"/>
            <w:hideMark/>
          </w:tcPr>
          <w:p w14:paraId="01A567F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43075.25</w:t>
            </w:r>
          </w:p>
        </w:tc>
      </w:tr>
      <w:tr w:rsidR="00306C82" w:rsidRPr="00306C82" w14:paraId="0C24FACC"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2BD02051"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lastRenderedPageBreak/>
              <w:t>Hemophilic arthropathy: 35-44 years</w:t>
            </w:r>
          </w:p>
        </w:tc>
        <w:tc>
          <w:tcPr>
            <w:tcW w:w="605" w:type="pct"/>
            <w:tcBorders>
              <w:top w:val="nil"/>
              <w:left w:val="nil"/>
              <w:bottom w:val="single" w:sz="4" w:space="0" w:color="auto"/>
              <w:right w:val="single" w:sz="4" w:space="0" w:color="auto"/>
            </w:tcBorders>
            <w:noWrap/>
            <w:vAlign w:val="center"/>
            <w:hideMark/>
          </w:tcPr>
          <w:p w14:paraId="6A747E8B"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2278067"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69.69</w:t>
            </w:r>
          </w:p>
        </w:tc>
        <w:tc>
          <w:tcPr>
            <w:tcW w:w="744" w:type="pct"/>
            <w:tcBorders>
              <w:top w:val="nil"/>
              <w:left w:val="nil"/>
              <w:bottom w:val="single" w:sz="4" w:space="0" w:color="auto"/>
              <w:right w:val="single" w:sz="4" w:space="0" w:color="auto"/>
            </w:tcBorders>
            <w:noWrap/>
            <w:vAlign w:val="center"/>
            <w:hideMark/>
          </w:tcPr>
          <w:p w14:paraId="1075A41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26945.59</w:t>
            </w:r>
          </w:p>
        </w:tc>
      </w:tr>
      <w:tr w:rsidR="00306C82" w:rsidRPr="00306C82" w14:paraId="2D617B61"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1B621EE"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45-54 years</w:t>
            </w:r>
          </w:p>
        </w:tc>
        <w:tc>
          <w:tcPr>
            <w:tcW w:w="605" w:type="pct"/>
            <w:tcBorders>
              <w:top w:val="nil"/>
              <w:left w:val="nil"/>
              <w:bottom w:val="single" w:sz="4" w:space="0" w:color="auto"/>
              <w:right w:val="single" w:sz="4" w:space="0" w:color="auto"/>
            </w:tcBorders>
            <w:noWrap/>
            <w:vAlign w:val="center"/>
            <w:hideMark/>
          </w:tcPr>
          <w:p w14:paraId="43405551"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615E490"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103.97</w:t>
            </w:r>
          </w:p>
        </w:tc>
        <w:tc>
          <w:tcPr>
            <w:tcW w:w="744" w:type="pct"/>
            <w:tcBorders>
              <w:top w:val="nil"/>
              <w:left w:val="nil"/>
              <w:bottom w:val="single" w:sz="4" w:space="0" w:color="auto"/>
              <w:right w:val="single" w:sz="4" w:space="0" w:color="auto"/>
            </w:tcBorders>
            <w:noWrap/>
            <w:vAlign w:val="center"/>
            <w:hideMark/>
          </w:tcPr>
          <w:p w14:paraId="60EE348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18214.66</w:t>
            </w:r>
          </w:p>
        </w:tc>
      </w:tr>
      <w:tr w:rsidR="00306C82" w:rsidRPr="00306C82" w14:paraId="2A5991F2"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FC70066"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55-64 years</w:t>
            </w:r>
          </w:p>
        </w:tc>
        <w:tc>
          <w:tcPr>
            <w:tcW w:w="605" w:type="pct"/>
            <w:tcBorders>
              <w:top w:val="nil"/>
              <w:left w:val="nil"/>
              <w:bottom w:val="single" w:sz="4" w:space="0" w:color="auto"/>
              <w:right w:val="single" w:sz="4" w:space="0" w:color="auto"/>
            </w:tcBorders>
            <w:noWrap/>
            <w:vAlign w:val="center"/>
            <w:hideMark/>
          </w:tcPr>
          <w:p w14:paraId="6066F975"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697CE461"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197.24</w:t>
            </w:r>
          </w:p>
        </w:tc>
        <w:tc>
          <w:tcPr>
            <w:tcW w:w="744" w:type="pct"/>
            <w:tcBorders>
              <w:top w:val="nil"/>
              <w:left w:val="nil"/>
              <w:bottom w:val="single" w:sz="4" w:space="0" w:color="auto"/>
              <w:right w:val="single" w:sz="4" w:space="0" w:color="auto"/>
            </w:tcBorders>
            <w:noWrap/>
            <w:vAlign w:val="center"/>
            <w:hideMark/>
          </w:tcPr>
          <w:p w14:paraId="77524623"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10631.34</w:t>
            </w:r>
          </w:p>
        </w:tc>
      </w:tr>
      <w:tr w:rsidR="00306C82" w:rsidRPr="00306C82" w14:paraId="56EA5F9D"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4940B3AD"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65-74 years</w:t>
            </w:r>
          </w:p>
        </w:tc>
        <w:tc>
          <w:tcPr>
            <w:tcW w:w="605" w:type="pct"/>
            <w:tcBorders>
              <w:top w:val="nil"/>
              <w:left w:val="nil"/>
              <w:bottom w:val="single" w:sz="4" w:space="0" w:color="auto"/>
              <w:right w:val="single" w:sz="4" w:space="0" w:color="auto"/>
            </w:tcBorders>
            <w:noWrap/>
            <w:vAlign w:val="center"/>
            <w:hideMark/>
          </w:tcPr>
          <w:p w14:paraId="5239C79E"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0DABD517"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292.11</w:t>
            </w:r>
          </w:p>
        </w:tc>
        <w:tc>
          <w:tcPr>
            <w:tcW w:w="744" w:type="pct"/>
            <w:tcBorders>
              <w:top w:val="nil"/>
              <w:left w:val="nil"/>
              <w:bottom w:val="single" w:sz="4" w:space="0" w:color="auto"/>
              <w:right w:val="single" w:sz="4" w:space="0" w:color="auto"/>
            </w:tcBorders>
            <w:noWrap/>
            <w:vAlign w:val="center"/>
            <w:hideMark/>
          </w:tcPr>
          <w:p w14:paraId="141A7AEC"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5138.58</w:t>
            </w:r>
          </w:p>
        </w:tc>
      </w:tr>
      <w:tr w:rsidR="00306C82" w:rsidRPr="00306C82" w14:paraId="75035460"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862E67E"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Hemophilic arthropathy: 75+ years</w:t>
            </w:r>
          </w:p>
        </w:tc>
        <w:tc>
          <w:tcPr>
            <w:tcW w:w="605" w:type="pct"/>
            <w:tcBorders>
              <w:top w:val="nil"/>
              <w:left w:val="nil"/>
              <w:bottom w:val="single" w:sz="4" w:space="0" w:color="auto"/>
              <w:right w:val="single" w:sz="4" w:space="0" w:color="auto"/>
            </w:tcBorders>
            <w:noWrap/>
            <w:vAlign w:val="center"/>
            <w:hideMark/>
          </w:tcPr>
          <w:p w14:paraId="05317586"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557651FF"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281.59</w:t>
            </w:r>
          </w:p>
        </w:tc>
        <w:tc>
          <w:tcPr>
            <w:tcW w:w="744" w:type="pct"/>
            <w:tcBorders>
              <w:top w:val="nil"/>
              <w:left w:val="nil"/>
              <w:bottom w:val="single" w:sz="4" w:space="0" w:color="auto"/>
              <w:right w:val="single" w:sz="4" w:space="0" w:color="auto"/>
            </w:tcBorders>
            <w:noWrap/>
            <w:vAlign w:val="center"/>
            <w:hideMark/>
          </w:tcPr>
          <w:p w14:paraId="373485F2"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1528</w:t>
            </w:r>
          </w:p>
        </w:tc>
      </w:tr>
      <w:tr w:rsidR="00306C82" w:rsidRPr="00306C82" w14:paraId="7909DB04"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1BC8E14F"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GI bleeding</w:t>
            </w:r>
          </w:p>
        </w:tc>
        <w:tc>
          <w:tcPr>
            <w:tcW w:w="605" w:type="pct"/>
            <w:tcBorders>
              <w:top w:val="nil"/>
              <w:left w:val="nil"/>
              <w:bottom w:val="single" w:sz="4" w:space="0" w:color="auto"/>
              <w:right w:val="single" w:sz="4" w:space="0" w:color="auto"/>
            </w:tcBorders>
            <w:noWrap/>
            <w:vAlign w:val="center"/>
            <w:hideMark/>
          </w:tcPr>
          <w:p w14:paraId="0478660D"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19EFA5BD"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63.94</w:t>
            </w:r>
          </w:p>
        </w:tc>
        <w:tc>
          <w:tcPr>
            <w:tcW w:w="744" w:type="pct"/>
            <w:tcBorders>
              <w:top w:val="nil"/>
              <w:left w:val="nil"/>
              <w:bottom w:val="single" w:sz="4" w:space="0" w:color="auto"/>
              <w:right w:val="single" w:sz="4" w:space="0" w:color="auto"/>
            </w:tcBorders>
            <w:noWrap/>
            <w:vAlign w:val="center"/>
            <w:hideMark/>
          </w:tcPr>
          <w:p w14:paraId="19B61329"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1046.66</w:t>
            </w:r>
          </w:p>
        </w:tc>
      </w:tr>
      <w:tr w:rsidR="00306C82" w:rsidRPr="00306C82" w14:paraId="2430A4A3"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A242177" w14:textId="77777777" w:rsidR="00306C82" w:rsidRPr="00306C82" w:rsidRDefault="00306C82">
            <w:pP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Utility Ratios vs. General Population</w:t>
            </w:r>
          </w:p>
        </w:tc>
        <w:tc>
          <w:tcPr>
            <w:tcW w:w="605" w:type="pct"/>
            <w:tcBorders>
              <w:top w:val="nil"/>
              <w:left w:val="nil"/>
              <w:bottom w:val="single" w:sz="4" w:space="0" w:color="auto"/>
              <w:right w:val="single" w:sz="4" w:space="0" w:color="auto"/>
            </w:tcBorders>
            <w:noWrap/>
            <w:vAlign w:val="center"/>
            <w:hideMark/>
          </w:tcPr>
          <w:p w14:paraId="27249332"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 xml:space="preserve">　</w:t>
            </w:r>
          </w:p>
        </w:tc>
        <w:tc>
          <w:tcPr>
            <w:tcW w:w="747" w:type="pct"/>
            <w:tcBorders>
              <w:top w:val="nil"/>
              <w:left w:val="nil"/>
              <w:bottom w:val="single" w:sz="4" w:space="0" w:color="auto"/>
              <w:right w:val="single" w:sz="4" w:space="0" w:color="auto"/>
            </w:tcBorders>
            <w:noWrap/>
            <w:vAlign w:val="center"/>
            <w:hideMark/>
          </w:tcPr>
          <w:p w14:paraId="412FAB26"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c>
          <w:tcPr>
            <w:tcW w:w="744" w:type="pct"/>
            <w:tcBorders>
              <w:top w:val="nil"/>
              <w:left w:val="nil"/>
              <w:bottom w:val="single" w:sz="4" w:space="0" w:color="auto"/>
              <w:right w:val="single" w:sz="4" w:space="0" w:color="auto"/>
            </w:tcBorders>
            <w:noWrap/>
            <w:vAlign w:val="center"/>
            <w:hideMark/>
          </w:tcPr>
          <w:p w14:paraId="5CC59D4E"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hint="eastAsia"/>
                <w:color w:val="000000"/>
                <w:sz w:val="20"/>
                <w:szCs w:val="20"/>
              </w:rPr>
              <w:t xml:space="preserve">　</w:t>
            </w:r>
          </w:p>
        </w:tc>
      </w:tr>
      <w:tr w:rsidR="00306C82" w:rsidRPr="00306C82" w14:paraId="419EFAA6"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928B8E2"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Utility ratio for bleed-free/complication-free patients</w:t>
            </w:r>
          </w:p>
        </w:tc>
        <w:tc>
          <w:tcPr>
            <w:tcW w:w="605" w:type="pct"/>
            <w:tcBorders>
              <w:top w:val="nil"/>
              <w:left w:val="nil"/>
              <w:bottom w:val="single" w:sz="4" w:space="0" w:color="auto"/>
              <w:right w:val="single" w:sz="4" w:space="0" w:color="auto"/>
            </w:tcBorders>
            <w:noWrap/>
            <w:vAlign w:val="center"/>
            <w:hideMark/>
          </w:tcPr>
          <w:p w14:paraId="2A49B4BB"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68A742DF"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28.6</w:t>
            </w:r>
          </w:p>
        </w:tc>
        <w:tc>
          <w:tcPr>
            <w:tcW w:w="744" w:type="pct"/>
            <w:tcBorders>
              <w:top w:val="nil"/>
              <w:left w:val="nil"/>
              <w:bottom w:val="single" w:sz="4" w:space="0" w:color="auto"/>
              <w:right w:val="single" w:sz="4" w:space="0" w:color="auto"/>
            </w:tcBorders>
            <w:noWrap/>
            <w:vAlign w:val="center"/>
            <w:hideMark/>
          </w:tcPr>
          <w:p w14:paraId="73BD5627"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3.25</w:t>
            </w:r>
          </w:p>
        </w:tc>
      </w:tr>
      <w:tr w:rsidR="00306C82" w:rsidRPr="00306C82" w14:paraId="287A72E3"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0B027C1D"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Disutility per unit increase in ABR</w:t>
            </w:r>
          </w:p>
        </w:tc>
        <w:tc>
          <w:tcPr>
            <w:tcW w:w="605" w:type="pct"/>
            <w:tcBorders>
              <w:top w:val="nil"/>
              <w:left w:val="nil"/>
              <w:bottom w:val="single" w:sz="4" w:space="0" w:color="auto"/>
              <w:right w:val="single" w:sz="4" w:space="0" w:color="auto"/>
            </w:tcBorders>
            <w:noWrap/>
            <w:vAlign w:val="center"/>
            <w:hideMark/>
          </w:tcPr>
          <w:p w14:paraId="796014C9"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760A6252"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11.33</w:t>
            </w:r>
          </w:p>
        </w:tc>
        <w:tc>
          <w:tcPr>
            <w:tcW w:w="744" w:type="pct"/>
            <w:tcBorders>
              <w:top w:val="nil"/>
              <w:left w:val="nil"/>
              <w:bottom w:val="single" w:sz="4" w:space="0" w:color="auto"/>
              <w:right w:val="single" w:sz="4" w:space="0" w:color="auto"/>
            </w:tcBorders>
            <w:noWrap/>
            <w:vAlign w:val="center"/>
            <w:hideMark/>
          </w:tcPr>
          <w:p w14:paraId="076AD502"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173.03</w:t>
            </w:r>
          </w:p>
        </w:tc>
      </w:tr>
      <w:tr w:rsidR="00306C82" w:rsidRPr="00306C82" w14:paraId="27EE39F5" w14:textId="77777777" w:rsidTr="00306C82">
        <w:trPr>
          <w:trHeight w:val="340"/>
        </w:trPr>
        <w:tc>
          <w:tcPr>
            <w:tcW w:w="2904" w:type="pct"/>
            <w:tcBorders>
              <w:top w:val="nil"/>
              <w:left w:val="single" w:sz="4" w:space="0" w:color="auto"/>
              <w:bottom w:val="single" w:sz="4" w:space="0" w:color="auto"/>
              <w:right w:val="single" w:sz="4" w:space="0" w:color="auto"/>
            </w:tcBorders>
            <w:noWrap/>
            <w:vAlign w:val="center"/>
            <w:hideMark/>
          </w:tcPr>
          <w:p w14:paraId="7C963B0A" w14:textId="77777777" w:rsidR="00306C82" w:rsidRPr="00306C82" w:rsidRDefault="00306C82">
            <w:pPr>
              <w:ind w:firstLineChars="100" w:firstLine="200"/>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Utility ratio for patients with/after complications</w:t>
            </w:r>
          </w:p>
        </w:tc>
        <w:tc>
          <w:tcPr>
            <w:tcW w:w="605" w:type="pct"/>
            <w:tcBorders>
              <w:top w:val="nil"/>
              <w:left w:val="nil"/>
              <w:bottom w:val="single" w:sz="4" w:space="0" w:color="auto"/>
              <w:right w:val="single" w:sz="4" w:space="0" w:color="auto"/>
            </w:tcBorders>
            <w:noWrap/>
            <w:vAlign w:val="center"/>
            <w:hideMark/>
          </w:tcPr>
          <w:p w14:paraId="2A63E0E6" w14:textId="77777777" w:rsidR="00306C82" w:rsidRPr="00306C82" w:rsidRDefault="00306C82">
            <w:pPr>
              <w:jc w:val="center"/>
              <w:rPr>
                <w:rFonts w:ascii="Times New Roman" w:eastAsia="DengXian" w:hAnsi="Times New Roman" w:cs="Times New Roman"/>
                <w:color w:val="000000"/>
                <w:sz w:val="20"/>
                <w:szCs w:val="20"/>
              </w:rPr>
            </w:pPr>
            <w:r w:rsidRPr="00306C82">
              <w:rPr>
                <w:rFonts w:ascii="Times New Roman" w:eastAsia="DengXian" w:hAnsi="Times New Roman" w:cs="Times New Roman"/>
                <w:color w:val="000000"/>
                <w:sz w:val="20"/>
                <w:szCs w:val="20"/>
              </w:rPr>
              <w:t>Beta</w:t>
            </w:r>
          </w:p>
        </w:tc>
        <w:tc>
          <w:tcPr>
            <w:tcW w:w="747" w:type="pct"/>
            <w:tcBorders>
              <w:top w:val="nil"/>
              <w:left w:val="nil"/>
              <w:bottom w:val="single" w:sz="4" w:space="0" w:color="auto"/>
              <w:right w:val="single" w:sz="4" w:space="0" w:color="auto"/>
            </w:tcBorders>
            <w:noWrap/>
            <w:vAlign w:val="center"/>
            <w:hideMark/>
          </w:tcPr>
          <w:p w14:paraId="54B7B18B"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398.03</w:t>
            </w:r>
          </w:p>
        </w:tc>
        <w:tc>
          <w:tcPr>
            <w:tcW w:w="744" w:type="pct"/>
            <w:tcBorders>
              <w:top w:val="nil"/>
              <w:left w:val="nil"/>
              <w:bottom w:val="single" w:sz="4" w:space="0" w:color="auto"/>
              <w:right w:val="single" w:sz="4" w:space="0" w:color="auto"/>
            </w:tcBorders>
            <w:noWrap/>
            <w:vAlign w:val="center"/>
            <w:hideMark/>
          </w:tcPr>
          <w:p w14:paraId="2623011B" w14:textId="77777777" w:rsidR="00306C82" w:rsidRPr="00651543" w:rsidRDefault="00306C82">
            <w:pPr>
              <w:jc w:val="center"/>
              <w:rPr>
                <w:rFonts w:ascii="Times New Roman" w:eastAsia="DengXian" w:hAnsi="Times New Roman" w:cs="Times New Roman"/>
                <w:color w:val="000000"/>
                <w:sz w:val="20"/>
                <w:szCs w:val="20"/>
              </w:rPr>
            </w:pPr>
            <w:r w:rsidRPr="00651543">
              <w:rPr>
                <w:rFonts w:ascii="Times New Roman" w:eastAsia="DengXian" w:hAnsi="Times New Roman" w:cs="Times New Roman"/>
                <w:color w:val="000000"/>
                <w:sz w:val="20"/>
                <w:szCs w:val="20"/>
              </w:rPr>
              <w:t>509.11</w:t>
            </w:r>
          </w:p>
        </w:tc>
      </w:tr>
    </w:tbl>
    <w:p w14:paraId="47758CE6" w14:textId="0D37A725" w:rsidR="00306C82" w:rsidRPr="0091644D" w:rsidRDefault="00306C82" w:rsidP="00306C82">
      <w:pPr>
        <w:rPr>
          <w:rFonts w:ascii="Times New Roman" w:hAnsi="Times New Roman" w:cs="Times New Roman"/>
          <w:sz w:val="18"/>
          <w:szCs w:val="18"/>
        </w:rPr>
      </w:pPr>
      <w:r w:rsidRPr="0091644D">
        <w:rPr>
          <w:rFonts w:ascii="Times New Roman" w:hAnsi="Times New Roman" w:cs="Times New Roman"/>
          <w:sz w:val="18"/>
          <w:szCs w:val="18"/>
        </w:rPr>
        <w:t>*</w:t>
      </w:r>
      <w:r>
        <w:rPr>
          <w:rFonts w:ascii="Times New Roman" w:hAnsi="Times New Roman" w:cs="Times New Roman" w:hint="eastAsia"/>
          <w:sz w:val="18"/>
          <w:szCs w:val="18"/>
        </w:rPr>
        <w:t xml:space="preserve">ABR: annual bleeding rate; </w:t>
      </w:r>
      <w:r w:rsidRPr="0091644D">
        <w:rPr>
          <w:rFonts w:ascii="Times New Roman" w:hAnsi="Times New Roman" w:cs="Times New Roman" w:hint="eastAsia"/>
          <w:sz w:val="18"/>
          <w:szCs w:val="18"/>
        </w:rPr>
        <w:t>G</w:t>
      </w:r>
      <w:r w:rsidRPr="0091644D">
        <w:rPr>
          <w:rFonts w:ascii="Times New Roman" w:hAnsi="Times New Roman" w:cs="Times New Roman"/>
          <w:sz w:val="18"/>
          <w:szCs w:val="18"/>
        </w:rPr>
        <w:t xml:space="preserve">I: </w:t>
      </w:r>
      <w:r w:rsidRPr="0091644D">
        <w:rPr>
          <w:rFonts w:ascii="Times New Roman" w:hAnsi="Times New Roman"/>
          <w:sz w:val="18"/>
          <w:szCs w:val="18"/>
        </w:rPr>
        <w:t>gastrointestinal</w:t>
      </w:r>
      <w:r w:rsidRPr="0091644D">
        <w:rPr>
          <w:rFonts w:ascii="Times New Roman" w:hAnsi="Times New Roman" w:cs="Times New Roman"/>
          <w:sz w:val="18"/>
          <w:szCs w:val="18"/>
        </w:rPr>
        <w:t xml:space="preserve">; ICH: </w:t>
      </w:r>
      <w:r w:rsidRPr="0091644D">
        <w:rPr>
          <w:rFonts w:ascii="Times New Roman" w:hAnsi="Times New Roman"/>
          <w:sz w:val="18"/>
          <w:szCs w:val="18"/>
        </w:rPr>
        <w:t>intracranial hemorrhage</w:t>
      </w:r>
    </w:p>
    <w:p w14:paraId="37EB7620" w14:textId="77777777" w:rsidR="00306C82" w:rsidRPr="00306C82" w:rsidRDefault="00306C82" w:rsidP="00651543"/>
    <w:p w14:paraId="45600256" w14:textId="62A90FD7" w:rsidR="001D420C" w:rsidRPr="00037C91" w:rsidRDefault="001D420C" w:rsidP="001D420C">
      <w:pPr>
        <w:pStyle w:val="3"/>
        <w:rPr>
          <w:b w:val="0"/>
          <w:bCs w:val="0"/>
        </w:rPr>
      </w:pPr>
      <w:bookmarkStart w:id="36" w:name="_Toc211440070"/>
      <w:r w:rsidRPr="00037C91">
        <w:rPr>
          <w:b w:val="0"/>
          <w:bCs w:val="0"/>
        </w:rPr>
        <w:t xml:space="preserve">Table </w:t>
      </w:r>
      <w:r w:rsidR="003E2C25" w:rsidRPr="00037C91">
        <w:rPr>
          <w:b w:val="0"/>
          <w:bCs w:val="0"/>
        </w:rPr>
        <w:t>S</w:t>
      </w:r>
      <w:r w:rsidR="003E2C25">
        <w:rPr>
          <w:rFonts w:hint="eastAsia"/>
          <w:b w:val="0"/>
          <w:bCs w:val="0"/>
        </w:rPr>
        <w:t>8</w:t>
      </w:r>
      <w:r w:rsidRPr="00037C91">
        <w:rPr>
          <w:b w:val="0"/>
          <w:bCs w:val="0"/>
        </w:rPr>
        <w:t xml:space="preserve">. </w:t>
      </w:r>
      <w:r w:rsidR="00BD46FB" w:rsidRPr="00BD46FB">
        <w:rPr>
          <w:b w:val="0"/>
          <w:bCs w:val="0"/>
        </w:rPr>
        <w:t>Scenario Analysis of Total Life Years, QALYs, and Direct Medical Costs for Prophylactic Treatment with rAHF-PFM and BAY 81-8973 at Different Time Horizons</w:t>
      </w:r>
      <w:bookmarkEnd w:id="35"/>
      <w:bookmarkEnd w:id="36"/>
    </w:p>
    <w:tbl>
      <w:tblPr>
        <w:tblW w:w="8960" w:type="dxa"/>
        <w:tblBorders>
          <w:top w:val="single" w:sz="4" w:space="0" w:color="auto"/>
          <w:bottom w:val="single" w:sz="4" w:space="0" w:color="auto"/>
        </w:tblBorders>
        <w:tblLook w:val="04A0" w:firstRow="1" w:lastRow="0" w:firstColumn="1" w:lastColumn="0" w:noHBand="0" w:noVBand="1"/>
      </w:tblPr>
      <w:tblGrid>
        <w:gridCol w:w="4240"/>
        <w:gridCol w:w="1500"/>
        <w:gridCol w:w="1720"/>
        <w:gridCol w:w="1500"/>
      </w:tblGrid>
      <w:tr w:rsidR="004A51A2" w:rsidRPr="004A51A2" w14:paraId="308D1249" w14:textId="77777777" w:rsidTr="00BD46FB">
        <w:trPr>
          <w:trHeight w:val="320"/>
        </w:trPr>
        <w:tc>
          <w:tcPr>
            <w:tcW w:w="4240" w:type="dxa"/>
            <w:tcBorders>
              <w:top w:val="single" w:sz="4" w:space="0" w:color="auto"/>
              <w:bottom w:val="single" w:sz="4" w:space="0" w:color="auto"/>
            </w:tcBorders>
            <w:noWrap/>
            <w:vAlign w:val="center"/>
            <w:hideMark/>
          </w:tcPr>
          <w:p w14:paraId="2342BB75" w14:textId="77777777" w:rsidR="00BD46FB" w:rsidRPr="004A51A2" w:rsidRDefault="00BD46FB" w:rsidP="00BD46FB">
            <w:pPr>
              <w:jc w:val="center"/>
              <w:rPr>
                <w:rFonts w:ascii="Times New Roman" w:eastAsia="DengXian" w:hAnsi="Times New Roman" w:cs="Times New Roman"/>
                <w:b/>
                <w:bCs/>
                <w:sz w:val="20"/>
                <w:szCs w:val="20"/>
              </w:rPr>
            </w:pPr>
            <w:r w:rsidRPr="004A51A2">
              <w:rPr>
                <w:rFonts w:ascii="Times New Roman" w:eastAsia="DengXian" w:hAnsi="Times New Roman" w:cs="Times New Roman"/>
                <w:b/>
                <w:bCs/>
                <w:sz w:val="20"/>
                <w:szCs w:val="20"/>
              </w:rPr>
              <w:t>Prophylactic Treatment Scenario</w:t>
            </w:r>
          </w:p>
        </w:tc>
        <w:tc>
          <w:tcPr>
            <w:tcW w:w="1500" w:type="dxa"/>
            <w:tcBorders>
              <w:top w:val="single" w:sz="4" w:space="0" w:color="auto"/>
              <w:bottom w:val="single" w:sz="4" w:space="0" w:color="auto"/>
            </w:tcBorders>
            <w:noWrap/>
            <w:vAlign w:val="center"/>
            <w:hideMark/>
          </w:tcPr>
          <w:p w14:paraId="521E2DD3" w14:textId="77777777" w:rsidR="00BD46FB" w:rsidRPr="004A51A2" w:rsidRDefault="00BD46FB" w:rsidP="00BD46FB">
            <w:pPr>
              <w:jc w:val="center"/>
              <w:rPr>
                <w:rFonts w:ascii="Times New Roman" w:eastAsia="DengXian" w:hAnsi="Times New Roman" w:cs="Times New Roman"/>
                <w:b/>
                <w:bCs/>
                <w:sz w:val="20"/>
                <w:szCs w:val="20"/>
              </w:rPr>
            </w:pPr>
            <w:r w:rsidRPr="004A51A2">
              <w:rPr>
                <w:rFonts w:ascii="Times New Roman" w:eastAsia="DengXian" w:hAnsi="Times New Roman" w:cs="Times New Roman"/>
                <w:b/>
                <w:bCs/>
                <w:sz w:val="20"/>
                <w:szCs w:val="20"/>
              </w:rPr>
              <w:t>rAHF-PFM</w:t>
            </w:r>
          </w:p>
        </w:tc>
        <w:tc>
          <w:tcPr>
            <w:tcW w:w="1720" w:type="dxa"/>
            <w:tcBorders>
              <w:top w:val="single" w:sz="4" w:space="0" w:color="auto"/>
              <w:bottom w:val="single" w:sz="4" w:space="0" w:color="auto"/>
            </w:tcBorders>
            <w:noWrap/>
            <w:vAlign w:val="center"/>
            <w:hideMark/>
          </w:tcPr>
          <w:p w14:paraId="6AD0EBF0" w14:textId="77777777" w:rsidR="00BD46FB" w:rsidRPr="004A51A2" w:rsidRDefault="00BD46FB" w:rsidP="00BD46FB">
            <w:pPr>
              <w:jc w:val="center"/>
              <w:rPr>
                <w:rFonts w:ascii="Times New Roman" w:eastAsia="DengXian" w:hAnsi="Times New Roman" w:cs="Times New Roman"/>
                <w:b/>
                <w:bCs/>
                <w:sz w:val="20"/>
                <w:szCs w:val="20"/>
              </w:rPr>
            </w:pPr>
            <w:r w:rsidRPr="004A51A2">
              <w:rPr>
                <w:rFonts w:ascii="Times New Roman" w:eastAsia="DengXian" w:hAnsi="Times New Roman" w:cs="Times New Roman"/>
                <w:b/>
                <w:bCs/>
                <w:sz w:val="20"/>
                <w:szCs w:val="20"/>
              </w:rPr>
              <w:t>BAY 81-8973</w:t>
            </w:r>
          </w:p>
        </w:tc>
        <w:tc>
          <w:tcPr>
            <w:tcW w:w="1500" w:type="dxa"/>
            <w:tcBorders>
              <w:top w:val="single" w:sz="4" w:space="0" w:color="auto"/>
              <w:bottom w:val="single" w:sz="4" w:space="0" w:color="auto"/>
            </w:tcBorders>
            <w:noWrap/>
            <w:vAlign w:val="center"/>
            <w:hideMark/>
          </w:tcPr>
          <w:p w14:paraId="6BF852CA" w14:textId="77777777" w:rsidR="00BD46FB" w:rsidRPr="004A51A2" w:rsidRDefault="00BD46FB" w:rsidP="00BD46FB">
            <w:pPr>
              <w:jc w:val="center"/>
              <w:rPr>
                <w:rFonts w:ascii="Times New Roman" w:eastAsia="DengXian" w:hAnsi="Times New Roman" w:cs="Times New Roman"/>
                <w:b/>
                <w:bCs/>
                <w:sz w:val="20"/>
                <w:szCs w:val="20"/>
              </w:rPr>
            </w:pPr>
            <w:r w:rsidRPr="004A51A2">
              <w:rPr>
                <w:rFonts w:ascii="Times New Roman" w:eastAsia="DengXian" w:hAnsi="Times New Roman" w:cs="Times New Roman"/>
                <w:b/>
                <w:bCs/>
                <w:sz w:val="20"/>
                <w:szCs w:val="20"/>
              </w:rPr>
              <w:t>Difference</w:t>
            </w:r>
          </w:p>
        </w:tc>
      </w:tr>
      <w:tr w:rsidR="004A51A2" w:rsidRPr="004A51A2" w14:paraId="4A5BCADF" w14:textId="77777777" w:rsidTr="00BD46FB">
        <w:trPr>
          <w:trHeight w:val="320"/>
        </w:trPr>
        <w:tc>
          <w:tcPr>
            <w:tcW w:w="4240" w:type="dxa"/>
            <w:tcBorders>
              <w:top w:val="single" w:sz="4" w:space="0" w:color="auto"/>
            </w:tcBorders>
            <w:noWrap/>
            <w:vAlign w:val="center"/>
            <w:hideMark/>
          </w:tcPr>
          <w:p w14:paraId="2F033A96" w14:textId="77777777" w:rsidR="00BD46FB" w:rsidRPr="004A51A2" w:rsidRDefault="00BD46FB" w:rsidP="00BD46FB">
            <w:pPr>
              <w:jc w:val="center"/>
              <w:rPr>
                <w:rFonts w:ascii="Times New Roman" w:eastAsia="DengXian" w:hAnsi="Times New Roman" w:cs="Times New Roman"/>
                <w:b/>
                <w:bCs/>
                <w:sz w:val="20"/>
                <w:szCs w:val="20"/>
              </w:rPr>
            </w:pPr>
            <w:r w:rsidRPr="004A51A2">
              <w:rPr>
                <w:rFonts w:ascii="Times New Roman" w:eastAsia="DengXian" w:hAnsi="Times New Roman" w:cs="Times New Roman"/>
                <w:b/>
                <w:bCs/>
                <w:sz w:val="20"/>
                <w:szCs w:val="20"/>
              </w:rPr>
              <w:t>5-Year Horizon</w:t>
            </w:r>
          </w:p>
        </w:tc>
        <w:tc>
          <w:tcPr>
            <w:tcW w:w="1500" w:type="dxa"/>
            <w:tcBorders>
              <w:top w:val="single" w:sz="4" w:space="0" w:color="auto"/>
            </w:tcBorders>
            <w:noWrap/>
            <w:vAlign w:val="center"/>
            <w:hideMark/>
          </w:tcPr>
          <w:p w14:paraId="29EB4B95" w14:textId="77777777" w:rsidR="00BD46FB" w:rsidRPr="004A51A2" w:rsidRDefault="00BD46FB" w:rsidP="00BD46FB">
            <w:pPr>
              <w:jc w:val="center"/>
              <w:rPr>
                <w:rFonts w:ascii="Times New Roman" w:eastAsia="DengXian" w:hAnsi="Times New Roman" w:cs="Times New Roman"/>
                <w:b/>
                <w:bCs/>
                <w:sz w:val="20"/>
                <w:szCs w:val="20"/>
              </w:rPr>
            </w:pPr>
          </w:p>
        </w:tc>
        <w:tc>
          <w:tcPr>
            <w:tcW w:w="1720" w:type="dxa"/>
            <w:tcBorders>
              <w:top w:val="single" w:sz="4" w:space="0" w:color="auto"/>
            </w:tcBorders>
            <w:noWrap/>
            <w:vAlign w:val="center"/>
            <w:hideMark/>
          </w:tcPr>
          <w:p w14:paraId="42BF6AB8" w14:textId="77777777" w:rsidR="00BD46FB" w:rsidRPr="004A51A2" w:rsidRDefault="00BD46FB" w:rsidP="00BD46FB">
            <w:pPr>
              <w:jc w:val="center"/>
              <w:rPr>
                <w:rFonts w:ascii="Times New Roman" w:eastAsia="Times New Roman" w:hAnsi="Times New Roman" w:cs="Times New Roman"/>
                <w:sz w:val="20"/>
                <w:szCs w:val="20"/>
              </w:rPr>
            </w:pPr>
          </w:p>
        </w:tc>
        <w:tc>
          <w:tcPr>
            <w:tcW w:w="1500" w:type="dxa"/>
            <w:tcBorders>
              <w:top w:val="single" w:sz="4" w:space="0" w:color="auto"/>
            </w:tcBorders>
            <w:noWrap/>
            <w:vAlign w:val="center"/>
            <w:hideMark/>
          </w:tcPr>
          <w:p w14:paraId="446DFBA5" w14:textId="77777777" w:rsidR="00BD46FB" w:rsidRPr="004A51A2" w:rsidRDefault="00BD46FB" w:rsidP="00BD46FB">
            <w:pPr>
              <w:jc w:val="center"/>
              <w:rPr>
                <w:rFonts w:ascii="Times New Roman" w:eastAsia="Times New Roman" w:hAnsi="Times New Roman" w:cs="Times New Roman"/>
                <w:sz w:val="20"/>
                <w:szCs w:val="20"/>
              </w:rPr>
            </w:pPr>
          </w:p>
        </w:tc>
      </w:tr>
      <w:tr w:rsidR="004A51A2" w:rsidRPr="004A51A2" w14:paraId="4E6E620E" w14:textId="77777777" w:rsidTr="00BD46FB">
        <w:trPr>
          <w:trHeight w:val="320"/>
        </w:trPr>
        <w:tc>
          <w:tcPr>
            <w:tcW w:w="4240" w:type="dxa"/>
            <w:noWrap/>
            <w:vAlign w:val="center"/>
            <w:hideMark/>
          </w:tcPr>
          <w:p w14:paraId="3E82B65C"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Life Years</w:t>
            </w:r>
          </w:p>
        </w:tc>
        <w:tc>
          <w:tcPr>
            <w:tcW w:w="1500" w:type="dxa"/>
            <w:noWrap/>
            <w:vAlign w:val="center"/>
            <w:hideMark/>
          </w:tcPr>
          <w:p w14:paraId="379AD019" w14:textId="28ABE3CA"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4.294</w:t>
            </w:r>
          </w:p>
        </w:tc>
        <w:tc>
          <w:tcPr>
            <w:tcW w:w="1720" w:type="dxa"/>
            <w:noWrap/>
            <w:vAlign w:val="center"/>
            <w:hideMark/>
          </w:tcPr>
          <w:p w14:paraId="492E1F68" w14:textId="654E7793"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4.282</w:t>
            </w:r>
          </w:p>
        </w:tc>
        <w:tc>
          <w:tcPr>
            <w:tcW w:w="1500" w:type="dxa"/>
            <w:noWrap/>
            <w:vAlign w:val="center"/>
            <w:hideMark/>
          </w:tcPr>
          <w:p w14:paraId="0977A7D6" w14:textId="0E4E2F4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0.012</w:t>
            </w:r>
          </w:p>
        </w:tc>
      </w:tr>
      <w:tr w:rsidR="008B60FC" w:rsidRPr="004A51A2" w14:paraId="1E939389" w14:textId="77777777" w:rsidTr="00BD46FB">
        <w:trPr>
          <w:trHeight w:val="320"/>
        </w:trPr>
        <w:tc>
          <w:tcPr>
            <w:tcW w:w="4240" w:type="dxa"/>
            <w:noWrap/>
            <w:vAlign w:val="center"/>
            <w:hideMark/>
          </w:tcPr>
          <w:p w14:paraId="7BB49E74" w14:textId="77777777" w:rsidR="008B60FC" w:rsidRPr="004A51A2" w:rsidRDefault="008B60FC" w:rsidP="008B60FC">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QALYs</w:t>
            </w:r>
          </w:p>
        </w:tc>
        <w:tc>
          <w:tcPr>
            <w:tcW w:w="1500" w:type="dxa"/>
            <w:noWrap/>
            <w:vAlign w:val="center"/>
            <w:hideMark/>
          </w:tcPr>
          <w:p w14:paraId="5B2FD382" w14:textId="432A099B" w:rsidR="008B60FC" w:rsidRPr="004A51A2" w:rsidRDefault="008B60FC" w:rsidP="008B60FC">
            <w:pPr>
              <w:jc w:val="center"/>
              <w:rPr>
                <w:rFonts w:ascii="Times New Roman" w:eastAsia="DengXian" w:hAnsi="Times New Roman" w:cs="Times New Roman"/>
                <w:sz w:val="20"/>
                <w:szCs w:val="20"/>
              </w:rPr>
            </w:pPr>
            <w:r w:rsidRPr="008B60FC">
              <w:rPr>
                <w:rFonts w:ascii="Times New Roman" w:eastAsia="DengXian" w:hAnsi="Times New Roman" w:cs="Times New Roman" w:hint="eastAsia"/>
                <w:sz w:val="20"/>
                <w:szCs w:val="20"/>
              </w:rPr>
              <w:t xml:space="preserve">2.781 </w:t>
            </w:r>
          </w:p>
        </w:tc>
        <w:tc>
          <w:tcPr>
            <w:tcW w:w="1720" w:type="dxa"/>
            <w:noWrap/>
            <w:vAlign w:val="center"/>
            <w:hideMark/>
          </w:tcPr>
          <w:p w14:paraId="54D1F65F" w14:textId="4F92040B" w:rsidR="008B60FC" w:rsidRPr="004A51A2" w:rsidRDefault="008B60FC" w:rsidP="008B60FC">
            <w:pPr>
              <w:jc w:val="center"/>
              <w:rPr>
                <w:rFonts w:ascii="Times New Roman" w:eastAsia="DengXian" w:hAnsi="Times New Roman" w:cs="Times New Roman"/>
                <w:sz w:val="20"/>
                <w:szCs w:val="20"/>
              </w:rPr>
            </w:pPr>
            <w:r w:rsidRPr="008B60FC">
              <w:rPr>
                <w:rFonts w:ascii="Times New Roman" w:eastAsia="DengXian" w:hAnsi="Times New Roman" w:cs="Times New Roman" w:hint="eastAsia"/>
                <w:sz w:val="20"/>
                <w:szCs w:val="20"/>
              </w:rPr>
              <w:t xml:space="preserve">2.438 </w:t>
            </w:r>
          </w:p>
        </w:tc>
        <w:tc>
          <w:tcPr>
            <w:tcW w:w="1500" w:type="dxa"/>
            <w:noWrap/>
            <w:vAlign w:val="center"/>
            <w:hideMark/>
          </w:tcPr>
          <w:p w14:paraId="15E573AE" w14:textId="58FB2961" w:rsidR="008B60FC" w:rsidRPr="004A51A2" w:rsidRDefault="008B60FC" w:rsidP="008B60FC">
            <w:pPr>
              <w:jc w:val="center"/>
              <w:rPr>
                <w:rFonts w:ascii="Times New Roman" w:eastAsia="DengXian" w:hAnsi="Times New Roman" w:cs="Times New Roman"/>
                <w:sz w:val="20"/>
                <w:szCs w:val="20"/>
              </w:rPr>
            </w:pPr>
            <w:r w:rsidRPr="008B60FC">
              <w:rPr>
                <w:rFonts w:ascii="Times New Roman" w:eastAsia="DengXian" w:hAnsi="Times New Roman" w:cs="Times New Roman" w:hint="eastAsia"/>
                <w:sz w:val="20"/>
                <w:szCs w:val="20"/>
              </w:rPr>
              <w:t xml:space="preserve">0.343 </w:t>
            </w:r>
          </w:p>
        </w:tc>
      </w:tr>
      <w:tr w:rsidR="004A51A2" w:rsidRPr="004A51A2" w14:paraId="14CBC3A6" w14:textId="77777777" w:rsidTr="00BD46FB">
        <w:trPr>
          <w:trHeight w:val="320"/>
        </w:trPr>
        <w:tc>
          <w:tcPr>
            <w:tcW w:w="4240" w:type="dxa"/>
            <w:tcBorders>
              <w:bottom w:val="nil"/>
            </w:tcBorders>
            <w:noWrap/>
            <w:vAlign w:val="center"/>
            <w:hideMark/>
          </w:tcPr>
          <w:p w14:paraId="1E8FA086"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Direct Medical Costs (¥)</w:t>
            </w:r>
          </w:p>
        </w:tc>
        <w:tc>
          <w:tcPr>
            <w:tcW w:w="1500" w:type="dxa"/>
            <w:tcBorders>
              <w:bottom w:val="nil"/>
            </w:tcBorders>
            <w:noWrap/>
            <w:vAlign w:val="center"/>
            <w:hideMark/>
          </w:tcPr>
          <w:p w14:paraId="070DFF89" w14:textId="45CBFF31"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¥2,090,388</w:t>
            </w:r>
          </w:p>
        </w:tc>
        <w:tc>
          <w:tcPr>
            <w:tcW w:w="1720" w:type="dxa"/>
            <w:tcBorders>
              <w:bottom w:val="nil"/>
            </w:tcBorders>
            <w:noWrap/>
            <w:vAlign w:val="center"/>
            <w:hideMark/>
          </w:tcPr>
          <w:p w14:paraId="3F10EFDB" w14:textId="3E09C461"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¥2,865,165</w:t>
            </w:r>
          </w:p>
        </w:tc>
        <w:tc>
          <w:tcPr>
            <w:tcW w:w="1500" w:type="dxa"/>
            <w:tcBorders>
              <w:bottom w:val="nil"/>
            </w:tcBorders>
            <w:noWrap/>
            <w:vAlign w:val="center"/>
            <w:hideMark/>
          </w:tcPr>
          <w:p w14:paraId="07CE6A2C"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-¥774,778</w:t>
            </w:r>
          </w:p>
        </w:tc>
      </w:tr>
      <w:tr w:rsidR="004A51A2" w:rsidRPr="004A51A2" w14:paraId="26E16458" w14:textId="77777777" w:rsidTr="00BD46FB">
        <w:trPr>
          <w:trHeight w:val="320"/>
        </w:trPr>
        <w:tc>
          <w:tcPr>
            <w:tcW w:w="4240" w:type="dxa"/>
            <w:tcBorders>
              <w:top w:val="nil"/>
              <w:bottom w:val="single" w:sz="4" w:space="0" w:color="auto"/>
            </w:tcBorders>
            <w:noWrap/>
            <w:vAlign w:val="center"/>
            <w:hideMark/>
          </w:tcPr>
          <w:p w14:paraId="681D6A7B"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ICER for rAHF-PFM vs. BAY 81-8973</w:t>
            </w:r>
          </w:p>
        </w:tc>
        <w:tc>
          <w:tcPr>
            <w:tcW w:w="4720" w:type="dxa"/>
            <w:gridSpan w:val="3"/>
            <w:tcBorders>
              <w:top w:val="nil"/>
              <w:bottom w:val="single" w:sz="4" w:space="0" w:color="auto"/>
            </w:tcBorders>
            <w:noWrap/>
            <w:vAlign w:val="center"/>
            <w:hideMark/>
          </w:tcPr>
          <w:p w14:paraId="4B8ACCD8"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-¥2,260,240</w:t>
            </w:r>
          </w:p>
        </w:tc>
      </w:tr>
      <w:tr w:rsidR="004A51A2" w:rsidRPr="004A51A2" w14:paraId="380EF41F" w14:textId="77777777" w:rsidTr="00BD46FB">
        <w:trPr>
          <w:trHeight w:val="320"/>
        </w:trPr>
        <w:tc>
          <w:tcPr>
            <w:tcW w:w="4240" w:type="dxa"/>
            <w:tcBorders>
              <w:top w:val="single" w:sz="4" w:space="0" w:color="auto"/>
            </w:tcBorders>
            <w:noWrap/>
            <w:vAlign w:val="center"/>
            <w:hideMark/>
          </w:tcPr>
          <w:p w14:paraId="2FD350B2" w14:textId="77777777" w:rsidR="00BD46FB" w:rsidRPr="004A51A2" w:rsidRDefault="00BD46FB" w:rsidP="00BD46FB">
            <w:pPr>
              <w:jc w:val="center"/>
              <w:rPr>
                <w:rFonts w:ascii="Times New Roman" w:eastAsia="DengXian" w:hAnsi="Times New Roman" w:cs="Times New Roman"/>
                <w:b/>
                <w:bCs/>
                <w:sz w:val="20"/>
                <w:szCs w:val="20"/>
              </w:rPr>
            </w:pPr>
            <w:r w:rsidRPr="004A51A2">
              <w:rPr>
                <w:rFonts w:ascii="Times New Roman" w:eastAsia="DengXian" w:hAnsi="Times New Roman" w:cs="Times New Roman"/>
                <w:b/>
                <w:bCs/>
                <w:sz w:val="20"/>
                <w:szCs w:val="20"/>
              </w:rPr>
              <w:t>10-Year Horizon</w:t>
            </w:r>
          </w:p>
        </w:tc>
        <w:tc>
          <w:tcPr>
            <w:tcW w:w="1500" w:type="dxa"/>
            <w:tcBorders>
              <w:top w:val="single" w:sz="4" w:space="0" w:color="auto"/>
            </w:tcBorders>
            <w:noWrap/>
            <w:vAlign w:val="center"/>
            <w:hideMark/>
          </w:tcPr>
          <w:p w14:paraId="58CB9680" w14:textId="77777777" w:rsidR="00BD46FB" w:rsidRPr="004A51A2" w:rsidRDefault="00BD46FB" w:rsidP="00BD46FB">
            <w:pPr>
              <w:jc w:val="center"/>
              <w:rPr>
                <w:rFonts w:ascii="Times New Roman" w:eastAsia="DengXian" w:hAnsi="Times New Roman" w:cs="Times New Roman"/>
                <w:b/>
                <w:bCs/>
                <w:sz w:val="20"/>
                <w:szCs w:val="20"/>
              </w:rPr>
            </w:pPr>
          </w:p>
        </w:tc>
        <w:tc>
          <w:tcPr>
            <w:tcW w:w="1720" w:type="dxa"/>
            <w:tcBorders>
              <w:top w:val="single" w:sz="4" w:space="0" w:color="auto"/>
            </w:tcBorders>
            <w:noWrap/>
            <w:vAlign w:val="center"/>
            <w:hideMark/>
          </w:tcPr>
          <w:p w14:paraId="1559A48A" w14:textId="77777777" w:rsidR="00BD46FB" w:rsidRPr="004A51A2" w:rsidRDefault="00BD46FB" w:rsidP="00BD46FB">
            <w:pPr>
              <w:jc w:val="center"/>
              <w:rPr>
                <w:rFonts w:ascii="Times New Roman" w:eastAsia="Times New Roman" w:hAnsi="Times New Roman" w:cs="Times New Roman"/>
                <w:sz w:val="20"/>
                <w:szCs w:val="20"/>
              </w:rPr>
            </w:pPr>
          </w:p>
        </w:tc>
        <w:tc>
          <w:tcPr>
            <w:tcW w:w="1500" w:type="dxa"/>
            <w:tcBorders>
              <w:top w:val="single" w:sz="4" w:space="0" w:color="auto"/>
            </w:tcBorders>
            <w:noWrap/>
            <w:vAlign w:val="center"/>
            <w:hideMark/>
          </w:tcPr>
          <w:p w14:paraId="2B09F529" w14:textId="77777777" w:rsidR="00BD46FB" w:rsidRPr="004A51A2" w:rsidRDefault="00BD46FB" w:rsidP="00BD46FB">
            <w:pPr>
              <w:jc w:val="center"/>
              <w:rPr>
                <w:rFonts w:ascii="Times New Roman" w:eastAsia="Times New Roman" w:hAnsi="Times New Roman" w:cs="Times New Roman"/>
                <w:sz w:val="20"/>
                <w:szCs w:val="20"/>
              </w:rPr>
            </w:pPr>
          </w:p>
        </w:tc>
      </w:tr>
      <w:tr w:rsidR="004A51A2" w:rsidRPr="004A51A2" w14:paraId="7EEA438D" w14:textId="77777777" w:rsidTr="00BD46FB">
        <w:trPr>
          <w:trHeight w:val="320"/>
        </w:trPr>
        <w:tc>
          <w:tcPr>
            <w:tcW w:w="4240" w:type="dxa"/>
            <w:noWrap/>
            <w:vAlign w:val="center"/>
            <w:hideMark/>
          </w:tcPr>
          <w:p w14:paraId="30B81504"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Life Years</w:t>
            </w:r>
          </w:p>
        </w:tc>
        <w:tc>
          <w:tcPr>
            <w:tcW w:w="1500" w:type="dxa"/>
            <w:noWrap/>
            <w:vAlign w:val="center"/>
            <w:hideMark/>
          </w:tcPr>
          <w:p w14:paraId="210B066F" w14:textId="17BFA551"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7.617</w:t>
            </w:r>
          </w:p>
        </w:tc>
        <w:tc>
          <w:tcPr>
            <w:tcW w:w="1720" w:type="dxa"/>
            <w:noWrap/>
            <w:vAlign w:val="center"/>
            <w:hideMark/>
          </w:tcPr>
          <w:p w14:paraId="3F028AD8" w14:textId="2E35D35E"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7.590</w:t>
            </w:r>
          </w:p>
        </w:tc>
        <w:tc>
          <w:tcPr>
            <w:tcW w:w="1500" w:type="dxa"/>
            <w:noWrap/>
            <w:vAlign w:val="center"/>
            <w:hideMark/>
          </w:tcPr>
          <w:p w14:paraId="5F9554FC" w14:textId="61FA86CD"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0.027</w:t>
            </w:r>
          </w:p>
        </w:tc>
      </w:tr>
      <w:tr w:rsidR="004A51A2" w:rsidRPr="004A51A2" w14:paraId="0BF1C94B" w14:textId="77777777" w:rsidTr="00BD46FB">
        <w:trPr>
          <w:trHeight w:val="320"/>
        </w:trPr>
        <w:tc>
          <w:tcPr>
            <w:tcW w:w="4240" w:type="dxa"/>
            <w:noWrap/>
            <w:vAlign w:val="center"/>
            <w:hideMark/>
          </w:tcPr>
          <w:p w14:paraId="7C2E69A9"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QALYs</w:t>
            </w:r>
          </w:p>
        </w:tc>
        <w:tc>
          <w:tcPr>
            <w:tcW w:w="1500" w:type="dxa"/>
            <w:noWrap/>
            <w:vAlign w:val="center"/>
            <w:hideMark/>
          </w:tcPr>
          <w:p w14:paraId="1B9878E6" w14:textId="63125584"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4.592</w:t>
            </w:r>
          </w:p>
        </w:tc>
        <w:tc>
          <w:tcPr>
            <w:tcW w:w="1720" w:type="dxa"/>
            <w:noWrap/>
            <w:vAlign w:val="center"/>
            <w:hideMark/>
          </w:tcPr>
          <w:p w14:paraId="4362D6D0" w14:textId="51678A22"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4.022</w:t>
            </w:r>
          </w:p>
        </w:tc>
        <w:tc>
          <w:tcPr>
            <w:tcW w:w="1500" w:type="dxa"/>
            <w:noWrap/>
            <w:vAlign w:val="center"/>
            <w:hideMark/>
          </w:tcPr>
          <w:p w14:paraId="41D7B970" w14:textId="0C2B2ABF"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0.570</w:t>
            </w:r>
          </w:p>
        </w:tc>
      </w:tr>
      <w:tr w:rsidR="004A51A2" w:rsidRPr="004A51A2" w14:paraId="0F63F8C4" w14:textId="77777777" w:rsidTr="00BD46FB">
        <w:trPr>
          <w:trHeight w:val="320"/>
        </w:trPr>
        <w:tc>
          <w:tcPr>
            <w:tcW w:w="4240" w:type="dxa"/>
            <w:tcBorders>
              <w:bottom w:val="nil"/>
            </w:tcBorders>
            <w:noWrap/>
            <w:vAlign w:val="center"/>
            <w:hideMark/>
          </w:tcPr>
          <w:p w14:paraId="55C40049"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Direct Medical Costs (¥)</w:t>
            </w:r>
          </w:p>
        </w:tc>
        <w:tc>
          <w:tcPr>
            <w:tcW w:w="1500" w:type="dxa"/>
            <w:tcBorders>
              <w:bottom w:val="nil"/>
            </w:tcBorders>
            <w:noWrap/>
            <w:vAlign w:val="center"/>
            <w:hideMark/>
          </w:tcPr>
          <w:p w14:paraId="5B4BD9A5" w14:textId="6F13A68B"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¥4,408,167</w:t>
            </w:r>
          </w:p>
        </w:tc>
        <w:tc>
          <w:tcPr>
            <w:tcW w:w="1720" w:type="dxa"/>
            <w:tcBorders>
              <w:bottom w:val="nil"/>
            </w:tcBorders>
            <w:noWrap/>
            <w:vAlign w:val="center"/>
            <w:hideMark/>
          </w:tcPr>
          <w:p w14:paraId="07E962B7" w14:textId="5FE9156F"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¥6,086,963</w:t>
            </w:r>
          </w:p>
        </w:tc>
        <w:tc>
          <w:tcPr>
            <w:tcW w:w="1500" w:type="dxa"/>
            <w:tcBorders>
              <w:bottom w:val="nil"/>
            </w:tcBorders>
            <w:noWrap/>
            <w:vAlign w:val="center"/>
            <w:hideMark/>
          </w:tcPr>
          <w:p w14:paraId="1F7CBCCE"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-¥1,678,796</w:t>
            </w:r>
          </w:p>
        </w:tc>
      </w:tr>
      <w:tr w:rsidR="004A51A2" w:rsidRPr="004A51A2" w14:paraId="30F9AABE" w14:textId="77777777" w:rsidTr="00BD46FB">
        <w:trPr>
          <w:trHeight w:val="320"/>
        </w:trPr>
        <w:tc>
          <w:tcPr>
            <w:tcW w:w="4240" w:type="dxa"/>
            <w:tcBorders>
              <w:top w:val="nil"/>
              <w:bottom w:val="single" w:sz="4" w:space="0" w:color="auto"/>
            </w:tcBorders>
            <w:noWrap/>
            <w:vAlign w:val="center"/>
            <w:hideMark/>
          </w:tcPr>
          <w:p w14:paraId="094B2716"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ICER for rAHF-PFM vs. BAY 81-8973</w:t>
            </w:r>
          </w:p>
        </w:tc>
        <w:tc>
          <w:tcPr>
            <w:tcW w:w="4720" w:type="dxa"/>
            <w:gridSpan w:val="3"/>
            <w:tcBorders>
              <w:top w:val="nil"/>
              <w:bottom w:val="single" w:sz="4" w:space="0" w:color="auto"/>
            </w:tcBorders>
            <w:noWrap/>
            <w:vAlign w:val="center"/>
            <w:hideMark/>
          </w:tcPr>
          <w:p w14:paraId="23272D18"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-¥2,946,492</w:t>
            </w:r>
          </w:p>
        </w:tc>
      </w:tr>
      <w:tr w:rsidR="004A51A2" w:rsidRPr="004A51A2" w14:paraId="5F9C5D42" w14:textId="77777777" w:rsidTr="00BD46FB">
        <w:trPr>
          <w:trHeight w:val="320"/>
        </w:trPr>
        <w:tc>
          <w:tcPr>
            <w:tcW w:w="4240" w:type="dxa"/>
            <w:tcBorders>
              <w:top w:val="single" w:sz="4" w:space="0" w:color="auto"/>
            </w:tcBorders>
            <w:noWrap/>
            <w:vAlign w:val="center"/>
            <w:hideMark/>
          </w:tcPr>
          <w:p w14:paraId="7517F743" w14:textId="77777777" w:rsidR="00BD46FB" w:rsidRPr="004A51A2" w:rsidRDefault="00BD46FB" w:rsidP="00BD46FB">
            <w:pPr>
              <w:jc w:val="center"/>
              <w:rPr>
                <w:rFonts w:ascii="Times New Roman" w:eastAsia="DengXian" w:hAnsi="Times New Roman" w:cs="Times New Roman"/>
                <w:b/>
                <w:bCs/>
                <w:sz w:val="20"/>
                <w:szCs w:val="20"/>
              </w:rPr>
            </w:pPr>
            <w:r w:rsidRPr="004A51A2">
              <w:rPr>
                <w:rFonts w:ascii="Times New Roman" w:eastAsia="DengXian" w:hAnsi="Times New Roman" w:cs="Times New Roman"/>
                <w:b/>
                <w:bCs/>
                <w:sz w:val="20"/>
                <w:szCs w:val="20"/>
              </w:rPr>
              <w:t>20-Year Horizon</w:t>
            </w:r>
          </w:p>
        </w:tc>
        <w:tc>
          <w:tcPr>
            <w:tcW w:w="1500" w:type="dxa"/>
            <w:tcBorders>
              <w:top w:val="single" w:sz="4" w:space="0" w:color="auto"/>
            </w:tcBorders>
            <w:noWrap/>
            <w:vAlign w:val="center"/>
            <w:hideMark/>
          </w:tcPr>
          <w:p w14:paraId="3375C70B" w14:textId="77777777" w:rsidR="00BD46FB" w:rsidRPr="004A51A2" w:rsidRDefault="00BD46FB" w:rsidP="00BD46FB">
            <w:pPr>
              <w:jc w:val="center"/>
              <w:rPr>
                <w:rFonts w:ascii="Times New Roman" w:eastAsia="DengXian" w:hAnsi="Times New Roman" w:cs="Times New Roman"/>
                <w:b/>
                <w:bCs/>
                <w:sz w:val="20"/>
                <w:szCs w:val="20"/>
              </w:rPr>
            </w:pPr>
          </w:p>
        </w:tc>
        <w:tc>
          <w:tcPr>
            <w:tcW w:w="1720" w:type="dxa"/>
            <w:tcBorders>
              <w:top w:val="single" w:sz="4" w:space="0" w:color="auto"/>
            </w:tcBorders>
            <w:noWrap/>
            <w:vAlign w:val="center"/>
            <w:hideMark/>
          </w:tcPr>
          <w:p w14:paraId="4861B4A8" w14:textId="77777777" w:rsidR="00BD46FB" w:rsidRPr="004A51A2" w:rsidRDefault="00BD46FB" w:rsidP="00BD46FB">
            <w:pPr>
              <w:jc w:val="center"/>
              <w:rPr>
                <w:rFonts w:ascii="Times New Roman" w:eastAsia="Times New Roman" w:hAnsi="Times New Roman" w:cs="Times New Roman"/>
                <w:sz w:val="20"/>
                <w:szCs w:val="20"/>
              </w:rPr>
            </w:pPr>
          </w:p>
        </w:tc>
        <w:tc>
          <w:tcPr>
            <w:tcW w:w="1500" w:type="dxa"/>
            <w:tcBorders>
              <w:top w:val="single" w:sz="4" w:space="0" w:color="auto"/>
            </w:tcBorders>
            <w:noWrap/>
            <w:vAlign w:val="center"/>
            <w:hideMark/>
          </w:tcPr>
          <w:p w14:paraId="675C6BB1" w14:textId="77777777" w:rsidR="00BD46FB" w:rsidRPr="004A51A2" w:rsidRDefault="00BD46FB" w:rsidP="00BD46FB">
            <w:pPr>
              <w:jc w:val="center"/>
              <w:rPr>
                <w:rFonts w:ascii="Times New Roman" w:eastAsia="Times New Roman" w:hAnsi="Times New Roman" w:cs="Times New Roman"/>
                <w:sz w:val="20"/>
                <w:szCs w:val="20"/>
              </w:rPr>
            </w:pPr>
          </w:p>
        </w:tc>
      </w:tr>
      <w:tr w:rsidR="004A51A2" w:rsidRPr="004A51A2" w14:paraId="5E6DE9B8" w14:textId="77777777" w:rsidTr="00BD46FB">
        <w:trPr>
          <w:trHeight w:val="320"/>
        </w:trPr>
        <w:tc>
          <w:tcPr>
            <w:tcW w:w="4240" w:type="dxa"/>
            <w:noWrap/>
            <w:vAlign w:val="center"/>
            <w:hideMark/>
          </w:tcPr>
          <w:p w14:paraId="0CB2A5C4"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Life Years</w:t>
            </w:r>
          </w:p>
        </w:tc>
        <w:tc>
          <w:tcPr>
            <w:tcW w:w="1500" w:type="dxa"/>
            <w:noWrap/>
            <w:vAlign w:val="center"/>
            <w:hideMark/>
          </w:tcPr>
          <w:p w14:paraId="3C8DFC30" w14:textId="0BE835BE"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12.148</w:t>
            </w:r>
          </w:p>
        </w:tc>
        <w:tc>
          <w:tcPr>
            <w:tcW w:w="1720" w:type="dxa"/>
            <w:noWrap/>
            <w:vAlign w:val="center"/>
            <w:hideMark/>
          </w:tcPr>
          <w:p w14:paraId="2E1088D1" w14:textId="66627B82"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12.106</w:t>
            </w:r>
          </w:p>
        </w:tc>
        <w:tc>
          <w:tcPr>
            <w:tcW w:w="1500" w:type="dxa"/>
            <w:noWrap/>
            <w:vAlign w:val="center"/>
            <w:hideMark/>
          </w:tcPr>
          <w:p w14:paraId="4B5D896D" w14:textId="6B2920FC"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0.042</w:t>
            </w:r>
          </w:p>
        </w:tc>
      </w:tr>
      <w:tr w:rsidR="004A51A2" w:rsidRPr="004A51A2" w14:paraId="2BAA2113" w14:textId="77777777" w:rsidTr="00BD46FB">
        <w:trPr>
          <w:trHeight w:val="320"/>
        </w:trPr>
        <w:tc>
          <w:tcPr>
            <w:tcW w:w="4240" w:type="dxa"/>
            <w:noWrap/>
            <w:vAlign w:val="center"/>
            <w:hideMark/>
          </w:tcPr>
          <w:p w14:paraId="39AC30DB"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QALYs</w:t>
            </w:r>
          </w:p>
        </w:tc>
        <w:tc>
          <w:tcPr>
            <w:tcW w:w="1500" w:type="dxa"/>
            <w:noWrap/>
            <w:vAlign w:val="center"/>
            <w:hideMark/>
          </w:tcPr>
          <w:p w14:paraId="1DDB0273" w14:textId="23E35FEE"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6.770</w:t>
            </w:r>
          </w:p>
        </w:tc>
        <w:tc>
          <w:tcPr>
            <w:tcW w:w="1720" w:type="dxa"/>
            <w:noWrap/>
            <w:vAlign w:val="center"/>
            <w:hideMark/>
          </w:tcPr>
          <w:p w14:paraId="75F9B4CA" w14:textId="64E3F504"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6.036</w:t>
            </w:r>
          </w:p>
        </w:tc>
        <w:tc>
          <w:tcPr>
            <w:tcW w:w="1500" w:type="dxa"/>
            <w:noWrap/>
            <w:vAlign w:val="center"/>
            <w:hideMark/>
          </w:tcPr>
          <w:p w14:paraId="0799A05F" w14:textId="183B8634"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0.734</w:t>
            </w:r>
          </w:p>
        </w:tc>
      </w:tr>
      <w:tr w:rsidR="004A51A2" w:rsidRPr="004A51A2" w14:paraId="439424E5" w14:textId="77777777" w:rsidTr="00BD46FB">
        <w:trPr>
          <w:trHeight w:val="320"/>
        </w:trPr>
        <w:tc>
          <w:tcPr>
            <w:tcW w:w="4240" w:type="dxa"/>
            <w:noWrap/>
            <w:vAlign w:val="center"/>
            <w:hideMark/>
          </w:tcPr>
          <w:p w14:paraId="38C39119"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Total Direct Medical Costs (¥)</w:t>
            </w:r>
          </w:p>
        </w:tc>
        <w:tc>
          <w:tcPr>
            <w:tcW w:w="1500" w:type="dxa"/>
            <w:noWrap/>
            <w:vAlign w:val="center"/>
            <w:hideMark/>
          </w:tcPr>
          <w:p w14:paraId="41A23297" w14:textId="3E983402"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¥7,751,537</w:t>
            </w:r>
          </w:p>
        </w:tc>
        <w:tc>
          <w:tcPr>
            <w:tcW w:w="1720" w:type="dxa"/>
            <w:noWrap/>
            <w:vAlign w:val="center"/>
            <w:hideMark/>
          </w:tcPr>
          <w:p w14:paraId="067BA1C7" w14:textId="701016A0"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¥10,700,217</w:t>
            </w:r>
          </w:p>
        </w:tc>
        <w:tc>
          <w:tcPr>
            <w:tcW w:w="1500" w:type="dxa"/>
            <w:noWrap/>
            <w:vAlign w:val="center"/>
            <w:hideMark/>
          </w:tcPr>
          <w:p w14:paraId="4FF9F761"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-¥2,948,681</w:t>
            </w:r>
          </w:p>
        </w:tc>
      </w:tr>
      <w:tr w:rsidR="004A51A2" w:rsidRPr="004A51A2" w14:paraId="462DF471" w14:textId="77777777" w:rsidTr="00BD46FB">
        <w:trPr>
          <w:trHeight w:val="320"/>
        </w:trPr>
        <w:tc>
          <w:tcPr>
            <w:tcW w:w="4240" w:type="dxa"/>
            <w:noWrap/>
            <w:vAlign w:val="center"/>
            <w:hideMark/>
          </w:tcPr>
          <w:p w14:paraId="25584B2C"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ICER for rAHF-PFM vs. BAY 81-8973</w:t>
            </w:r>
          </w:p>
        </w:tc>
        <w:tc>
          <w:tcPr>
            <w:tcW w:w="4720" w:type="dxa"/>
            <w:gridSpan w:val="3"/>
            <w:noWrap/>
            <w:vAlign w:val="center"/>
            <w:hideMark/>
          </w:tcPr>
          <w:p w14:paraId="474892A1" w14:textId="77777777" w:rsidR="00BD46FB" w:rsidRPr="004A51A2" w:rsidRDefault="00BD46FB" w:rsidP="00BD46FB">
            <w:pPr>
              <w:jc w:val="center"/>
              <w:rPr>
                <w:rFonts w:ascii="Times New Roman" w:eastAsia="DengXian" w:hAnsi="Times New Roman" w:cs="Times New Roman"/>
                <w:sz w:val="20"/>
                <w:szCs w:val="20"/>
              </w:rPr>
            </w:pPr>
            <w:r w:rsidRPr="004A51A2">
              <w:rPr>
                <w:rFonts w:ascii="Times New Roman" w:eastAsia="DengXian" w:hAnsi="Times New Roman" w:cs="Times New Roman"/>
                <w:sz w:val="20"/>
                <w:szCs w:val="20"/>
              </w:rPr>
              <w:t>-¥4,017,636</w:t>
            </w:r>
          </w:p>
        </w:tc>
      </w:tr>
    </w:tbl>
    <w:p w14:paraId="741864FF" w14:textId="226A4CAA" w:rsidR="001D420C" w:rsidRDefault="00830BB5" w:rsidP="00E34247">
      <w:r w:rsidRPr="0091644D">
        <w:rPr>
          <w:rFonts w:ascii="Times New Roman" w:hAnsi="Times New Roman" w:cs="Times New Roman"/>
          <w:sz w:val="18"/>
          <w:szCs w:val="18"/>
        </w:rPr>
        <w:t>*</w:t>
      </w:r>
      <w:r>
        <w:rPr>
          <w:rFonts w:ascii="Times New Roman" w:hAnsi="Times New Roman" w:cs="Times New Roman" w:hint="eastAsia"/>
          <w:sz w:val="18"/>
          <w:szCs w:val="18"/>
        </w:rPr>
        <w:t>QALY: quality-adjusted life-year; ICER: incremental cost-effectiveness ratio</w:t>
      </w:r>
    </w:p>
    <w:p w14:paraId="24DAFB04" w14:textId="61F39CF5" w:rsidR="00BD46FB" w:rsidRDefault="00BD46FB">
      <w:r>
        <w:br w:type="page"/>
      </w:r>
    </w:p>
    <w:p w14:paraId="59D94E9A" w14:textId="7F8FA410" w:rsidR="00BD46FB" w:rsidRDefault="00BD46FB" w:rsidP="00BD46FB">
      <w:pPr>
        <w:pStyle w:val="2"/>
      </w:pPr>
      <w:bookmarkStart w:id="37" w:name="_Toc200988924"/>
      <w:bookmarkStart w:id="38" w:name="_Toc211440071"/>
      <w:r>
        <w:rPr>
          <w:rFonts w:hint="eastAsia"/>
        </w:rPr>
        <w:lastRenderedPageBreak/>
        <w:t>Reference</w:t>
      </w:r>
      <w:bookmarkEnd w:id="37"/>
      <w:bookmarkEnd w:id="38"/>
    </w:p>
    <w:p w14:paraId="22CAAC70" w14:textId="171DA809"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1. </w:t>
      </w:r>
      <w:r w:rsidRPr="00A12818">
        <w:rPr>
          <w:rFonts w:ascii="Times New Roman" w:hAnsi="Times New Roman"/>
          <w:sz w:val="20"/>
          <w:szCs w:val="20"/>
        </w:rPr>
        <w:t>Jardim LL, Santana MP, Chaves DG, et al. Risk factors for antibody formation in children with hemophilia: methodological aspects and clinical characteristics of the HEMFIL cohort study. Blood Coagul Fibrinolysis. 2021;32(7):443-450.</w:t>
      </w:r>
      <w:r w:rsidRPr="00A12818">
        <w:rPr>
          <w:sz w:val="20"/>
          <w:szCs w:val="20"/>
        </w:rPr>
        <w:t xml:space="preserve"> </w:t>
      </w:r>
      <w:r w:rsidRPr="00A12818">
        <w:rPr>
          <w:rFonts w:ascii="Times New Roman" w:hAnsi="Times New Roman"/>
          <w:sz w:val="20"/>
          <w:szCs w:val="20"/>
        </w:rPr>
        <w:t>https://doi.org/10.1097/MBC.0000000000001057</w:t>
      </w:r>
    </w:p>
    <w:p w14:paraId="544605A6" w14:textId="33C1FABE"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2. </w:t>
      </w:r>
      <w:r w:rsidRPr="00A12818">
        <w:rPr>
          <w:rFonts w:ascii="Times New Roman" w:hAnsi="Times New Roman"/>
          <w:sz w:val="20"/>
          <w:szCs w:val="20"/>
        </w:rPr>
        <w:t>Ljung R, Chan AKC, Glosli H, et al. BAY 81-8973 Efficacy and Safety in Previously Untreated and Minimally Treated Children with Severe Hemophilia A: The LEOPOLD Kids Trial. Thromb Haemost. 2023;123(1):27-39.</w:t>
      </w:r>
      <w:r w:rsidRPr="00A12818">
        <w:rPr>
          <w:sz w:val="20"/>
          <w:szCs w:val="20"/>
        </w:rPr>
        <w:t xml:space="preserve"> </w:t>
      </w:r>
      <w:r w:rsidRPr="00A12818">
        <w:rPr>
          <w:rFonts w:ascii="Times New Roman" w:hAnsi="Times New Roman"/>
          <w:sz w:val="20"/>
          <w:szCs w:val="20"/>
        </w:rPr>
        <w:t>https://doi.org/10.1055/s-0042-1757876</w:t>
      </w:r>
    </w:p>
    <w:p w14:paraId="5266C97F" w14:textId="0940A5E2" w:rsidR="00BD46FB"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3. </w:t>
      </w:r>
      <w:r w:rsidRPr="00A12818">
        <w:rPr>
          <w:rFonts w:ascii="Times New Roman" w:hAnsi="Times New Roman"/>
          <w:sz w:val="20"/>
          <w:szCs w:val="20"/>
        </w:rPr>
        <w:t>Auerswald G, Kurnik K, Aledort LM, et al. The EPIC study: a lesson to learn. </w:t>
      </w:r>
      <w:r w:rsidRPr="00A12818">
        <w:rPr>
          <w:rFonts w:ascii="Times New Roman" w:hAnsi="Times New Roman"/>
          <w:i/>
          <w:sz w:val="20"/>
          <w:szCs w:val="20"/>
        </w:rPr>
        <w:t>Haemophilia</w:t>
      </w:r>
      <w:r w:rsidRPr="00A12818">
        <w:rPr>
          <w:rFonts w:ascii="Times New Roman" w:hAnsi="Times New Roman"/>
          <w:sz w:val="20"/>
          <w:szCs w:val="20"/>
        </w:rPr>
        <w:t>. 2015;21(5):622-628.</w:t>
      </w:r>
      <w:r w:rsidRPr="00A12818">
        <w:rPr>
          <w:sz w:val="20"/>
          <w:szCs w:val="20"/>
        </w:rPr>
        <w:t xml:space="preserve"> </w:t>
      </w:r>
      <w:hyperlink r:id="rId14" w:history="1">
        <w:r w:rsidRPr="00A12818">
          <w:rPr>
            <w:rStyle w:val="af6"/>
            <w:rFonts w:ascii="Times New Roman" w:hAnsi="Times New Roman"/>
            <w:sz w:val="20"/>
            <w:szCs w:val="20"/>
          </w:rPr>
          <w:t>https://doi.org/10.1111/hae.12666</w:t>
        </w:r>
      </w:hyperlink>
    </w:p>
    <w:p w14:paraId="09A6A5D6" w14:textId="6CE8D14E"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4. </w:t>
      </w:r>
      <w:r w:rsidRPr="00A12818">
        <w:rPr>
          <w:rFonts w:ascii="Times New Roman" w:hAnsi="Times New Roman"/>
          <w:sz w:val="20"/>
          <w:szCs w:val="20"/>
        </w:rPr>
        <w:t> Peyvandi F, Cannavò A, Garagiola I, et al. Timing and severity of inhibitor development in recombinant versus plasma-derived factor VIII concentrates: a SIPPET analysis. J Thromb Haemost. 2018;16(1):39-43.</w:t>
      </w:r>
      <w:r w:rsidRPr="00A12818">
        <w:rPr>
          <w:sz w:val="20"/>
          <w:szCs w:val="20"/>
        </w:rPr>
        <w:t xml:space="preserve"> </w:t>
      </w:r>
      <w:r w:rsidRPr="00A12818">
        <w:rPr>
          <w:rFonts w:ascii="Times New Roman" w:hAnsi="Times New Roman"/>
          <w:sz w:val="20"/>
          <w:szCs w:val="20"/>
        </w:rPr>
        <w:t>https://doi.org/10.1111/jth.13888</w:t>
      </w:r>
    </w:p>
    <w:p w14:paraId="5934AA87" w14:textId="07ED1D03" w:rsidR="00716E01" w:rsidRPr="00A12818" w:rsidRDefault="00716E01" w:rsidP="00716E01">
      <w:pPr>
        <w:rPr>
          <w:rFonts w:ascii="Times New Roman" w:hAnsi="Times New Roman"/>
          <w:sz w:val="20"/>
          <w:szCs w:val="20"/>
          <w:lang w:val="fr-FR"/>
        </w:rPr>
      </w:pPr>
      <w:r w:rsidRPr="00A12818">
        <w:rPr>
          <w:rFonts w:ascii="Times New Roman" w:hAnsi="Times New Roman"/>
          <w:sz w:val="20"/>
          <w:szCs w:val="20"/>
        </w:rPr>
        <w:t xml:space="preserve">5. Taki M, Hanabusa H, Fukutake K, et al. Real-life clinical experience of 117 previously untreated patients (PUPs) treated with antihemophilic factor (recombinant), plasma/albumin free method in a Japanese post-authorization safety study. </w:t>
      </w:r>
      <w:r w:rsidRPr="00A12818">
        <w:rPr>
          <w:rFonts w:ascii="Times New Roman" w:hAnsi="Times New Roman"/>
          <w:sz w:val="20"/>
          <w:szCs w:val="20"/>
          <w:lang w:val="fr-FR"/>
        </w:rPr>
        <w:t>Haemophilia. 2014;20:18.</w:t>
      </w:r>
      <w:r w:rsidRPr="00A12818">
        <w:rPr>
          <w:sz w:val="20"/>
          <w:szCs w:val="20"/>
          <w:lang w:val="fr-FR"/>
        </w:rPr>
        <w:t xml:space="preserve"> </w:t>
      </w:r>
      <w:r w:rsidRPr="00A12818">
        <w:rPr>
          <w:rFonts w:ascii="Times New Roman" w:hAnsi="Times New Roman"/>
          <w:sz w:val="20"/>
          <w:szCs w:val="20"/>
          <w:lang w:val="fr-FR"/>
        </w:rPr>
        <w:t>https://doi.org/10.1111/hae.12400</w:t>
      </w:r>
    </w:p>
    <w:p w14:paraId="547EE831" w14:textId="00D6CDB8" w:rsidR="00716E01" w:rsidRPr="00A12818" w:rsidRDefault="00716E01" w:rsidP="00716E01">
      <w:pPr>
        <w:rPr>
          <w:rFonts w:ascii="Times New Roman" w:hAnsi="Times New Roman"/>
          <w:sz w:val="20"/>
          <w:szCs w:val="20"/>
          <w:lang w:val="fr-FR"/>
        </w:rPr>
      </w:pPr>
      <w:r w:rsidRPr="00A12818">
        <w:rPr>
          <w:rFonts w:ascii="Times New Roman" w:hAnsi="Times New Roman"/>
          <w:sz w:val="20"/>
          <w:szCs w:val="20"/>
          <w:lang w:val="fr-FR"/>
        </w:rPr>
        <w:t xml:space="preserve">6. Calvez T, Chambost H, Claeyssens-Donadel S, et al. </w:t>
      </w:r>
      <w:r w:rsidRPr="00A12818">
        <w:rPr>
          <w:rFonts w:ascii="Times New Roman" w:hAnsi="Times New Roman"/>
          <w:sz w:val="20"/>
          <w:szCs w:val="20"/>
        </w:rPr>
        <w:t xml:space="preserve">Recombinant factor VIII products and inhibitor development in previously untreated boys with severe hemophilia A. Blood. </w:t>
      </w:r>
      <w:r w:rsidRPr="00A12818">
        <w:rPr>
          <w:rFonts w:ascii="Times New Roman" w:hAnsi="Times New Roman"/>
          <w:sz w:val="20"/>
          <w:szCs w:val="20"/>
          <w:lang w:val="fr-FR"/>
        </w:rPr>
        <w:t>Nov 2014;124(23):3398-3408.</w:t>
      </w:r>
      <w:r w:rsidRPr="00A12818">
        <w:rPr>
          <w:sz w:val="20"/>
          <w:szCs w:val="20"/>
          <w:lang w:val="fr-FR"/>
        </w:rPr>
        <w:t xml:space="preserve"> </w:t>
      </w:r>
      <w:r w:rsidRPr="00A12818">
        <w:rPr>
          <w:rFonts w:ascii="Times New Roman" w:hAnsi="Times New Roman"/>
          <w:sz w:val="20"/>
          <w:szCs w:val="20"/>
          <w:lang w:val="fr-FR"/>
        </w:rPr>
        <w:t>https://doi.org/10.1182/blood-2014-07-586347</w:t>
      </w:r>
    </w:p>
    <w:p w14:paraId="239E6FE7" w14:textId="67ED5D45" w:rsidR="00716E01" w:rsidRPr="00A12818" w:rsidRDefault="00716E01" w:rsidP="00716E01">
      <w:pPr>
        <w:rPr>
          <w:rFonts w:ascii="Times New Roman" w:hAnsi="Times New Roman"/>
          <w:sz w:val="20"/>
          <w:szCs w:val="20"/>
          <w:lang w:val="fr-FR"/>
        </w:rPr>
      </w:pPr>
      <w:r w:rsidRPr="00A12818">
        <w:rPr>
          <w:rFonts w:ascii="Times New Roman" w:hAnsi="Times New Roman"/>
          <w:sz w:val="20"/>
          <w:szCs w:val="20"/>
          <w:lang w:val="fr-FR"/>
        </w:rPr>
        <w:t xml:space="preserve">7. Auerswald G, Thompson AA, Recht M, et al. </w:t>
      </w:r>
      <w:r w:rsidRPr="00A12818">
        <w:rPr>
          <w:rFonts w:ascii="Times New Roman" w:hAnsi="Times New Roman"/>
          <w:sz w:val="20"/>
          <w:szCs w:val="20"/>
        </w:rPr>
        <w:t xml:space="preserve">Experience of Advate rAHF-PFM in previously untreated patients and minimally treated patients with haemophilia A. Thromb Haemost. </w:t>
      </w:r>
      <w:r w:rsidRPr="00A12818">
        <w:rPr>
          <w:rFonts w:ascii="Times New Roman" w:hAnsi="Times New Roman"/>
          <w:sz w:val="20"/>
          <w:szCs w:val="20"/>
          <w:lang w:val="fr-FR"/>
        </w:rPr>
        <w:t>2012;107(6):1072-1082.</w:t>
      </w:r>
      <w:r w:rsidRPr="00A12818">
        <w:rPr>
          <w:sz w:val="20"/>
          <w:szCs w:val="20"/>
          <w:lang w:val="fr-FR"/>
        </w:rPr>
        <w:t xml:space="preserve"> </w:t>
      </w:r>
      <w:r w:rsidRPr="00A12818">
        <w:rPr>
          <w:rFonts w:ascii="Times New Roman" w:hAnsi="Times New Roman"/>
          <w:sz w:val="20"/>
          <w:szCs w:val="20"/>
          <w:lang w:val="fr-FR"/>
        </w:rPr>
        <w:t>https://doi.org/10.1160/TH11-09-0642</w:t>
      </w:r>
    </w:p>
    <w:p w14:paraId="1037AB11" w14:textId="6D78C7D3" w:rsidR="00716E01" w:rsidRPr="00A12818" w:rsidRDefault="00716E01" w:rsidP="00716E01">
      <w:pPr>
        <w:rPr>
          <w:rFonts w:ascii="Times New Roman" w:hAnsi="Times New Roman"/>
          <w:sz w:val="20"/>
          <w:szCs w:val="20"/>
        </w:rPr>
      </w:pPr>
      <w:r w:rsidRPr="00A12818">
        <w:rPr>
          <w:rFonts w:ascii="Times New Roman" w:hAnsi="Times New Roman"/>
          <w:sz w:val="20"/>
          <w:szCs w:val="20"/>
          <w:lang w:val="fr-FR"/>
        </w:rPr>
        <w:t xml:space="preserve">8. Calvez T, Chambost H, d'Oiron R, et al. </w:t>
      </w:r>
      <w:r w:rsidRPr="00A12818">
        <w:rPr>
          <w:rFonts w:ascii="Times New Roman" w:hAnsi="Times New Roman"/>
          <w:sz w:val="20"/>
          <w:szCs w:val="20"/>
        </w:rPr>
        <w:t>Analyses of the FranceCoag cohort support differences in immunogenicity among one plasma-derived and two recombinant factor VIII brands in boys with severe hemophilia A. Haematologica. 2018;103(1):179-189.</w:t>
      </w:r>
      <w:r w:rsidRPr="00A12818">
        <w:rPr>
          <w:sz w:val="20"/>
          <w:szCs w:val="20"/>
        </w:rPr>
        <w:t xml:space="preserve"> </w:t>
      </w:r>
      <w:r w:rsidRPr="00A12818">
        <w:rPr>
          <w:rFonts w:ascii="Times New Roman" w:hAnsi="Times New Roman"/>
          <w:sz w:val="20"/>
          <w:szCs w:val="20"/>
        </w:rPr>
        <w:t>https://doi.org/10.3324/haematol.2017.174706</w:t>
      </w:r>
    </w:p>
    <w:p w14:paraId="42AA5CDA" w14:textId="129DCADC" w:rsidR="00716E01" w:rsidRPr="00A12818" w:rsidRDefault="00716E01" w:rsidP="00716E01">
      <w:pPr>
        <w:rPr>
          <w:rFonts w:ascii="Times New Roman" w:hAnsi="Times New Roman"/>
          <w:sz w:val="20"/>
          <w:szCs w:val="20"/>
          <w:lang w:val="fr-FR"/>
        </w:rPr>
      </w:pPr>
      <w:r w:rsidRPr="00A12818">
        <w:rPr>
          <w:rFonts w:ascii="Times New Roman" w:hAnsi="Times New Roman"/>
          <w:sz w:val="20"/>
          <w:szCs w:val="20"/>
        </w:rPr>
        <w:t xml:space="preserve">9. Collins PW, Palmer BP, Chalmers EA, et al. Factor VIII brand and the incidence of factor VIII inhibitors in previously untreated UK children with severe hemophilia A, 2000-2011. </w:t>
      </w:r>
      <w:r w:rsidRPr="00A12818">
        <w:rPr>
          <w:rFonts w:ascii="Times New Roman" w:hAnsi="Times New Roman"/>
          <w:sz w:val="20"/>
          <w:szCs w:val="20"/>
          <w:lang w:val="fr-FR"/>
        </w:rPr>
        <w:t>Blood. Nov 2014;124(23):3389-3397.</w:t>
      </w:r>
      <w:r w:rsidRPr="00A12818">
        <w:rPr>
          <w:sz w:val="20"/>
          <w:szCs w:val="20"/>
          <w:lang w:val="fr-FR"/>
        </w:rPr>
        <w:t xml:space="preserve"> </w:t>
      </w:r>
      <w:r w:rsidRPr="00A12818">
        <w:rPr>
          <w:rFonts w:ascii="Times New Roman" w:hAnsi="Times New Roman"/>
          <w:sz w:val="20"/>
          <w:szCs w:val="20"/>
          <w:lang w:val="fr-FR"/>
        </w:rPr>
        <w:t>https://doi.org/10.1182/blood-2014-07-580498</w:t>
      </w:r>
    </w:p>
    <w:p w14:paraId="1CB90172" w14:textId="00E0ABE2"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lang w:val="fr-FR"/>
        </w:rPr>
        <w:t>1</w:t>
      </w:r>
      <w:r w:rsidRPr="00A12818">
        <w:rPr>
          <w:rFonts w:ascii="Times New Roman" w:hAnsi="Times New Roman"/>
          <w:sz w:val="20"/>
          <w:szCs w:val="20"/>
          <w:lang w:val="fr-FR"/>
        </w:rPr>
        <w:t xml:space="preserve">0. Prezotti ANL, Cerqueira MH, Renni M, et al. </w:t>
      </w:r>
      <w:r w:rsidRPr="00A12818">
        <w:rPr>
          <w:rFonts w:ascii="Times New Roman" w:hAnsi="Times New Roman"/>
          <w:sz w:val="20"/>
          <w:szCs w:val="20"/>
        </w:rPr>
        <w:t>Incidence of inhibitors in a previously untreated patients with severe hemophilia a cohort treated with a single third-generation recombinant factor VIII concentrate. Blood. 2018;132.</w:t>
      </w:r>
      <w:r w:rsidRPr="00A12818">
        <w:rPr>
          <w:sz w:val="20"/>
          <w:szCs w:val="20"/>
        </w:rPr>
        <w:t xml:space="preserve"> </w:t>
      </w:r>
      <w:r w:rsidRPr="00A12818">
        <w:rPr>
          <w:rFonts w:ascii="Times New Roman" w:hAnsi="Times New Roman"/>
          <w:sz w:val="20"/>
          <w:szCs w:val="20"/>
        </w:rPr>
        <w:t>https://doi.org/10.1182/blood-2018-99-119754</w:t>
      </w:r>
    </w:p>
    <w:p w14:paraId="00793BA0" w14:textId="73E973D0"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1</w:t>
      </w:r>
      <w:r w:rsidRPr="00A12818">
        <w:rPr>
          <w:rFonts w:ascii="Times New Roman" w:hAnsi="Times New Roman"/>
          <w:sz w:val="20"/>
          <w:szCs w:val="20"/>
        </w:rPr>
        <w:t>1. Jardim LL, Antônio Portugal Santana M, Gonçalves Chaves D, et al. Clinical characteristics and incidence of inhibitors in previously untreated children with haemophilia: An update of the hemfil cohort study. Res Pract Thromb Haemost. 2021;5(SUPPL 2).</w:t>
      </w:r>
      <w:r w:rsidRPr="00A12818">
        <w:rPr>
          <w:sz w:val="20"/>
          <w:szCs w:val="20"/>
        </w:rPr>
        <w:t xml:space="preserve"> </w:t>
      </w:r>
      <w:r w:rsidRPr="00A12818">
        <w:rPr>
          <w:rFonts w:ascii="Times New Roman" w:hAnsi="Times New Roman"/>
          <w:sz w:val="20"/>
          <w:szCs w:val="20"/>
        </w:rPr>
        <w:t>https://doi.org/10.1002/rth2.12589</w:t>
      </w:r>
    </w:p>
    <w:p w14:paraId="1958411B" w14:textId="0F81EADE"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1</w:t>
      </w:r>
      <w:r w:rsidRPr="00A12818">
        <w:rPr>
          <w:rFonts w:ascii="Times New Roman" w:hAnsi="Times New Roman"/>
          <w:sz w:val="20"/>
          <w:szCs w:val="20"/>
        </w:rPr>
        <w:t>2. Olivieri M, Simpson M, Yan S, et al. Analysis of pooled real-world data from Germany, Italy, and the United States of rVIII-SingleChain compared with standard- and long-acting FVIII products for prophylaxis of hemophilia A. Curr Med Res Opin. 2022;38(7):1133-1139.</w:t>
      </w:r>
      <w:r w:rsidRPr="00A12818">
        <w:rPr>
          <w:sz w:val="20"/>
          <w:szCs w:val="20"/>
        </w:rPr>
        <w:t xml:space="preserve"> </w:t>
      </w:r>
      <w:r w:rsidRPr="00A12818">
        <w:rPr>
          <w:rFonts w:ascii="Times New Roman" w:hAnsi="Times New Roman"/>
          <w:sz w:val="20"/>
          <w:szCs w:val="20"/>
        </w:rPr>
        <w:t>https://doi.org/10.1080/03007995.2022.2062180</w:t>
      </w:r>
    </w:p>
    <w:p w14:paraId="69C66EF0" w14:textId="186C7E2A"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1</w:t>
      </w:r>
      <w:r w:rsidRPr="00A12818">
        <w:rPr>
          <w:rFonts w:ascii="Times New Roman" w:hAnsi="Times New Roman"/>
          <w:sz w:val="20"/>
          <w:szCs w:val="20"/>
        </w:rPr>
        <w:t>3. Blanchette VS, Shapiro AD, Liesner RJ, et al. Plasma and albumin-free recombinant factor VIII: pharmacokinetics, efficacy and safety in previously treated pediatric patients. J Thromb Haemost. 2008;6(8):1319-1326.</w:t>
      </w:r>
      <w:r w:rsidRPr="00A12818">
        <w:rPr>
          <w:sz w:val="20"/>
          <w:szCs w:val="20"/>
        </w:rPr>
        <w:t xml:space="preserve"> </w:t>
      </w:r>
      <w:r w:rsidRPr="00A12818">
        <w:rPr>
          <w:rFonts w:ascii="Times New Roman" w:hAnsi="Times New Roman"/>
          <w:sz w:val="20"/>
          <w:szCs w:val="20"/>
        </w:rPr>
        <w:t>https://doi.org/10.1111/j.1538-7836.2008.03032.x</w:t>
      </w:r>
    </w:p>
    <w:p w14:paraId="7C9AEDFC" w14:textId="4143E0C5"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lastRenderedPageBreak/>
        <w:t>1</w:t>
      </w:r>
      <w:r w:rsidRPr="00A12818">
        <w:rPr>
          <w:rFonts w:ascii="Times New Roman" w:hAnsi="Times New Roman"/>
          <w:sz w:val="20"/>
          <w:szCs w:val="20"/>
        </w:rPr>
        <w:t>4. Valentino LA, Mamonov V, Hellmann A, et al. A randomized comparison of two prophylaxis regimens and a paired comparison of on-demand and prophylaxis treatments in hemophilia A management. J Thromb Haemost. 2012;10(3):359-367.</w:t>
      </w:r>
      <w:r w:rsidRPr="00A12818">
        <w:rPr>
          <w:sz w:val="20"/>
          <w:szCs w:val="20"/>
        </w:rPr>
        <w:t xml:space="preserve"> </w:t>
      </w:r>
      <w:r w:rsidRPr="00A12818">
        <w:rPr>
          <w:rFonts w:ascii="Times New Roman" w:hAnsi="Times New Roman"/>
          <w:sz w:val="20"/>
          <w:szCs w:val="20"/>
        </w:rPr>
        <w:t>https://doi.org/10.1111/j.1538-7836.2011.04611.x</w:t>
      </w:r>
    </w:p>
    <w:p w14:paraId="5EA8E5F7" w14:textId="7563A20E"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1</w:t>
      </w:r>
      <w:r w:rsidRPr="00A12818">
        <w:rPr>
          <w:rFonts w:ascii="Times New Roman" w:hAnsi="Times New Roman"/>
          <w:sz w:val="20"/>
          <w:szCs w:val="20"/>
        </w:rPr>
        <w:t>5. Tsakiris DA, Oldenburg J, Klamroth R, et al. Effectiveness and Safety Outcomes in Patients with Hemophilia a Receiving Antihemophilic Factor (Recombinant) for at Least 5 Years in a Real-World Setting: 6-Year Interim Analysis of the Ahead International and German Studies. Blood. 2020;136:1.</w:t>
      </w:r>
      <w:r w:rsidRPr="00A12818">
        <w:rPr>
          <w:sz w:val="20"/>
          <w:szCs w:val="20"/>
        </w:rPr>
        <w:t xml:space="preserve"> </w:t>
      </w:r>
      <w:r w:rsidRPr="00A12818">
        <w:rPr>
          <w:rFonts w:ascii="Times New Roman" w:hAnsi="Times New Roman"/>
          <w:sz w:val="20"/>
          <w:szCs w:val="20"/>
        </w:rPr>
        <w:t>https://doi.org/10.1182/blood-2020-139873</w:t>
      </w:r>
    </w:p>
    <w:p w14:paraId="108B13AB" w14:textId="76182B0E"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1</w:t>
      </w:r>
      <w:r w:rsidRPr="00A12818">
        <w:rPr>
          <w:rFonts w:ascii="Times New Roman" w:hAnsi="Times New Roman"/>
          <w:sz w:val="20"/>
          <w:szCs w:val="20"/>
        </w:rPr>
        <w:t>6. Mahlangu JN, Kavakli K, Hvitfeldt Poulsen L, et al. Prophylactic efficacy of twice-weekly vs. 3-timesweekly bay 81-8973 in severe hemophilia A: Results of the Leopold I and II clinical trials. J Thromb Haemost. 2015;13:858.</w:t>
      </w:r>
      <w:r w:rsidRPr="00A12818">
        <w:rPr>
          <w:sz w:val="20"/>
          <w:szCs w:val="20"/>
        </w:rPr>
        <w:t xml:space="preserve"> </w:t>
      </w:r>
      <w:r w:rsidRPr="00A12818">
        <w:rPr>
          <w:rFonts w:ascii="Times New Roman" w:hAnsi="Times New Roman"/>
          <w:sz w:val="20"/>
          <w:szCs w:val="20"/>
        </w:rPr>
        <w:t>https://doi.org/10.1111/jth.12993</w:t>
      </w:r>
    </w:p>
    <w:p w14:paraId="427E3FEB" w14:textId="44564B82"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1</w:t>
      </w:r>
      <w:r w:rsidRPr="00A12818">
        <w:rPr>
          <w:rFonts w:ascii="Times New Roman" w:hAnsi="Times New Roman"/>
          <w:sz w:val="20"/>
          <w:szCs w:val="20"/>
        </w:rPr>
        <w:t>7. Kavakli K, Yang R, Rusen L, et al. Prophylaxis vs. on-demand treatment with BAY 81-8973, a full-length plasma protein-free recombinant factor VIII product: results from a randomized trial (LEOPOLD II). J Thromb Haemost. 2015;13(3):360-369.</w:t>
      </w:r>
      <w:r w:rsidRPr="00A12818">
        <w:rPr>
          <w:sz w:val="20"/>
          <w:szCs w:val="20"/>
        </w:rPr>
        <w:t xml:space="preserve"> </w:t>
      </w:r>
      <w:r w:rsidRPr="00A12818">
        <w:rPr>
          <w:rFonts w:ascii="Times New Roman" w:hAnsi="Times New Roman"/>
          <w:sz w:val="20"/>
          <w:szCs w:val="20"/>
        </w:rPr>
        <w:t>https://doi.org/10.1111/jth.12828</w:t>
      </w:r>
    </w:p>
    <w:p w14:paraId="0066E813" w14:textId="385C890C"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lang w:val="pt-BR"/>
        </w:rPr>
        <w:t>1</w:t>
      </w:r>
      <w:r w:rsidRPr="00A12818">
        <w:rPr>
          <w:rFonts w:ascii="Times New Roman" w:hAnsi="Times New Roman"/>
          <w:sz w:val="20"/>
          <w:szCs w:val="20"/>
          <w:lang w:val="pt-BR"/>
        </w:rPr>
        <w:t>8. Saxena K, Lalezari S, Oldenburg J, et al. Efficacy and safety of BAY 81-8973, a full-length recombinant factor VIII: results from the LEOPOLD I trial. Haemophilia. 2016;22(5):706-712.</w:t>
      </w:r>
      <w:r w:rsidRPr="00A12818">
        <w:rPr>
          <w:sz w:val="20"/>
          <w:szCs w:val="20"/>
          <w:lang w:val="pt-BR"/>
        </w:rPr>
        <w:t xml:space="preserve"> </w:t>
      </w:r>
      <w:r w:rsidRPr="00A12818">
        <w:rPr>
          <w:rFonts w:ascii="Times New Roman" w:hAnsi="Times New Roman"/>
          <w:sz w:val="20"/>
          <w:szCs w:val="20"/>
          <w:lang w:val="pt-BR"/>
        </w:rPr>
        <w:t>https://doi.org/10.1111/hae.12952</w:t>
      </w:r>
    </w:p>
    <w:p w14:paraId="06E1E23E" w14:textId="13BC19D6"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lang w:val="pt-BR"/>
        </w:rPr>
        <w:t>1</w:t>
      </w:r>
      <w:r w:rsidRPr="00A12818">
        <w:rPr>
          <w:rFonts w:ascii="Times New Roman" w:hAnsi="Times New Roman"/>
          <w:sz w:val="20"/>
          <w:szCs w:val="20"/>
          <w:lang w:val="pt-BR"/>
        </w:rPr>
        <w:t>9. Mahlangu J, Lopez Fernandez MF, Santagostino E, et al. BAY 81-8973 demonstrated efficacy, safety and joint status improvement in patients with severe haemophilia A in the LEOPOLD I extension for ≤2 years. Eur J Haematol. 2020;104(6):594-601.</w:t>
      </w:r>
      <w:r w:rsidRPr="00A12818">
        <w:rPr>
          <w:sz w:val="20"/>
          <w:szCs w:val="20"/>
          <w:lang w:val="pt-BR"/>
        </w:rPr>
        <w:t xml:space="preserve"> </w:t>
      </w:r>
      <w:r w:rsidRPr="00A12818">
        <w:rPr>
          <w:rFonts w:ascii="Times New Roman" w:hAnsi="Times New Roman"/>
          <w:sz w:val="20"/>
          <w:szCs w:val="20"/>
          <w:lang w:val="pt-BR"/>
        </w:rPr>
        <w:t>https://doi.org/10.1111/ejh.13402</w:t>
      </w:r>
    </w:p>
    <w:p w14:paraId="12B6990C" w14:textId="78CC7119"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2</w:t>
      </w:r>
      <w:r w:rsidRPr="00A12818">
        <w:rPr>
          <w:rFonts w:ascii="Times New Roman" w:hAnsi="Times New Roman"/>
          <w:sz w:val="20"/>
          <w:szCs w:val="20"/>
        </w:rPr>
        <w:t>0. Chowdary P, Fischer K, Collins PW, et al. Modeling to Predict Factor VIII Levels Associated with Zero Bleeds in Patients with Severe Hemophilia A Initiated on Tertiary Prophylaxis. Thromb Haemost. 2020;120(5):728-736.</w:t>
      </w:r>
      <w:r w:rsidRPr="00A12818">
        <w:rPr>
          <w:sz w:val="20"/>
          <w:szCs w:val="20"/>
        </w:rPr>
        <w:t xml:space="preserve"> </w:t>
      </w:r>
      <w:r w:rsidRPr="00A12818">
        <w:rPr>
          <w:rFonts w:ascii="Times New Roman" w:hAnsi="Times New Roman"/>
          <w:sz w:val="20"/>
          <w:szCs w:val="20"/>
        </w:rPr>
        <w:t>https://doi.org/10.1055/s-0040-1709519</w:t>
      </w:r>
    </w:p>
    <w:p w14:paraId="021A2F5D" w14:textId="630AFEB9" w:rsidR="00716E01" w:rsidRPr="00A12818" w:rsidRDefault="00716E01" w:rsidP="00716E01">
      <w:pPr>
        <w:rPr>
          <w:rFonts w:ascii="Times New Roman" w:hAnsi="Times New Roman"/>
          <w:sz w:val="20"/>
          <w:szCs w:val="20"/>
          <w:lang w:val="fr-FR"/>
        </w:rPr>
      </w:pPr>
      <w:r w:rsidRPr="00A12818">
        <w:rPr>
          <w:rFonts w:ascii="Times New Roman" w:hAnsi="Times New Roman" w:hint="eastAsia"/>
          <w:sz w:val="20"/>
          <w:szCs w:val="20"/>
        </w:rPr>
        <w:t>2</w:t>
      </w:r>
      <w:r w:rsidRPr="00A12818">
        <w:rPr>
          <w:rFonts w:ascii="Times New Roman" w:hAnsi="Times New Roman"/>
          <w:sz w:val="20"/>
          <w:szCs w:val="20"/>
        </w:rPr>
        <w:t>1. Khair K, Mazzucconi MG, Parra R, et al. Pattern of bleeding in a large prospective cohort of haemophilia A patients: A three-year follow-up of the AHEAD (Advate in HaEmophilia A outcome Database) study. </w:t>
      </w:r>
      <w:r w:rsidRPr="00A12818">
        <w:rPr>
          <w:rFonts w:ascii="Times New Roman" w:hAnsi="Times New Roman"/>
          <w:sz w:val="20"/>
          <w:szCs w:val="20"/>
          <w:lang w:val="fr-FR"/>
        </w:rPr>
        <w:t>Haemophilia. 2018;24(1):85-96.</w:t>
      </w:r>
      <w:r w:rsidRPr="00A12818">
        <w:rPr>
          <w:sz w:val="20"/>
          <w:szCs w:val="20"/>
          <w:lang w:val="fr-FR"/>
        </w:rPr>
        <w:t xml:space="preserve"> </w:t>
      </w:r>
      <w:r w:rsidRPr="00A12818">
        <w:rPr>
          <w:rFonts w:ascii="Times New Roman" w:hAnsi="Times New Roman"/>
          <w:sz w:val="20"/>
          <w:szCs w:val="20"/>
          <w:lang w:val="fr-FR"/>
        </w:rPr>
        <w:t>https://doi.org/10.1111/hae.13361</w:t>
      </w:r>
    </w:p>
    <w:p w14:paraId="15483F0F" w14:textId="5A7A63D8"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22. </w:t>
      </w:r>
      <w:r w:rsidRPr="00A12818">
        <w:rPr>
          <w:rFonts w:ascii="Times New Roman" w:hAnsi="Times New Roman"/>
          <w:sz w:val="20"/>
          <w:szCs w:val="20"/>
        </w:rPr>
        <w:t>National Center for Cardiovascular Diseases. China Cardiovascular Health and Disease Report 2020</w:t>
      </w:r>
      <w:r w:rsidRPr="00A12818">
        <w:rPr>
          <w:sz w:val="20"/>
          <w:szCs w:val="20"/>
        </w:rPr>
        <w:t xml:space="preserve"> </w:t>
      </w:r>
      <w:r w:rsidRPr="00A12818">
        <w:rPr>
          <w:rFonts w:ascii="Times New Roman" w:hAnsi="Times New Roman"/>
          <w:sz w:val="20"/>
          <w:szCs w:val="20"/>
        </w:rPr>
        <w:t>(In Chinese). Science Press, 2021.</w:t>
      </w:r>
    </w:p>
    <w:p w14:paraId="0028C5AA" w14:textId="77777777" w:rsidR="00D8368A" w:rsidRDefault="00716E01" w:rsidP="00716E01">
      <w:pPr>
        <w:rPr>
          <w:rFonts w:ascii="Times New Roman" w:hAnsi="Times New Roman"/>
          <w:sz w:val="20"/>
          <w:szCs w:val="20"/>
        </w:rPr>
      </w:pPr>
      <w:r w:rsidRPr="00A12818">
        <w:rPr>
          <w:rFonts w:ascii="Times New Roman" w:hAnsi="Times New Roman" w:hint="eastAsia"/>
          <w:sz w:val="20"/>
          <w:szCs w:val="20"/>
        </w:rPr>
        <w:t xml:space="preserve">23. </w:t>
      </w:r>
      <w:r w:rsidRPr="00A12818">
        <w:rPr>
          <w:rFonts w:ascii="Times New Roman" w:hAnsi="Times New Roman"/>
          <w:sz w:val="20"/>
          <w:szCs w:val="20"/>
        </w:rPr>
        <w:t xml:space="preserve">Musso R, Santagostino E, Faradji A, et al. Safety and efficacy of sucrose-formulated full-length recombinant factor VIII: experience in the standard clinical setting. Thromb Haemost. 2008;99(1):52-58. doi:10.1160/TH07-06-0409 </w:t>
      </w:r>
    </w:p>
    <w:p w14:paraId="042BBAE9" w14:textId="28FFCC43" w:rsidR="00716E01" w:rsidRPr="00A12818" w:rsidRDefault="00D8368A" w:rsidP="00716E01">
      <w:pPr>
        <w:rPr>
          <w:rFonts w:ascii="Times New Roman" w:hAnsi="Times New Roman"/>
          <w:sz w:val="20"/>
          <w:szCs w:val="20"/>
        </w:rPr>
      </w:pPr>
      <w:r>
        <w:rPr>
          <w:rFonts w:ascii="Times New Roman" w:hAnsi="Times New Roman" w:hint="eastAsia"/>
          <w:sz w:val="20"/>
          <w:szCs w:val="20"/>
        </w:rPr>
        <w:t xml:space="preserve">24. </w:t>
      </w:r>
      <w:r w:rsidR="00716E01" w:rsidRPr="00A12818">
        <w:rPr>
          <w:rFonts w:ascii="Times New Roman" w:hAnsi="Times New Roman"/>
          <w:sz w:val="20"/>
          <w:szCs w:val="20"/>
        </w:rPr>
        <w:t>Yang QD, Niu Q, Zhou YH, et al. Incidence of cerebral hemorrhage in the Changsha community. A prospective study from 1986 to 2000. Cerebrovasc Dis. 2004;17(4):303-313. doi:10.1159/000077341</w:t>
      </w:r>
    </w:p>
    <w:p w14:paraId="18262DFB" w14:textId="0D2CC25D"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25. </w:t>
      </w:r>
      <w:r w:rsidRPr="00A12818">
        <w:rPr>
          <w:rFonts w:ascii="Times New Roman" w:hAnsi="Times New Roman"/>
          <w:sz w:val="20"/>
          <w:szCs w:val="20"/>
        </w:rPr>
        <w:t>Darby SC, Kan SW, Spooner RJ, et al. Mortality rates, life expectancy, and causes of death in people with hemophilia A or B in the United Kingdom who were not infected with HIV. Blood. 2007;110(3):815-825. doi:10.1182/blood-2006-10-050435</w:t>
      </w:r>
    </w:p>
    <w:p w14:paraId="0BBEC456" w14:textId="6F050261"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26. </w:t>
      </w:r>
      <w:r w:rsidRPr="00A12818">
        <w:rPr>
          <w:rFonts w:ascii="Times New Roman" w:hAnsi="Times New Roman"/>
          <w:sz w:val="20"/>
          <w:szCs w:val="20"/>
        </w:rPr>
        <w:t>Zwagemaker AF, Gouw SC, Jansen JS, et al. Incidence and mortality rates of intracranial hemorrhage in hemophilia: a systematic review and meta-analysis. Blood. 2021;138(26):2853-2873. doi:10.1182/blood.2021011849</w:t>
      </w:r>
    </w:p>
    <w:p w14:paraId="307EDC07" w14:textId="68EA397D"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27. </w:t>
      </w:r>
      <w:r w:rsidRPr="00A12818">
        <w:rPr>
          <w:rFonts w:ascii="Times New Roman" w:hAnsi="Times New Roman"/>
          <w:sz w:val="20"/>
          <w:szCs w:val="20"/>
        </w:rPr>
        <w:t>Chen Y, Wright N, Guo Y, et al. Mortality and recurrent vascular events after first incident stroke: a 9-year community-based study of 0·5 million Chinese adults. Lancet Glob Health. 2020;8(4):e580-e590. doi:10.1016/S2214-109X(20)30069-3</w:t>
      </w:r>
    </w:p>
    <w:p w14:paraId="7A83CB58" w14:textId="06E3AD91"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lastRenderedPageBreak/>
        <w:t xml:space="preserve">28. </w:t>
      </w:r>
      <w:r w:rsidRPr="00A12818">
        <w:rPr>
          <w:rFonts w:ascii="Times New Roman" w:hAnsi="Times New Roman"/>
          <w:sz w:val="20"/>
          <w:szCs w:val="20"/>
        </w:rPr>
        <w:t>Dou X, Liu W, Poon MC, et al. Patients with haemophilia A with inhibitors in China: a national real-world analysis and follow-up. Br J Haematol. 2021;192(5):900-908. doi:10.1111/bjh.17322</w:t>
      </w:r>
    </w:p>
    <w:p w14:paraId="53DA0720" w14:textId="56A6897C" w:rsidR="00716E01" w:rsidRPr="00A12818" w:rsidRDefault="00716E01" w:rsidP="00716E01">
      <w:pPr>
        <w:rPr>
          <w:rFonts w:ascii="Times New Roman" w:hAnsi="Times New Roman"/>
          <w:sz w:val="20"/>
          <w:szCs w:val="20"/>
        </w:rPr>
      </w:pPr>
      <w:r w:rsidRPr="00A12818">
        <w:rPr>
          <w:rFonts w:ascii="Times New Roman" w:hAnsi="Times New Roman" w:hint="eastAsia"/>
          <w:sz w:val="20"/>
          <w:szCs w:val="20"/>
        </w:rPr>
        <w:t xml:space="preserve">29. </w:t>
      </w:r>
      <w:r w:rsidR="002D5FB5" w:rsidRPr="00A12818">
        <w:rPr>
          <w:rFonts w:ascii="Times New Roman" w:hAnsi="Times New Roman"/>
          <w:sz w:val="20"/>
          <w:szCs w:val="20"/>
        </w:rPr>
        <w:t>Xu RH, Dong D, Luo N, et al. Evaluating the psychometric properties of the EQ-5D-5L and SF-6D among patients with haemophilia. Eur J Health Econ. 2021;22(4):547-557. doi:10.1007/s10198-021-01273-5</w:t>
      </w:r>
    </w:p>
    <w:p w14:paraId="284D4141" w14:textId="18FA79B8" w:rsidR="002D5FB5" w:rsidRDefault="002D5FB5" w:rsidP="00716E01">
      <w:pPr>
        <w:rPr>
          <w:rFonts w:ascii="Times New Roman" w:hAnsi="Times New Roman"/>
          <w:sz w:val="20"/>
          <w:szCs w:val="20"/>
        </w:rPr>
      </w:pPr>
      <w:r w:rsidRPr="00A12818">
        <w:rPr>
          <w:rFonts w:ascii="Times New Roman" w:hAnsi="Times New Roman" w:hint="eastAsia"/>
          <w:sz w:val="20"/>
          <w:szCs w:val="20"/>
        </w:rPr>
        <w:t xml:space="preserve">30. </w:t>
      </w:r>
      <w:r w:rsidRPr="00A12818">
        <w:rPr>
          <w:rFonts w:ascii="Times New Roman" w:hAnsi="Times New Roman"/>
          <w:sz w:val="20"/>
          <w:szCs w:val="20"/>
        </w:rPr>
        <w:t>Young L, Chen Y, Alvir J, Burke T, Ferri Grazzi E, Winburn I. The impact of bleeding event frequency on health-related quality of life and work productivity outcomes in a European cohort of adults with haemophilia A: insights from the CHESS II study. Orphanet J Rare Dis. 2023;18(1):227. Published 2023 Aug 3. doi:10.1186/s13023-023-02690-w</w:t>
      </w:r>
    </w:p>
    <w:p w14:paraId="36953CB6" w14:textId="60737287" w:rsidR="00330EF0" w:rsidRDefault="00330EF0" w:rsidP="00716E01">
      <w:pPr>
        <w:rPr>
          <w:rFonts w:ascii="Times New Roman" w:hAnsi="Times New Roman"/>
          <w:sz w:val="20"/>
          <w:szCs w:val="20"/>
        </w:rPr>
      </w:pPr>
      <w:r>
        <w:rPr>
          <w:rFonts w:ascii="Times New Roman" w:hAnsi="Times New Roman" w:hint="eastAsia"/>
          <w:sz w:val="20"/>
          <w:szCs w:val="20"/>
        </w:rPr>
        <w:t xml:space="preserve">31. </w:t>
      </w:r>
      <w:r w:rsidRPr="00330EF0">
        <w:rPr>
          <w:rFonts w:ascii="Times New Roman" w:hAnsi="Times New Roman"/>
          <w:sz w:val="20"/>
          <w:szCs w:val="20"/>
        </w:rPr>
        <w:t>Page MJ, McKenzie JE, Bossuyt PM, Boutron I, Hoffmann TC, Mulrow CD, et al. The PRISMA 2020 statement: an updated guideline for reporting systematic reviews. BMJ 2021;372:n71. doi: 10.1136/bmj.n71</w:t>
      </w:r>
    </w:p>
    <w:p w14:paraId="7E862869" w14:textId="3A07E962" w:rsidR="00C7707D" w:rsidRPr="00A12818" w:rsidRDefault="00C7707D" w:rsidP="00716E01">
      <w:pPr>
        <w:rPr>
          <w:rFonts w:ascii="Times New Roman" w:hAnsi="Times New Roman"/>
          <w:sz w:val="20"/>
          <w:szCs w:val="20"/>
        </w:rPr>
      </w:pPr>
      <w:r>
        <w:rPr>
          <w:rFonts w:ascii="Times New Roman" w:hAnsi="Times New Roman" w:hint="eastAsia"/>
          <w:sz w:val="20"/>
          <w:szCs w:val="20"/>
        </w:rPr>
        <w:t xml:space="preserve">32. </w:t>
      </w:r>
      <w:r w:rsidRPr="00C7707D">
        <w:rPr>
          <w:rFonts w:ascii="Times New Roman" w:hAnsi="Times New Roman"/>
          <w:sz w:val="20"/>
          <w:szCs w:val="20"/>
        </w:rPr>
        <w:t>Yaozhi Data. Yaozhi Database [Internet]. Chongqing (China): Yaozhi Data Technology Co., Ltd; 2024 [cited 2024 May]. Available from: https://db.yaozh.com/</w:t>
      </w:r>
    </w:p>
    <w:sectPr w:rsidR="00C7707D" w:rsidRPr="00A12818" w:rsidSect="000D68A8">
      <w:footerReference w:type="even" r:id="rId15"/>
      <w:footerReference w:type="default" r:id="rId16"/>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DD7E" w14:textId="77777777" w:rsidR="005069A7" w:rsidRDefault="005069A7" w:rsidP="00D3109D">
      <w:r>
        <w:separator/>
      </w:r>
    </w:p>
    <w:p w14:paraId="1841F029" w14:textId="77777777" w:rsidR="005069A7" w:rsidRDefault="005069A7"/>
  </w:endnote>
  <w:endnote w:type="continuationSeparator" w:id="0">
    <w:p w14:paraId="081E28FF" w14:textId="77777777" w:rsidR="005069A7" w:rsidRDefault="005069A7" w:rsidP="00D3109D">
      <w:r>
        <w:continuationSeparator/>
      </w:r>
    </w:p>
    <w:p w14:paraId="08177351" w14:textId="77777777" w:rsidR="005069A7" w:rsidRDefault="005069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altName w:val="Microsoft YaHei"/>
    <w:panose1 w:val="020B0503020204020204"/>
    <w:charset w:val="86"/>
    <w:family w:val="swiss"/>
    <w:pitch w:val="variable"/>
    <w:sig w:usb0="80000287" w:usb1="2ACF3C50" w:usb2="00000016" w:usb3="00000000" w:csb0="0004001F" w:csb1="00000000"/>
  </w:font>
  <w:font w:name="楷体">
    <w:altName w:val="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736667135"/>
      <w:docPartObj>
        <w:docPartGallery w:val="Page Numbers (Bottom of Page)"/>
        <w:docPartUnique/>
      </w:docPartObj>
    </w:sdtPr>
    <w:sdtContent>
      <w:p w14:paraId="24D97EF1" w14:textId="77777777" w:rsidR="00D3109D" w:rsidRDefault="00D3109D" w:rsidP="00C65E0E">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14:paraId="46E79C7F" w14:textId="77777777" w:rsidR="00D3109D" w:rsidRDefault="00D3109D" w:rsidP="00D3109D">
    <w:pPr>
      <w:pStyle w:val="af"/>
      <w:ind w:right="360"/>
    </w:pPr>
  </w:p>
  <w:p w14:paraId="3E6B8FC6" w14:textId="77777777" w:rsidR="000A44B1" w:rsidRDefault="000A44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596237651"/>
      <w:docPartObj>
        <w:docPartGallery w:val="Page Numbers (Bottom of Page)"/>
        <w:docPartUnique/>
      </w:docPartObj>
    </w:sdtPr>
    <w:sdtContent>
      <w:p w14:paraId="66388589" w14:textId="77777777" w:rsidR="00D3109D" w:rsidRDefault="00D3109D" w:rsidP="00C65E0E">
        <w:pPr>
          <w:pStyle w:val="af"/>
          <w:framePr w:wrap="none" w:vAnchor="text" w:hAnchor="margin" w:xAlign="right" w:y="1"/>
          <w:rPr>
            <w:rStyle w:val="af1"/>
          </w:rPr>
        </w:pPr>
        <w:r w:rsidRPr="00D3109D">
          <w:rPr>
            <w:rStyle w:val="af1"/>
            <w:rFonts w:ascii="Times New Roman" w:hAnsi="Times New Roman" w:cs="Times New Roman"/>
          </w:rPr>
          <w:fldChar w:fldCharType="begin"/>
        </w:r>
        <w:r w:rsidRPr="00D3109D">
          <w:rPr>
            <w:rStyle w:val="af1"/>
            <w:rFonts w:ascii="Times New Roman" w:hAnsi="Times New Roman" w:cs="Times New Roman"/>
          </w:rPr>
          <w:instrText xml:space="preserve"> PAGE </w:instrText>
        </w:r>
        <w:r w:rsidRPr="00D3109D">
          <w:rPr>
            <w:rStyle w:val="af1"/>
            <w:rFonts w:ascii="Times New Roman" w:hAnsi="Times New Roman" w:cs="Times New Roman"/>
          </w:rPr>
          <w:fldChar w:fldCharType="separate"/>
        </w:r>
        <w:r w:rsidRPr="00D3109D">
          <w:rPr>
            <w:rStyle w:val="af1"/>
            <w:rFonts w:ascii="Times New Roman" w:hAnsi="Times New Roman" w:cs="Times New Roman"/>
            <w:noProof/>
          </w:rPr>
          <w:t>1</w:t>
        </w:r>
        <w:r w:rsidRPr="00D3109D">
          <w:rPr>
            <w:rStyle w:val="af1"/>
            <w:rFonts w:ascii="Times New Roman" w:hAnsi="Times New Roman" w:cs="Times New Roman"/>
          </w:rPr>
          <w:fldChar w:fldCharType="end"/>
        </w:r>
      </w:p>
    </w:sdtContent>
  </w:sdt>
  <w:p w14:paraId="2167D65A" w14:textId="77777777" w:rsidR="00D3109D" w:rsidRDefault="00D3109D" w:rsidP="00D3109D">
    <w:pPr>
      <w:pStyle w:val="af"/>
      <w:ind w:right="360"/>
    </w:pPr>
  </w:p>
  <w:p w14:paraId="2796FEA8" w14:textId="77777777" w:rsidR="000A44B1" w:rsidRDefault="000A44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FEDB" w14:textId="77777777" w:rsidR="005069A7" w:rsidRDefault="005069A7" w:rsidP="00D3109D">
      <w:r>
        <w:separator/>
      </w:r>
    </w:p>
    <w:p w14:paraId="319609AD" w14:textId="77777777" w:rsidR="005069A7" w:rsidRDefault="005069A7"/>
  </w:footnote>
  <w:footnote w:type="continuationSeparator" w:id="0">
    <w:p w14:paraId="22024868" w14:textId="77777777" w:rsidR="005069A7" w:rsidRDefault="005069A7" w:rsidP="00D3109D">
      <w:r>
        <w:continuationSeparator/>
      </w:r>
    </w:p>
    <w:p w14:paraId="4CA08E2E" w14:textId="77777777" w:rsidR="005069A7" w:rsidRDefault="005069A7"/>
  </w:footnote>
  <w:footnote w:id="1">
    <w:p w14:paraId="01F11BBC" w14:textId="7934C6B4" w:rsidR="00C05E32" w:rsidRPr="003D5652" w:rsidRDefault="00C05E32" w:rsidP="003D5652">
      <w:pPr>
        <w:pStyle w:val="aff0"/>
        <w:rPr>
          <w:rFonts w:ascii="Times New Roman" w:hAnsi="Times New Roman" w:cs="Times New Roman"/>
          <w:sz w:val="20"/>
          <w:szCs w:val="20"/>
        </w:rPr>
      </w:pPr>
      <w:r w:rsidRPr="003D5652">
        <w:rPr>
          <w:rStyle w:val="aff"/>
          <w:rFonts w:ascii="Times New Roman" w:hAnsi="Times New Roman" w:cs="Times New Roman"/>
          <w:sz w:val="20"/>
          <w:szCs w:val="20"/>
        </w:rPr>
        <w:footnoteRef/>
      </w:r>
      <w:r w:rsidRPr="003D5652">
        <w:rPr>
          <w:rFonts w:ascii="Times New Roman" w:hAnsi="Times New Roman" w:cs="Times New Roman"/>
          <w:sz w:val="20"/>
          <w:szCs w:val="20"/>
        </w:rPr>
        <w:t xml:space="preserve"> Drug acquisition costs were sourced from the Yaozhi Database [32]. Annual dosage quantity were derived from a survey of five clinical experts in the field of hemophilia.</w:t>
      </w:r>
    </w:p>
  </w:footnote>
  <w:footnote w:id="2">
    <w:p w14:paraId="0A9A46DF" w14:textId="75111AB3" w:rsidR="00C05E32" w:rsidRDefault="00C05E32">
      <w:pPr>
        <w:pStyle w:val="afd"/>
      </w:pPr>
      <w:r>
        <w:rPr>
          <w:rStyle w:val="aff"/>
        </w:rPr>
        <w:footnoteRef/>
      </w:r>
      <w:r>
        <w:t xml:space="preserve"> </w:t>
      </w:r>
      <w:r w:rsidRPr="00301691">
        <w:rPr>
          <w:rFonts w:ascii="Times New Roman" w:hAnsi="Times New Roman" w:cs="Times New Roman"/>
          <w:sz w:val="20"/>
          <w:szCs w:val="20"/>
        </w:rPr>
        <w:t xml:space="preserve">Drug acquisition costs were sourced from the Yaozhi Database [32]. </w:t>
      </w:r>
      <w:r>
        <w:rPr>
          <w:rFonts w:ascii="Times New Roman" w:hAnsi="Times New Roman" w:cs="Times New Roman" w:hint="eastAsia"/>
          <w:sz w:val="20"/>
          <w:szCs w:val="20"/>
        </w:rPr>
        <w:t xml:space="preserve">Data on treatment pattern </w:t>
      </w:r>
      <w:r w:rsidRPr="00301691">
        <w:rPr>
          <w:rFonts w:ascii="Times New Roman" w:hAnsi="Times New Roman" w:cs="Times New Roman"/>
          <w:sz w:val="20"/>
          <w:szCs w:val="20"/>
        </w:rPr>
        <w:t>were derived from a survey of five clinical experts in the field of hemophilia.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F6E63"/>
    <w:multiLevelType w:val="multilevel"/>
    <w:tmpl w:val="15D4D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7B09D2"/>
    <w:multiLevelType w:val="multilevel"/>
    <w:tmpl w:val="E8A8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E6290F"/>
    <w:multiLevelType w:val="multilevel"/>
    <w:tmpl w:val="C9E4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AD56BB"/>
    <w:multiLevelType w:val="multilevel"/>
    <w:tmpl w:val="276E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0134C"/>
    <w:multiLevelType w:val="hybridMultilevel"/>
    <w:tmpl w:val="1DF48EF2"/>
    <w:lvl w:ilvl="0" w:tplc="06DEAAD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794977596">
    <w:abstractNumId w:val="0"/>
  </w:num>
  <w:num w:numId="2" w16cid:durableId="2060662956">
    <w:abstractNumId w:val="3"/>
  </w:num>
  <w:num w:numId="3" w16cid:durableId="796796932">
    <w:abstractNumId w:val="2"/>
  </w:num>
  <w:num w:numId="4" w16cid:durableId="1393384079">
    <w:abstractNumId w:val="1"/>
  </w:num>
  <w:num w:numId="5" w16cid:durableId="1039938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9D"/>
    <w:rsid w:val="0001503F"/>
    <w:rsid w:val="00036352"/>
    <w:rsid w:val="00037C91"/>
    <w:rsid w:val="00055FC1"/>
    <w:rsid w:val="00064F06"/>
    <w:rsid w:val="00080421"/>
    <w:rsid w:val="000A00B7"/>
    <w:rsid w:val="000A44B1"/>
    <w:rsid w:val="000D11CF"/>
    <w:rsid w:val="000D3787"/>
    <w:rsid w:val="000D68A8"/>
    <w:rsid w:val="000D78AA"/>
    <w:rsid w:val="000F5ED2"/>
    <w:rsid w:val="001034DE"/>
    <w:rsid w:val="00123518"/>
    <w:rsid w:val="00151085"/>
    <w:rsid w:val="00151E80"/>
    <w:rsid w:val="00152C10"/>
    <w:rsid w:val="00154D6A"/>
    <w:rsid w:val="0016784E"/>
    <w:rsid w:val="001770DA"/>
    <w:rsid w:val="00182CA3"/>
    <w:rsid w:val="00186677"/>
    <w:rsid w:val="00190734"/>
    <w:rsid w:val="00194CB8"/>
    <w:rsid w:val="001C6955"/>
    <w:rsid w:val="001D420C"/>
    <w:rsid w:val="001D6216"/>
    <w:rsid w:val="001D6EF5"/>
    <w:rsid w:val="001E6021"/>
    <w:rsid w:val="001F370B"/>
    <w:rsid w:val="0021490E"/>
    <w:rsid w:val="0027382E"/>
    <w:rsid w:val="0028301B"/>
    <w:rsid w:val="002A26DA"/>
    <w:rsid w:val="002A423D"/>
    <w:rsid w:val="002D21DA"/>
    <w:rsid w:val="002D5FB5"/>
    <w:rsid w:val="00306C82"/>
    <w:rsid w:val="00321733"/>
    <w:rsid w:val="00330EF0"/>
    <w:rsid w:val="00357908"/>
    <w:rsid w:val="00370CE4"/>
    <w:rsid w:val="00376285"/>
    <w:rsid w:val="003969F4"/>
    <w:rsid w:val="003A52D9"/>
    <w:rsid w:val="003B0009"/>
    <w:rsid w:val="003C32EF"/>
    <w:rsid w:val="003D5652"/>
    <w:rsid w:val="003E2C25"/>
    <w:rsid w:val="003E3E87"/>
    <w:rsid w:val="003E6D11"/>
    <w:rsid w:val="003F7D5D"/>
    <w:rsid w:val="00405F6D"/>
    <w:rsid w:val="00432B82"/>
    <w:rsid w:val="004538E3"/>
    <w:rsid w:val="00462BD3"/>
    <w:rsid w:val="00470D96"/>
    <w:rsid w:val="00480373"/>
    <w:rsid w:val="00490EC3"/>
    <w:rsid w:val="004971A5"/>
    <w:rsid w:val="004A51A2"/>
    <w:rsid w:val="004A6EE8"/>
    <w:rsid w:val="004E0917"/>
    <w:rsid w:val="005069A7"/>
    <w:rsid w:val="005363CE"/>
    <w:rsid w:val="00540C10"/>
    <w:rsid w:val="00550350"/>
    <w:rsid w:val="0055302E"/>
    <w:rsid w:val="00553286"/>
    <w:rsid w:val="005623A0"/>
    <w:rsid w:val="00562B1E"/>
    <w:rsid w:val="00563D1C"/>
    <w:rsid w:val="005A6F44"/>
    <w:rsid w:val="005A71F5"/>
    <w:rsid w:val="005C5740"/>
    <w:rsid w:val="005C5E93"/>
    <w:rsid w:val="005D6EE6"/>
    <w:rsid w:val="00636255"/>
    <w:rsid w:val="00651543"/>
    <w:rsid w:val="006527B3"/>
    <w:rsid w:val="00657640"/>
    <w:rsid w:val="0066147A"/>
    <w:rsid w:val="006651A2"/>
    <w:rsid w:val="0067426D"/>
    <w:rsid w:val="0068500D"/>
    <w:rsid w:val="006D1927"/>
    <w:rsid w:val="00704119"/>
    <w:rsid w:val="007132B5"/>
    <w:rsid w:val="00716E01"/>
    <w:rsid w:val="007177A7"/>
    <w:rsid w:val="0073752D"/>
    <w:rsid w:val="00737B56"/>
    <w:rsid w:val="007532FA"/>
    <w:rsid w:val="00776CDA"/>
    <w:rsid w:val="007A02DE"/>
    <w:rsid w:val="007B7507"/>
    <w:rsid w:val="007C1B44"/>
    <w:rsid w:val="007C456A"/>
    <w:rsid w:val="007C4DE3"/>
    <w:rsid w:val="007D6E49"/>
    <w:rsid w:val="007E0EF5"/>
    <w:rsid w:val="007F30A2"/>
    <w:rsid w:val="00801C08"/>
    <w:rsid w:val="0082109F"/>
    <w:rsid w:val="00823E8F"/>
    <w:rsid w:val="00830BB5"/>
    <w:rsid w:val="00830FAE"/>
    <w:rsid w:val="008440ED"/>
    <w:rsid w:val="00894A8F"/>
    <w:rsid w:val="008A5396"/>
    <w:rsid w:val="008A68DA"/>
    <w:rsid w:val="008B60FC"/>
    <w:rsid w:val="008E25E0"/>
    <w:rsid w:val="008F7D60"/>
    <w:rsid w:val="009061BD"/>
    <w:rsid w:val="00913098"/>
    <w:rsid w:val="00921446"/>
    <w:rsid w:val="00922563"/>
    <w:rsid w:val="00934CD4"/>
    <w:rsid w:val="00941DC7"/>
    <w:rsid w:val="00950E7B"/>
    <w:rsid w:val="0095290C"/>
    <w:rsid w:val="00987DE2"/>
    <w:rsid w:val="00993754"/>
    <w:rsid w:val="009B23C3"/>
    <w:rsid w:val="009B6D3C"/>
    <w:rsid w:val="009D3F78"/>
    <w:rsid w:val="009E2595"/>
    <w:rsid w:val="009E5435"/>
    <w:rsid w:val="00A04F8D"/>
    <w:rsid w:val="00A12818"/>
    <w:rsid w:val="00A22DF8"/>
    <w:rsid w:val="00A23D7B"/>
    <w:rsid w:val="00A43BF9"/>
    <w:rsid w:val="00A727D8"/>
    <w:rsid w:val="00A74348"/>
    <w:rsid w:val="00A76B43"/>
    <w:rsid w:val="00A8135D"/>
    <w:rsid w:val="00A97F67"/>
    <w:rsid w:val="00AA1E53"/>
    <w:rsid w:val="00AA6802"/>
    <w:rsid w:val="00AB0563"/>
    <w:rsid w:val="00AC1FC4"/>
    <w:rsid w:val="00AD50CD"/>
    <w:rsid w:val="00AD6A68"/>
    <w:rsid w:val="00AE18DB"/>
    <w:rsid w:val="00AF735D"/>
    <w:rsid w:val="00B021F8"/>
    <w:rsid w:val="00B03E01"/>
    <w:rsid w:val="00B11944"/>
    <w:rsid w:val="00B30F55"/>
    <w:rsid w:val="00B320ED"/>
    <w:rsid w:val="00B334BC"/>
    <w:rsid w:val="00B62AAC"/>
    <w:rsid w:val="00B90DF7"/>
    <w:rsid w:val="00B912E0"/>
    <w:rsid w:val="00B913C3"/>
    <w:rsid w:val="00BA416B"/>
    <w:rsid w:val="00BA57DE"/>
    <w:rsid w:val="00BA7BB5"/>
    <w:rsid w:val="00BB4D4C"/>
    <w:rsid w:val="00BD101F"/>
    <w:rsid w:val="00BD46FB"/>
    <w:rsid w:val="00BD491E"/>
    <w:rsid w:val="00BF27FF"/>
    <w:rsid w:val="00C05E32"/>
    <w:rsid w:val="00C1286C"/>
    <w:rsid w:val="00C67319"/>
    <w:rsid w:val="00C7707D"/>
    <w:rsid w:val="00C8725A"/>
    <w:rsid w:val="00CA7B9C"/>
    <w:rsid w:val="00CC1BE4"/>
    <w:rsid w:val="00CD5AB4"/>
    <w:rsid w:val="00CF088E"/>
    <w:rsid w:val="00CF12A4"/>
    <w:rsid w:val="00D041AE"/>
    <w:rsid w:val="00D10311"/>
    <w:rsid w:val="00D162B3"/>
    <w:rsid w:val="00D1765D"/>
    <w:rsid w:val="00D3109D"/>
    <w:rsid w:val="00D3733F"/>
    <w:rsid w:val="00D417B4"/>
    <w:rsid w:val="00D45486"/>
    <w:rsid w:val="00D4712D"/>
    <w:rsid w:val="00D50934"/>
    <w:rsid w:val="00D527D3"/>
    <w:rsid w:val="00D5751D"/>
    <w:rsid w:val="00D80476"/>
    <w:rsid w:val="00D8368A"/>
    <w:rsid w:val="00D9669F"/>
    <w:rsid w:val="00DA4EB1"/>
    <w:rsid w:val="00DB57D7"/>
    <w:rsid w:val="00DC275C"/>
    <w:rsid w:val="00DC75FA"/>
    <w:rsid w:val="00DF1911"/>
    <w:rsid w:val="00E17372"/>
    <w:rsid w:val="00E26619"/>
    <w:rsid w:val="00E32F65"/>
    <w:rsid w:val="00E34247"/>
    <w:rsid w:val="00E62869"/>
    <w:rsid w:val="00E64355"/>
    <w:rsid w:val="00E70E94"/>
    <w:rsid w:val="00E72D12"/>
    <w:rsid w:val="00E7522E"/>
    <w:rsid w:val="00E97E85"/>
    <w:rsid w:val="00EA3AF5"/>
    <w:rsid w:val="00EB41C2"/>
    <w:rsid w:val="00EB472A"/>
    <w:rsid w:val="00EC2E5D"/>
    <w:rsid w:val="00EC571E"/>
    <w:rsid w:val="00EC771B"/>
    <w:rsid w:val="00F00935"/>
    <w:rsid w:val="00F01237"/>
    <w:rsid w:val="00F01F81"/>
    <w:rsid w:val="00F13980"/>
    <w:rsid w:val="00F15A6E"/>
    <w:rsid w:val="00F26F9C"/>
    <w:rsid w:val="00F2703E"/>
    <w:rsid w:val="00F45CAC"/>
    <w:rsid w:val="00F63E70"/>
    <w:rsid w:val="00F65E1E"/>
    <w:rsid w:val="00F67FE6"/>
    <w:rsid w:val="00F93198"/>
    <w:rsid w:val="00FA57C0"/>
    <w:rsid w:val="00FC6C75"/>
    <w:rsid w:val="00FF2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921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C82"/>
    <w:rPr>
      <w:rFonts w:ascii="宋体" w:eastAsia="宋体" w:hAnsi="宋体" w:cs="宋体"/>
      <w:kern w:val="0"/>
      <w:sz w:val="24"/>
    </w:rPr>
  </w:style>
  <w:style w:type="paragraph" w:styleId="1">
    <w:name w:val="heading 1"/>
    <w:basedOn w:val="a"/>
    <w:next w:val="a"/>
    <w:link w:val="10"/>
    <w:uiPriority w:val="9"/>
    <w:qFormat/>
    <w:rsid w:val="00D3109D"/>
    <w:pPr>
      <w:spacing w:before="100" w:beforeAutospacing="1" w:after="100" w:afterAutospacing="1" w:line="480" w:lineRule="auto"/>
      <w:outlineLvl w:val="0"/>
    </w:pPr>
    <w:rPr>
      <w:rFonts w:ascii="Times New Roman" w:hAnsi="Times New Roman" w:cs="Times New Roman"/>
      <w:b/>
      <w:bCs/>
    </w:rPr>
  </w:style>
  <w:style w:type="paragraph" w:styleId="2">
    <w:name w:val="heading 2"/>
    <w:basedOn w:val="3"/>
    <w:next w:val="a"/>
    <w:link w:val="20"/>
    <w:uiPriority w:val="9"/>
    <w:unhideWhenUsed/>
    <w:qFormat/>
    <w:rsid w:val="00EC571E"/>
    <w:pPr>
      <w:outlineLvl w:val="1"/>
    </w:pPr>
  </w:style>
  <w:style w:type="paragraph" w:styleId="3">
    <w:name w:val="heading 3"/>
    <w:basedOn w:val="a"/>
    <w:next w:val="a"/>
    <w:link w:val="30"/>
    <w:uiPriority w:val="9"/>
    <w:unhideWhenUsed/>
    <w:qFormat/>
    <w:rsid w:val="00D3109D"/>
    <w:pPr>
      <w:keepNext/>
      <w:keepLines/>
      <w:spacing w:before="160" w:after="80"/>
      <w:outlineLvl w:val="2"/>
    </w:pPr>
    <w:rPr>
      <w:rFonts w:ascii="Times New Roman" w:eastAsiaTheme="majorEastAsia" w:hAnsi="Times New Roman" w:cs="Times New Roman"/>
      <w:b/>
      <w:bCs/>
    </w:rPr>
  </w:style>
  <w:style w:type="paragraph" w:styleId="4">
    <w:name w:val="heading 4"/>
    <w:basedOn w:val="2"/>
    <w:next w:val="a"/>
    <w:link w:val="40"/>
    <w:uiPriority w:val="9"/>
    <w:unhideWhenUsed/>
    <w:qFormat/>
    <w:rsid w:val="00D3109D"/>
    <w:pPr>
      <w:outlineLvl w:val="3"/>
    </w:pPr>
  </w:style>
  <w:style w:type="paragraph" w:styleId="5">
    <w:name w:val="heading 5"/>
    <w:basedOn w:val="4"/>
    <w:next w:val="a"/>
    <w:link w:val="50"/>
    <w:uiPriority w:val="9"/>
    <w:unhideWhenUsed/>
    <w:qFormat/>
    <w:rsid w:val="00EC571E"/>
    <w:pPr>
      <w:outlineLvl w:val="4"/>
    </w:pPr>
  </w:style>
  <w:style w:type="paragraph" w:styleId="6">
    <w:name w:val="heading 6"/>
    <w:basedOn w:val="a"/>
    <w:next w:val="a"/>
    <w:link w:val="60"/>
    <w:uiPriority w:val="9"/>
    <w:semiHidden/>
    <w:unhideWhenUsed/>
    <w:qFormat/>
    <w:rsid w:val="00D3109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3109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3109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3109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F00935"/>
  </w:style>
  <w:style w:type="character" w:customStyle="1" w:styleId="10">
    <w:name w:val="标题 1 字符"/>
    <w:basedOn w:val="a0"/>
    <w:link w:val="1"/>
    <w:uiPriority w:val="9"/>
    <w:rsid w:val="00D3109D"/>
    <w:rPr>
      <w:rFonts w:ascii="Times New Roman" w:eastAsia="宋体" w:hAnsi="Times New Roman" w:cs="Times New Roman"/>
      <w:b/>
      <w:bCs/>
      <w:kern w:val="0"/>
      <w:sz w:val="24"/>
    </w:rPr>
  </w:style>
  <w:style w:type="character" w:customStyle="1" w:styleId="20">
    <w:name w:val="标题 2 字符"/>
    <w:basedOn w:val="a0"/>
    <w:link w:val="2"/>
    <w:uiPriority w:val="9"/>
    <w:rsid w:val="00EC571E"/>
    <w:rPr>
      <w:rFonts w:ascii="Times New Roman" w:eastAsiaTheme="majorEastAsia" w:hAnsi="Times New Roman" w:cs="Times New Roman"/>
      <w:b/>
      <w:bCs/>
      <w:sz w:val="24"/>
    </w:rPr>
  </w:style>
  <w:style w:type="character" w:customStyle="1" w:styleId="30">
    <w:name w:val="标题 3 字符"/>
    <w:basedOn w:val="a0"/>
    <w:link w:val="3"/>
    <w:uiPriority w:val="9"/>
    <w:rsid w:val="00D3109D"/>
    <w:rPr>
      <w:rFonts w:ascii="Times New Roman" w:eastAsiaTheme="majorEastAsia" w:hAnsi="Times New Roman" w:cs="Times New Roman"/>
      <w:b/>
      <w:bCs/>
      <w:sz w:val="24"/>
    </w:rPr>
  </w:style>
  <w:style w:type="character" w:customStyle="1" w:styleId="40">
    <w:name w:val="标题 4 字符"/>
    <w:basedOn w:val="a0"/>
    <w:link w:val="4"/>
    <w:uiPriority w:val="9"/>
    <w:rsid w:val="00D3109D"/>
    <w:rPr>
      <w:rFonts w:ascii="Times New Roman" w:eastAsiaTheme="majorEastAsia" w:hAnsi="Times New Roman" w:cs="Times New Roman"/>
      <w:sz w:val="24"/>
    </w:rPr>
  </w:style>
  <w:style w:type="character" w:customStyle="1" w:styleId="50">
    <w:name w:val="标题 5 字符"/>
    <w:basedOn w:val="a0"/>
    <w:link w:val="5"/>
    <w:uiPriority w:val="9"/>
    <w:rsid w:val="00EC571E"/>
    <w:rPr>
      <w:rFonts w:ascii="Times New Roman" w:eastAsiaTheme="majorEastAsia" w:hAnsi="Times New Roman" w:cs="Times New Roman"/>
      <w:b/>
      <w:bCs/>
      <w:sz w:val="24"/>
    </w:rPr>
  </w:style>
  <w:style w:type="character" w:customStyle="1" w:styleId="60">
    <w:name w:val="标题 6 字符"/>
    <w:basedOn w:val="a0"/>
    <w:link w:val="6"/>
    <w:uiPriority w:val="9"/>
    <w:semiHidden/>
    <w:rsid w:val="00D3109D"/>
    <w:rPr>
      <w:rFonts w:cstheme="majorBidi"/>
      <w:b/>
      <w:bCs/>
      <w:color w:val="0F4761" w:themeColor="accent1" w:themeShade="BF"/>
    </w:rPr>
  </w:style>
  <w:style w:type="character" w:customStyle="1" w:styleId="70">
    <w:name w:val="标题 7 字符"/>
    <w:basedOn w:val="a0"/>
    <w:link w:val="7"/>
    <w:uiPriority w:val="9"/>
    <w:semiHidden/>
    <w:rsid w:val="00D3109D"/>
    <w:rPr>
      <w:rFonts w:cstheme="majorBidi"/>
      <w:b/>
      <w:bCs/>
      <w:color w:val="595959" w:themeColor="text1" w:themeTint="A6"/>
    </w:rPr>
  </w:style>
  <w:style w:type="character" w:customStyle="1" w:styleId="80">
    <w:name w:val="标题 8 字符"/>
    <w:basedOn w:val="a0"/>
    <w:link w:val="8"/>
    <w:uiPriority w:val="9"/>
    <w:semiHidden/>
    <w:rsid w:val="00D3109D"/>
    <w:rPr>
      <w:rFonts w:cstheme="majorBidi"/>
      <w:color w:val="595959" w:themeColor="text1" w:themeTint="A6"/>
    </w:rPr>
  </w:style>
  <w:style w:type="character" w:customStyle="1" w:styleId="90">
    <w:name w:val="标题 9 字符"/>
    <w:basedOn w:val="a0"/>
    <w:link w:val="9"/>
    <w:uiPriority w:val="9"/>
    <w:semiHidden/>
    <w:rsid w:val="00D3109D"/>
    <w:rPr>
      <w:rFonts w:eastAsiaTheme="majorEastAsia" w:cstheme="majorBidi"/>
      <w:color w:val="595959" w:themeColor="text1" w:themeTint="A6"/>
    </w:rPr>
  </w:style>
  <w:style w:type="paragraph" w:styleId="a4">
    <w:name w:val="Title"/>
    <w:basedOn w:val="a"/>
    <w:next w:val="a"/>
    <w:link w:val="a5"/>
    <w:uiPriority w:val="10"/>
    <w:qFormat/>
    <w:rsid w:val="00D3109D"/>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D3109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3109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D3109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D3109D"/>
    <w:pPr>
      <w:spacing w:before="160" w:after="160"/>
      <w:jc w:val="center"/>
    </w:pPr>
    <w:rPr>
      <w:i/>
      <w:iCs/>
      <w:color w:val="404040" w:themeColor="text1" w:themeTint="BF"/>
    </w:rPr>
  </w:style>
  <w:style w:type="character" w:customStyle="1" w:styleId="a9">
    <w:name w:val="引用 字符"/>
    <w:basedOn w:val="a0"/>
    <w:link w:val="a8"/>
    <w:uiPriority w:val="29"/>
    <w:rsid w:val="00D3109D"/>
    <w:rPr>
      <w:i/>
      <w:iCs/>
      <w:color w:val="404040" w:themeColor="text1" w:themeTint="BF"/>
    </w:rPr>
  </w:style>
  <w:style w:type="paragraph" w:styleId="aa">
    <w:name w:val="List Paragraph"/>
    <w:basedOn w:val="a"/>
    <w:uiPriority w:val="34"/>
    <w:qFormat/>
    <w:rsid w:val="00D3109D"/>
    <w:pPr>
      <w:ind w:left="720"/>
      <w:contextualSpacing/>
    </w:pPr>
  </w:style>
  <w:style w:type="character" w:styleId="ab">
    <w:name w:val="Intense Emphasis"/>
    <w:basedOn w:val="a0"/>
    <w:uiPriority w:val="21"/>
    <w:qFormat/>
    <w:rsid w:val="00D3109D"/>
    <w:rPr>
      <w:i/>
      <w:iCs/>
      <w:color w:val="0F4761" w:themeColor="accent1" w:themeShade="BF"/>
    </w:rPr>
  </w:style>
  <w:style w:type="paragraph" w:styleId="ac">
    <w:name w:val="Intense Quote"/>
    <w:basedOn w:val="a"/>
    <w:next w:val="a"/>
    <w:link w:val="ad"/>
    <w:uiPriority w:val="30"/>
    <w:qFormat/>
    <w:rsid w:val="00D31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D3109D"/>
    <w:rPr>
      <w:i/>
      <w:iCs/>
      <w:color w:val="0F4761" w:themeColor="accent1" w:themeShade="BF"/>
    </w:rPr>
  </w:style>
  <w:style w:type="character" w:styleId="ae">
    <w:name w:val="Intense Reference"/>
    <w:basedOn w:val="a0"/>
    <w:uiPriority w:val="32"/>
    <w:qFormat/>
    <w:rsid w:val="00D3109D"/>
    <w:rPr>
      <w:b/>
      <w:bCs/>
      <w:smallCaps/>
      <w:color w:val="0F4761" w:themeColor="accent1" w:themeShade="BF"/>
      <w:spacing w:val="5"/>
    </w:rPr>
  </w:style>
  <w:style w:type="paragraph" w:styleId="af">
    <w:name w:val="footer"/>
    <w:basedOn w:val="a"/>
    <w:link w:val="af0"/>
    <w:uiPriority w:val="99"/>
    <w:unhideWhenUsed/>
    <w:rsid w:val="00D3109D"/>
    <w:pPr>
      <w:tabs>
        <w:tab w:val="center" w:pos="4153"/>
        <w:tab w:val="right" w:pos="8306"/>
      </w:tabs>
      <w:snapToGrid w:val="0"/>
    </w:pPr>
    <w:rPr>
      <w:sz w:val="18"/>
      <w:szCs w:val="18"/>
    </w:rPr>
  </w:style>
  <w:style w:type="character" w:customStyle="1" w:styleId="af0">
    <w:name w:val="页脚 字符"/>
    <w:basedOn w:val="a0"/>
    <w:link w:val="af"/>
    <w:uiPriority w:val="99"/>
    <w:rsid w:val="00D3109D"/>
    <w:rPr>
      <w:sz w:val="18"/>
      <w:szCs w:val="18"/>
    </w:rPr>
  </w:style>
  <w:style w:type="character" w:styleId="af1">
    <w:name w:val="page number"/>
    <w:basedOn w:val="a0"/>
    <w:uiPriority w:val="99"/>
    <w:semiHidden/>
    <w:unhideWhenUsed/>
    <w:rsid w:val="00D3109D"/>
  </w:style>
  <w:style w:type="paragraph" w:styleId="af2">
    <w:name w:val="header"/>
    <w:basedOn w:val="a"/>
    <w:link w:val="af3"/>
    <w:uiPriority w:val="99"/>
    <w:unhideWhenUsed/>
    <w:rsid w:val="00D3109D"/>
    <w:pPr>
      <w:tabs>
        <w:tab w:val="center" w:pos="4153"/>
        <w:tab w:val="right" w:pos="8306"/>
      </w:tabs>
      <w:snapToGrid w:val="0"/>
      <w:jc w:val="center"/>
    </w:pPr>
    <w:rPr>
      <w:sz w:val="18"/>
      <w:szCs w:val="18"/>
    </w:rPr>
  </w:style>
  <w:style w:type="character" w:customStyle="1" w:styleId="af3">
    <w:name w:val="页眉 字符"/>
    <w:basedOn w:val="a0"/>
    <w:link w:val="af2"/>
    <w:uiPriority w:val="99"/>
    <w:rsid w:val="00D3109D"/>
    <w:rPr>
      <w:sz w:val="18"/>
      <w:szCs w:val="18"/>
    </w:rPr>
  </w:style>
  <w:style w:type="character" w:styleId="af4">
    <w:name w:val="line number"/>
    <w:basedOn w:val="a0"/>
    <w:uiPriority w:val="99"/>
    <w:semiHidden/>
    <w:unhideWhenUsed/>
    <w:rsid w:val="00D3109D"/>
  </w:style>
  <w:style w:type="paragraph" w:customStyle="1" w:styleId="p1">
    <w:name w:val="p1"/>
    <w:basedOn w:val="a"/>
    <w:rsid w:val="00D3109D"/>
    <w:pPr>
      <w:spacing w:before="100" w:beforeAutospacing="1" w:after="100" w:afterAutospacing="1"/>
    </w:pPr>
  </w:style>
  <w:style w:type="character" w:customStyle="1" w:styleId="s1">
    <w:name w:val="s1"/>
    <w:basedOn w:val="a0"/>
    <w:rsid w:val="00D3109D"/>
  </w:style>
  <w:style w:type="paragraph" w:customStyle="1" w:styleId="p2">
    <w:name w:val="p2"/>
    <w:basedOn w:val="a"/>
    <w:rsid w:val="00D3109D"/>
    <w:pPr>
      <w:spacing w:before="100" w:beforeAutospacing="1" w:after="100" w:afterAutospacing="1"/>
    </w:pPr>
  </w:style>
  <w:style w:type="paragraph" w:customStyle="1" w:styleId="p3">
    <w:name w:val="p3"/>
    <w:basedOn w:val="a"/>
    <w:rsid w:val="00D3109D"/>
    <w:pPr>
      <w:spacing w:before="100" w:beforeAutospacing="1" w:after="100" w:afterAutospacing="1"/>
    </w:pPr>
  </w:style>
  <w:style w:type="character" w:customStyle="1" w:styleId="s2">
    <w:name w:val="s2"/>
    <w:basedOn w:val="a0"/>
    <w:rsid w:val="00D3109D"/>
  </w:style>
  <w:style w:type="paragraph" w:customStyle="1" w:styleId="p4">
    <w:name w:val="p4"/>
    <w:basedOn w:val="a"/>
    <w:rsid w:val="00D3109D"/>
    <w:pPr>
      <w:spacing w:before="100" w:beforeAutospacing="1" w:after="100" w:afterAutospacing="1"/>
    </w:pPr>
  </w:style>
  <w:style w:type="table" w:styleId="af5">
    <w:name w:val="Grid Table Light"/>
    <w:basedOn w:val="a1"/>
    <w:uiPriority w:val="40"/>
    <w:rsid w:val="00037C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6">
    <w:name w:val="Hyperlink"/>
    <w:basedOn w:val="a0"/>
    <w:uiPriority w:val="99"/>
    <w:unhideWhenUsed/>
    <w:rsid w:val="00716E01"/>
    <w:rPr>
      <w:color w:val="467886" w:themeColor="hyperlink"/>
      <w:u w:val="single"/>
    </w:rPr>
  </w:style>
  <w:style w:type="character" w:styleId="af7">
    <w:name w:val="Unresolved Mention"/>
    <w:basedOn w:val="a0"/>
    <w:uiPriority w:val="99"/>
    <w:semiHidden/>
    <w:unhideWhenUsed/>
    <w:rsid w:val="00716E01"/>
    <w:rPr>
      <w:color w:val="605E5C"/>
      <w:shd w:val="clear" w:color="auto" w:fill="E1DFDD"/>
    </w:rPr>
  </w:style>
  <w:style w:type="paragraph" w:styleId="TOC">
    <w:name w:val="TOC Heading"/>
    <w:basedOn w:val="1"/>
    <w:next w:val="a"/>
    <w:uiPriority w:val="39"/>
    <w:unhideWhenUsed/>
    <w:qFormat/>
    <w:rsid w:val="002D5FB5"/>
    <w:pPr>
      <w:keepNext/>
      <w:keepLines/>
      <w:spacing w:before="480" w:beforeAutospacing="0" w:after="0" w:afterAutospacing="0" w:line="276" w:lineRule="auto"/>
      <w:outlineLvl w:val="9"/>
    </w:pPr>
    <w:rPr>
      <w:rFonts w:asciiTheme="majorHAnsi" w:eastAsiaTheme="majorEastAsia" w:hAnsiTheme="majorHAnsi" w:cstheme="majorBidi"/>
      <w:color w:val="0F4761" w:themeColor="accent1" w:themeShade="BF"/>
      <w:sz w:val="28"/>
      <w:szCs w:val="28"/>
    </w:rPr>
  </w:style>
  <w:style w:type="paragraph" w:styleId="TOC1">
    <w:name w:val="toc 1"/>
    <w:basedOn w:val="a"/>
    <w:next w:val="a"/>
    <w:autoRedefine/>
    <w:uiPriority w:val="39"/>
    <w:unhideWhenUsed/>
    <w:rsid w:val="002D5FB5"/>
    <w:pPr>
      <w:spacing w:before="120" w:after="120"/>
    </w:pPr>
    <w:rPr>
      <w:rFonts w:asciiTheme="minorHAnsi" w:eastAsiaTheme="minorHAnsi"/>
      <w:b/>
      <w:bCs/>
      <w:caps/>
      <w:sz w:val="20"/>
      <w:szCs w:val="20"/>
    </w:rPr>
  </w:style>
  <w:style w:type="paragraph" w:styleId="TOC2">
    <w:name w:val="toc 2"/>
    <w:basedOn w:val="a"/>
    <w:next w:val="a"/>
    <w:autoRedefine/>
    <w:uiPriority w:val="39"/>
    <w:unhideWhenUsed/>
    <w:rsid w:val="002D5FB5"/>
    <w:pPr>
      <w:ind w:left="240"/>
    </w:pPr>
    <w:rPr>
      <w:rFonts w:asciiTheme="minorHAnsi" w:eastAsiaTheme="minorHAnsi"/>
      <w:smallCaps/>
      <w:sz w:val="20"/>
      <w:szCs w:val="20"/>
    </w:rPr>
  </w:style>
  <w:style w:type="paragraph" w:styleId="TOC3">
    <w:name w:val="toc 3"/>
    <w:basedOn w:val="a"/>
    <w:next w:val="a"/>
    <w:autoRedefine/>
    <w:uiPriority w:val="39"/>
    <w:unhideWhenUsed/>
    <w:rsid w:val="002D5FB5"/>
    <w:pPr>
      <w:ind w:left="480"/>
    </w:pPr>
    <w:rPr>
      <w:rFonts w:asciiTheme="minorHAnsi" w:eastAsiaTheme="minorHAnsi"/>
      <w:i/>
      <w:iCs/>
      <w:sz w:val="20"/>
      <w:szCs w:val="20"/>
    </w:rPr>
  </w:style>
  <w:style w:type="paragraph" w:styleId="TOC4">
    <w:name w:val="toc 4"/>
    <w:basedOn w:val="a"/>
    <w:next w:val="a"/>
    <w:autoRedefine/>
    <w:uiPriority w:val="39"/>
    <w:semiHidden/>
    <w:unhideWhenUsed/>
    <w:rsid w:val="002D5FB5"/>
    <w:pPr>
      <w:ind w:left="720"/>
    </w:pPr>
    <w:rPr>
      <w:rFonts w:asciiTheme="minorHAnsi" w:eastAsiaTheme="minorHAnsi"/>
      <w:sz w:val="18"/>
      <w:szCs w:val="18"/>
    </w:rPr>
  </w:style>
  <w:style w:type="paragraph" w:styleId="TOC5">
    <w:name w:val="toc 5"/>
    <w:basedOn w:val="a"/>
    <w:next w:val="a"/>
    <w:autoRedefine/>
    <w:uiPriority w:val="39"/>
    <w:semiHidden/>
    <w:unhideWhenUsed/>
    <w:rsid w:val="002D5FB5"/>
    <w:pPr>
      <w:ind w:left="960"/>
    </w:pPr>
    <w:rPr>
      <w:rFonts w:asciiTheme="minorHAnsi" w:eastAsiaTheme="minorHAnsi"/>
      <w:sz w:val="18"/>
      <w:szCs w:val="18"/>
    </w:rPr>
  </w:style>
  <w:style w:type="paragraph" w:styleId="TOC6">
    <w:name w:val="toc 6"/>
    <w:basedOn w:val="a"/>
    <w:next w:val="a"/>
    <w:autoRedefine/>
    <w:uiPriority w:val="39"/>
    <w:semiHidden/>
    <w:unhideWhenUsed/>
    <w:rsid w:val="002D5FB5"/>
    <w:pPr>
      <w:ind w:left="1200"/>
    </w:pPr>
    <w:rPr>
      <w:rFonts w:asciiTheme="minorHAnsi" w:eastAsiaTheme="minorHAnsi"/>
      <w:sz w:val="18"/>
      <w:szCs w:val="18"/>
    </w:rPr>
  </w:style>
  <w:style w:type="paragraph" w:styleId="TOC7">
    <w:name w:val="toc 7"/>
    <w:basedOn w:val="a"/>
    <w:next w:val="a"/>
    <w:autoRedefine/>
    <w:uiPriority w:val="39"/>
    <w:semiHidden/>
    <w:unhideWhenUsed/>
    <w:rsid w:val="002D5FB5"/>
    <w:pPr>
      <w:ind w:left="1440"/>
    </w:pPr>
    <w:rPr>
      <w:rFonts w:asciiTheme="minorHAnsi" w:eastAsiaTheme="minorHAnsi"/>
      <w:sz w:val="18"/>
      <w:szCs w:val="18"/>
    </w:rPr>
  </w:style>
  <w:style w:type="paragraph" w:styleId="TOC8">
    <w:name w:val="toc 8"/>
    <w:basedOn w:val="a"/>
    <w:next w:val="a"/>
    <w:autoRedefine/>
    <w:uiPriority w:val="39"/>
    <w:semiHidden/>
    <w:unhideWhenUsed/>
    <w:rsid w:val="002D5FB5"/>
    <w:pPr>
      <w:ind w:left="1680"/>
    </w:pPr>
    <w:rPr>
      <w:rFonts w:asciiTheme="minorHAnsi" w:eastAsiaTheme="minorHAnsi"/>
      <w:sz w:val="18"/>
      <w:szCs w:val="18"/>
    </w:rPr>
  </w:style>
  <w:style w:type="paragraph" w:styleId="TOC9">
    <w:name w:val="toc 9"/>
    <w:basedOn w:val="a"/>
    <w:next w:val="a"/>
    <w:autoRedefine/>
    <w:uiPriority w:val="39"/>
    <w:semiHidden/>
    <w:unhideWhenUsed/>
    <w:rsid w:val="002D5FB5"/>
    <w:pPr>
      <w:ind w:left="1920"/>
    </w:pPr>
    <w:rPr>
      <w:rFonts w:asciiTheme="minorHAnsi" w:eastAsiaTheme="minorHAnsi"/>
      <w:sz w:val="18"/>
      <w:szCs w:val="18"/>
    </w:rPr>
  </w:style>
  <w:style w:type="character" w:styleId="af8">
    <w:name w:val="annotation reference"/>
    <w:basedOn w:val="a0"/>
    <w:uiPriority w:val="99"/>
    <w:semiHidden/>
    <w:unhideWhenUsed/>
    <w:qFormat/>
    <w:rsid w:val="0073752D"/>
    <w:rPr>
      <w:sz w:val="21"/>
      <w:szCs w:val="21"/>
    </w:rPr>
  </w:style>
  <w:style w:type="paragraph" w:styleId="af9">
    <w:name w:val="annotation text"/>
    <w:basedOn w:val="a"/>
    <w:link w:val="afa"/>
    <w:unhideWhenUsed/>
    <w:qFormat/>
    <w:rsid w:val="0073752D"/>
  </w:style>
  <w:style w:type="character" w:customStyle="1" w:styleId="afa">
    <w:name w:val="批注文字 字符"/>
    <w:basedOn w:val="a0"/>
    <w:link w:val="af9"/>
    <w:qFormat/>
    <w:rsid w:val="0073752D"/>
    <w:rPr>
      <w:rFonts w:ascii="宋体" w:eastAsia="宋体" w:hAnsi="宋体" w:cs="宋体"/>
      <w:kern w:val="0"/>
      <w:sz w:val="24"/>
    </w:rPr>
  </w:style>
  <w:style w:type="paragraph" w:styleId="afb">
    <w:name w:val="annotation subject"/>
    <w:basedOn w:val="af9"/>
    <w:next w:val="af9"/>
    <w:link w:val="afc"/>
    <w:uiPriority w:val="99"/>
    <w:semiHidden/>
    <w:unhideWhenUsed/>
    <w:rsid w:val="0073752D"/>
    <w:rPr>
      <w:b/>
      <w:bCs/>
    </w:rPr>
  </w:style>
  <w:style w:type="character" w:customStyle="1" w:styleId="afc">
    <w:name w:val="批注主题 字符"/>
    <w:basedOn w:val="afa"/>
    <w:link w:val="afb"/>
    <w:uiPriority w:val="99"/>
    <w:semiHidden/>
    <w:rsid w:val="0073752D"/>
    <w:rPr>
      <w:rFonts w:ascii="宋体" w:eastAsia="宋体" w:hAnsi="宋体" w:cs="宋体"/>
      <w:b/>
      <w:bCs/>
      <w:kern w:val="0"/>
      <w:sz w:val="24"/>
    </w:rPr>
  </w:style>
  <w:style w:type="paragraph" w:styleId="afd">
    <w:name w:val="footnote text"/>
    <w:basedOn w:val="a"/>
    <w:link w:val="afe"/>
    <w:uiPriority w:val="99"/>
    <w:semiHidden/>
    <w:unhideWhenUsed/>
    <w:rsid w:val="00C05E32"/>
    <w:pPr>
      <w:snapToGrid w:val="0"/>
    </w:pPr>
    <w:rPr>
      <w:sz w:val="18"/>
      <w:szCs w:val="18"/>
    </w:rPr>
  </w:style>
  <w:style w:type="character" w:customStyle="1" w:styleId="afe">
    <w:name w:val="脚注文本 字符"/>
    <w:basedOn w:val="a0"/>
    <w:link w:val="afd"/>
    <w:uiPriority w:val="99"/>
    <w:semiHidden/>
    <w:rsid w:val="00C05E32"/>
    <w:rPr>
      <w:rFonts w:ascii="宋体" w:eastAsia="宋体" w:hAnsi="宋体" w:cs="宋体"/>
      <w:kern w:val="0"/>
      <w:sz w:val="18"/>
      <w:szCs w:val="18"/>
    </w:rPr>
  </w:style>
  <w:style w:type="character" w:styleId="aff">
    <w:name w:val="footnote reference"/>
    <w:basedOn w:val="a0"/>
    <w:uiPriority w:val="99"/>
    <w:semiHidden/>
    <w:unhideWhenUsed/>
    <w:rsid w:val="00C05E32"/>
    <w:rPr>
      <w:vertAlign w:val="superscript"/>
    </w:rPr>
  </w:style>
  <w:style w:type="paragraph" w:styleId="aff0">
    <w:name w:val="Normal (Web)"/>
    <w:basedOn w:val="a"/>
    <w:uiPriority w:val="99"/>
    <w:unhideWhenUsed/>
    <w:rsid w:val="00C05E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7621">
      <w:bodyDiv w:val="1"/>
      <w:marLeft w:val="0"/>
      <w:marRight w:val="0"/>
      <w:marTop w:val="0"/>
      <w:marBottom w:val="0"/>
      <w:divBdr>
        <w:top w:val="none" w:sz="0" w:space="0" w:color="auto"/>
        <w:left w:val="none" w:sz="0" w:space="0" w:color="auto"/>
        <w:bottom w:val="none" w:sz="0" w:space="0" w:color="auto"/>
        <w:right w:val="none" w:sz="0" w:space="0" w:color="auto"/>
      </w:divBdr>
    </w:div>
    <w:div w:id="580481472">
      <w:bodyDiv w:val="1"/>
      <w:marLeft w:val="0"/>
      <w:marRight w:val="0"/>
      <w:marTop w:val="0"/>
      <w:marBottom w:val="0"/>
      <w:divBdr>
        <w:top w:val="none" w:sz="0" w:space="0" w:color="auto"/>
        <w:left w:val="none" w:sz="0" w:space="0" w:color="auto"/>
        <w:bottom w:val="none" w:sz="0" w:space="0" w:color="auto"/>
        <w:right w:val="none" w:sz="0" w:space="0" w:color="auto"/>
      </w:divBdr>
    </w:div>
    <w:div w:id="757871461">
      <w:bodyDiv w:val="1"/>
      <w:marLeft w:val="0"/>
      <w:marRight w:val="0"/>
      <w:marTop w:val="0"/>
      <w:marBottom w:val="0"/>
      <w:divBdr>
        <w:top w:val="none" w:sz="0" w:space="0" w:color="auto"/>
        <w:left w:val="none" w:sz="0" w:space="0" w:color="auto"/>
        <w:bottom w:val="none" w:sz="0" w:space="0" w:color="auto"/>
        <w:right w:val="none" w:sz="0" w:space="0" w:color="auto"/>
      </w:divBdr>
    </w:div>
    <w:div w:id="1170483393">
      <w:bodyDiv w:val="1"/>
      <w:marLeft w:val="0"/>
      <w:marRight w:val="0"/>
      <w:marTop w:val="0"/>
      <w:marBottom w:val="0"/>
      <w:divBdr>
        <w:top w:val="none" w:sz="0" w:space="0" w:color="auto"/>
        <w:left w:val="none" w:sz="0" w:space="0" w:color="auto"/>
        <w:bottom w:val="none" w:sz="0" w:space="0" w:color="auto"/>
        <w:right w:val="none" w:sz="0" w:space="0" w:color="auto"/>
      </w:divBdr>
    </w:div>
    <w:div w:id="1170944988">
      <w:bodyDiv w:val="1"/>
      <w:marLeft w:val="0"/>
      <w:marRight w:val="0"/>
      <w:marTop w:val="0"/>
      <w:marBottom w:val="0"/>
      <w:divBdr>
        <w:top w:val="none" w:sz="0" w:space="0" w:color="auto"/>
        <w:left w:val="none" w:sz="0" w:space="0" w:color="auto"/>
        <w:bottom w:val="none" w:sz="0" w:space="0" w:color="auto"/>
        <w:right w:val="none" w:sz="0" w:space="0" w:color="auto"/>
      </w:divBdr>
    </w:div>
    <w:div w:id="1242324966">
      <w:bodyDiv w:val="1"/>
      <w:marLeft w:val="0"/>
      <w:marRight w:val="0"/>
      <w:marTop w:val="0"/>
      <w:marBottom w:val="0"/>
      <w:divBdr>
        <w:top w:val="none" w:sz="0" w:space="0" w:color="auto"/>
        <w:left w:val="none" w:sz="0" w:space="0" w:color="auto"/>
        <w:bottom w:val="none" w:sz="0" w:space="0" w:color="auto"/>
        <w:right w:val="none" w:sz="0" w:space="0" w:color="auto"/>
      </w:divBdr>
    </w:div>
    <w:div w:id="1511917969">
      <w:bodyDiv w:val="1"/>
      <w:marLeft w:val="0"/>
      <w:marRight w:val="0"/>
      <w:marTop w:val="0"/>
      <w:marBottom w:val="0"/>
      <w:divBdr>
        <w:top w:val="none" w:sz="0" w:space="0" w:color="auto"/>
        <w:left w:val="none" w:sz="0" w:space="0" w:color="auto"/>
        <w:bottom w:val="none" w:sz="0" w:space="0" w:color="auto"/>
        <w:right w:val="none" w:sz="0" w:space="0" w:color="auto"/>
      </w:divBdr>
    </w:div>
    <w:div w:id="1637371443">
      <w:bodyDiv w:val="1"/>
      <w:marLeft w:val="0"/>
      <w:marRight w:val="0"/>
      <w:marTop w:val="0"/>
      <w:marBottom w:val="0"/>
      <w:divBdr>
        <w:top w:val="none" w:sz="0" w:space="0" w:color="auto"/>
        <w:left w:val="none" w:sz="0" w:space="0" w:color="auto"/>
        <w:bottom w:val="none" w:sz="0" w:space="0" w:color="auto"/>
        <w:right w:val="none" w:sz="0" w:space="0" w:color="auto"/>
      </w:divBdr>
    </w:div>
    <w:div w:id="1641642567">
      <w:bodyDiv w:val="1"/>
      <w:marLeft w:val="0"/>
      <w:marRight w:val="0"/>
      <w:marTop w:val="0"/>
      <w:marBottom w:val="0"/>
      <w:divBdr>
        <w:top w:val="none" w:sz="0" w:space="0" w:color="auto"/>
        <w:left w:val="none" w:sz="0" w:space="0" w:color="auto"/>
        <w:bottom w:val="none" w:sz="0" w:space="0" w:color="auto"/>
        <w:right w:val="none" w:sz="0" w:space="0" w:color="auto"/>
      </w:divBdr>
    </w:div>
    <w:div w:id="1659922983">
      <w:bodyDiv w:val="1"/>
      <w:marLeft w:val="0"/>
      <w:marRight w:val="0"/>
      <w:marTop w:val="0"/>
      <w:marBottom w:val="0"/>
      <w:divBdr>
        <w:top w:val="none" w:sz="0" w:space="0" w:color="auto"/>
        <w:left w:val="none" w:sz="0" w:space="0" w:color="auto"/>
        <w:bottom w:val="none" w:sz="0" w:space="0" w:color="auto"/>
        <w:right w:val="none" w:sz="0" w:space="0" w:color="auto"/>
      </w:divBdr>
    </w:div>
    <w:div w:id="1802459936">
      <w:bodyDiv w:val="1"/>
      <w:marLeft w:val="0"/>
      <w:marRight w:val="0"/>
      <w:marTop w:val="0"/>
      <w:marBottom w:val="0"/>
      <w:divBdr>
        <w:top w:val="none" w:sz="0" w:space="0" w:color="auto"/>
        <w:left w:val="none" w:sz="0" w:space="0" w:color="auto"/>
        <w:bottom w:val="none" w:sz="0" w:space="0" w:color="auto"/>
        <w:right w:val="none" w:sz="0" w:space="0" w:color="auto"/>
      </w:divBdr>
    </w:div>
    <w:div w:id="1888763571">
      <w:bodyDiv w:val="1"/>
      <w:marLeft w:val="0"/>
      <w:marRight w:val="0"/>
      <w:marTop w:val="0"/>
      <w:marBottom w:val="0"/>
      <w:divBdr>
        <w:top w:val="none" w:sz="0" w:space="0" w:color="auto"/>
        <w:left w:val="none" w:sz="0" w:space="0" w:color="auto"/>
        <w:bottom w:val="none" w:sz="0" w:space="0" w:color="auto"/>
        <w:right w:val="none" w:sz="0" w:space="0" w:color="auto"/>
      </w:divBdr>
    </w:div>
    <w:div w:id="1939679211">
      <w:bodyDiv w:val="1"/>
      <w:marLeft w:val="0"/>
      <w:marRight w:val="0"/>
      <w:marTop w:val="0"/>
      <w:marBottom w:val="0"/>
      <w:divBdr>
        <w:top w:val="none" w:sz="0" w:space="0" w:color="auto"/>
        <w:left w:val="none" w:sz="0" w:space="0" w:color="auto"/>
        <w:bottom w:val="none" w:sz="0" w:space="0" w:color="auto"/>
        <w:right w:val="none" w:sz="0" w:space="0" w:color="auto"/>
      </w:divBdr>
    </w:div>
    <w:div w:id="197598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rtyong@sdu.edu.c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11/hae.1266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850CA-C62F-B140-806B-C4EF0647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6845</Words>
  <Characters>39023</Characters>
  <Application>Microsoft Office Word</Application>
  <DocSecurity>0</DocSecurity>
  <Lines>325</Lines>
  <Paragraphs>91</Paragraphs>
  <ScaleCrop>false</ScaleCrop>
  <Company/>
  <LinksUpToDate>false</LinksUpToDate>
  <CharactersWithSpaces>45777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2025-11-14T02:55:00Z</dcterms:created>
  <dcterms:modified xsi:type="dcterms:W3CDTF">2025-11-14T02:55:00Z</dcterms:modified>
</cp:coreProperties>
</file>