
<file path=[Content_Types].xml><?xml version="1.0" encoding="utf-8"?>
<Types xmlns="http://schemas.openxmlformats.org/package/2006/content-types">
  <Default Extension="json" ContentType="application/json"/>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doc" Type="http://schemas.openxmlformats.org/officeDocument/2006/relationships/json" Target="docProps/authors.json"/><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AD817" w14:textId="26A213BD" w:rsidR="00B230CD" w:rsidRPr="00CF536C" w:rsidRDefault="00B230CD" w:rsidP="00B230CD">
      <w:pPr>
        <w:pStyle w:val="Heading1"/>
      </w:pPr>
      <w:r w:rsidRPr="00CF536C">
        <w:t>Title Page</w:t>
      </w:r>
    </w:p>
    <w:p w14:paraId="4CC3D83C" w14:textId="3E08FFF5" w:rsidR="00915BCA" w:rsidRPr="00CF536C" w:rsidRDefault="00915BCA" w:rsidP="00CE6C61">
      <w:pPr>
        <w:spacing w:after="240" w:line="360" w:lineRule="auto"/>
        <w:rPr>
          <w:bCs/>
          <w:color w:val="000000" w:themeColor="text1"/>
          <w:lang w:val="en-US"/>
        </w:rPr>
      </w:pPr>
      <w:r w:rsidRPr="00CF536C">
        <w:rPr>
          <w:bCs/>
          <w:color w:val="000000" w:themeColor="text1"/>
          <w:lang w:val="en-US"/>
        </w:rPr>
        <w:t xml:space="preserve">Journal: PharmacoEconomics </w:t>
      </w:r>
      <w:r w:rsidR="00663A49" w:rsidRPr="00CF536C">
        <w:rPr>
          <w:bCs/>
          <w:color w:val="000000" w:themeColor="text1"/>
          <w:lang w:val="en-US"/>
        </w:rPr>
        <w:t xml:space="preserve">- </w:t>
      </w:r>
      <w:r w:rsidRPr="00CF536C">
        <w:rPr>
          <w:bCs/>
          <w:color w:val="000000" w:themeColor="text1"/>
          <w:lang w:val="en-US"/>
        </w:rPr>
        <w:t>Open</w:t>
      </w:r>
    </w:p>
    <w:p w14:paraId="0D9CE3F1" w14:textId="79A868A7" w:rsidR="00CE6C61" w:rsidRPr="00CF536C" w:rsidRDefault="00E8359E" w:rsidP="00065D44">
      <w:pPr>
        <w:spacing w:after="240" w:line="360" w:lineRule="auto"/>
        <w:jc w:val="center"/>
        <w:rPr>
          <w:b/>
          <w:color w:val="000000" w:themeColor="text1"/>
          <w:sz w:val="28"/>
          <w:szCs w:val="28"/>
          <w:lang w:val="en-US"/>
        </w:rPr>
      </w:pPr>
      <w:r w:rsidRPr="00CF536C">
        <w:rPr>
          <w:b/>
          <w:color w:val="000000" w:themeColor="text1"/>
          <w:sz w:val="28"/>
          <w:szCs w:val="28"/>
          <w:lang w:val="en-US"/>
        </w:rPr>
        <w:t xml:space="preserve">Cost-effectiveness of the adjuvanted recombinant zoster vaccine </w:t>
      </w:r>
      <w:r w:rsidR="00B23798" w:rsidRPr="00CF536C">
        <w:rPr>
          <w:b/>
          <w:color w:val="000000" w:themeColor="text1"/>
          <w:sz w:val="28"/>
          <w:szCs w:val="28"/>
          <w:lang w:val="en-US"/>
        </w:rPr>
        <w:t xml:space="preserve">in </w:t>
      </w:r>
      <w:r w:rsidRPr="00CF536C">
        <w:rPr>
          <w:b/>
          <w:color w:val="000000" w:themeColor="text1"/>
          <w:sz w:val="28"/>
          <w:szCs w:val="28"/>
          <w:lang w:val="en-US"/>
        </w:rPr>
        <w:t>older adults in Portugal</w:t>
      </w:r>
    </w:p>
    <w:p w14:paraId="1BCD9E4F" w14:textId="3B057409" w:rsidR="0095197E" w:rsidRPr="00CF536C" w:rsidRDefault="0095197E" w:rsidP="0095197E">
      <w:pPr>
        <w:spacing w:before="120" w:line="480" w:lineRule="auto"/>
        <w:rPr>
          <w:color w:val="000000" w:themeColor="text1"/>
          <w:lang w:val="pt-PT"/>
        </w:rPr>
      </w:pPr>
      <w:r w:rsidRPr="00CF536C">
        <w:rPr>
          <w:color w:val="000000" w:themeColor="text1"/>
          <w:lang w:val="pt-PT"/>
        </w:rPr>
        <w:t>Eleftherios Zarkadoulas</w:t>
      </w:r>
      <w:r w:rsidRPr="00CF536C">
        <w:rPr>
          <w:color w:val="000000" w:themeColor="text1"/>
          <w:vertAlign w:val="superscript"/>
          <w:lang w:val="pt-PT"/>
        </w:rPr>
        <w:t xml:space="preserve"> </w:t>
      </w:r>
      <w:r w:rsidRPr="00CF536C">
        <w:rPr>
          <w:color w:val="000000" w:themeColor="text1"/>
          <w:shd w:val="clear" w:color="auto" w:fill="FFFFFF"/>
          <w:lang w:val="pt-PT"/>
        </w:rPr>
        <w:t>(0009-0003-6940-6367</w:t>
      </w:r>
      <w:r w:rsidRPr="00CF536C">
        <w:rPr>
          <w:color w:val="000000" w:themeColor="text1"/>
          <w:lang w:val="pt-PT" w:eastAsia="nl-NL"/>
        </w:rPr>
        <w:t>)</w:t>
      </w:r>
      <w:r w:rsidRPr="00CF536C">
        <w:rPr>
          <w:color w:val="000000" w:themeColor="text1"/>
          <w:vertAlign w:val="superscript"/>
          <w:lang w:val="pt-PT"/>
        </w:rPr>
        <w:t>1</w:t>
      </w:r>
      <w:r w:rsidRPr="00CF536C">
        <w:rPr>
          <w:color w:val="000000" w:themeColor="text1"/>
          <w:lang w:val="pt-PT"/>
        </w:rPr>
        <w:t>, Fábio Silva (</w:t>
      </w:r>
      <w:r w:rsidRPr="00CF536C">
        <w:rPr>
          <w:color w:val="000000" w:themeColor="text1"/>
          <w:shd w:val="clear" w:color="auto" w:fill="FFFFFF"/>
          <w:lang w:val="pt-PT"/>
        </w:rPr>
        <w:t>0009-0005-7807-6798</w:t>
      </w:r>
      <w:r w:rsidRPr="00CF536C">
        <w:rPr>
          <w:color w:val="000000" w:themeColor="text1"/>
          <w:lang w:val="pt-PT"/>
        </w:rPr>
        <w:t>)</w:t>
      </w:r>
      <w:r w:rsidRPr="00CF536C">
        <w:rPr>
          <w:color w:val="000000" w:themeColor="text1"/>
          <w:vertAlign w:val="superscript"/>
          <w:lang w:val="pt-PT"/>
        </w:rPr>
        <w:t>2</w:t>
      </w:r>
      <w:r w:rsidRPr="00CF536C">
        <w:rPr>
          <w:color w:val="000000" w:themeColor="text1"/>
          <w:lang w:val="pt-PT"/>
        </w:rPr>
        <w:t>, Joana Alves (0000-0002-5736-6519)</w:t>
      </w:r>
      <w:r w:rsidRPr="00CF536C">
        <w:rPr>
          <w:color w:val="000000" w:themeColor="text1"/>
          <w:vertAlign w:val="superscript"/>
          <w:lang w:val="pt-PT"/>
        </w:rPr>
        <w:t>3</w:t>
      </w:r>
      <w:r w:rsidRPr="00CF536C">
        <w:rPr>
          <w:color w:val="000000" w:themeColor="text1"/>
          <w:lang w:val="pt-PT"/>
        </w:rPr>
        <w:t>, Francisco Madeira (0000-0001-8442-0106)</w:t>
      </w:r>
      <w:r w:rsidRPr="00CF536C">
        <w:rPr>
          <w:color w:val="000000" w:themeColor="text1"/>
          <w:vertAlign w:val="superscript"/>
          <w:lang w:val="pt-PT"/>
        </w:rPr>
        <w:t>3</w:t>
      </w:r>
      <w:r w:rsidRPr="00CF536C">
        <w:rPr>
          <w:color w:val="000000" w:themeColor="text1"/>
          <w:lang w:val="pt-PT"/>
        </w:rPr>
        <w:t xml:space="preserve">, Maarten </w:t>
      </w:r>
      <w:r w:rsidR="002335A1" w:rsidRPr="00CF536C">
        <w:rPr>
          <w:color w:val="000000" w:themeColor="text1"/>
          <w:lang w:val="pt-PT"/>
        </w:rPr>
        <w:t xml:space="preserve">J </w:t>
      </w:r>
      <w:r w:rsidRPr="00CF536C">
        <w:rPr>
          <w:color w:val="000000" w:themeColor="text1"/>
          <w:lang w:val="pt-PT"/>
        </w:rPr>
        <w:t>Postma (0000-0002-6306-3653)</w:t>
      </w:r>
      <w:r w:rsidRPr="00CF536C">
        <w:rPr>
          <w:color w:val="000000" w:themeColor="text1"/>
          <w:vertAlign w:val="superscript"/>
          <w:lang w:val="pt-PT"/>
        </w:rPr>
        <w:t>4-7</w:t>
      </w:r>
    </w:p>
    <w:p w14:paraId="3A3EF0A0" w14:textId="77777777" w:rsidR="0095197E" w:rsidRPr="00CF536C" w:rsidRDefault="0095197E" w:rsidP="0095197E">
      <w:pPr>
        <w:spacing w:line="480" w:lineRule="auto"/>
        <w:rPr>
          <w:color w:val="000000" w:themeColor="text1"/>
        </w:rPr>
      </w:pPr>
      <w:r w:rsidRPr="00CF536C">
        <w:rPr>
          <w:color w:val="000000" w:themeColor="text1"/>
          <w:vertAlign w:val="superscript"/>
        </w:rPr>
        <w:t>1</w:t>
      </w:r>
      <w:r w:rsidRPr="00CF536C">
        <w:rPr>
          <w:color w:val="000000" w:themeColor="text1"/>
        </w:rPr>
        <w:t xml:space="preserve"> GSK, Wavre, Belgium </w:t>
      </w:r>
    </w:p>
    <w:p w14:paraId="1BA1FF3F" w14:textId="77777777" w:rsidR="0095197E" w:rsidRPr="00CF536C" w:rsidRDefault="0095197E" w:rsidP="0095197E">
      <w:pPr>
        <w:spacing w:line="480" w:lineRule="auto"/>
        <w:rPr>
          <w:color w:val="000000" w:themeColor="text1"/>
        </w:rPr>
      </w:pPr>
      <w:r w:rsidRPr="00CF536C">
        <w:rPr>
          <w:color w:val="000000" w:themeColor="text1"/>
          <w:vertAlign w:val="superscript"/>
        </w:rPr>
        <w:t>2</w:t>
      </w:r>
      <w:r w:rsidRPr="00CF536C">
        <w:rPr>
          <w:color w:val="000000" w:themeColor="text1"/>
        </w:rPr>
        <w:t xml:space="preserve"> GSK, Algés, Portugal</w:t>
      </w:r>
    </w:p>
    <w:p w14:paraId="72B3928D" w14:textId="77777777" w:rsidR="00B23798" w:rsidRPr="00CF536C" w:rsidRDefault="0095197E" w:rsidP="0095197E">
      <w:pPr>
        <w:spacing w:line="480" w:lineRule="auto"/>
        <w:rPr>
          <w:color w:val="000000" w:themeColor="text1"/>
          <w:vertAlign w:val="superscript"/>
          <w:lang w:val="en-US"/>
        </w:rPr>
      </w:pPr>
      <w:r w:rsidRPr="00CF536C">
        <w:rPr>
          <w:color w:val="000000" w:themeColor="text1"/>
          <w:vertAlign w:val="superscript"/>
          <w:lang w:val="en-US"/>
        </w:rPr>
        <w:t>3</w:t>
      </w:r>
      <w:r w:rsidRPr="00CF536C">
        <w:rPr>
          <w:color w:val="000000" w:themeColor="text1"/>
          <w:lang w:val="en-US"/>
        </w:rPr>
        <w:t xml:space="preserve"> </w:t>
      </w:r>
      <w:r w:rsidR="00B23798" w:rsidRPr="00CF536C">
        <w:rPr>
          <w:color w:val="000000" w:themeColor="text1"/>
        </w:rPr>
        <w:t>NOVA National School of Public Health, Public Health Research Centre, Comprehensive Health Research Center, CHRC, REAL, CCAL, NOVA University Lisbon, Lisbon, Portugal</w:t>
      </w:r>
      <w:r w:rsidR="00B23798" w:rsidRPr="00CF536C">
        <w:rPr>
          <w:color w:val="000000" w:themeColor="text1"/>
          <w:vertAlign w:val="superscript"/>
          <w:lang w:val="en-US"/>
        </w:rPr>
        <w:t xml:space="preserve"> </w:t>
      </w:r>
    </w:p>
    <w:p w14:paraId="49EBF5B2" w14:textId="0EDA95DA" w:rsidR="0095197E" w:rsidRPr="00CF536C" w:rsidRDefault="0095197E" w:rsidP="0095197E">
      <w:pPr>
        <w:spacing w:line="480" w:lineRule="auto"/>
        <w:rPr>
          <w:color w:val="000000" w:themeColor="text1"/>
          <w:lang w:val="en-US"/>
        </w:rPr>
      </w:pPr>
      <w:r w:rsidRPr="00CF536C">
        <w:rPr>
          <w:color w:val="000000" w:themeColor="text1"/>
          <w:vertAlign w:val="superscript"/>
          <w:lang w:val="en-US"/>
        </w:rPr>
        <w:t>4</w:t>
      </w:r>
      <w:r w:rsidRPr="00CF536C">
        <w:rPr>
          <w:color w:val="000000" w:themeColor="text1"/>
          <w:lang w:val="en-US"/>
        </w:rPr>
        <w:t xml:space="preserve"> Unit of Global Health, Department of Health Sciences, University of Groningen, University Medical Center Groningen, Groningen, The Netherlands</w:t>
      </w:r>
    </w:p>
    <w:p w14:paraId="7C3D8AA6" w14:textId="77777777" w:rsidR="0095197E" w:rsidRPr="00CF536C" w:rsidRDefault="0095197E" w:rsidP="0095197E">
      <w:pPr>
        <w:spacing w:line="480" w:lineRule="auto"/>
        <w:rPr>
          <w:color w:val="000000" w:themeColor="text1"/>
          <w:lang w:val="en-US"/>
        </w:rPr>
      </w:pPr>
      <w:r w:rsidRPr="00CF536C">
        <w:rPr>
          <w:color w:val="000000" w:themeColor="text1"/>
          <w:vertAlign w:val="superscript"/>
          <w:lang w:val="en-US"/>
        </w:rPr>
        <w:t xml:space="preserve">5 </w:t>
      </w:r>
      <w:r w:rsidRPr="00CF536C">
        <w:rPr>
          <w:color w:val="000000" w:themeColor="text1"/>
          <w:lang w:val="en-US"/>
        </w:rPr>
        <w:t>Department of Economics, Econometrics &amp; Finance, Faculty of Economics &amp; Business, University of Groningen, Groningen, The Netherlands</w:t>
      </w:r>
    </w:p>
    <w:p w14:paraId="5FFCEC1A" w14:textId="5F1C1E50" w:rsidR="0095197E" w:rsidRPr="00CF536C" w:rsidRDefault="0095197E" w:rsidP="0095197E">
      <w:pPr>
        <w:spacing w:line="480" w:lineRule="auto"/>
        <w:jc w:val="both"/>
        <w:rPr>
          <w:color w:val="000000" w:themeColor="text1"/>
          <w:lang w:val="en-US"/>
        </w:rPr>
      </w:pPr>
      <w:r w:rsidRPr="00CF536C">
        <w:rPr>
          <w:color w:val="000000" w:themeColor="text1"/>
          <w:vertAlign w:val="superscript"/>
          <w:lang w:val="en-US"/>
        </w:rPr>
        <w:t xml:space="preserve">6 </w:t>
      </w:r>
      <w:r w:rsidRPr="00CF536C">
        <w:rPr>
          <w:color w:val="000000" w:themeColor="text1"/>
          <w:lang w:val="en-US"/>
        </w:rPr>
        <w:t>Department of Pharmacology and Therapy, Faculty of Medicine, Universitas Airlangga, Surabaya, Indonesia</w:t>
      </w:r>
    </w:p>
    <w:p w14:paraId="04FA8D92" w14:textId="54C3DE05" w:rsidR="0095197E" w:rsidRPr="00CF536C" w:rsidRDefault="0095197E" w:rsidP="0095197E">
      <w:pPr>
        <w:spacing w:line="480" w:lineRule="auto"/>
        <w:jc w:val="both"/>
        <w:rPr>
          <w:color w:val="000000" w:themeColor="text1"/>
          <w:lang w:val="en-US"/>
        </w:rPr>
      </w:pPr>
      <w:r w:rsidRPr="00CF536C">
        <w:rPr>
          <w:color w:val="000000" w:themeColor="text1"/>
          <w:vertAlign w:val="superscript"/>
          <w:lang w:val="en-US"/>
        </w:rPr>
        <w:t xml:space="preserve">7 </w:t>
      </w:r>
      <w:r w:rsidRPr="00CF536C">
        <w:rPr>
          <w:color w:val="000000" w:themeColor="text1"/>
          <w:lang w:val="en-US"/>
        </w:rPr>
        <w:t>Center of Excellence in Higher Education for Pharmaceutical Care Innovation, Universitas Padjadjaran, Bandung, Indonesia</w:t>
      </w:r>
    </w:p>
    <w:p w14:paraId="50F16F24" w14:textId="77777777" w:rsidR="0095197E" w:rsidRPr="00CF536C" w:rsidRDefault="0095197E" w:rsidP="0095197E">
      <w:pPr>
        <w:spacing w:before="240" w:line="480" w:lineRule="auto"/>
        <w:rPr>
          <w:rFonts w:eastAsia="Calibri"/>
          <w:color w:val="000000" w:themeColor="text1"/>
          <w:lang w:val="en-US"/>
        </w:rPr>
      </w:pPr>
      <w:r w:rsidRPr="00CF536C">
        <w:rPr>
          <w:b/>
          <w:bCs/>
          <w:color w:val="000000" w:themeColor="text1"/>
          <w:lang w:val="en-US"/>
        </w:rPr>
        <w:t xml:space="preserve">Corresponding author: </w:t>
      </w:r>
      <w:r w:rsidRPr="00CF536C">
        <w:rPr>
          <w:color w:val="000000" w:themeColor="text1"/>
          <w:lang w:val="en-US"/>
        </w:rPr>
        <w:t>Eleftherios Zarkadoulas</w:t>
      </w:r>
      <w:r w:rsidRPr="00CF536C">
        <w:rPr>
          <w:rFonts w:eastAsia="Calibri"/>
          <w:color w:val="000000" w:themeColor="text1"/>
          <w:lang w:val="en-US"/>
        </w:rPr>
        <w:t>, GSK, Wavre, Belgium</w:t>
      </w:r>
      <w:r w:rsidRPr="00CF536C">
        <w:rPr>
          <w:rFonts w:eastAsia="Calibri"/>
          <w:color w:val="000000" w:themeColor="text1"/>
          <w:lang w:val="en-US"/>
        </w:rPr>
        <w:br/>
        <w:t>Email: eleftherios.x.zarkadoulas@gsk.com</w:t>
      </w:r>
    </w:p>
    <w:p w14:paraId="7A083266" w14:textId="77777777" w:rsidR="0095197E" w:rsidRPr="00CF536C" w:rsidRDefault="0095197E" w:rsidP="009B28E6">
      <w:pPr>
        <w:spacing w:line="360" w:lineRule="auto"/>
        <w:rPr>
          <w:b/>
          <w:bCs/>
          <w:color w:val="000000" w:themeColor="text1"/>
          <w:lang w:val="en-US"/>
        </w:rPr>
      </w:pPr>
    </w:p>
    <w:p w14:paraId="0599BDFF" w14:textId="34AF30FF" w:rsidR="00EA63D4" w:rsidRPr="00CF536C" w:rsidRDefault="003F4B47" w:rsidP="005C206A">
      <w:pPr>
        <w:spacing w:line="360" w:lineRule="auto"/>
        <w:rPr>
          <w:color w:val="000000" w:themeColor="text1"/>
          <w:lang w:val="en-US"/>
        </w:rPr>
      </w:pPr>
      <w:r w:rsidRPr="00CF536C">
        <w:rPr>
          <w:b/>
          <w:color w:val="000000" w:themeColor="text1"/>
          <w:lang w:val="en-US"/>
        </w:rPr>
        <w:t>Funding</w:t>
      </w:r>
      <w:r w:rsidRPr="00CF536C">
        <w:rPr>
          <w:color w:val="000000" w:themeColor="text1"/>
          <w:lang w:val="en-US"/>
        </w:rPr>
        <w:t xml:space="preserve"> </w:t>
      </w:r>
      <w:r w:rsidR="00670595" w:rsidRPr="00CF536C">
        <w:rPr>
          <w:color w:val="000000" w:themeColor="text1"/>
          <w:lang w:val="en-US"/>
        </w:rPr>
        <w:t xml:space="preserve">GSK funded this study (GSK study identifier: VEO-000735) and was involved in all stages of study conduct, including analysis of the data. GSK </w:t>
      </w:r>
      <w:r w:rsidR="00B23798" w:rsidRPr="00CF536C">
        <w:rPr>
          <w:color w:val="000000" w:themeColor="text1"/>
          <w:lang w:val="en-US"/>
        </w:rPr>
        <w:t xml:space="preserve">also funded </w:t>
      </w:r>
      <w:r w:rsidR="00670595" w:rsidRPr="00CF536C">
        <w:rPr>
          <w:color w:val="000000" w:themeColor="text1"/>
          <w:lang w:val="en-US"/>
        </w:rPr>
        <w:t>all costs associated with the development and publication of this manuscript</w:t>
      </w:r>
      <w:r w:rsidR="00EA63D4" w:rsidRPr="00CF536C">
        <w:rPr>
          <w:color w:val="000000" w:themeColor="text1"/>
          <w:lang w:val="en-US"/>
        </w:rPr>
        <w:t>.</w:t>
      </w:r>
      <w:r w:rsidR="00EA63D4" w:rsidRPr="00CF536C" w:rsidDel="00EA63D4">
        <w:rPr>
          <w:b/>
          <w:color w:val="000000" w:themeColor="text1"/>
          <w:lang w:val="en-US"/>
        </w:rPr>
        <w:t xml:space="preserve"> </w:t>
      </w:r>
      <w:r w:rsidR="00EA63D4" w:rsidRPr="00CF536C">
        <w:rPr>
          <w:color w:val="000000" w:themeColor="text1"/>
          <w:lang w:val="en-US"/>
        </w:rPr>
        <w:br w:type="page"/>
      </w:r>
    </w:p>
    <w:p w14:paraId="3C8E0DBD" w14:textId="77777777" w:rsidR="00F05CB5" w:rsidRPr="00CF536C" w:rsidRDefault="00F05CB5" w:rsidP="003F4B47">
      <w:pPr>
        <w:rPr>
          <w:color w:val="000000" w:themeColor="text1"/>
          <w:lang w:val="en-US"/>
        </w:rPr>
      </w:pPr>
    </w:p>
    <w:sdt>
      <w:sdtPr>
        <w:rPr>
          <w:b/>
          <w:bCs/>
          <w:color w:val="000000" w:themeColor="text1"/>
          <w:lang w:val="en-US"/>
        </w:rPr>
        <w:id w:val="-1494715208"/>
        <w:docPartObj>
          <w:docPartGallery w:val="Table of Contents"/>
          <w:docPartUnique/>
        </w:docPartObj>
      </w:sdtPr>
      <w:sdtEndPr/>
      <w:sdtContent>
        <w:p w14:paraId="31C7D612" w14:textId="77777777" w:rsidR="00F05CB5" w:rsidRPr="00CF536C" w:rsidRDefault="00F05CB5" w:rsidP="001B098F">
          <w:pPr>
            <w:rPr>
              <w:b/>
              <w:bCs/>
              <w:color w:val="000000" w:themeColor="text1"/>
              <w:lang w:val="en-US"/>
            </w:rPr>
          </w:pPr>
        </w:p>
        <w:p w14:paraId="0AE53E22" w14:textId="1CBDA0A0" w:rsidR="001B098F" w:rsidRPr="00CF536C" w:rsidRDefault="001B098F" w:rsidP="00CE6C61">
          <w:pPr>
            <w:spacing w:line="360" w:lineRule="auto"/>
            <w:rPr>
              <w:b/>
              <w:bCs/>
              <w:color w:val="000000" w:themeColor="text1"/>
              <w:sz w:val="22"/>
              <w:szCs w:val="22"/>
              <w:lang w:val="en-US"/>
            </w:rPr>
          </w:pPr>
          <w:r w:rsidRPr="00CF536C">
            <w:rPr>
              <w:b/>
              <w:bCs/>
              <w:color w:val="000000" w:themeColor="text1"/>
              <w:sz w:val="22"/>
              <w:szCs w:val="22"/>
              <w:lang w:val="en-US"/>
            </w:rPr>
            <w:t>Contents</w:t>
          </w:r>
        </w:p>
        <w:p w14:paraId="64428CC7" w14:textId="7CEBB1E5" w:rsidR="00DB1BD6" w:rsidRPr="00CF536C" w:rsidRDefault="001B098F">
          <w:pPr>
            <w:pStyle w:val="TOC2"/>
            <w:rPr>
              <w:rFonts w:asciiTheme="minorHAnsi" w:eastAsiaTheme="minorEastAsia" w:hAnsiTheme="minorHAnsi" w:cstheme="minorBidi"/>
              <w:noProof/>
              <w:color w:val="000000" w:themeColor="text1"/>
              <w:sz w:val="24"/>
              <w:szCs w:val="24"/>
              <w:lang w:val="en-GB" w:eastAsia="en-GB"/>
            </w:rPr>
          </w:pPr>
          <w:r w:rsidRPr="00CF536C">
            <w:rPr>
              <w:rFonts w:eastAsiaTheme="minorHAnsi"/>
              <w:color w:val="000000" w:themeColor="text1"/>
              <w:sz w:val="22"/>
              <w:szCs w:val="22"/>
            </w:rPr>
            <w:fldChar w:fldCharType="begin"/>
          </w:r>
          <w:r w:rsidRPr="00CF536C">
            <w:rPr>
              <w:color w:val="000000" w:themeColor="text1"/>
              <w:sz w:val="22"/>
              <w:szCs w:val="22"/>
            </w:rPr>
            <w:instrText xml:space="preserve"> TOC \o "1-3" \h \z \u </w:instrText>
          </w:r>
          <w:r w:rsidRPr="00CF536C">
            <w:rPr>
              <w:rFonts w:eastAsiaTheme="minorHAnsi"/>
              <w:color w:val="000000" w:themeColor="text1"/>
              <w:sz w:val="22"/>
              <w:szCs w:val="22"/>
            </w:rPr>
            <w:fldChar w:fldCharType="separate"/>
          </w:r>
          <w:hyperlink w:anchor="_Toc216524897" w:history="1">
            <w:r w:rsidR="00DB1BD6" w:rsidRPr="00CF536C">
              <w:rPr>
                <w:rStyle w:val="Hyperlink"/>
                <w:noProof/>
                <w:color w:val="000000" w:themeColor="text1"/>
              </w:rPr>
              <w:t xml:space="preserve">Online Resource Table 1. </w:t>
            </w:r>
            <w:r w:rsidR="00DB1BD6" w:rsidRPr="00CF536C">
              <w:rPr>
                <w:rStyle w:val="Hyperlink"/>
                <w:bCs/>
                <w:noProof/>
                <w:color w:val="000000" w:themeColor="text1"/>
              </w:rPr>
              <w:t>Mortality inputs: annual probability of death from all causes and from HZ</w:t>
            </w:r>
            <w:r w:rsidR="00DB1BD6" w:rsidRPr="00CF536C">
              <w:rPr>
                <w:noProof/>
                <w:webHidden/>
                <w:color w:val="000000" w:themeColor="text1"/>
              </w:rPr>
              <w:tab/>
            </w:r>
            <w:r w:rsidR="00DB1BD6" w:rsidRPr="00CF536C">
              <w:rPr>
                <w:noProof/>
                <w:webHidden/>
                <w:color w:val="000000" w:themeColor="text1"/>
              </w:rPr>
              <w:fldChar w:fldCharType="begin"/>
            </w:r>
            <w:r w:rsidR="00DB1BD6" w:rsidRPr="00CF536C">
              <w:rPr>
                <w:noProof/>
                <w:webHidden/>
                <w:color w:val="000000" w:themeColor="text1"/>
              </w:rPr>
              <w:instrText xml:space="preserve"> PAGEREF _Toc216524897 \h </w:instrText>
            </w:r>
            <w:r w:rsidR="00DB1BD6" w:rsidRPr="00CF536C">
              <w:rPr>
                <w:noProof/>
                <w:webHidden/>
                <w:color w:val="000000" w:themeColor="text1"/>
              </w:rPr>
            </w:r>
            <w:r w:rsidR="00DB1BD6" w:rsidRPr="00CF536C">
              <w:rPr>
                <w:noProof/>
                <w:webHidden/>
                <w:color w:val="000000" w:themeColor="text1"/>
              </w:rPr>
              <w:fldChar w:fldCharType="separate"/>
            </w:r>
            <w:r w:rsidR="00DB1BD6" w:rsidRPr="00CF536C">
              <w:rPr>
                <w:noProof/>
                <w:webHidden/>
                <w:color w:val="000000" w:themeColor="text1"/>
              </w:rPr>
              <w:t>3</w:t>
            </w:r>
            <w:r w:rsidR="00DB1BD6" w:rsidRPr="00CF536C">
              <w:rPr>
                <w:noProof/>
                <w:webHidden/>
                <w:color w:val="000000" w:themeColor="text1"/>
              </w:rPr>
              <w:fldChar w:fldCharType="end"/>
            </w:r>
          </w:hyperlink>
        </w:p>
        <w:p w14:paraId="681F88BB" w14:textId="48BFA450" w:rsidR="00DB1BD6" w:rsidRPr="00CF536C" w:rsidRDefault="00CF536C">
          <w:pPr>
            <w:pStyle w:val="TOC1"/>
            <w:rPr>
              <w:rFonts w:eastAsiaTheme="minorEastAsia"/>
              <w:b w:val="0"/>
              <w:bCs w:val="0"/>
              <w:color w:val="000000" w:themeColor="text1"/>
              <w:sz w:val="24"/>
              <w:szCs w:val="24"/>
              <w:lang w:eastAsia="en-GB"/>
            </w:rPr>
          </w:pPr>
          <w:hyperlink w:anchor="_Toc216524898" w:history="1">
            <w:r w:rsidR="00DB1BD6" w:rsidRPr="00CF536C">
              <w:rPr>
                <w:rStyle w:val="Hyperlink"/>
                <w:color w:val="000000" w:themeColor="text1"/>
                <w:lang w:val="en-US"/>
              </w:rPr>
              <w:t>Results</w:t>
            </w:r>
            <w:r w:rsidR="00DB1BD6" w:rsidRPr="00CF536C">
              <w:rPr>
                <w:webHidden/>
                <w:color w:val="000000" w:themeColor="text1"/>
              </w:rPr>
              <w:tab/>
            </w:r>
            <w:r w:rsidR="00DB1BD6" w:rsidRPr="00CF536C">
              <w:rPr>
                <w:webHidden/>
                <w:color w:val="000000" w:themeColor="text1"/>
              </w:rPr>
              <w:fldChar w:fldCharType="begin"/>
            </w:r>
            <w:r w:rsidR="00DB1BD6" w:rsidRPr="00CF536C">
              <w:rPr>
                <w:webHidden/>
                <w:color w:val="000000" w:themeColor="text1"/>
              </w:rPr>
              <w:instrText xml:space="preserve"> PAGEREF _Toc216524898 \h </w:instrText>
            </w:r>
            <w:r w:rsidR="00DB1BD6" w:rsidRPr="00CF536C">
              <w:rPr>
                <w:webHidden/>
                <w:color w:val="000000" w:themeColor="text1"/>
              </w:rPr>
            </w:r>
            <w:r w:rsidR="00DB1BD6" w:rsidRPr="00CF536C">
              <w:rPr>
                <w:webHidden/>
                <w:color w:val="000000" w:themeColor="text1"/>
              </w:rPr>
              <w:fldChar w:fldCharType="separate"/>
            </w:r>
            <w:r w:rsidR="00DB1BD6" w:rsidRPr="00CF536C">
              <w:rPr>
                <w:webHidden/>
                <w:color w:val="000000" w:themeColor="text1"/>
              </w:rPr>
              <w:t>4</w:t>
            </w:r>
            <w:r w:rsidR="00DB1BD6" w:rsidRPr="00CF536C">
              <w:rPr>
                <w:webHidden/>
                <w:color w:val="000000" w:themeColor="text1"/>
              </w:rPr>
              <w:fldChar w:fldCharType="end"/>
            </w:r>
          </w:hyperlink>
        </w:p>
        <w:p w14:paraId="1CCD50FE" w14:textId="016066D4" w:rsidR="00DB1BD6" w:rsidRPr="00CF536C" w:rsidRDefault="00CF536C">
          <w:pPr>
            <w:pStyle w:val="TOC2"/>
            <w:rPr>
              <w:rFonts w:asciiTheme="minorHAnsi" w:eastAsiaTheme="minorEastAsia" w:hAnsiTheme="minorHAnsi" w:cstheme="minorBidi"/>
              <w:noProof/>
              <w:color w:val="000000" w:themeColor="text1"/>
              <w:sz w:val="24"/>
              <w:szCs w:val="24"/>
              <w:lang w:val="en-GB" w:eastAsia="en-GB"/>
            </w:rPr>
          </w:pPr>
          <w:hyperlink w:anchor="_Toc216524899" w:history="1">
            <w:r w:rsidR="00DB1BD6" w:rsidRPr="00CF536C">
              <w:rPr>
                <w:rStyle w:val="Hyperlink"/>
                <w:noProof/>
                <w:color w:val="000000" w:themeColor="text1"/>
              </w:rPr>
              <w:t>Online Resource Figure 1. Number needed to vaccinate with RZV to prevent one case of HZ and PHN in adults aged ≥ 65 years, overall and by age-strata in the base-case and scenario analysis</w:t>
            </w:r>
            <w:r w:rsidR="00DB1BD6" w:rsidRPr="00CF536C">
              <w:rPr>
                <w:noProof/>
                <w:webHidden/>
                <w:color w:val="000000" w:themeColor="text1"/>
              </w:rPr>
              <w:tab/>
            </w:r>
            <w:r w:rsidR="00DB1BD6" w:rsidRPr="00CF536C">
              <w:rPr>
                <w:noProof/>
                <w:webHidden/>
                <w:color w:val="000000" w:themeColor="text1"/>
              </w:rPr>
              <w:fldChar w:fldCharType="begin"/>
            </w:r>
            <w:r w:rsidR="00DB1BD6" w:rsidRPr="00CF536C">
              <w:rPr>
                <w:noProof/>
                <w:webHidden/>
                <w:color w:val="000000" w:themeColor="text1"/>
              </w:rPr>
              <w:instrText xml:space="preserve"> PAGEREF _Toc216524899 \h </w:instrText>
            </w:r>
            <w:r w:rsidR="00DB1BD6" w:rsidRPr="00CF536C">
              <w:rPr>
                <w:noProof/>
                <w:webHidden/>
                <w:color w:val="000000" w:themeColor="text1"/>
              </w:rPr>
            </w:r>
            <w:r w:rsidR="00DB1BD6" w:rsidRPr="00CF536C">
              <w:rPr>
                <w:noProof/>
                <w:webHidden/>
                <w:color w:val="000000" w:themeColor="text1"/>
              </w:rPr>
              <w:fldChar w:fldCharType="separate"/>
            </w:r>
            <w:r w:rsidR="00DB1BD6" w:rsidRPr="00CF536C">
              <w:rPr>
                <w:noProof/>
                <w:webHidden/>
                <w:color w:val="000000" w:themeColor="text1"/>
              </w:rPr>
              <w:t>4</w:t>
            </w:r>
            <w:r w:rsidR="00DB1BD6" w:rsidRPr="00CF536C">
              <w:rPr>
                <w:noProof/>
                <w:webHidden/>
                <w:color w:val="000000" w:themeColor="text1"/>
              </w:rPr>
              <w:fldChar w:fldCharType="end"/>
            </w:r>
          </w:hyperlink>
        </w:p>
        <w:p w14:paraId="0BA8D8B3" w14:textId="0A7642FF" w:rsidR="00DB1BD6" w:rsidRPr="00CF536C" w:rsidRDefault="00CF536C">
          <w:pPr>
            <w:pStyle w:val="TOC2"/>
            <w:rPr>
              <w:rFonts w:asciiTheme="minorHAnsi" w:eastAsiaTheme="minorEastAsia" w:hAnsiTheme="minorHAnsi" w:cstheme="minorBidi"/>
              <w:noProof/>
              <w:color w:val="000000" w:themeColor="text1"/>
              <w:sz w:val="24"/>
              <w:szCs w:val="24"/>
              <w:lang w:val="en-GB" w:eastAsia="en-GB"/>
            </w:rPr>
          </w:pPr>
          <w:hyperlink w:anchor="_Toc216524900" w:history="1">
            <w:r w:rsidR="00DB1BD6" w:rsidRPr="00CF536C">
              <w:rPr>
                <w:rStyle w:val="Hyperlink"/>
                <w:noProof/>
                <w:color w:val="000000" w:themeColor="text1"/>
              </w:rPr>
              <w:t xml:space="preserve">Online Resource Table 2. Scenario analysis: </w:t>
            </w:r>
            <w:r w:rsidR="00DB1BD6" w:rsidRPr="00CF536C">
              <w:rPr>
                <w:rStyle w:val="Hyperlink"/>
                <w:bCs/>
                <w:noProof/>
                <w:color w:val="000000" w:themeColor="text1"/>
                <w:lang w:eastAsia="ar-SA"/>
              </w:rPr>
              <w:t xml:space="preserve">Outcomes for </w:t>
            </w:r>
            <w:r w:rsidR="00DB1BD6" w:rsidRPr="00CF536C">
              <w:rPr>
                <w:rStyle w:val="Hyperlink"/>
                <w:noProof/>
                <w:color w:val="000000" w:themeColor="text1"/>
              </w:rPr>
              <w:t>RZV vaccine versus no vaccine for all adults aged ≥65 years: stratified by age (hypothetical cohort of 1,000,000)</w:t>
            </w:r>
            <w:r w:rsidR="00DB1BD6" w:rsidRPr="00CF536C">
              <w:rPr>
                <w:noProof/>
                <w:webHidden/>
                <w:color w:val="000000" w:themeColor="text1"/>
              </w:rPr>
              <w:tab/>
            </w:r>
            <w:r w:rsidR="00DB1BD6" w:rsidRPr="00CF536C">
              <w:rPr>
                <w:noProof/>
                <w:webHidden/>
                <w:color w:val="000000" w:themeColor="text1"/>
              </w:rPr>
              <w:fldChar w:fldCharType="begin"/>
            </w:r>
            <w:r w:rsidR="00DB1BD6" w:rsidRPr="00CF536C">
              <w:rPr>
                <w:noProof/>
                <w:webHidden/>
                <w:color w:val="000000" w:themeColor="text1"/>
              </w:rPr>
              <w:instrText xml:space="preserve"> PAGEREF _Toc216524900 \h </w:instrText>
            </w:r>
            <w:r w:rsidR="00DB1BD6" w:rsidRPr="00CF536C">
              <w:rPr>
                <w:noProof/>
                <w:webHidden/>
                <w:color w:val="000000" w:themeColor="text1"/>
              </w:rPr>
            </w:r>
            <w:r w:rsidR="00DB1BD6" w:rsidRPr="00CF536C">
              <w:rPr>
                <w:noProof/>
                <w:webHidden/>
                <w:color w:val="000000" w:themeColor="text1"/>
              </w:rPr>
              <w:fldChar w:fldCharType="separate"/>
            </w:r>
            <w:r w:rsidR="00DB1BD6" w:rsidRPr="00CF536C">
              <w:rPr>
                <w:noProof/>
                <w:webHidden/>
                <w:color w:val="000000" w:themeColor="text1"/>
              </w:rPr>
              <w:t>5</w:t>
            </w:r>
            <w:r w:rsidR="00DB1BD6" w:rsidRPr="00CF536C">
              <w:rPr>
                <w:noProof/>
                <w:webHidden/>
                <w:color w:val="000000" w:themeColor="text1"/>
              </w:rPr>
              <w:fldChar w:fldCharType="end"/>
            </w:r>
          </w:hyperlink>
        </w:p>
        <w:p w14:paraId="678DF5E2" w14:textId="6C22B862" w:rsidR="00DB1BD6" w:rsidRPr="00CF536C" w:rsidRDefault="00CF536C">
          <w:pPr>
            <w:pStyle w:val="TOC1"/>
            <w:rPr>
              <w:rFonts w:eastAsiaTheme="minorEastAsia"/>
              <w:b w:val="0"/>
              <w:bCs w:val="0"/>
              <w:color w:val="000000" w:themeColor="text1"/>
              <w:sz w:val="24"/>
              <w:szCs w:val="24"/>
              <w:lang w:eastAsia="en-GB"/>
            </w:rPr>
          </w:pPr>
          <w:hyperlink w:anchor="_Toc216524901" w:history="1">
            <w:r w:rsidR="00DB1BD6" w:rsidRPr="00CF536C">
              <w:rPr>
                <w:rStyle w:val="Hyperlink"/>
                <w:color w:val="000000" w:themeColor="text1"/>
                <w:lang w:val="pt-PT"/>
              </w:rPr>
              <w:t>References</w:t>
            </w:r>
            <w:r w:rsidR="00DB1BD6" w:rsidRPr="00CF536C">
              <w:rPr>
                <w:webHidden/>
                <w:color w:val="000000" w:themeColor="text1"/>
              </w:rPr>
              <w:tab/>
            </w:r>
            <w:r w:rsidR="00DB1BD6" w:rsidRPr="00CF536C">
              <w:rPr>
                <w:webHidden/>
                <w:color w:val="000000" w:themeColor="text1"/>
              </w:rPr>
              <w:fldChar w:fldCharType="begin"/>
            </w:r>
            <w:r w:rsidR="00DB1BD6" w:rsidRPr="00CF536C">
              <w:rPr>
                <w:webHidden/>
                <w:color w:val="000000" w:themeColor="text1"/>
              </w:rPr>
              <w:instrText xml:space="preserve"> PAGEREF _Toc216524901 \h </w:instrText>
            </w:r>
            <w:r w:rsidR="00DB1BD6" w:rsidRPr="00CF536C">
              <w:rPr>
                <w:webHidden/>
                <w:color w:val="000000" w:themeColor="text1"/>
              </w:rPr>
            </w:r>
            <w:r w:rsidR="00DB1BD6" w:rsidRPr="00CF536C">
              <w:rPr>
                <w:webHidden/>
                <w:color w:val="000000" w:themeColor="text1"/>
              </w:rPr>
              <w:fldChar w:fldCharType="separate"/>
            </w:r>
            <w:r w:rsidR="00DB1BD6" w:rsidRPr="00CF536C">
              <w:rPr>
                <w:webHidden/>
                <w:color w:val="000000" w:themeColor="text1"/>
              </w:rPr>
              <w:t>7</w:t>
            </w:r>
            <w:r w:rsidR="00DB1BD6" w:rsidRPr="00CF536C">
              <w:rPr>
                <w:webHidden/>
                <w:color w:val="000000" w:themeColor="text1"/>
              </w:rPr>
              <w:fldChar w:fldCharType="end"/>
            </w:r>
          </w:hyperlink>
        </w:p>
        <w:p w14:paraId="5FAAE21F" w14:textId="4C1EDB68" w:rsidR="003F4B47" w:rsidRPr="00CF536C" w:rsidRDefault="001B098F" w:rsidP="001B098F">
          <w:pPr>
            <w:rPr>
              <w:color w:val="000000" w:themeColor="text1"/>
              <w:lang w:val="en-US"/>
            </w:rPr>
          </w:pPr>
          <w:r w:rsidRPr="00CF536C">
            <w:rPr>
              <w:b/>
              <w:bCs/>
              <w:color w:val="000000" w:themeColor="text1"/>
              <w:sz w:val="22"/>
              <w:szCs w:val="22"/>
              <w:lang w:val="en-US"/>
            </w:rPr>
            <w:fldChar w:fldCharType="end"/>
          </w:r>
        </w:p>
      </w:sdtContent>
    </w:sdt>
    <w:p w14:paraId="1D440B8E" w14:textId="567BF903" w:rsidR="00991F66" w:rsidRPr="00CF536C" w:rsidRDefault="00991F66">
      <w:pPr>
        <w:rPr>
          <w:color w:val="000000" w:themeColor="text1"/>
          <w:lang w:val="en-US"/>
        </w:rPr>
      </w:pPr>
    </w:p>
    <w:p w14:paraId="58846575" w14:textId="77777777" w:rsidR="003C7191" w:rsidRPr="00CF536C" w:rsidRDefault="003C7191">
      <w:pPr>
        <w:rPr>
          <w:b/>
          <w:color w:val="000000" w:themeColor="text1"/>
          <w:sz w:val="28"/>
          <w:szCs w:val="28"/>
          <w:lang w:val="en-US"/>
        </w:rPr>
      </w:pPr>
      <w:r w:rsidRPr="00CF536C">
        <w:rPr>
          <w:b/>
          <w:color w:val="000000" w:themeColor="text1"/>
          <w:sz w:val="28"/>
          <w:szCs w:val="28"/>
          <w:lang w:val="en-US"/>
        </w:rPr>
        <w:br w:type="page"/>
      </w:r>
    </w:p>
    <w:p w14:paraId="1EC849F4" w14:textId="0AE4EC1E" w:rsidR="00A516F0" w:rsidRPr="00CF536C" w:rsidRDefault="00AB4557" w:rsidP="008970D6">
      <w:pPr>
        <w:pStyle w:val="Heading2"/>
        <w:spacing w:line="360" w:lineRule="auto"/>
        <w:rPr>
          <w:color w:val="000000" w:themeColor="text1"/>
          <w:sz w:val="24"/>
          <w:szCs w:val="24"/>
        </w:rPr>
      </w:pPr>
      <w:bookmarkStart w:id="0" w:name="_Toc216524897"/>
      <w:r w:rsidRPr="00CF536C">
        <w:rPr>
          <w:color w:val="000000" w:themeColor="text1"/>
          <w:sz w:val="24"/>
          <w:szCs w:val="24"/>
        </w:rPr>
        <w:t xml:space="preserve">Online Resource </w:t>
      </w:r>
      <w:r w:rsidR="00A516F0" w:rsidRPr="00CF536C">
        <w:rPr>
          <w:color w:val="000000" w:themeColor="text1"/>
          <w:sz w:val="24"/>
          <w:szCs w:val="24"/>
        </w:rPr>
        <w:t xml:space="preserve">Table </w:t>
      </w:r>
      <w:r w:rsidR="00B03E27" w:rsidRPr="00CF536C">
        <w:rPr>
          <w:color w:val="000000" w:themeColor="text1"/>
          <w:sz w:val="24"/>
          <w:szCs w:val="24"/>
        </w:rPr>
        <w:t>1</w:t>
      </w:r>
      <w:r w:rsidR="00D36A83" w:rsidRPr="00CF536C">
        <w:rPr>
          <w:color w:val="000000" w:themeColor="text1"/>
          <w:sz w:val="24"/>
          <w:szCs w:val="24"/>
        </w:rPr>
        <w:t>.</w:t>
      </w:r>
      <w:r w:rsidR="00A516F0" w:rsidRPr="00CF536C">
        <w:rPr>
          <w:color w:val="000000" w:themeColor="text1"/>
          <w:sz w:val="24"/>
          <w:szCs w:val="24"/>
        </w:rPr>
        <w:t xml:space="preserve"> </w:t>
      </w:r>
      <w:r w:rsidR="00A516F0" w:rsidRPr="00CF536C">
        <w:rPr>
          <w:bCs/>
          <w:color w:val="000000" w:themeColor="text1"/>
          <w:sz w:val="24"/>
          <w:szCs w:val="24"/>
        </w:rPr>
        <w:t>Mortality inputs: annual probability of death from all causes and from HZ</w:t>
      </w:r>
      <w:bookmarkEnd w:id="0"/>
    </w:p>
    <w:tbl>
      <w:tblPr>
        <w:tblStyle w:val="Table"/>
        <w:tblW w:w="5611" w:type="dxa"/>
        <w:tblInd w:w="0" w:type="dxa"/>
        <w:tblBorders>
          <w:insideH w:val="single" w:sz="4" w:space="0" w:color="auto"/>
        </w:tblBorders>
        <w:tblCellMar>
          <w:left w:w="108" w:type="dxa"/>
          <w:right w:w="108" w:type="dxa"/>
        </w:tblCellMar>
        <w:tblLook w:val="04A0" w:firstRow="1" w:lastRow="0" w:firstColumn="1" w:lastColumn="0" w:noHBand="0" w:noVBand="1"/>
      </w:tblPr>
      <w:tblGrid>
        <w:gridCol w:w="1493"/>
        <w:gridCol w:w="2059"/>
        <w:gridCol w:w="2059"/>
      </w:tblGrid>
      <w:tr w:rsidR="00DB1BD6" w:rsidRPr="00CF536C" w14:paraId="21BDC69C" w14:textId="77777777" w:rsidTr="0049767E">
        <w:trPr>
          <w:trHeight w:val="56"/>
        </w:trPr>
        <w:tc>
          <w:tcPr>
            <w:tcW w:w="1493" w:type="dxa"/>
            <w:tcBorders>
              <w:top w:val="single" w:sz="18" w:space="0" w:color="auto"/>
              <w:bottom w:val="single" w:sz="18" w:space="0" w:color="auto"/>
            </w:tcBorders>
            <w:vAlign w:val="center"/>
          </w:tcPr>
          <w:p w14:paraId="04C9D9E7" w14:textId="77777777" w:rsidR="00A516F0" w:rsidRPr="00CF536C" w:rsidRDefault="00A516F0" w:rsidP="007E5F95">
            <w:pPr>
              <w:spacing w:before="40" w:after="40"/>
              <w:rPr>
                <w:b/>
                <w:bCs/>
                <w:color w:val="000000" w:themeColor="text1"/>
                <w:sz w:val="20"/>
                <w:szCs w:val="20"/>
                <w:lang w:val="en-US"/>
              </w:rPr>
            </w:pPr>
            <w:r w:rsidRPr="00CF536C">
              <w:rPr>
                <w:b/>
                <w:bCs/>
                <w:color w:val="000000" w:themeColor="text1"/>
                <w:sz w:val="20"/>
                <w:szCs w:val="20"/>
                <w:lang w:val="en-US"/>
              </w:rPr>
              <w:t>Age group</w:t>
            </w:r>
          </w:p>
        </w:tc>
        <w:tc>
          <w:tcPr>
            <w:tcW w:w="2059" w:type="dxa"/>
            <w:tcBorders>
              <w:top w:val="single" w:sz="18" w:space="0" w:color="auto"/>
              <w:bottom w:val="single" w:sz="18" w:space="0" w:color="auto"/>
            </w:tcBorders>
            <w:vAlign w:val="center"/>
          </w:tcPr>
          <w:p w14:paraId="4EB9389A" w14:textId="1D4DC6DF" w:rsidR="00A516F0" w:rsidRPr="00CF536C" w:rsidRDefault="00A516F0" w:rsidP="007E5F95">
            <w:pPr>
              <w:spacing w:before="40" w:after="40"/>
              <w:jc w:val="center"/>
              <w:rPr>
                <w:b/>
                <w:bCs/>
                <w:color w:val="000000" w:themeColor="text1"/>
                <w:sz w:val="20"/>
                <w:szCs w:val="20"/>
                <w:lang w:val="en-US"/>
              </w:rPr>
            </w:pPr>
            <w:r w:rsidRPr="00CF536C">
              <w:rPr>
                <w:b/>
                <w:bCs/>
                <w:color w:val="000000" w:themeColor="text1"/>
                <w:sz w:val="20"/>
                <w:szCs w:val="20"/>
                <w:lang w:val="en-US"/>
              </w:rPr>
              <w:t>All-cause mortality</w:t>
            </w:r>
            <w:r w:rsidRPr="00CF536C">
              <w:rPr>
                <w:color w:val="000000" w:themeColor="text1"/>
                <w:sz w:val="20"/>
                <w:szCs w:val="20"/>
                <w:vertAlign w:val="superscript"/>
                <w:lang w:val="en-US"/>
              </w:rPr>
              <w:t>a</w:t>
            </w:r>
          </w:p>
        </w:tc>
        <w:tc>
          <w:tcPr>
            <w:tcW w:w="2059" w:type="dxa"/>
            <w:tcBorders>
              <w:top w:val="single" w:sz="18" w:space="0" w:color="auto"/>
              <w:bottom w:val="single" w:sz="18" w:space="0" w:color="auto"/>
            </w:tcBorders>
            <w:vAlign w:val="center"/>
          </w:tcPr>
          <w:p w14:paraId="32BD42F0" w14:textId="77777777" w:rsidR="00A516F0" w:rsidRPr="00CF536C" w:rsidRDefault="00A516F0" w:rsidP="007E5F95">
            <w:pPr>
              <w:spacing w:before="40" w:after="40"/>
              <w:jc w:val="center"/>
              <w:rPr>
                <w:b/>
                <w:bCs/>
                <w:color w:val="000000" w:themeColor="text1"/>
                <w:sz w:val="20"/>
                <w:szCs w:val="20"/>
                <w:lang w:val="en-US"/>
              </w:rPr>
            </w:pPr>
            <w:r w:rsidRPr="00CF536C">
              <w:rPr>
                <w:b/>
                <w:bCs/>
                <w:color w:val="000000" w:themeColor="text1"/>
                <w:sz w:val="20"/>
                <w:szCs w:val="20"/>
                <w:lang w:val="en-US"/>
              </w:rPr>
              <w:t>HZ mortality</w:t>
            </w:r>
            <w:r w:rsidRPr="00CF536C">
              <w:rPr>
                <w:color w:val="000000" w:themeColor="text1"/>
                <w:sz w:val="20"/>
                <w:szCs w:val="20"/>
                <w:vertAlign w:val="superscript"/>
                <w:lang w:val="en-US"/>
              </w:rPr>
              <w:t>b</w:t>
            </w:r>
          </w:p>
        </w:tc>
      </w:tr>
      <w:tr w:rsidR="00DB1BD6" w:rsidRPr="00CF536C" w14:paraId="0E453DA5" w14:textId="77777777" w:rsidTr="0049767E">
        <w:trPr>
          <w:trHeight w:val="389"/>
        </w:trPr>
        <w:tc>
          <w:tcPr>
            <w:tcW w:w="1493" w:type="dxa"/>
            <w:tcBorders>
              <w:top w:val="single" w:sz="18" w:space="0" w:color="auto"/>
              <w:bottom w:val="nil"/>
            </w:tcBorders>
            <w:vAlign w:val="center"/>
          </w:tcPr>
          <w:p w14:paraId="087904D9"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65–69 years</w:t>
            </w:r>
          </w:p>
        </w:tc>
        <w:tc>
          <w:tcPr>
            <w:tcW w:w="2059" w:type="dxa"/>
            <w:tcBorders>
              <w:top w:val="single" w:sz="18" w:space="0" w:color="auto"/>
              <w:bottom w:val="nil"/>
            </w:tcBorders>
            <w:vAlign w:val="center"/>
          </w:tcPr>
          <w:p w14:paraId="25BBB8D3"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0.00723</w:t>
            </w:r>
          </w:p>
        </w:tc>
        <w:tc>
          <w:tcPr>
            <w:tcW w:w="2059" w:type="dxa"/>
            <w:tcBorders>
              <w:top w:val="single" w:sz="18" w:space="0" w:color="auto"/>
              <w:bottom w:val="nil"/>
            </w:tcBorders>
            <w:vAlign w:val="center"/>
          </w:tcPr>
          <w:p w14:paraId="2DAE2EC6"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0.00008</w:t>
            </w:r>
          </w:p>
        </w:tc>
      </w:tr>
      <w:tr w:rsidR="00DB1BD6" w:rsidRPr="00CF536C" w14:paraId="1ABB65C2" w14:textId="77777777" w:rsidTr="0049767E">
        <w:trPr>
          <w:trHeight w:val="389"/>
        </w:trPr>
        <w:tc>
          <w:tcPr>
            <w:tcW w:w="1493" w:type="dxa"/>
            <w:tcBorders>
              <w:top w:val="nil"/>
              <w:bottom w:val="nil"/>
            </w:tcBorders>
            <w:vAlign w:val="center"/>
          </w:tcPr>
          <w:p w14:paraId="115AA302"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70–74 years</w:t>
            </w:r>
          </w:p>
        </w:tc>
        <w:tc>
          <w:tcPr>
            <w:tcW w:w="2059" w:type="dxa"/>
            <w:tcBorders>
              <w:top w:val="nil"/>
              <w:bottom w:val="nil"/>
            </w:tcBorders>
            <w:vAlign w:val="center"/>
          </w:tcPr>
          <w:p w14:paraId="5D2C42D1"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0.01181</w:t>
            </w:r>
          </w:p>
        </w:tc>
        <w:tc>
          <w:tcPr>
            <w:tcW w:w="2059" w:type="dxa"/>
            <w:tcBorders>
              <w:top w:val="nil"/>
              <w:bottom w:val="nil"/>
            </w:tcBorders>
            <w:vAlign w:val="center"/>
          </w:tcPr>
          <w:p w14:paraId="060C2385"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0.00008</w:t>
            </w:r>
          </w:p>
        </w:tc>
      </w:tr>
      <w:tr w:rsidR="00DB1BD6" w:rsidRPr="00CF536C" w14:paraId="55930443" w14:textId="77777777" w:rsidTr="0049767E">
        <w:trPr>
          <w:trHeight w:val="389"/>
        </w:trPr>
        <w:tc>
          <w:tcPr>
            <w:tcW w:w="1493" w:type="dxa"/>
            <w:tcBorders>
              <w:top w:val="nil"/>
              <w:bottom w:val="nil"/>
            </w:tcBorders>
            <w:vAlign w:val="center"/>
          </w:tcPr>
          <w:p w14:paraId="223B7F0C"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75–79 years</w:t>
            </w:r>
          </w:p>
        </w:tc>
        <w:tc>
          <w:tcPr>
            <w:tcW w:w="2059" w:type="dxa"/>
            <w:tcBorders>
              <w:top w:val="nil"/>
              <w:bottom w:val="nil"/>
            </w:tcBorders>
            <w:vAlign w:val="center"/>
          </w:tcPr>
          <w:p w14:paraId="5F85B258"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0.02338</w:t>
            </w:r>
          </w:p>
        </w:tc>
        <w:tc>
          <w:tcPr>
            <w:tcW w:w="2059" w:type="dxa"/>
            <w:tcBorders>
              <w:top w:val="nil"/>
              <w:bottom w:val="nil"/>
            </w:tcBorders>
            <w:vAlign w:val="center"/>
          </w:tcPr>
          <w:p w14:paraId="2717C2A5"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0.00005</w:t>
            </w:r>
          </w:p>
        </w:tc>
      </w:tr>
      <w:tr w:rsidR="00DB1BD6" w:rsidRPr="00CF536C" w14:paraId="3B232F1E" w14:textId="77777777" w:rsidTr="0049767E">
        <w:trPr>
          <w:trHeight w:val="389"/>
        </w:trPr>
        <w:tc>
          <w:tcPr>
            <w:tcW w:w="1493" w:type="dxa"/>
            <w:tcBorders>
              <w:top w:val="nil"/>
              <w:bottom w:val="nil"/>
            </w:tcBorders>
            <w:vAlign w:val="center"/>
          </w:tcPr>
          <w:p w14:paraId="041773C2"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80–84 years</w:t>
            </w:r>
          </w:p>
        </w:tc>
        <w:tc>
          <w:tcPr>
            <w:tcW w:w="2059" w:type="dxa"/>
            <w:tcBorders>
              <w:top w:val="nil"/>
              <w:bottom w:val="nil"/>
            </w:tcBorders>
            <w:vAlign w:val="center"/>
          </w:tcPr>
          <w:p w14:paraId="12C07ECB"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0.04960</w:t>
            </w:r>
          </w:p>
        </w:tc>
        <w:tc>
          <w:tcPr>
            <w:tcW w:w="2059" w:type="dxa"/>
            <w:tcBorders>
              <w:top w:val="nil"/>
              <w:bottom w:val="nil"/>
            </w:tcBorders>
            <w:vAlign w:val="center"/>
          </w:tcPr>
          <w:p w14:paraId="7DCCF6C0"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0.00018</w:t>
            </w:r>
          </w:p>
        </w:tc>
      </w:tr>
      <w:tr w:rsidR="00DB1BD6" w:rsidRPr="00CF536C" w14:paraId="3F992EF5" w14:textId="77777777" w:rsidTr="0049767E">
        <w:trPr>
          <w:trHeight w:val="402"/>
        </w:trPr>
        <w:tc>
          <w:tcPr>
            <w:tcW w:w="1493" w:type="dxa"/>
            <w:tcBorders>
              <w:top w:val="nil"/>
              <w:bottom w:val="nil"/>
            </w:tcBorders>
            <w:vAlign w:val="center"/>
          </w:tcPr>
          <w:p w14:paraId="4FD3660B"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85–89 years</w:t>
            </w:r>
          </w:p>
        </w:tc>
        <w:tc>
          <w:tcPr>
            <w:tcW w:w="2059" w:type="dxa"/>
            <w:tcBorders>
              <w:top w:val="nil"/>
              <w:bottom w:val="nil"/>
            </w:tcBorders>
            <w:vAlign w:val="center"/>
          </w:tcPr>
          <w:p w14:paraId="7BFE8D28"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0.12227</w:t>
            </w:r>
          </w:p>
        </w:tc>
        <w:tc>
          <w:tcPr>
            <w:tcW w:w="2059" w:type="dxa"/>
            <w:tcBorders>
              <w:top w:val="nil"/>
              <w:bottom w:val="nil"/>
            </w:tcBorders>
            <w:vAlign w:val="center"/>
          </w:tcPr>
          <w:p w14:paraId="6F7A3D93"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0.00027</w:t>
            </w:r>
          </w:p>
        </w:tc>
      </w:tr>
      <w:tr w:rsidR="00DB1BD6" w:rsidRPr="00CF536C" w14:paraId="094D2854" w14:textId="77777777" w:rsidTr="0049767E">
        <w:trPr>
          <w:trHeight w:val="389"/>
        </w:trPr>
        <w:tc>
          <w:tcPr>
            <w:tcW w:w="1493" w:type="dxa"/>
            <w:tcBorders>
              <w:top w:val="nil"/>
              <w:bottom w:val="nil"/>
            </w:tcBorders>
            <w:vAlign w:val="center"/>
          </w:tcPr>
          <w:p w14:paraId="72AB3EE6"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90–94 years</w:t>
            </w:r>
          </w:p>
        </w:tc>
        <w:tc>
          <w:tcPr>
            <w:tcW w:w="2059" w:type="dxa"/>
            <w:tcBorders>
              <w:top w:val="nil"/>
              <w:bottom w:val="nil"/>
            </w:tcBorders>
            <w:vAlign w:val="center"/>
          </w:tcPr>
          <w:p w14:paraId="2E98EBDA"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0.24598</w:t>
            </w:r>
          </w:p>
        </w:tc>
        <w:tc>
          <w:tcPr>
            <w:tcW w:w="2059" w:type="dxa"/>
            <w:tcBorders>
              <w:top w:val="nil"/>
              <w:bottom w:val="nil"/>
            </w:tcBorders>
            <w:vAlign w:val="center"/>
          </w:tcPr>
          <w:p w14:paraId="3B9CCC0F"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0.00201</w:t>
            </w:r>
          </w:p>
        </w:tc>
      </w:tr>
      <w:tr w:rsidR="00DB1BD6" w:rsidRPr="00CF536C" w14:paraId="0C5C0B47" w14:textId="77777777" w:rsidTr="0049767E">
        <w:trPr>
          <w:trHeight w:val="389"/>
        </w:trPr>
        <w:tc>
          <w:tcPr>
            <w:tcW w:w="1493" w:type="dxa"/>
            <w:tcBorders>
              <w:top w:val="nil"/>
              <w:bottom w:val="nil"/>
            </w:tcBorders>
            <w:vAlign w:val="center"/>
          </w:tcPr>
          <w:p w14:paraId="7010DFED"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95–99 years</w:t>
            </w:r>
          </w:p>
        </w:tc>
        <w:tc>
          <w:tcPr>
            <w:tcW w:w="2059" w:type="dxa"/>
            <w:tcBorders>
              <w:top w:val="nil"/>
              <w:bottom w:val="nil"/>
            </w:tcBorders>
            <w:vAlign w:val="center"/>
          </w:tcPr>
          <w:p w14:paraId="526B76E4"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0.42207</w:t>
            </w:r>
          </w:p>
        </w:tc>
        <w:tc>
          <w:tcPr>
            <w:tcW w:w="2059" w:type="dxa"/>
            <w:tcBorders>
              <w:top w:val="nil"/>
              <w:bottom w:val="nil"/>
            </w:tcBorders>
            <w:vAlign w:val="center"/>
          </w:tcPr>
          <w:p w14:paraId="7FBCE2F7"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0.00917</w:t>
            </w:r>
          </w:p>
        </w:tc>
      </w:tr>
      <w:tr w:rsidR="00DB1BD6" w:rsidRPr="00CF536C" w14:paraId="791B0D57" w14:textId="77777777" w:rsidTr="0049767E">
        <w:trPr>
          <w:trHeight w:val="376"/>
        </w:trPr>
        <w:tc>
          <w:tcPr>
            <w:tcW w:w="1493" w:type="dxa"/>
            <w:tcBorders>
              <w:top w:val="nil"/>
              <w:bottom w:val="single" w:sz="18" w:space="0" w:color="auto"/>
            </w:tcBorders>
            <w:vAlign w:val="center"/>
          </w:tcPr>
          <w:p w14:paraId="42296BD9" w14:textId="77777777" w:rsidR="00A516F0" w:rsidRPr="00CF536C" w:rsidRDefault="00A516F0" w:rsidP="007E5F95">
            <w:pPr>
              <w:spacing w:before="40" w:after="40"/>
              <w:rPr>
                <w:color w:val="000000" w:themeColor="text1"/>
                <w:sz w:val="20"/>
                <w:szCs w:val="20"/>
                <w:lang w:val="en-US"/>
              </w:rPr>
            </w:pPr>
            <w:r w:rsidRPr="00CF536C">
              <w:rPr>
                <w:color w:val="000000" w:themeColor="text1"/>
                <w:sz w:val="20"/>
                <w:szCs w:val="20"/>
                <w:lang w:val="en-US"/>
              </w:rPr>
              <w:t>≥100 years</w:t>
            </w:r>
          </w:p>
        </w:tc>
        <w:tc>
          <w:tcPr>
            <w:tcW w:w="2059" w:type="dxa"/>
            <w:tcBorders>
              <w:top w:val="nil"/>
              <w:bottom w:val="single" w:sz="18" w:space="0" w:color="auto"/>
            </w:tcBorders>
            <w:vAlign w:val="center"/>
          </w:tcPr>
          <w:p w14:paraId="4A1B417E"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0.55073</w:t>
            </w:r>
          </w:p>
        </w:tc>
        <w:tc>
          <w:tcPr>
            <w:tcW w:w="2059" w:type="dxa"/>
            <w:tcBorders>
              <w:top w:val="nil"/>
              <w:bottom w:val="single" w:sz="18" w:space="0" w:color="auto"/>
            </w:tcBorders>
            <w:vAlign w:val="center"/>
          </w:tcPr>
          <w:p w14:paraId="12AC5A90" w14:textId="77777777" w:rsidR="00A516F0" w:rsidRPr="00CF536C" w:rsidRDefault="00A516F0" w:rsidP="007E5F95">
            <w:pPr>
              <w:spacing w:before="40" w:after="40"/>
              <w:jc w:val="center"/>
              <w:rPr>
                <w:color w:val="000000" w:themeColor="text1"/>
                <w:sz w:val="20"/>
                <w:szCs w:val="20"/>
                <w:lang w:val="en-US"/>
              </w:rPr>
            </w:pPr>
            <w:r w:rsidRPr="00CF536C">
              <w:rPr>
                <w:color w:val="000000" w:themeColor="text1"/>
                <w:sz w:val="20"/>
                <w:szCs w:val="20"/>
                <w:lang w:val="en-US"/>
              </w:rPr>
              <w:t>0.00917</w:t>
            </w:r>
          </w:p>
        </w:tc>
      </w:tr>
    </w:tbl>
    <w:p w14:paraId="5B7A1B81" w14:textId="36C1806D" w:rsidR="00AD39BE" w:rsidRPr="00CF536C" w:rsidRDefault="00A516F0" w:rsidP="00AD39BE">
      <w:pPr>
        <w:spacing w:before="120" w:line="360" w:lineRule="auto"/>
        <w:rPr>
          <w:bCs/>
          <w:color w:val="000000" w:themeColor="text1"/>
          <w:sz w:val="20"/>
          <w:szCs w:val="20"/>
          <w:lang w:val="en-US"/>
        </w:rPr>
      </w:pPr>
      <w:r w:rsidRPr="00CF536C">
        <w:rPr>
          <w:bCs/>
          <w:color w:val="000000" w:themeColor="text1"/>
          <w:sz w:val="20"/>
          <w:szCs w:val="20"/>
          <w:vertAlign w:val="superscript"/>
          <w:lang w:val="en-US"/>
        </w:rPr>
        <w:t>a</w:t>
      </w:r>
      <w:r w:rsidRPr="00CF536C">
        <w:rPr>
          <w:bCs/>
          <w:color w:val="000000" w:themeColor="text1"/>
          <w:sz w:val="20"/>
          <w:szCs w:val="20"/>
          <w:lang w:val="en-US"/>
        </w:rPr>
        <w:t xml:space="preserve"> All-cause mortality data were derived from national mortality statistics </w:t>
      </w:r>
      <w:r w:rsidR="00AD39BE" w:rsidRPr="00CF536C">
        <w:rPr>
          <w:bCs/>
          <w:color w:val="000000" w:themeColor="text1"/>
          <w:sz w:val="20"/>
          <w:szCs w:val="20"/>
          <w:lang w:val="en-US"/>
        </w:rPr>
        <w:t xml:space="preserve">from </w:t>
      </w:r>
      <w:r w:rsidR="00AD39BE" w:rsidRPr="00CF536C">
        <w:rPr>
          <w:color w:val="000000" w:themeColor="text1"/>
          <w:sz w:val="20"/>
          <w:szCs w:val="20"/>
          <w:lang w:val="en-US"/>
        </w:rPr>
        <w:t xml:space="preserve">the Portuguese National Statistics Office (INE) </w:t>
      </w:r>
      <w:r w:rsidR="00AD39BE" w:rsidRPr="00CF536C">
        <w:rPr>
          <w:color w:val="000000" w:themeColor="text1"/>
          <w:sz w:val="20"/>
          <w:szCs w:val="20"/>
          <w:lang w:val="en-US"/>
        </w:rPr>
        <w:fldChar w:fldCharType="begin"/>
      </w:r>
      <w:r w:rsidR="007A6E0F" w:rsidRPr="00CF536C">
        <w:rPr>
          <w:color w:val="000000" w:themeColor="text1"/>
          <w:sz w:val="20"/>
          <w:szCs w:val="20"/>
          <w:lang w:val="en-US"/>
        </w:rPr>
        <w:instrText xml:space="preserve"> ADDIN EN.CITE &lt;EndNote&gt;&lt;Cite ExcludeAuth="1" ExcludeYear="1"&gt;&lt;RecNum&gt;107&lt;/RecNum&gt;&lt;DisplayText&gt;[1]&lt;/DisplayText&gt;&lt;record&gt;&lt;rec-number&gt;107&lt;/rec-number&gt;&lt;foreign-keys&gt;&lt;key app="EN" db-id="zsasps0ztaxwr9e0rt3xss9qsweae9r0w5f9" timestamp="1741521943"&gt;107&lt;/key&gt;&lt;/foreign-keys&gt;&lt;ref-type name="Journal Article"&gt;17&lt;/ref-type&gt;&lt;contributors&gt;&lt;/contributors&gt;&lt;titles&gt;&lt;title&gt;Instituto Nacional de Estatística. Portuguese life tables 2019-2021; Lisboa, Portugal: Instituto Nacional de Estatística; 2024. https://www.ine.pt/xportal/xmain?xpid=INE&amp;amp;xpgid=ine_indicadores&amp;amp;indOcorrCod=0004160&amp;amp;&amp;amp;contexto=bd&amp;amp;selTab=tab2 Accessed 7 July 2024&lt;/title&gt;&lt;/titles&gt;&lt;dates&gt;&lt;/dates&gt;&lt;urls&gt;&lt;/urls&gt;&lt;/record&gt;&lt;/Cite&gt;&lt;/EndNote&gt;</w:instrText>
      </w:r>
      <w:r w:rsidR="00AD39BE" w:rsidRPr="00CF536C">
        <w:rPr>
          <w:color w:val="000000" w:themeColor="text1"/>
          <w:sz w:val="20"/>
          <w:szCs w:val="20"/>
          <w:lang w:val="en-US"/>
        </w:rPr>
        <w:fldChar w:fldCharType="separate"/>
      </w:r>
      <w:r w:rsidR="007A6E0F" w:rsidRPr="00CF536C">
        <w:rPr>
          <w:color w:val="000000" w:themeColor="text1"/>
          <w:sz w:val="20"/>
          <w:szCs w:val="20"/>
          <w:lang w:val="en-US"/>
        </w:rPr>
        <w:t>[1]</w:t>
      </w:r>
      <w:r w:rsidR="00AD39BE" w:rsidRPr="00CF536C">
        <w:rPr>
          <w:color w:val="000000" w:themeColor="text1"/>
          <w:sz w:val="20"/>
          <w:szCs w:val="20"/>
          <w:lang w:val="en-US"/>
        </w:rPr>
        <w:fldChar w:fldCharType="end"/>
      </w:r>
      <w:r w:rsidR="003A7F76" w:rsidRPr="00CF536C">
        <w:rPr>
          <w:color w:val="000000" w:themeColor="text1"/>
          <w:sz w:val="20"/>
          <w:szCs w:val="20"/>
          <w:lang w:val="en-US"/>
        </w:rPr>
        <w:t>.</w:t>
      </w:r>
    </w:p>
    <w:p w14:paraId="15296918" w14:textId="43DDC83C" w:rsidR="00AD39BE" w:rsidRPr="00CF536C" w:rsidRDefault="00A516F0" w:rsidP="00AD39BE">
      <w:pPr>
        <w:spacing w:after="120" w:line="360" w:lineRule="auto"/>
        <w:rPr>
          <w:color w:val="000000" w:themeColor="text1"/>
          <w:sz w:val="20"/>
          <w:szCs w:val="20"/>
          <w:lang w:val="en-US"/>
        </w:rPr>
      </w:pPr>
      <w:r w:rsidRPr="00CF536C">
        <w:rPr>
          <w:bCs/>
          <w:color w:val="000000" w:themeColor="text1"/>
          <w:sz w:val="20"/>
          <w:szCs w:val="20"/>
          <w:vertAlign w:val="superscript"/>
          <w:lang w:val="en-US"/>
        </w:rPr>
        <w:t>b</w:t>
      </w:r>
      <w:r w:rsidRPr="00CF536C">
        <w:rPr>
          <w:bCs/>
          <w:color w:val="000000" w:themeColor="text1"/>
          <w:sz w:val="20"/>
          <w:szCs w:val="20"/>
          <w:lang w:val="en-US"/>
        </w:rPr>
        <w:t xml:space="preserve"> For HZ case fatality data, national data were limited, so </w:t>
      </w:r>
      <w:r w:rsidR="00AD39BE" w:rsidRPr="00CF536C">
        <w:rPr>
          <w:bCs/>
          <w:color w:val="000000" w:themeColor="text1"/>
          <w:sz w:val="20"/>
          <w:szCs w:val="20"/>
          <w:lang w:val="en-US"/>
        </w:rPr>
        <w:t xml:space="preserve">Spanish data were applied, as used </w:t>
      </w:r>
      <w:r w:rsidR="00AD39BE" w:rsidRPr="00CF536C">
        <w:rPr>
          <w:color w:val="000000" w:themeColor="text1"/>
          <w:sz w:val="20"/>
          <w:szCs w:val="20"/>
          <w:lang w:val="en-US"/>
        </w:rPr>
        <w:t xml:space="preserve">in a recent Spanish </w:t>
      </w:r>
      <w:r w:rsidR="008169BB" w:rsidRPr="00CF536C">
        <w:rPr>
          <w:color w:val="000000" w:themeColor="text1"/>
          <w:sz w:val="20"/>
          <w:szCs w:val="20"/>
          <w:lang w:val="en-US"/>
        </w:rPr>
        <w:t xml:space="preserve">RZV public health impact </w:t>
      </w:r>
      <w:r w:rsidR="00AD39BE" w:rsidRPr="00CF536C">
        <w:rPr>
          <w:color w:val="000000" w:themeColor="text1"/>
          <w:sz w:val="20"/>
          <w:szCs w:val="20"/>
          <w:lang w:val="en-US"/>
        </w:rPr>
        <w:t xml:space="preserve">analysis </w:t>
      </w:r>
      <w:r w:rsidR="00AD39BE" w:rsidRPr="00CF536C">
        <w:rPr>
          <w:color w:val="000000" w:themeColor="text1"/>
          <w:sz w:val="20"/>
          <w:szCs w:val="20"/>
          <w:lang w:val="en-US"/>
        </w:rPr>
        <w:fldChar w:fldCharType="begin">
          <w:fldData xml:space="preserve">PEVuZE5vdGU+PENpdGUgRXhjbHVkZUF1dGg9IjEiIEV4Y2x1ZGVZZWFyPSIxIj48UmVjTnVtPjU3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</w:fldData>
        </w:fldChar>
      </w:r>
      <w:r w:rsidR="00E61C6C" w:rsidRPr="00CF536C">
        <w:rPr>
          <w:color w:val="000000" w:themeColor="text1"/>
          <w:sz w:val="20"/>
          <w:szCs w:val="20"/>
          <w:lang w:val="en-US"/>
        </w:rPr>
        <w:instrText xml:space="preserve"> ADDIN EN.CITE </w:instrText>
      </w:r>
      <w:r w:rsidR="00E61C6C" w:rsidRPr="00CF536C">
        <w:rPr>
          <w:color w:val="000000" w:themeColor="text1"/>
          <w:sz w:val="20"/>
          <w:szCs w:val="20"/>
          <w:lang w:val="en-US"/>
        </w:rPr>
        <w:fldChar w:fldCharType="begin">
          <w:fldData xml:space="preserve">PEVuZE5vdGU+PENpdGUgRXhjbHVkZUF1dGg9IjEiIEV4Y2x1ZGVZZWFyPSIxIj48UmVjTnVtPjU3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</w:fldData>
        </w:fldChar>
      </w:r>
      <w:r w:rsidR="00E61C6C" w:rsidRPr="00CF536C">
        <w:rPr>
          <w:color w:val="000000" w:themeColor="text1"/>
          <w:sz w:val="20"/>
          <w:szCs w:val="20"/>
          <w:lang w:val="en-US"/>
        </w:rPr>
        <w:instrText xml:space="preserve"> ADDIN EN.CITE.DATA </w:instrText>
      </w:r>
      <w:r w:rsidR="00E61C6C" w:rsidRPr="00CF536C">
        <w:rPr>
          <w:color w:val="000000" w:themeColor="text1"/>
          <w:sz w:val="20"/>
          <w:szCs w:val="20"/>
          <w:lang w:val="en-US"/>
        </w:rPr>
      </w:r>
      <w:r w:rsidR="00E61C6C" w:rsidRPr="00CF536C">
        <w:rPr>
          <w:color w:val="000000" w:themeColor="text1"/>
          <w:sz w:val="20"/>
          <w:szCs w:val="20"/>
          <w:lang w:val="en-US"/>
        </w:rPr>
        <w:fldChar w:fldCharType="end"/>
      </w:r>
      <w:r w:rsidR="00AD39BE" w:rsidRPr="00CF536C">
        <w:rPr>
          <w:color w:val="000000" w:themeColor="text1"/>
          <w:sz w:val="20"/>
          <w:szCs w:val="20"/>
          <w:lang w:val="en-US"/>
        </w:rPr>
      </w:r>
      <w:r w:rsidR="00AD39BE" w:rsidRPr="00CF536C">
        <w:rPr>
          <w:color w:val="000000" w:themeColor="text1"/>
          <w:sz w:val="20"/>
          <w:szCs w:val="20"/>
          <w:lang w:val="en-US"/>
        </w:rPr>
        <w:fldChar w:fldCharType="separate"/>
      </w:r>
      <w:r w:rsidR="007A6E0F" w:rsidRPr="00CF536C">
        <w:rPr>
          <w:noProof/>
          <w:color w:val="000000" w:themeColor="text1"/>
          <w:sz w:val="20"/>
          <w:szCs w:val="20"/>
          <w:lang w:val="en-US"/>
        </w:rPr>
        <w:t>[2, 3]</w:t>
      </w:r>
      <w:r w:rsidR="00AD39BE" w:rsidRPr="00CF536C">
        <w:rPr>
          <w:color w:val="000000" w:themeColor="text1"/>
          <w:sz w:val="20"/>
          <w:szCs w:val="20"/>
          <w:lang w:val="en-US"/>
        </w:rPr>
        <w:fldChar w:fldCharType="end"/>
      </w:r>
      <w:r w:rsidR="003A7F76" w:rsidRPr="00CF536C">
        <w:rPr>
          <w:color w:val="000000" w:themeColor="text1"/>
          <w:sz w:val="20"/>
          <w:szCs w:val="20"/>
          <w:lang w:val="en-US"/>
        </w:rPr>
        <w:t>.</w:t>
      </w:r>
      <w:r w:rsidR="00AD39BE" w:rsidRPr="00CF536C">
        <w:rPr>
          <w:color w:val="000000" w:themeColor="text1"/>
          <w:sz w:val="20"/>
          <w:szCs w:val="20"/>
          <w:lang w:val="en-US"/>
        </w:rPr>
        <w:t xml:space="preserve"> </w:t>
      </w:r>
    </w:p>
    <w:p w14:paraId="7FE8CEDF" w14:textId="238D14EB" w:rsidR="00D36A83" w:rsidRPr="00CF536C" w:rsidRDefault="00D36A83" w:rsidP="00AD39BE">
      <w:pPr>
        <w:spacing w:after="120" w:line="360" w:lineRule="auto"/>
        <w:rPr>
          <w:color w:val="000000" w:themeColor="text1"/>
          <w:sz w:val="20"/>
          <w:szCs w:val="20"/>
          <w:lang w:val="nl-NL"/>
        </w:rPr>
      </w:pPr>
      <w:r w:rsidRPr="00CF536C">
        <w:rPr>
          <w:i/>
          <w:color w:val="000000" w:themeColor="text1"/>
          <w:sz w:val="20"/>
          <w:szCs w:val="20"/>
          <w:lang w:val="nl-NL"/>
        </w:rPr>
        <w:t xml:space="preserve">HZ </w:t>
      </w:r>
      <w:r w:rsidRPr="00CF536C">
        <w:rPr>
          <w:color w:val="000000" w:themeColor="text1"/>
          <w:sz w:val="20"/>
          <w:szCs w:val="20"/>
          <w:lang w:val="nl-NL"/>
        </w:rPr>
        <w:t>herpes zoster</w:t>
      </w:r>
      <w:r w:rsidR="008670E7" w:rsidRPr="00CF536C">
        <w:rPr>
          <w:color w:val="000000" w:themeColor="text1"/>
          <w:sz w:val="20"/>
          <w:szCs w:val="20"/>
          <w:lang w:val="nl-NL"/>
        </w:rPr>
        <w:t xml:space="preserve">, </w:t>
      </w:r>
      <w:r w:rsidR="008670E7" w:rsidRPr="00CF536C">
        <w:rPr>
          <w:i/>
          <w:iCs/>
          <w:color w:val="000000" w:themeColor="text1"/>
          <w:sz w:val="20"/>
          <w:szCs w:val="20"/>
          <w:lang w:val="nl-NL"/>
        </w:rPr>
        <w:t>RZV</w:t>
      </w:r>
      <w:r w:rsidR="008670E7" w:rsidRPr="00CF536C">
        <w:rPr>
          <w:color w:val="000000" w:themeColor="text1"/>
          <w:sz w:val="20"/>
          <w:szCs w:val="20"/>
          <w:lang w:val="nl-NL"/>
        </w:rPr>
        <w:t xml:space="preserve"> </w:t>
      </w:r>
      <w:r w:rsidR="005C335D" w:rsidRPr="00CF536C">
        <w:rPr>
          <w:color w:val="000000" w:themeColor="text1"/>
          <w:sz w:val="20"/>
          <w:szCs w:val="20"/>
          <w:lang w:val="nl-NL"/>
        </w:rPr>
        <w:t>recombinant zoster vaccine</w:t>
      </w:r>
    </w:p>
    <w:p w14:paraId="075378D3" w14:textId="540809AF" w:rsidR="00D81313" w:rsidRPr="00CF536C" w:rsidRDefault="00D81313" w:rsidP="00E37AF9">
      <w:pPr>
        <w:rPr>
          <w:b/>
          <w:color w:val="000000" w:themeColor="text1"/>
          <w:lang w:val="nl-NL" w:eastAsia="en-US"/>
        </w:rPr>
        <w:sectPr w:rsidR="00D81313" w:rsidRPr="00CF536C" w:rsidSect="00CF536C">
          <w:headerReference w:type="default" r:id="rId11"/>
          <w:footerReference w:type="even" r:id="rId12"/>
          <w:footerReference w:type="default" r:id="rId13"/>
          <w:type w:val="continuous"/>
          <w:pgSz w:w="11906" w:h="16838"/>
          <w:pgMar w:top="1440" w:right="1440" w:bottom="1440" w:left="1440" w:header="350" w:footer="708" w:gutter="0"/>
          <w:cols w:space="708"/>
          <w:docGrid w:linePitch="360"/>
        </w:sectPr>
      </w:pPr>
    </w:p>
    <w:p w14:paraId="59AE6464" w14:textId="2D56F6EF" w:rsidR="003B1B0E" w:rsidRPr="00CF536C" w:rsidRDefault="003B1B0E" w:rsidP="003B1B0E">
      <w:pPr>
        <w:keepNext/>
        <w:keepLines/>
        <w:suppressAutoHyphens/>
        <w:spacing w:line="360" w:lineRule="auto"/>
        <w:outlineLvl w:val="0"/>
        <w:rPr>
          <w:b/>
          <w:color w:val="000000" w:themeColor="text1"/>
          <w:sz w:val="28"/>
          <w:szCs w:val="28"/>
          <w:lang w:val="en-US"/>
        </w:rPr>
      </w:pPr>
      <w:bookmarkStart w:id="1" w:name="_Toc216524898"/>
      <w:r w:rsidRPr="00CF536C">
        <w:rPr>
          <w:b/>
          <w:color w:val="000000" w:themeColor="text1"/>
          <w:sz w:val="28"/>
          <w:szCs w:val="28"/>
          <w:lang w:val="en-US"/>
        </w:rPr>
        <w:t>Results</w:t>
      </w:r>
      <w:bookmarkEnd w:id="1"/>
    </w:p>
    <w:p w14:paraId="2AB1CFAE" w14:textId="475A6984" w:rsidR="007A6E0F" w:rsidRPr="00CF536C" w:rsidRDefault="007A6E0F" w:rsidP="007A6E0F">
      <w:pPr>
        <w:pStyle w:val="Heading2"/>
        <w:spacing w:after="40" w:line="360" w:lineRule="auto"/>
        <w:rPr>
          <w:bCs/>
          <w:color w:val="000000" w:themeColor="text1"/>
          <w:sz w:val="20"/>
        </w:rPr>
      </w:pPr>
      <w:bookmarkStart w:id="2" w:name="_Toc216524899"/>
      <w:r w:rsidRPr="00CF536C">
        <w:rPr>
          <w:color w:val="000000" w:themeColor="text1"/>
          <w:sz w:val="24"/>
          <w:szCs w:val="24"/>
        </w:rPr>
        <w:t>Online Resource Figure 1. Number needed to vaccinate with RZV to prevent one case of HZ and PHN in adults aged ≥ 65 years, overall and by age-strata in the base-case and scenario analysis</w:t>
      </w:r>
      <w:bookmarkEnd w:id="2"/>
      <w:r w:rsidR="00E3794D" w:rsidRPr="00CF536C">
        <w:rPr>
          <w:color w:val="000000" w:themeColor="text1"/>
          <w:sz w:val="24"/>
          <w:szCs w:val="24"/>
        </w:rPr>
        <w:t xml:space="preserve"> </w:t>
      </w:r>
    </w:p>
    <w:p w14:paraId="0279151D" w14:textId="77777777" w:rsidR="007A6E0F" w:rsidRPr="00CF536C" w:rsidRDefault="007A6E0F" w:rsidP="007A6E0F">
      <w:pPr>
        <w:spacing w:before="120" w:line="360" w:lineRule="auto"/>
        <w:ind w:left="720"/>
        <w:rPr>
          <w:i/>
          <w:color w:val="000000" w:themeColor="text1"/>
          <w:sz w:val="22"/>
          <w:szCs w:val="22"/>
          <w:lang w:val="en-US"/>
        </w:rPr>
      </w:pPr>
      <w:r w:rsidRPr="00CF536C">
        <w:rPr>
          <w:noProof/>
          <w:color w:val="000000" w:themeColor="text1"/>
          <w:sz w:val="20"/>
          <w:szCs w:val="20"/>
          <w:lang w:val="en-IN" w:eastAsia="en-IN"/>
        </w:rPr>
        <w:drawing>
          <wp:inline distT="0" distB="0" distL="0" distR="0" wp14:anchorId="7A22EC0B" wp14:editId="1B858316">
            <wp:extent cx="7473695" cy="361776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srcRect l="3116" r="3116"/>
                    <a:stretch>
                      <a:fillRect/>
                    </a:stretch>
                  </pic:blipFill>
                  <pic:spPr bwMode="auto">
                    <a:xfrm>
                      <a:off x="0" y="0"/>
                      <a:ext cx="7473695" cy="3617768"/>
                    </a:xfrm>
                    <a:prstGeom prst="rect">
                      <a:avLst/>
                    </a:prstGeom>
                    <a:ln>
                      <a:noFill/>
                    </a:ln>
                    <a:extLst>
                      <a:ext uri="{53640926-AAD7-44D8-BBD7-CCE9431645EC}">
                        <a14:shadowObscured xmlns:a14="http://schemas.microsoft.com/office/drawing/2010/main"/>
                      </a:ext>
                    </a:extLst>
                  </pic:spPr>
                </pic:pic>
              </a:graphicData>
            </a:graphic>
          </wp:inline>
        </w:drawing>
      </w:r>
      <w:r w:rsidRPr="00CF536C">
        <w:rPr>
          <w:i/>
          <w:color w:val="000000" w:themeColor="text1"/>
          <w:sz w:val="22"/>
          <w:szCs w:val="22"/>
          <w:lang w:val="en-US"/>
        </w:rPr>
        <w:t xml:space="preserve"> </w:t>
      </w:r>
    </w:p>
    <w:p w14:paraId="1F1470C5" w14:textId="3EE63CEB" w:rsidR="007A6E0F" w:rsidRPr="00CF536C" w:rsidRDefault="007A6E0F" w:rsidP="007A6E0F">
      <w:pPr>
        <w:rPr>
          <w:b/>
          <w:color w:val="000000" w:themeColor="text1"/>
          <w:lang w:val="en-US" w:eastAsia="en-US"/>
        </w:rPr>
      </w:pPr>
      <w:r w:rsidRPr="00CF536C">
        <w:rPr>
          <w:i/>
          <w:color w:val="000000" w:themeColor="text1"/>
          <w:sz w:val="22"/>
          <w:szCs w:val="22"/>
          <w:lang w:val="en-US"/>
        </w:rPr>
        <w:t xml:space="preserve">HZ </w:t>
      </w:r>
      <w:r w:rsidRPr="00CF536C">
        <w:rPr>
          <w:color w:val="000000" w:themeColor="text1"/>
          <w:sz w:val="22"/>
          <w:szCs w:val="22"/>
          <w:lang w:val="en-US"/>
        </w:rPr>
        <w:t xml:space="preserve">herpes zoster, </w:t>
      </w:r>
      <w:r w:rsidRPr="00CF536C">
        <w:rPr>
          <w:i/>
          <w:color w:val="000000" w:themeColor="text1"/>
          <w:sz w:val="22"/>
          <w:szCs w:val="22"/>
          <w:lang w:val="en-US"/>
        </w:rPr>
        <w:t xml:space="preserve">PHN </w:t>
      </w:r>
      <w:r w:rsidRPr="00CF536C">
        <w:rPr>
          <w:color w:val="000000" w:themeColor="text1"/>
          <w:sz w:val="22"/>
          <w:szCs w:val="22"/>
          <w:lang w:val="en-US"/>
        </w:rPr>
        <w:t>post</w:t>
      </w:r>
      <w:r w:rsidR="003A7F76" w:rsidRPr="00CF536C">
        <w:rPr>
          <w:color w:val="000000" w:themeColor="text1"/>
          <w:sz w:val="22"/>
          <w:szCs w:val="22"/>
          <w:lang w:val="en-US"/>
        </w:rPr>
        <w:t>-</w:t>
      </w:r>
      <w:r w:rsidRPr="00CF536C">
        <w:rPr>
          <w:color w:val="000000" w:themeColor="text1"/>
          <w:sz w:val="22"/>
          <w:szCs w:val="22"/>
          <w:lang w:val="en-US"/>
        </w:rPr>
        <w:t xml:space="preserve">herpetic neuralgia, </w:t>
      </w:r>
      <w:r w:rsidRPr="00CF536C">
        <w:rPr>
          <w:i/>
          <w:iCs/>
          <w:color w:val="000000" w:themeColor="text1"/>
          <w:sz w:val="22"/>
          <w:szCs w:val="22"/>
          <w:lang w:val="en-US"/>
        </w:rPr>
        <w:t>RZV</w:t>
      </w:r>
      <w:r w:rsidRPr="00CF536C">
        <w:rPr>
          <w:color w:val="000000" w:themeColor="text1"/>
          <w:sz w:val="22"/>
          <w:szCs w:val="22"/>
          <w:lang w:val="en-US"/>
        </w:rPr>
        <w:t xml:space="preserve"> recombinant zoster vaccine, </w:t>
      </w:r>
      <w:r w:rsidRPr="00CF536C">
        <w:rPr>
          <w:i/>
          <w:iCs/>
          <w:color w:val="000000" w:themeColor="text1"/>
          <w:sz w:val="22"/>
          <w:szCs w:val="22"/>
          <w:lang w:val="en-US"/>
        </w:rPr>
        <w:t>NNV</w:t>
      </w:r>
      <w:r w:rsidRPr="00CF536C">
        <w:rPr>
          <w:color w:val="000000" w:themeColor="text1"/>
          <w:sz w:val="22"/>
          <w:szCs w:val="22"/>
          <w:lang w:val="en-US"/>
        </w:rPr>
        <w:t xml:space="preserve"> number needed to vaccinate</w:t>
      </w:r>
    </w:p>
    <w:p w14:paraId="0767BB1C" w14:textId="77777777" w:rsidR="007A6E0F" w:rsidRPr="00CF536C" w:rsidRDefault="007A6E0F">
      <w:pPr>
        <w:rPr>
          <w:b/>
          <w:color w:val="000000" w:themeColor="text1"/>
          <w:lang w:val="en-US" w:eastAsia="en-US"/>
        </w:rPr>
      </w:pPr>
      <w:r w:rsidRPr="00CF536C">
        <w:rPr>
          <w:color w:val="000000" w:themeColor="text1"/>
          <w:lang w:val="en-US"/>
        </w:rPr>
        <w:br w:type="page"/>
      </w:r>
    </w:p>
    <w:p w14:paraId="5513F9C2" w14:textId="592B7BC8" w:rsidR="007D2F0D" w:rsidRPr="00CF536C" w:rsidRDefault="007D2F0D" w:rsidP="007D2F0D">
      <w:pPr>
        <w:pStyle w:val="Heading2"/>
        <w:spacing w:after="40" w:line="360" w:lineRule="auto"/>
        <w:rPr>
          <w:bCs/>
          <w:color w:val="000000" w:themeColor="text1"/>
        </w:rPr>
      </w:pPr>
      <w:bookmarkStart w:id="3" w:name="_Toc216524900"/>
      <w:r w:rsidRPr="00CF536C">
        <w:rPr>
          <w:color w:val="000000" w:themeColor="text1"/>
          <w:sz w:val="24"/>
          <w:szCs w:val="24"/>
        </w:rPr>
        <w:t xml:space="preserve">Online Resource Table </w:t>
      </w:r>
      <w:r w:rsidR="007A6E0F" w:rsidRPr="00CF536C">
        <w:rPr>
          <w:color w:val="000000" w:themeColor="text1"/>
          <w:sz w:val="24"/>
          <w:szCs w:val="24"/>
        </w:rPr>
        <w:t>2</w:t>
      </w:r>
      <w:r w:rsidR="0082146D" w:rsidRPr="00CF536C">
        <w:rPr>
          <w:color w:val="000000" w:themeColor="text1"/>
          <w:sz w:val="24"/>
          <w:szCs w:val="24"/>
        </w:rPr>
        <w:t xml:space="preserve">. </w:t>
      </w:r>
      <w:r w:rsidR="00D462B6" w:rsidRPr="00CF536C">
        <w:rPr>
          <w:color w:val="000000" w:themeColor="text1"/>
          <w:sz w:val="24"/>
          <w:szCs w:val="24"/>
        </w:rPr>
        <w:t xml:space="preserve">Scenario analysis: </w:t>
      </w:r>
      <w:r w:rsidRPr="00CF536C">
        <w:rPr>
          <w:bCs/>
          <w:color w:val="000000" w:themeColor="text1"/>
          <w:sz w:val="24"/>
          <w:szCs w:val="24"/>
          <w:lang w:eastAsia="ar-SA"/>
        </w:rPr>
        <w:t xml:space="preserve">Outcomes for </w:t>
      </w:r>
      <w:r w:rsidRPr="00CF536C">
        <w:rPr>
          <w:color w:val="000000" w:themeColor="text1"/>
          <w:sz w:val="24"/>
          <w:szCs w:val="24"/>
        </w:rPr>
        <w:t>RZV vaccine versus no vaccine for all adults aged ≥65 years: stratified by age (hypothetical cohort of 1,000,000)</w:t>
      </w:r>
      <w:bookmarkEnd w:id="3"/>
    </w:p>
    <w:tbl>
      <w:tblPr>
        <w:tblW w:w="5000" w:type="pct"/>
        <w:tblLayout w:type="fixed"/>
        <w:tblLook w:val="0000" w:firstRow="0" w:lastRow="0" w:firstColumn="0" w:lastColumn="0" w:noHBand="0" w:noVBand="0"/>
      </w:tblPr>
      <w:tblGrid>
        <w:gridCol w:w="2387"/>
        <w:gridCol w:w="1284"/>
        <w:gridCol w:w="1287"/>
        <w:gridCol w:w="1287"/>
        <w:gridCol w:w="1287"/>
        <w:gridCol w:w="1284"/>
        <w:gridCol w:w="1287"/>
        <w:gridCol w:w="1287"/>
        <w:gridCol w:w="1287"/>
        <w:gridCol w:w="1281"/>
      </w:tblGrid>
      <w:tr w:rsidR="00DB1BD6" w:rsidRPr="00CF536C" w14:paraId="68FDC53E" w14:textId="77777777" w:rsidTr="007F3ECB">
        <w:trPr>
          <w:cantSplit/>
          <w:trHeight w:val="347"/>
        </w:trPr>
        <w:tc>
          <w:tcPr>
            <w:tcW w:w="855" w:type="pct"/>
            <w:vMerge w:val="restart"/>
            <w:tcBorders>
              <w:top w:val="single" w:sz="18" w:space="0" w:color="auto"/>
            </w:tcBorders>
          </w:tcPr>
          <w:p w14:paraId="0E62EC48" w14:textId="6883A477" w:rsidR="007F3ECB" w:rsidRPr="00CF536C" w:rsidRDefault="007F3ECB" w:rsidP="007F3ECB">
            <w:pPr>
              <w:pStyle w:val="Tabletextindented"/>
              <w:spacing w:line="276" w:lineRule="auto"/>
              <w:ind w:left="0"/>
              <w:rPr>
                <w:rFonts w:ascii="Times New Roman" w:hAnsi="Times New Roman" w:cs="Times New Roman"/>
                <w:color w:val="000000" w:themeColor="text1"/>
                <w:sz w:val="20"/>
                <w:szCs w:val="20"/>
              </w:rPr>
            </w:pPr>
            <w:r w:rsidRPr="00CF536C">
              <w:rPr>
                <w:rFonts w:ascii="Times New Roman" w:hAnsi="Times New Roman" w:cs="Times New Roman"/>
                <w:b/>
                <w:bCs/>
                <w:color w:val="000000" w:themeColor="text1"/>
                <w:sz w:val="20"/>
                <w:szCs w:val="20"/>
              </w:rPr>
              <w:t>Age</w:t>
            </w:r>
          </w:p>
        </w:tc>
        <w:tc>
          <w:tcPr>
            <w:tcW w:w="460" w:type="pct"/>
            <w:tcBorders>
              <w:top w:val="single" w:sz="18" w:space="0" w:color="auto"/>
              <w:bottom w:val="single" w:sz="18" w:space="0" w:color="auto"/>
            </w:tcBorders>
            <w:vAlign w:val="center"/>
          </w:tcPr>
          <w:p w14:paraId="040F4AB8"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p>
        </w:tc>
        <w:tc>
          <w:tcPr>
            <w:tcW w:w="461" w:type="pct"/>
            <w:tcBorders>
              <w:top w:val="single" w:sz="18" w:space="0" w:color="auto"/>
              <w:bottom w:val="single" w:sz="18" w:space="0" w:color="auto"/>
            </w:tcBorders>
            <w:vAlign w:val="center"/>
          </w:tcPr>
          <w:p w14:paraId="59B23009"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65–69 years</w:t>
            </w:r>
          </w:p>
        </w:tc>
        <w:tc>
          <w:tcPr>
            <w:tcW w:w="461" w:type="pct"/>
            <w:tcBorders>
              <w:top w:val="single" w:sz="18" w:space="0" w:color="auto"/>
              <w:bottom w:val="single" w:sz="18" w:space="0" w:color="auto"/>
              <w:right w:val="single" w:sz="18" w:space="0" w:color="auto"/>
            </w:tcBorders>
            <w:vAlign w:val="center"/>
          </w:tcPr>
          <w:p w14:paraId="23E9B624"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p>
        </w:tc>
        <w:tc>
          <w:tcPr>
            <w:tcW w:w="461" w:type="pct"/>
            <w:tcBorders>
              <w:top w:val="single" w:sz="18" w:space="0" w:color="auto"/>
              <w:left w:val="single" w:sz="18" w:space="0" w:color="auto"/>
              <w:bottom w:val="single" w:sz="18" w:space="0" w:color="auto"/>
            </w:tcBorders>
            <w:vAlign w:val="center"/>
          </w:tcPr>
          <w:p w14:paraId="57FD59FE"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p>
        </w:tc>
        <w:tc>
          <w:tcPr>
            <w:tcW w:w="460" w:type="pct"/>
            <w:tcBorders>
              <w:top w:val="single" w:sz="18" w:space="0" w:color="auto"/>
              <w:bottom w:val="single" w:sz="18" w:space="0" w:color="auto"/>
            </w:tcBorders>
            <w:vAlign w:val="center"/>
          </w:tcPr>
          <w:p w14:paraId="2D725A17"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70–79 years</w:t>
            </w:r>
          </w:p>
        </w:tc>
        <w:tc>
          <w:tcPr>
            <w:tcW w:w="461" w:type="pct"/>
            <w:tcBorders>
              <w:top w:val="single" w:sz="18" w:space="0" w:color="auto"/>
              <w:bottom w:val="single" w:sz="18" w:space="0" w:color="auto"/>
              <w:right w:val="single" w:sz="18" w:space="0" w:color="auto"/>
            </w:tcBorders>
            <w:vAlign w:val="center"/>
          </w:tcPr>
          <w:p w14:paraId="16F6DEA7"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p>
        </w:tc>
        <w:tc>
          <w:tcPr>
            <w:tcW w:w="461" w:type="pct"/>
            <w:tcBorders>
              <w:top w:val="single" w:sz="18" w:space="0" w:color="auto"/>
              <w:left w:val="single" w:sz="18" w:space="0" w:color="auto"/>
              <w:bottom w:val="single" w:sz="18" w:space="0" w:color="auto"/>
            </w:tcBorders>
            <w:vAlign w:val="center"/>
          </w:tcPr>
          <w:p w14:paraId="17C86C49"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p>
        </w:tc>
        <w:tc>
          <w:tcPr>
            <w:tcW w:w="461" w:type="pct"/>
            <w:tcBorders>
              <w:top w:val="single" w:sz="18" w:space="0" w:color="auto"/>
              <w:bottom w:val="single" w:sz="18" w:space="0" w:color="auto"/>
            </w:tcBorders>
            <w:vAlign w:val="center"/>
          </w:tcPr>
          <w:p w14:paraId="7EEEE829"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≥80 years</w:t>
            </w:r>
          </w:p>
        </w:tc>
        <w:tc>
          <w:tcPr>
            <w:tcW w:w="459" w:type="pct"/>
            <w:tcBorders>
              <w:top w:val="single" w:sz="18" w:space="0" w:color="auto"/>
              <w:bottom w:val="single" w:sz="18" w:space="0" w:color="auto"/>
            </w:tcBorders>
            <w:vAlign w:val="center"/>
          </w:tcPr>
          <w:p w14:paraId="2E4D5D37"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p>
        </w:tc>
      </w:tr>
      <w:tr w:rsidR="00DB1BD6" w:rsidRPr="00CF536C" w14:paraId="02088C45" w14:textId="77777777" w:rsidTr="007F3ECB">
        <w:trPr>
          <w:cantSplit/>
          <w:trHeight w:val="347"/>
        </w:trPr>
        <w:tc>
          <w:tcPr>
            <w:tcW w:w="855" w:type="pct"/>
            <w:vMerge/>
            <w:tcBorders>
              <w:bottom w:val="single" w:sz="18" w:space="0" w:color="auto"/>
            </w:tcBorders>
            <w:vAlign w:val="center"/>
          </w:tcPr>
          <w:p w14:paraId="6A84D98D"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0"/>
                <w:szCs w:val="20"/>
              </w:rPr>
            </w:pPr>
          </w:p>
        </w:tc>
        <w:tc>
          <w:tcPr>
            <w:tcW w:w="460" w:type="pct"/>
            <w:tcBorders>
              <w:top w:val="single" w:sz="18" w:space="0" w:color="auto"/>
              <w:bottom w:val="single" w:sz="18" w:space="0" w:color="auto"/>
            </w:tcBorders>
            <w:vAlign w:val="center"/>
          </w:tcPr>
          <w:p w14:paraId="059AE3FF"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RZV</w:t>
            </w:r>
          </w:p>
        </w:tc>
        <w:tc>
          <w:tcPr>
            <w:tcW w:w="461" w:type="pct"/>
            <w:tcBorders>
              <w:top w:val="single" w:sz="18" w:space="0" w:color="auto"/>
              <w:bottom w:val="single" w:sz="18" w:space="0" w:color="auto"/>
            </w:tcBorders>
            <w:vAlign w:val="center"/>
          </w:tcPr>
          <w:p w14:paraId="22296516"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No HZ vaccination</w:t>
            </w:r>
          </w:p>
        </w:tc>
        <w:tc>
          <w:tcPr>
            <w:tcW w:w="461" w:type="pct"/>
            <w:tcBorders>
              <w:top w:val="single" w:sz="18" w:space="0" w:color="auto"/>
              <w:bottom w:val="single" w:sz="18" w:space="0" w:color="auto"/>
              <w:right w:val="single" w:sz="18" w:space="0" w:color="auto"/>
            </w:tcBorders>
            <w:vAlign w:val="center"/>
          </w:tcPr>
          <w:p w14:paraId="2917C05B" w14:textId="77777777" w:rsidR="007F3ECB" w:rsidRPr="00CF536C" w:rsidRDefault="007F3ECB" w:rsidP="00796F6C">
            <w:pPr>
              <w:pStyle w:val="Tabletext"/>
              <w:spacing w:line="276" w:lineRule="auto"/>
              <w:jc w:val="center"/>
              <w:rPr>
                <w:rFonts w:ascii="Times New Roman" w:hAnsi="Times New Roman"/>
                <w:b/>
                <w:bCs/>
                <w:color w:val="000000" w:themeColor="text1"/>
                <w:lang w:val="es-ES"/>
              </w:rPr>
            </w:pPr>
            <w:r w:rsidRPr="00CF536C">
              <w:rPr>
                <w:rFonts w:ascii="Times New Roman" w:hAnsi="Times New Roman"/>
                <w:b/>
                <w:bCs/>
                <w:color w:val="000000" w:themeColor="text1"/>
                <w:lang w:val="es-ES"/>
              </w:rPr>
              <w:t>Incremental</w:t>
            </w:r>
          </w:p>
          <w:p w14:paraId="0F3B21DA"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lang w:val="es-ES"/>
              </w:rPr>
            </w:pPr>
            <w:r w:rsidRPr="00CF536C">
              <w:rPr>
                <w:rFonts w:ascii="Times New Roman" w:hAnsi="Times New Roman"/>
                <w:b/>
                <w:bCs/>
                <w:color w:val="000000" w:themeColor="text1"/>
                <w:lang w:val="es-ES"/>
              </w:rPr>
              <w:t>(RZV vs. no vaccine)</w:t>
            </w:r>
          </w:p>
        </w:tc>
        <w:tc>
          <w:tcPr>
            <w:tcW w:w="461" w:type="pct"/>
            <w:tcBorders>
              <w:top w:val="single" w:sz="18" w:space="0" w:color="auto"/>
              <w:left w:val="single" w:sz="18" w:space="0" w:color="auto"/>
              <w:bottom w:val="single" w:sz="18" w:space="0" w:color="auto"/>
            </w:tcBorders>
            <w:vAlign w:val="center"/>
          </w:tcPr>
          <w:p w14:paraId="6A8E63E9"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RZV</w:t>
            </w:r>
          </w:p>
        </w:tc>
        <w:tc>
          <w:tcPr>
            <w:tcW w:w="460" w:type="pct"/>
            <w:tcBorders>
              <w:top w:val="single" w:sz="18" w:space="0" w:color="auto"/>
              <w:bottom w:val="single" w:sz="18" w:space="0" w:color="auto"/>
            </w:tcBorders>
            <w:vAlign w:val="center"/>
          </w:tcPr>
          <w:p w14:paraId="739BD8ED"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No HZ vaccination</w:t>
            </w:r>
          </w:p>
        </w:tc>
        <w:tc>
          <w:tcPr>
            <w:tcW w:w="461" w:type="pct"/>
            <w:tcBorders>
              <w:top w:val="single" w:sz="18" w:space="0" w:color="auto"/>
              <w:bottom w:val="single" w:sz="18" w:space="0" w:color="auto"/>
              <w:right w:val="single" w:sz="18" w:space="0" w:color="auto"/>
            </w:tcBorders>
            <w:vAlign w:val="center"/>
          </w:tcPr>
          <w:p w14:paraId="3CDE02E5" w14:textId="77777777" w:rsidR="007F3ECB" w:rsidRPr="00CF536C" w:rsidRDefault="007F3ECB" w:rsidP="00796F6C">
            <w:pPr>
              <w:pStyle w:val="Tabletext"/>
              <w:spacing w:line="276" w:lineRule="auto"/>
              <w:jc w:val="center"/>
              <w:rPr>
                <w:rFonts w:ascii="Times New Roman" w:hAnsi="Times New Roman"/>
                <w:b/>
                <w:bCs/>
                <w:color w:val="000000" w:themeColor="text1"/>
                <w:lang w:val="es-ES"/>
              </w:rPr>
            </w:pPr>
            <w:r w:rsidRPr="00CF536C">
              <w:rPr>
                <w:rFonts w:ascii="Times New Roman" w:hAnsi="Times New Roman"/>
                <w:b/>
                <w:bCs/>
                <w:color w:val="000000" w:themeColor="text1"/>
                <w:lang w:val="es-ES"/>
              </w:rPr>
              <w:t>Incremental</w:t>
            </w:r>
          </w:p>
          <w:p w14:paraId="2C21DC57"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lang w:val="es-ES"/>
              </w:rPr>
            </w:pPr>
            <w:r w:rsidRPr="00CF536C">
              <w:rPr>
                <w:rFonts w:ascii="Times New Roman" w:hAnsi="Times New Roman"/>
                <w:b/>
                <w:bCs/>
                <w:color w:val="000000" w:themeColor="text1"/>
                <w:lang w:val="es-ES"/>
              </w:rPr>
              <w:t>(RZV vs. no vaccine)</w:t>
            </w:r>
          </w:p>
        </w:tc>
        <w:tc>
          <w:tcPr>
            <w:tcW w:w="461" w:type="pct"/>
            <w:tcBorders>
              <w:top w:val="single" w:sz="18" w:space="0" w:color="auto"/>
              <w:left w:val="single" w:sz="18" w:space="0" w:color="auto"/>
              <w:bottom w:val="single" w:sz="18" w:space="0" w:color="auto"/>
            </w:tcBorders>
            <w:vAlign w:val="center"/>
          </w:tcPr>
          <w:p w14:paraId="2A0EC495"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RZV</w:t>
            </w:r>
          </w:p>
        </w:tc>
        <w:tc>
          <w:tcPr>
            <w:tcW w:w="461" w:type="pct"/>
            <w:tcBorders>
              <w:top w:val="single" w:sz="18" w:space="0" w:color="auto"/>
              <w:bottom w:val="single" w:sz="18" w:space="0" w:color="auto"/>
            </w:tcBorders>
            <w:vAlign w:val="center"/>
          </w:tcPr>
          <w:p w14:paraId="13984CD7"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rPr>
            </w:pPr>
            <w:r w:rsidRPr="00CF536C">
              <w:rPr>
                <w:rFonts w:ascii="Times New Roman" w:hAnsi="Times New Roman"/>
                <w:b/>
                <w:bCs/>
                <w:color w:val="000000" w:themeColor="text1"/>
              </w:rPr>
              <w:t>No HZ vaccination</w:t>
            </w:r>
          </w:p>
        </w:tc>
        <w:tc>
          <w:tcPr>
            <w:tcW w:w="459" w:type="pct"/>
            <w:tcBorders>
              <w:top w:val="single" w:sz="18" w:space="0" w:color="auto"/>
              <w:bottom w:val="single" w:sz="18" w:space="0" w:color="auto"/>
            </w:tcBorders>
            <w:vAlign w:val="center"/>
          </w:tcPr>
          <w:p w14:paraId="54C89D3C" w14:textId="77777777" w:rsidR="007F3ECB" w:rsidRPr="00CF536C" w:rsidRDefault="007F3ECB" w:rsidP="00796F6C">
            <w:pPr>
              <w:pStyle w:val="Tabletext"/>
              <w:spacing w:line="276" w:lineRule="auto"/>
              <w:jc w:val="center"/>
              <w:rPr>
                <w:rFonts w:ascii="Times New Roman" w:hAnsi="Times New Roman"/>
                <w:b/>
                <w:bCs/>
                <w:color w:val="000000" w:themeColor="text1"/>
                <w:lang w:val="es-ES"/>
              </w:rPr>
            </w:pPr>
            <w:r w:rsidRPr="00CF536C">
              <w:rPr>
                <w:rFonts w:ascii="Times New Roman" w:hAnsi="Times New Roman"/>
                <w:b/>
                <w:bCs/>
                <w:color w:val="000000" w:themeColor="text1"/>
                <w:lang w:val="es-ES"/>
              </w:rPr>
              <w:t>Incremental</w:t>
            </w:r>
          </w:p>
          <w:p w14:paraId="2F44EB6D" w14:textId="77777777" w:rsidR="007F3ECB" w:rsidRPr="00CF536C" w:rsidRDefault="007F3ECB" w:rsidP="00796F6C">
            <w:pPr>
              <w:pStyle w:val="Tabletext"/>
              <w:spacing w:before="40" w:after="40" w:line="276" w:lineRule="auto"/>
              <w:jc w:val="center"/>
              <w:rPr>
                <w:rFonts w:ascii="Times New Roman" w:hAnsi="Times New Roman"/>
                <w:b/>
                <w:bCs/>
                <w:color w:val="000000" w:themeColor="text1"/>
                <w:lang w:val="es-ES"/>
              </w:rPr>
            </w:pPr>
            <w:r w:rsidRPr="00CF536C">
              <w:rPr>
                <w:rFonts w:ascii="Times New Roman" w:hAnsi="Times New Roman"/>
                <w:b/>
                <w:bCs/>
                <w:color w:val="000000" w:themeColor="text1"/>
                <w:lang w:val="es-ES"/>
              </w:rPr>
              <w:t>(RZV vs. no vaccine)</w:t>
            </w:r>
          </w:p>
        </w:tc>
      </w:tr>
      <w:tr w:rsidR="00DB1BD6" w:rsidRPr="00CF536C" w14:paraId="4090D745" w14:textId="77777777" w:rsidTr="00796F6C">
        <w:trPr>
          <w:cantSplit/>
          <w:trHeight w:val="328"/>
        </w:trPr>
        <w:tc>
          <w:tcPr>
            <w:tcW w:w="855" w:type="pct"/>
            <w:tcBorders>
              <w:top w:val="single" w:sz="18" w:space="0" w:color="auto"/>
            </w:tcBorders>
            <w:shd w:val="clear" w:color="auto" w:fill="FFFFFF" w:themeFill="background1"/>
            <w:vAlign w:val="center"/>
          </w:tcPr>
          <w:p w14:paraId="1CF9D41D"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eastAsia="Tahoma" w:hAnsi="Times New Roman" w:cs="Times New Roman"/>
                <w:b/>
                <w:bCs/>
                <w:color w:val="000000" w:themeColor="text1"/>
                <w:kern w:val="24"/>
                <w:sz w:val="21"/>
                <w:szCs w:val="21"/>
              </w:rPr>
              <w:t>Health outcomes</w:t>
            </w:r>
          </w:p>
        </w:tc>
        <w:tc>
          <w:tcPr>
            <w:tcW w:w="460" w:type="pct"/>
            <w:tcBorders>
              <w:top w:val="single" w:sz="18" w:space="0" w:color="auto"/>
            </w:tcBorders>
            <w:vAlign w:val="center"/>
          </w:tcPr>
          <w:p w14:paraId="374B13FC"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top w:val="single" w:sz="18" w:space="0" w:color="auto"/>
            </w:tcBorders>
            <w:vAlign w:val="center"/>
          </w:tcPr>
          <w:p w14:paraId="564A84E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top w:val="single" w:sz="18" w:space="0" w:color="auto"/>
              <w:right w:val="single" w:sz="18" w:space="0" w:color="auto"/>
            </w:tcBorders>
            <w:vAlign w:val="center"/>
          </w:tcPr>
          <w:p w14:paraId="03D9BABC"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top w:val="single" w:sz="18" w:space="0" w:color="auto"/>
              <w:left w:val="single" w:sz="18" w:space="0" w:color="auto"/>
            </w:tcBorders>
            <w:vAlign w:val="center"/>
          </w:tcPr>
          <w:p w14:paraId="52DD7AD7"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0" w:type="pct"/>
            <w:tcBorders>
              <w:top w:val="single" w:sz="18" w:space="0" w:color="auto"/>
            </w:tcBorders>
            <w:vAlign w:val="center"/>
          </w:tcPr>
          <w:p w14:paraId="15BE5AF5"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top w:val="single" w:sz="18" w:space="0" w:color="auto"/>
              <w:right w:val="single" w:sz="18" w:space="0" w:color="auto"/>
            </w:tcBorders>
            <w:vAlign w:val="center"/>
          </w:tcPr>
          <w:p w14:paraId="42B41C1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top w:val="single" w:sz="18" w:space="0" w:color="auto"/>
              <w:left w:val="single" w:sz="18" w:space="0" w:color="auto"/>
            </w:tcBorders>
            <w:vAlign w:val="center"/>
          </w:tcPr>
          <w:p w14:paraId="12A70D01"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top w:val="single" w:sz="18" w:space="0" w:color="auto"/>
            </w:tcBorders>
            <w:vAlign w:val="center"/>
          </w:tcPr>
          <w:p w14:paraId="2DAAA6FF"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59" w:type="pct"/>
            <w:tcBorders>
              <w:top w:val="single" w:sz="18" w:space="0" w:color="auto"/>
            </w:tcBorders>
            <w:vAlign w:val="center"/>
          </w:tcPr>
          <w:p w14:paraId="06D550FE"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r>
      <w:tr w:rsidR="00DB1BD6" w:rsidRPr="00CF536C" w14:paraId="20C2E04E" w14:textId="77777777" w:rsidTr="00796F6C">
        <w:trPr>
          <w:cantSplit/>
          <w:trHeight w:val="347"/>
        </w:trPr>
        <w:tc>
          <w:tcPr>
            <w:tcW w:w="855" w:type="pct"/>
            <w:shd w:val="clear" w:color="auto" w:fill="FFFFFF" w:themeFill="background1"/>
            <w:vAlign w:val="center"/>
          </w:tcPr>
          <w:p w14:paraId="0F9F5859"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HZ cases</w:t>
            </w:r>
          </w:p>
        </w:tc>
        <w:tc>
          <w:tcPr>
            <w:tcW w:w="460" w:type="pct"/>
            <w:vAlign w:val="center"/>
          </w:tcPr>
          <w:p w14:paraId="6F0CFF7C"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37,971</w:t>
            </w:r>
          </w:p>
        </w:tc>
        <w:tc>
          <w:tcPr>
            <w:tcW w:w="461" w:type="pct"/>
            <w:vAlign w:val="center"/>
          </w:tcPr>
          <w:p w14:paraId="60B217E1"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55,460</w:t>
            </w:r>
          </w:p>
        </w:tc>
        <w:tc>
          <w:tcPr>
            <w:tcW w:w="461" w:type="pct"/>
            <w:tcBorders>
              <w:right w:val="single" w:sz="18" w:space="0" w:color="auto"/>
            </w:tcBorders>
            <w:vAlign w:val="center"/>
          </w:tcPr>
          <w:p w14:paraId="2B4AF8DE"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–17,489</w:t>
            </w:r>
          </w:p>
        </w:tc>
        <w:tc>
          <w:tcPr>
            <w:tcW w:w="461" w:type="pct"/>
            <w:tcBorders>
              <w:left w:val="single" w:sz="18" w:space="0" w:color="auto"/>
            </w:tcBorders>
            <w:vAlign w:val="center"/>
          </w:tcPr>
          <w:p w14:paraId="763A263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52,758</w:t>
            </w:r>
          </w:p>
        </w:tc>
        <w:tc>
          <w:tcPr>
            <w:tcW w:w="460" w:type="pct"/>
            <w:vAlign w:val="center"/>
          </w:tcPr>
          <w:p w14:paraId="2FD96726"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76,233</w:t>
            </w:r>
          </w:p>
        </w:tc>
        <w:tc>
          <w:tcPr>
            <w:tcW w:w="461" w:type="pct"/>
            <w:tcBorders>
              <w:right w:val="single" w:sz="18" w:space="0" w:color="auto"/>
            </w:tcBorders>
            <w:vAlign w:val="center"/>
          </w:tcPr>
          <w:p w14:paraId="4256DBD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–23,475</w:t>
            </w:r>
          </w:p>
        </w:tc>
        <w:tc>
          <w:tcPr>
            <w:tcW w:w="461" w:type="pct"/>
            <w:tcBorders>
              <w:left w:val="single" w:sz="18" w:space="0" w:color="auto"/>
            </w:tcBorders>
            <w:vAlign w:val="center"/>
          </w:tcPr>
          <w:p w14:paraId="193BD7E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16,210</w:t>
            </w:r>
          </w:p>
        </w:tc>
        <w:tc>
          <w:tcPr>
            <w:tcW w:w="461" w:type="pct"/>
            <w:vAlign w:val="center"/>
          </w:tcPr>
          <w:p w14:paraId="27D6F092" w14:textId="77777777" w:rsidR="007F3ECB" w:rsidRPr="00CF536C" w:rsidRDefault="007F3ECB" w:rsidP="00796F6C">
            <w:pPr>
              <w:pStyle w:val="Tabletext"/>
              <w:spacing w:before="40" w:after="40"/>
              <w:jc w:val="center"/>
              <w:rPr>
                <w:rFonts w:ascii="Times New Roman" w:hAnsi="Times New Roman"/>
                <w:b/>
                <w:bCs/>
                <w:color w:val="000000" w:themeColor="text1"/>
                <w:sz w:val="21"/>
                <w:szCs w:val="21"/>
              </w:rPr>
            </w:pPr>
            <w:r w:rsidRPr="00CF536C">
              <w:rPr>
                <w:rFonts w:ascii="Times New Roman" w:hAnsi="Times New Roman"/>
                <w:color w:val="000000" w:themeColor="text1"/>
                <w:sz w:val="21"/>
                <w:szCs w:val="21"/>
              </w:rPr>
              <w:t>26,378</w:t>
            </w:r>
          </w:p>
        </w:tc>
        <w:tc>
          <w:tcPr>
            <w:tcW w:w="459" w:type="pct"/>
            <w:vAlign w:val="center"/>
          </w:tcPr>
          <w:p w14:paraId="7BD7CC3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–10,168</w:t>
            </w:r>
          </w:p>
        </w:tc>
      </w:tr>
      <w:tr w:rsidR="00DB1BD6" w:rsidRPr="00CF536C" w14:paraId="5F529227" w14:textId="77777777" w:rsidTr="00796F6C">
        <w:trPr>
          <w:cantSplit/>
          <w:trHeight w:val="347"/>
        </w:trPr>
        <w:tc>
          <w:tcPr>
            <w:tcW w:w="855" w:type="pct"/>
            <w:shd w:val="clear" w:color="auto" w:fill="FFFFFF" w:themeFill="background1"/>
            <w:vAlign w:val="center"/>
          </w:tcPr>
          <w:p w14:paraId="6F23E753"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PHN cases</w:t>
            </w:r>
          </w:p>
        </w:tc>
        <w:tc>
          <w:tcPr>
            <w:tcW w:w="460" w:type="pct"/>
            <w:vAlign w:val="center"/>
          </w:tcPr>
          <w:p w14:paraId="4F6E56EF"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7,515</w:t>
            </w:r>
          </w:p>
        </w:tc>
        <w:tc>
          <w:tcPr>
            <w:tcW w:w="461" w:type="pct"/>
            <w:vAlign w:val="center"/>
          </w:tcPr>
          <w:p w14:paraId="5709EB5C"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10,882</w:t>
            </w:r>
          </w:p>
        </w:tc>
        <w:tc>
          <w:tcPr>
            <w:tcW w:w="461" w:type="pct"/>
            <w:tcBorders>
              <w:right w:val="single" w:sz="18" w:space="0" w:color="auto"/>
            </w:tcBorders>
            <w:vAlign w:val="center"/>
          </w:tcPr>
          <w:p w14:paraId="32970EC6"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–3,367</w:t>
            </w:r>
          </w:p>
        </w:tc>
        <w:tc>
          <w:tcPr>
            <w:tcW w:w="461" w:type="pct"/>
            <w:tcBorders>
              <w:left w:val="single" w:sz="18" w:space="0" w:color="auto"/>
            </w:tcBorders>
            <w:vAlign w:val="center"/>
          </w:tcPr>
          <w:p w14:paraId="681EA06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10,660</w:t>
            </w:r>
          </w:p>
        </w:tc>
        <w:tc>
          <w:tcPr>
            <w:tcW w:w="460" w:type="pct"/>
            <w:vAlign w:val="center"/>
          </w:tcPr>
          <w:p w14:paraId="79FCDE38"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15,381</w:t>
            </w:r>
          </w:p>
        </w:tc>
        <w:tc>
          <w:tcPr>
            <w:tcW w:w="461" w:type="pct"/>
            <w:tcBorders>
              <w:right w:val="single" w:sz="18" w:space="0" w:color="auto"/>
            </w:tcBorders>
            <w:vAlign w:val="center"/>
          </w:tcPr>
          <w:p w14:paraId="74E5F0C5"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–4,721</w:t>
            </w:r>
          </w:p>
        </w:tc>
        <w:tc>
          <w:tcPr>
            <w:tcW w:w="461" w:type="pct"/>
            <w:tcBorders>
              <w:left w:val="single" w:sz="18" w:space="0" w:color="auto"/>
            </w:tcBorders>
            <w:vAlign w:val="center"/>
          </w:tcPr>
          <w:p w14:paraId="34529B18"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3,307</w:t>
            </w:r>
          </w:p>
        </w:tc>
        <w:tc>
          <w:tcPr>
            <w:tcW w:w="461" w:type="pct"/>
            <w:vAlign w:val="center"/>
          </w:tcPr>
          <w:p w14:paraId="6014C65A" w14:textId="77777777" w:rsidR="007F3ECB" w:rsidRPr="00CF536C" w:rsidRDefault="007F3ECB" w:rsidP="00796F6C">
            <w:pPr>
              <w:pStyle w:val="Tabletext"/>
              <w:spacing w:before="40" w:after="40"/>
              <w:jc w:val="center"/>
              <w:rPr>
                <w:rFonts w:ascii="Times New Roman" w:hAnsi="Times New Roman"/>
                <w:b/>
                <w:bCs/>
                <w:color w:val="000000" w:themeColor="text1"/>
                <w:sz w:val="21"/>
                <w:szCs w:val="21"/>
              </w:rPr>
            </w:pPr>
            <w:r w:rsidRPr="00CF536C">
              <w:rPr>
                <w:rFonts w:ascii="Times New Roman" w:hAnsi="Times New Roman"/>
                <w:color w:val="000000" w:themeColor="text1"/>
                <w:sz w:val="21"/>
                <w:szCs w:val="21"/>
              </w:rPr>
              <w:t>5,381</w:t>
            </w:r>
          </w:p>
        </w:tc>
        <w:tc>
          <w:tcPr>
            <w:tcW w:w="459" w:type="pct"/>
            <w:vAlign w:val="center"/>
          </w:tcPr>
          <w:p w14:paraId="180A545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–2,074</w:t>
            </w:r>
          </w:p>
        </w:tc>
      </w:tr>
      <w:tr w:rsidR="00DB1BD6" w:rsidRPr="00CF536C" w14:paraId="7E113AD2" w14:textId="77777777" w:rsidTr="00796F6C">
        <w:trPr>
          <w:cantSplit/>
          <w:trHeight w:val="347"/>
        </w:trPr>
        <w:tc>
          <w:tcPr>
            <w:tcW w:w="855" w:type="pct"/>
            <w:shd w:val="clear" w:color="auto" w:fill="FFFFFF" w:themeFill="background1"/>
            <w:vAlign w:val="center"/>
          </w:tcPr>
          <w:p w14:paraId="7DBDC85E"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Cases with non-PHN complications (all)</w:t>
            </w:r>
          </w:p>
        </w:tc>
        <w:tc>
          <w:tcPr>
            <w:tcW w:w="460" w:type="pct"/>
            <w:vAlign w:val="center"/>
          </w:tcPr>
          <w:p w14:paraId="74BCB50F"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4,652</w:t>
            </w:r>
          </w:p>
        </w:tc>
        <w:tc>
          <w:tcPr>
            <w:tcW w:w="461" w:type="pct"/>
            <w:vAlign w:val="center"/>
          </w:tcPr>
          <w:p w14:paraId="067AE47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6,794</w:t>
            </w:r>
          </w:p>
        </w:tc>
        <w:tc>
          <w:tcPr>
            <w:tcW w:w="461" w:type="pct"/>
            <w:tcBorders>
              <w:right w:val="single" w:sz="18" w:space="0" w:color="auto"/>
            </w:tcBorders>
            <w:vAlign w:val="center"/>
          </w:tcPr>
          <w:p w14:paraId="339C090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–2,142</w:t>
            </w:r>
          </w:p>
        </w:tc>
        <w:tc>
          <w:tcPr>
            <w:tcW w:w="461" w:type="pct"/>
            <w:tcBorders>
              <w:left w:val="single" w:sz="18" w:space="0" w:color="auto"/>
            </w:tcBorders>
            <w:vAlign w:val="center"/>
          </w:tcPr>
          <w:p w14:paraId="0413B3F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6,463</w:t>
            </w:r>
          </w:p>
        </w:tc>
        <w:tc>
          <w:tcPr>
            <w:tcW w:w="460" w:type="pct"/>
            <w:vAlign w:val="center"/>
          </w:tcPr>
          <w:p w14:paraId="02EC5484"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9,339</w:t>
            </w:r>
          </w:p>
        </w:tc>
        <w:tc>
          <w:tcPr>
            <w:tcW w:w="461" w:type="pct"/>
            <w:tcBorders>
              <w:right w:val="single" w:sz="18" w:space="0" w:color="auto"/>
            </w:tcBorders>
            <w:vAlign w:val="center"/>
          </w:tcPr>
          <w:p w14:paraId="3F730580"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–2,876</w:t>
            </w:r>
          </w:p>
        </w:tc>
        <w:tc>
          <w:tcPr>
            <w:tcW w:w="461" w:type="pct"/>
            <w:tcBorders>
              <w:left w:val="single" w:sz="18" w:space="0" w:color="auto"/>
            </w:tcBorders>
            <w:vAlign w:val="center"/>
          </w:tcPr>
          <w:p w14:paraId="3AA6C62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1,986</w:t>
            </w:r>
          </w:p>
        </w:tc>
        <w:tc>
          <w:tcPr>
            <w:tcW w:w="461" w:type="pct"/>
            <w:vAlign w:val="center"/>
          </w:tcPr>
          <w:p w14:paraId="2B0CE864" w14:textId="77777777" w:rsidR="007F3ECB" w:rsidRPr="00CF536C" w:rsidRDefault="007F3ECB" w:rsidP="00796F6C">
            <w:pPr>
              <w:pStyle w:val="Tabletext"/>
              <w:spacing w:before="40" w:after="40"/>
              <w:jc w:val="center"/>
              <w:rPr>
                <w:rFonts w:ascii="Times New Roman" w:hAnsi="Times New Roman"/>
                <w:b/>
                <w:bCs/>
                <w:color w:val="000000" w:themeColor="text1"/>
                <w:sz w:val="21"/>
                <w:szCs w:val="21"/>
              </w:rPr>
            </w:pPr>
            <w:r w:rsidRPr="00CF536C">
              <w:rPr>
                <w:rFonts w:ascii="Times New Roman" w:hAnsi="Times New Roman"/>
                <w:color w:val="000000" w:themeColor="text1"/>
                <w:sz w:val="21"/>
                <w:szCs w:val="21"/>
              </w:rPr>
              <w:t>3,231</w:t>
            </w:r>
          </w:p>
        </w:tc>
        <w:tc>
          <w:tcPr>
            <w:tcW w:w="459" w:type="pct"/>
            <w:vAlign w:val="center"/>
          </w:tcPr>
          <w:p w14:paraId="293C017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–1,245</w:t>
            </w:r>
          </w:p>
        </w:tc>
      </w:tr>
      <w:tr w:rsidR="00DB1BD6" w:rsidRPr="00CF536C" w14:paraId="2DE9FD23" w14:textId="77777777" w:rsidTr="00796F6C">
        <w:trPr>
          <w:cantSplit/>
          <w:trHeight w:val="328"/>
        </w:trPr>
        <w:tc>
          <w:tcPr>
            <w:tcW w:w="855" w:type="pct"/>
            <w:shd w:val="clear" w:color="auto" w:fill="FFFFFF" w:themeFill="background1"/>
            <w:vAlign w:val="center"/>
          </w:tcPr>
          <w:p w14:paraId="760A8F82" w14:textId="77777777" w:rsidR="007F3ECB" w:rsidRPr="00CF536C" w:rsidRDefault="007F3ECB" w:rsidP="00796F6C">
            <w:pPr>
              <w:pStyle w:val="Tabletextindented"/>
              <w:spacing w:line="276" w:lineRule="auto"/>
              <w:ind w:left="0"/>
              <w:jc w:val="right"/>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Ocular</w:t>
            </w:r>
          </w:p>
        </w:tc>
        <w:tc>
          <w:tcPr>
            <w:tcW w:w="460" w:type="pct"/>
            <w:vAlign w:val="center"/>
          </w:tcPr>
          <w:p w14:paraId="0E306CEF"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2,066</w:t>
            </w:r>
          </w:p>
        </w:tc>
        <w:tc>
          <w:tcPr>
            <w:tcW w:w="461" w:type="pct"/>
            <w:vAlign w:val="center"/>
          </w:tcPr>
          <w:p w14:paraId="72CFC64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3,017</w:t>
            </w:r>
          </w:p>
        </w:tc>
        <w:tc>
          <w:tcPr>
            <w:tcW w:w="461" w:type="pct"/>
            <w:tcBorders>
              <w:right w:val="single" w:sz="18" w:space="0" w:color="auto"/>
            </w:tcBorders>
            <w:vAlign w:val="center"/>
          </w:tcPr>
          <w:p w14:paraId="27F7114D"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–951</w:t>
            </w:r>
          </w:p>
        </w:tc>
        <w:tc>
          <w:tcPr>
            <w:tcW w:w="461" w:type="pct"/>
            <w:tcBorders>
              <w:left w:val="single" w:sz="18" w:space="0" w:color="auto"/>
            </w:tcBorders>
            <w:vAlign w:val="center"/>
          </w:tcPr>
          <w:p w14:paraId="4C5F79BC"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2,870</w:t>
            </w:r>
          </w:p>
        </w:tc>
        <w:tc>
          <w:tcPr>
            <w:tcW w:w="460" w:type="pct"/>
            <w:vAlign w:val="center"/>
          </w:tcPr>
          <w:p w14:paraId="05CDF51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4,147</w:t>
            </w:r>
          </w:p>
        </w:tc>
        <w:tc>
          <w:tcPr>
            <w:tcW w:w="461" w:type="pct"/>
            <w:tcBorders>
              <w:right w:val="single" w:sz="18" w:space="0" w:color="auto"/>
            </w:tcBorders>
            <w:vAlign w:val="center"/>
          </w:tcPr>
          <w:p w14:paraId="493F69DD"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–1,277</w:t>
            </w:r>
          </w:p>
        </w:tc>
        <w:tc>
          <w:tcPr>
            <w:tcW w:w="461" w:type="pct"/>
            <w:tcBorders>
              <w:left w:val="single" w:sz="18" w:space="0" w:color="auto"/>
            </w:tcBorders>
            <w:vAlign w:val="center"/>
          </w:tcPr>
          <w:p w14:paraId="20CD1136"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882</w:t>
            </w:r>
          </w:p>
        </w:tc>
        <w:tc>
          <w:tcPr>
            <w:tcW w:w="461" w:type="pct"/>
            <w:vAlign w:val="center"/>
          </w:tcPr>
          <w:p w14:paraId="761A1ADB" w14:textId="77777777" w:rsidR="007F3ECB" w:rsidRPr="00CF536C" w:rsidRDefault="007F3ECB" w:rsidP="00796F6C">
            <w:pPr>
              <w:pStyle w:val="Tabletext"/>
              <w:spacing w:before="40" w:after="40"/>
              <w:jc w:val="center"/>
              <w:rPr>
                <w:rFonts w:ascii="Times New Roman" w:hAnsi="Times New Roman"/>
                <w:b/>
                <w:bCs/>
                <w:color w:val="000000" w:themeColor="text1"/>
                <w:sz w:val="21"/>
                <w:szCs w:val="21"/>
              </w:rPr>
            </w:pPr>
            <w:r w:rsidRPr="00CF536C">
              <w:rPr>
                <w:rFonts w:ascii="Times New Roman" w:hAnsi="Times New Roman"/>
                <w:color w:val="000000" w:themeColor="text1"/>
                <w:sz w:val="21"/>
                <w:szCs w:val="21"/>
              </w:rPr>
              <w:t>1,435</w:t>
            </w:r>
          </w:p>
        </w:tc>
        <w:tc>
          <w:tcPr>
            <w:tcW w:w="459" w:type="pct"/>
            <w:vAlign w:val="center"/>
          </w:tcPr>
          <w:p w14:paraId="6285466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–553</w:t>
            </w:r>
          </w:p>
        </w:tc>
      </w:tr>
      <w:tr w:rsidR="00DB1BD6" w:rsidRPr="00CF536C" w14:paraId="039DFD81" w14:textId="77777777" w:rsidTr="00796F6C">
        <w:trPr>
          <w:cantSplit/>
          <w:trHeight w:val="347"/>
        </w:trPr>
        <w:tc>
          <w:tcPr>
            <w:tcW w:w="855" w:type="pct"/>
            <w:shd w:val="clear" w:color="auto" w:fill="FFFFFF" w:themeFill="background1"/>
            <w:vAlign w:val="center"/>
          </w:tcPr>
          <w:p w14:paraId="04A0F1E6" w14:textId="77777777" w:rsidR="007F3ECB" w:rsidRPr="00CF536C" w:rsidRDefault="007F3ECB" w:rsidP="00796F6C">
            <w:pPr>
              <w:pStyle w:val="Tabletextindented"/>
              <w:spacing w:line="276" w:lineRule="auto"/>
              <w:ind w:left="0"/>
              <w:jc w:val="right"/>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Neurological</w:t>
            </w:r>
          </w:p>
        </w:tc>
        <w:tc>
          <w:tcPr>
            <w:tcW w:w="460" w:type="pct"/>
            <w:vAlign w:val="center"/>
          </w:tcPr>
          <w:p w14:paraId="2D6CB14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247</w:t>
            </w:r>
          </w:p>
        </w:tc>
        <w:tc>
          <w:tcPr>
            <w:tcW w:w="461" w:type="pct"/>
            <w:vAlign w:val="center"/>
          </w:tcPr>
          <w:p w14:paraId="3DDA2838"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360</w:t>
            </w:r>
          </w:p>
        </w:tc>
        <w:tc>
          <w:tcPr>
            <w:tcW w:w="461" w:type="pct"/>
            <w:tcBorders>
              <w:right w:val="single" w:sz="18" w:space="0" w:color="auto"/>
            </w:tcBorders>
            <w:vAlign w:val="center"/>
          </w:tcPr>
          <w:p w14:paraId="7545B8FE"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–113</w:t>
            </w:r>
          </w:p>
        </w:tc>
        <w:tc>
          <w:tcPr>
            <w:tcW w:w="461" w:type="pct"/>
            <w:tcBorders>
              <w:left w:val="single" w:sz="18" w:space="0" w:color="auto"/>
            </w:tcBorders>
            <w:vAlign w:val="center"/>
          </w:tcPr>
          <w:p w14:paraId="0ED6E183"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343</w:t>
            </w:r>
          </w:p>
        </w:tc>
        <w:tc>
          <w:tcPr>
            <w:tcW w:w="460" w:type="pct"/>
            <w:vAlign w:val="center"/>
          </w:tcPr>
          <w:p w14:paraId="64960E2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496</w:t>
            </w:r>
          </w:p>
        </w:tc>
        <w:tc>
          <w:tcPr>
            <w:tcW w:w="461" w:type="pct"/>
            <w:tcBorders>
              <w:right w:val="single" w:sz="18" w:space="0" w:color="auto"/>
            </w:tcBorders>
            <w:vAlign w:val="center"/>
          </w:tcPr>
          <w:p w14:paraId="6BAA6E9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–153</w:t>
            </w:r>
          </w:p>
        </w:tc>
        <w:tc>
          <w:tcPr>
            <w:tcW w:w="461" w:type="pct"/>
            <w:tcBorders>
              <w:left w:val="single" w:sz="18" w:space="0" w:color="auto"/>
            </w:tcBorders>
            <w:vAlign w:val="center"/>
          </w:tcPr>
          <w:p w14:paraId="0460C6E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105</w:t>
            </w:r>
          </w:p>
        </w:tc>
        <w:tc>
          <w:tcPr>
            <w:tcW w:w="461" w:type="pct"/>
            <w:vAlign w:val="center"/>
          </w:tcPr>
          <w:p w14:paraId="0FBB9377" w14:textId="77777777" w:rsidR="007F3ECB" w:rsidRPr="00CF536C" w:rsidRDefault="007F3ECB" w:rsidP="00796F6C">
            <w:pPr>
              <w:pStyle w:val="Tabletext"/>
              <w:spacing w:before="40" w:after="40"/>
              <w:jc w:val="center"/>
              <w:rPr>
                <w:rFonts w:ascii="Times New Roman" w:hAnsi="Times New Roman"/>
                <w:b/>
                <w:bCs/>
                <w:color w:val="000000" w:themeColor="text1"/>
                <w:sz w:val="21"/>
                <w:szCs w:val="21"/>
              </w:rPr>
            </w:pPr>
            <w:r w:rsidRPr="00CF536C">
              <w:rPr>
                <w:rFonts w:ascii="Times New Roman" w:hAnsi="Times New Roman"/>
                <w:color w:val="000000" w:themeColor="text1"/>
                <w:sz w:val="21"/>
                <w:szCs w:val="21"/>
              </w:rPr>
              <w:t>171</w:t>
            </w:r>
          </w:p>
        </w:tc>
        <w:tc>
          <w:tcPr>
            <w:tcW w:w="459" w:type="pct"/>
            <w:vAlign w:val="center"/>
          </w:tcPr>
          <w:p w14:paraId="2A150643"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–66</w:t>
            </w:r>
          </w:p>
        </w:tc>
      </w:tr>
      <w:tr w:rsidR="00DB1BD6" w:rsidRPr="00CF536C" w14:paraId="33BA1297" w14:textId="77777777" w:rsidTr="00796F6C">
        <w:trPr>
          <w:cantSplit/>
          <w:trHeight w:val="347"/>
        </w:trPr>
        <w:tc>
          <w:tcPr>
            <w:tcW w:w="855" w:type="pct"/>
            <w:shd w:val="clear" w:color="auto" w:fill="FFFFFF" w:themeFill="background1"/>
            <w:vAlign w:val="center"/>
          </w:tcPr>
          <w:p w14:paraId="5F12E413" w14:textId="77777777" w:rsidR="007F3ECB" w:rsidRPr="00CF536C" w:rsidRDefault="007F3ECB" w:rsidP="00796F6C">
            <w:pPr>
              <w:pStyle w:val="Tabletextindented"/>
              <w:spacing w:line="276" w:lineRule="auto"/>
              <w:ind w:left="0"/>
              <w:jc w:val="right"/>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Cutaneous</w:t>
            </w:r>
          </w:p>
        </w:tc>
        <w:tc>
          <w:tcPr>
            <w:tcW w:w="460" w:type="pct"/>
            <w:vAlign w:val="center"/>
          </w:tcPr>
          <w:p w14:paraId="72C49F2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258</w:t>
            </w:r>
          </w:p>
        </w:tc>
        <w:tc>
          <w:tcPr>
            <w:tcW w:w="461" w:type="pct"/>
            <w:vAlign w:val="center"/>
          </w:tcPr>
          <w:p w14:paraId="7C1B0E88"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377</w:t>
            </w:r>
          </w:p>
        </w:tc>
        <w:tc>
          <w:tcPr>
            <w:tcW w:w="461" w:type="pct"/>
            <w:tcBorders>
              <w:right w:val="single" w:sz="18" w:space="0" w:color="auto"/>
            </w:tcBorders>
            <w:vAlign w:val="center"/>
          </w:tcPr>
          <w:p w14:paraId="3509766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–119</w:t>
            </w:r>
          </w:p>
        </w:tc>
        <w:tc>
          <w:tcPr>
            <w:tcW w:w="461" w:type="pct"/>
            <w:tcBorders>
              <w:left w:val="single" w:sz="18" w:space="0" w:color="auto"/>
            </w:tcBorders>
            <w:vAlign w:val="center"/>
          </w:tcPr>
          <w:p w14:paraId="47106F7D"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359</w:t>
            </w:r>
          </w:p>
        </w:tc>
        <w:tc>
          <w:tcPr>
            <w:tcW w:w="460" w:type="pct"/>
            <w:vAlign w:val="center"/>
          </w:tcPr>
          <w:p w14:paraId="5C91E3F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518</w:t>
            </w:r>
          </w:p>
        </w:tc>
        <w:tc>
          <w:tcPr>
            <w:tcW w:w="461" w:type="pct"/>
            <w:tcBorders>
              <w:right w:val="single" w:sz="18" w:space="0" w:color="auto"/>
            </w:tcBorders>
            <w:vAlign w:val="center"/>
          </w:tcPr>
          <w:p w14:paraId="63E3D84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–159</w:t>
            </w:r>
          </w:p>
        </w:tc>
        <w:tc>
          <w:tcPr>
            <w:tcW w:w="461" w:type="pct"/>
            <w:tcBorders>
              <w:left w:val="single" w:sz="18" w:space="0" w:color="auto"/>
            </w:tcBorders>
            <w:vAlign w:val="center"/>
          </w:tcPr>
          <w:p w14:paraId="36ED935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110</w:t>
            </w:r>
          </w:p>
        </w:tc>
        <w:tc>
          <w:tcPr>
            <w:tcW w:w="461" w:type="pct"/>
            <w:vAlign w:val="center"/>
          </w:tcPr>
          <w:p w14:paraId="533AE94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179</w:t>
            </w:r>
          </w:p>
        </w:tc>
        <w:tc>
          <w:tcPr>
            <w:tcW w:w="459" w:type="pct"/>
            <w:vAlign w:val="center"/>
          </w:tcPr>
          <w:p w14:paraId="1614B6E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–69</w:t>
            </w:r>
          </w:p>
        </w:tc>
      </w:tr>
      <w:tr w:rsidR="00DB1BD6" w:rsidRPr="00CF536C" w14:paraId="6CDE7108" w14:textId="77777777" w:rsidTr="00796F6C">
        <w:trPr>
          <w:cantSplit/>
          <w:trHeight w:val="347"/>
        </w:trPr>
        <w:tc>
          <w:tcPr>
            <w:tcW w:w="855" w:type="pct"/>
            <w:shd w:val="clear" w:color="auto" w:fill="FFFFFF" w:themeFill="background1"/>
            <w:vAlign w:val="center"/>
          </w:tcPr>
          <w:p w14:paraId="0467EDB2" w14:textId="77777777" w:rsidR="007F3ECB" w:rsidRPr="00CF536C" w:rsidRDefault="007F3ECB" w:rsidP="00796F6C">
            <w:pPr>
              <w:pStyle w:val="Tabletextindented"/>
              <w:spacing w:line="276" w:lineRule="auto"/>
              <w:ind w:left="0"/>
              <w:jc w:val="right"/>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Other non–pain</w:t>
            </w:r>
          </w:p>
        </w:tc>
        <w:tc>
          <w:tcPr>
            <w:tcW w:w="460" w:type="pct"/>
            <w:vAlign w:val="center"/>
          </w:tcPr>
          <w:p w14:paraId="22167A0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2,081</w:t>
            </w:r>
          </w:p>
        </w:tc>
        <w:tc>
          <w:tcPr>
            <w:tcW w:w="461" w:type="pct"/>
            <w:vAlign w:val="center"/>
          </w:tcPr>
          <w:p w14:paraId="5354AA3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3,039</w:t>
            </w:r>
          </w:p>
        </w:tc>
        <w:tc>
          <w:tcPr>
            <w:tcW w:w="461" w:type="pct"/>
            <w:tcBorders>
              <w:right w:val="single" w:sz="18" w:space="0" w:color="auto"/>
            </w:tcBorders>
            <w:vAlign w:val="center"/>
          </w:tcPr>
          <w:p w14:paraId="721234D3"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–958</w:t>
            </w:r>
          </w:p>
        </w:tc>
        <w:tc>
          <w:tcPr>
            <w:tcW w:w="461" w:type="pct"/>
            <w:tcBorders>
              <w:left w:val="single" w:sz="18" w:space="0" w:color="auto"/>
            </w:tcBorders>
            <w:vAlign w:val="center"/>
          </w:tcPr>
          <w:p w14:paraId="3F817BBD"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2,891</w:t>
            </w:r>
          </w:p>
        </w:tc>
        <w:tc>
          <w:tcPr>
            <w:tcW w:w="460" w:type="pct"/>
            <w:vAlign w:val="center"/>
          </w:tcPr>
          <w:p w14:paraId="6574C984"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4,178</w:t>
            </w:r>
          </w:p>
        </w:tc>
        <w:tc>
          <w:tcPr>
            <w:tcW w:w="461" w:type="pct"/>
            <w:tcBorders>
              <w:right w:val="single" w:sz="18" w:space="0" w:color="auto"/>
            </w:tcBorders>
            <w:vAlign w:val="center"/>
          </w:tcPr>
          <w:p w14:paraId="4C63AE36"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–1,287</w:t>
            </w:r>
          </w:p>
        </w:tc>
        <w:tc>
          <w:tcPr>
            <w:tcW w:w="461" w:type="pct"/>
            <w:tcBorders>
              <w:left w:val="single" w:sz="18" w:space="0" w:color="auto"/>
            </w:tcBorders>
            <w:vAlign w:val="center"/>
          </w:tcPr>
          <w:p w14:paraId="271F1E9E"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888</w:t>
            </w:r>
          </w:p>
        </w:tc>
        <w:tc>
          <w:tcPr>
            <w:tcW w:w="461" w:type="pct"/>
            <w:vAlign w:val="center"/>
          </w:tcPr>
          <w:p w14:paraId="6FE6546F"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1,445</w:t>
            </w:r>
          </w:p>
        </w:tc>
        <w:tc>
          <w:tcPr>
            <w:tcW w:w="459" w:type="pct"/>
            <w:vAlign w:val="center"/>
          </w:tcPr>
          <w:p w14:paraId="724219A3"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–557</w:t>
            </w:r>
          </w:p>
        </w:tc>
      </w:tr>
      <w:tr w:rsidR="00DB1BD6" w:rsidRPr="00CF536C" w14:paraId="3CB6A7F9" w14:textId="77777777" w:rsidTr="00796F6C">
        <w:trPr>
          <w:cantSplit/>
          <w:trHeight w:val="355"/>
        </w:trPr>
        <w:tc>
          <w:tcPr>
            <w:tcW w:w="855" w:type="pct"/>
            <w:tcBorders>
              <w:bottom w:val="single" w:sz="18" w:space="0" w:color="auto"/>
            </w:tcBorders>
            <w:shd w:val="clear" w:color="auto" w:fill="FFFFFF" w:themeFill="background1"/>
            <w:vAlign w:val="center"/>
          </w:tcPr>
          <w:p w14:paraId="2CA3329F"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HZ-related deaths</w:t>
            </w:r>
          </w:p>
        </w:tc>
        <w:tc>
          <w:tcPr>
            <w:tcW w:w="460" w:type="pct"/>
            <w:vAlign w:val="center"/>
          </w:tcPr>
          <w:p w14:paraId="0BD9DB33"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w:t>
            </w:r>
          </w:p>
        </w:tc>
        <w:tc>
          <w:tcPr>
            <w:tcW w:w="461" w:type="pct"/>
            <w:vAlign w:val="center"/>
          </w:tcPr>
          <w:p w14:paraId="3FBAFA6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7</w:t>
            </w:r>
          </w:p>
        </w:tc>
        <w:tc>
          <w:tcPr>
            <w:tcW w:w="461" w:type="pct"/>
            <w:tcBorders>
              <w:right w:val="single" w:sz="18" w:space="0" w:color="auto"/>
            </w:tcBorders>
            <w:vAlign w:val="center"/>
          </w:tcPr>
          <w:p w14:paraId="0325618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w:t>
            </w:r>
          </w:p>
        </w:tc>
        <w:tc>
          <w:tcPr>
            <w:tcW w:w="461" w:type="pct"/>
            <w:tcBorders>
              <w:left w:val="single" w:sz="18" w:space="0" w:color="auto"/>
            </w:tcBorders>
            <w:vAlign w:val="center"/>
          </w:tcPr>
          <w:p w14:paraId="4C1BCB57"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8</w:t>
            </w:r>
          </w:p>
        </w:tc>
        <w:tc>
          <w:tcPr>
            <w:tcW w:w="460" w:type="pct"/>
            <w:vAlign w:val="center"/>
          </w:tcPr>
          <w:p w14:paraId="6154AB23"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10</w:t>
            </w:r>
          </w:p>
        </w:tc>
        <w:tc>
          <w:tcPr>
            <w:tcW w:w="461" w:type="pct"/>
            <w:tcBorders>
              <w:right w:val="single" w:sz="18" w:space="0" w:color="auto"/>
            </w:tcBorders>
            <w:vAlign w:val="center"/>
          </w:tcPr>
          <w:p w14:paraId="08364917"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w:t>
            </w:r>
          </w:p>
        </w:tc>
        <w:tc>
          <w:tcPr>
            <w:tcW w:w="461" w:type="pct"/>
            <w:tcBorders>
              <w:left w:val="single" w:sz="18" w:space="0" w:color="auto"/>
            </w:tcBorders>
            <w:vAlign w:val="center"/>
          </w:tcPr>
          <w:p w14:paraId="259EB5FF"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w:t>
            </w:r>
          </w:p>
        </w:tc>
        <w:tc>
          <w:tcPr>
            <w:tcW w:w="461" w:type="pct"/>
            <w:vAlign w:val="center"/>
          </w:tcPr>
          <w:p w14:paraId="54B8CBC8"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6</w:t>
            </w:r>
          </w:p>
        </w:tc>
        <w:tc>
          <w:tcPr>
            <w:tcW w:w="459" w:type="pct"/>
            <w:vAlign w:val="center"/>
          </w:tcPr>
          <w:p w14:paraId="506E90D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w:t>
            </w:r>
          </w:p>
        </w:tc>
      </w:tr>
      <w:tr w:rsidR="00DB1BD6" w:rsidRPr="00CF536C" w14:paraId="163AEBDF" w14:textId="77777777" w:rsidTr="00796F6C">
        <w:trPr>
          <w:cantSplit/>
          <w:trHeight w:val="355"/>
        </w:trPr>
        <w:tc>
          <w:tcPr>
            <w:tcW w:w="855" w:type="pct"/>
            <w:tcBorders>
              <w:top w:val="single" w:sz="18" w:space="0" w:color="auto"/>
            </w:tcBorders>
            <w:shd w:val="clear" w:color="auto" w:fill="FFFFFF" w:themeFill="background1"/>
            <w:vAlign w:val="center"/>
          </w:tcPr>
          <w:p w14:paraId="4656D393"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b/>
                <w:bCs/>
                <w:color w:val="000000" w:themeColor="text1"/>
                <w:sz w:val="21"/>
                <w:szCs w:val="21"/>
              </w:rPr>
              <w:t xml:space="preserve">Cost-effectiveness outcomes (discounted) </w:t>
            </w:r>
          </w:p>
        </w:tc>
        <w:tc>
          <w:tcPr>
            <w:tcW w:w="460" w:type="pct"/>
            <w:vAlign w:val="center"/>
          </w:tcPr>
          <w:p w14:paraId="0BFF794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vAlign w:val="center"/>
          </w:tcPr>
          <w:p w14:paraId="62DB9E0F"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right w:val="single" w:sz="18" w:space="0" w:color="auto"/>
            </w:tcBorders>
            <w:vAlign w:val="center"/>
          </w:tcPr>
          <w:p w14:paraId="1E4B916C"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left w:val="single" w:sz="18" w:space="0" w:color="auto"/>
            </w:tcBorders>
            <w:vAlign w:val="center"/>
          </w:tcPr>
          <w:p w14:paraId="5416AC4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0" w:type="pct"/>
            <w:vAlign w:val="center"/>
          </w:tcPr>
          <w:p w14:paraId="04DB3985"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right w:val="single" w:sz="18" w:space="0" w:color="auto"/>
            </w:tcBorders>
            <w:vAlign w:val="center"/>
          </w:tcPr>
          <w:p w14:paraId="693A591D"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left w:val="single" w:sz="18" w:space="0" w:color="auto"/>
            </w:tcBorders>
            <w:vAlign w:val="center"/>
          </w:tcPr>
          <w:p w14:paraId="7E799768"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vAlign w:val="center"/>
          </w:tcPr>
          <w:p w14:paraId="19B263E0"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59" w:type="pct"/>
            <w:vAlign w:val="center"/>
          </w:tcPr>
          <w:p w14:paraId="6BAE3BD9"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r>
      <w:tr w:rsidR="00DB1BD6" w:rsidRPr="00CF536C" w14:paraId="1FE7D1AE" w14:textId="77777777" w:rsidTr="00796F6C">
        <w:trPr>
          <w:cantSplit/>
          <w:trHeight w:val="355"/>
        </w:trPr>
        <w:tc>
          <w:tcPr>
            <w:tcW w:w="855" w:type="pct"/>
            <w:shd w:val="clear" w:color="auto" w:fill="FFFFFF" w:themeFill="background1"/>
            <w:vAlign w:val="center"/>
          </w:tcPr>
          <w:p w14:paraId="6D777D2F"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Direct costs (€)</w:t>
            </w:r>
          </w:p>
        </w:tc>
        <w:tc>
          <w:tcPr>
            <w:tcW w:w="460" w:type="pct"/>
            <w:vAlign w:val="center"/>
          </w:tcPr>
          <w:p w14:paraId="1C0A769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vAlign w:val="center"/>
          </w:tcPr>
          <w:p w14:paraId="5874B59B"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right w:val="single" w:sz="18" w:space="0" w:color="auto"/>
            </w:tcBorders>
            <w:vAlign w:val="center"/>
          </w:tcPr>
          <w:p w14:paraId="1067D5FA"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left w:val="single" w:sz="18" w:space="0" w:color="auto"/>
            </w:tcBorders>
            <w:vAlign w:val="center"/>
          </w:tcPr>
          <w:p w14:paraId="7A88830D"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0" w:type="pct"/>
            <w:vAlign w:val="center"/>
          </w:tcPr>
          <w:p w14:paraId="62188281"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right w:val="single" w:sz="18" w:space="0" w:color="auto"/>
            </w:tcBorders>
            <w:vAlign w:val="center"/>
          </w:tcPr>
          <w:p w14:paraId="61538792"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tcBorders>
              <w:left w:val="single" w:sz="18" w:space="0" w:color="auto"/>
            </w:tcBorders>
            <w:vAlign w:val="center"/>
          </w:tcPr>
          <w:p w14:paraId="5C84DDC7"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61" w:type="pct"/>
            <w:vAlign w:val="center"/>
          </w:tcPr>
          <w:p w14:paraId="703D1127"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c>
          <w:tcPr>
            <w:tcW w:w="459" w:type="pct"/>
            <w:vAlign w:val="center"/>
          </w:tcPr>
          <w:p w14:paraId="71C7FAA7" w14:textId="77777777" w:rsidR="007F3ECB" w:rsidRPr="00CF536C" w:rsidRDefault="007F3ECB" w:rsidP="00796F6C">
            <w:pPr>
              <w:pStyle w:val="Tabletext"/>
              <w:spacing w:before="40" w:after="40"/>
              <w:jc w:val="center"/>
              <w:rPr>
                <w:rFonts w:ascii="Times New Roman" w:hAnsi="Times New Roman"/>
                <w:color w:val="000000" w:themeColor="text1"/>
                <w:sz w:val="21"/>
                <w:szCs w:val="21"/>
              </w:rPr>
            </w:pPr>
          </w:p>
        </w:tc>
      </w:tr>
      <w:tr w:rsidR="00DB1BD6" w:rsidRPr="00CF536C" w14:paraId="035F4FEE" w14:textId="77777777" w:rsidTr="00796F6C">
        <w:trPr>
          <w:cantSplit/>
          <w:trHeight w:val="355"/>
        </w:trPr>
        <w:tc>
          <w:tcPr>
            <w:tcW w:w="855" w:type="pct"/>
            <w:shd w:val="clear" w:color="auto" w:fill="FFFFFF" w:themeFill="background1"/>
            <w:vAlign w:val="center"/>
          </w:tcPr>
          <w:p w14:paraId="1B63C12D" w14:textId="77777777" w:rsidR="007F3ECB" w:rsidRPr="00CF536C" w:rsidRDefault="007F3ECB" w:rsidP="00796F6C">
            <w:pPr>
              <w:pStyle w:val="Tabletextindented"/>
              <w:spacing w:line="276" w:lineRule="auto"/>
              <w:ind w:left="0"/>
              <w:jc w:val="right"/>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RZV vaccination costs</w:t>
            </w:r>
          </w:p>
        </w:tc>
        <w:tc>
          <w:tcPr>
            <w:tcW w:w="460" w:type="pct"/>
            <w:vAlign w:val="center"/>
          </w:tcPr>
          <w:p w14:paraId="5CF6A154"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38,855,808</w:t>
            </w:r>
          </w:p>
        </w:tc>
        <w:tc>
          <w:tcPr>
            <w:tcW w:w="461" w:type="pct"/>
            <w:vAlign w:val="center"/>
          </w:tcPr>
          <w:p w14:paraId="7C980661"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0</w:t>
            </w:r>
          </w:p>
        </w:tc>
        <w:tc>
          <w:tcPr>
            <w:tcW w:w="461" w:type="pct"/>
            <w:tcBorders>
              <w:right w:val="single" w:sz="18" w:space="0" w:color="auto"/>
            </w:tcBorders>
            <w:vAlign w:val="center"/>
          </w:tcPr>
          <w:p w14:paraId="6F39A288"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38,855,808</w:t>
            </w:r>
          </w:p>
        </w:tc>
        <w:tc>
          <w:tcPr>
            <w:tcW w:w="461" w:type="pct"/>
            <w:tcBorders>
              <w:left w:val="single" w:sz="18" w:space="0" w:color="auto"/>
            </w:tcBorders>
            <w:vAlign w:val="center"/>
          </w:tcPr>
          <w:p w14:paraId="111D3FCF"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65,045,413</w:t>
            </w:r>
          </w:p>
        </w:tc>
        <w:tc>
          <w:tcPr>
            <w:tcW w:w="460" w:type="pct"/>
            <w:vAlign w:val="center"/>
          </w:tcPr>
          <w:p w14:paraId="2A259A2E"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0</w:t>
            </w:r>
          </w:p>
        </w:tc>
        <w:tc>
          <w:tcPr>
            <w:tcW w:w="461" w:type="pct"/>
            <w:tcBorders>
              <w:right w:val="single" w:sz="18" w:space="0" w:color="auto"/>
            </w:tcBorders>
            <w:vAlign w:val="center"/>
          </w:tcPr>
          <w:p w14:paraId="7F98901A"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65,045,413</w:t>
            </w:r>
          </w:p>
        </w:tc>
        <w:tc>
          <w:tcPr>
            <w:tcW w:w="461" w:type="pct"/>
            <w:tcBorders>
              <w:left w:val="single" w:sz="18" w:space="0" w:color="auto"/>
            </w:tcBorders>
            <w:vAlign w:val="center"/>
          </w:tcPr>
          <w:p w14:paraId="1ADD3AE5"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42,748,177</w:t>
            </w:r>
          </w:p>
        </w:tc>
        <w:tc>
          <w:tcPr>
            <w:tcW w:w="461" w:type="pct"/>
            <w:vAlign w:val="center"/>
          </w:tcPr>
          <w:p w14:paraId="34292A00"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0</w:t>
            </w:r>
          </w:p>
        </w:tc>
        <w:tc>
          <w:tcPr>
            <w:tcW w:w="459" w:type="pct"/>
            <w:vAlign w:val="center"/>
          </w:tcPr>
          <w:p w14:paraId="2A3D0E6E"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42,748,177</w:t>
            </w:r>
          </w:p>
        </w:tc>
      </w:tr>
      <w:tr w:rsidR="00DB1BD6" w:rsidRPr="00CF536C" w14:paraId="63788AE7" w14:textId="77777777" w:rsidTr="00796F6C">
        <w:trPr>
          <w:cantSplit/>
          <w:trHeight w:val="355"/>
        </w:trPr>
        <w:tc>
          <w:tcPr>
            <w:tcW w:w="855" w:type="pct"/>
            <w:shd w:val="clear" w:color="auto" w:fill="FFFFFF" w:themeFill="background1"/>
            <w:vAlign w:val="center"/>
          </w:tcPr>
          <w:p w14:paraId="7A8A1940" w14:textId="77777777" w:rsidR="007F3ECB" w:rsidRPr="00CF536C" w:rsidRDefault="007F3ECB" w:rsidP="00796F6C">
            <w:pPr>
              <w:pStyle w:val="Tabletextindented"/>
              <w:spacing w:line="276" w:lineRule="auto"/>
              <w:ind w:left="0"/>
              <w:jc w:val="right"/>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HZ disease and complications</w:t>
            </w:r>
          </w:p>
        </w:tc>
        <w:tc>
          <w:tcPr>
            <w:tcW w:w="460" w:type="pct"/>
            <w:vAlign w:val="center"/>
          </w:tcPr>
          <w:p w14:paraId="1EF7AA82"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17,699,890</w:t>
            </w:r>
          </w:p>
        </w:tc>
        <w:tc>
          <w:tcPr>
            <w:tcW w:w="461" w:type="pct"/>
            <w:vAlign w:val="center"/>
          </w:tcPr>
          <w:p w14:paraId="1E54F341"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26,168,652</w:t>
            </w:r>
          </w:p>
        </w:tc>
        <w:tc>
          <w:tcPr>
            <w:tcW w:w="461" w:type="pct"/>
            <w:tcBorders>
              <w:right w:val="single" w:sz="18" w:space="0" w:color="auto"/>
            </w:tcBorders>
            <w:vAlign w:val="center"/>
          </w:tcPr>
          <w:p w14:paraId="3C04B6AA"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–8,468,762</w:t>
            </w:r>
          </w:p>
        </w:tc>
        <w:tc>
          <w:tcPr>
            <w:tcW w:w="461" w:type="pct"/>
            <w:tcBorders>
              <w:left w:val="single" w:sz="18" w:space="0" w:color="auto"/>
            </w:tcBorders>
            <w:vAlign w:val="center"/>
          </w:tcPr>
          <w:p w14:paraId="1BE07E7D"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30,025,111</w:t>
            </w:r>
          </w:p>
        </w:tc>
        <w:tc>
          <w:tcPr>
            <w:tcW w:w="460" w:type="pct"/>
            <w:vAlign w:val="center"/>
          </w:tcPr>
          <w:p w14:paraId="0E613603"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44,181,189</w:t>
            </w:r>
          </w:p>
        </w:tc>
        <w:tc>
          <w:tcPr>
            <w:tcW w:w="461" w:type="pct"/>
            <w:tcBorders>
              <w:right w:val="single" w:sz="18" w:space="0" w:color="auto"/>
            </w:tcBorders>
            <w:vAlign w:val="center"/>
          </w:tcPr>
          <w:p w14:paraId="4261D832"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–14,156,078</w:t>
            </w:r>
          </w:p>
        </w:tc>
        <w:tc>
          <w:tcPr>
            <w:tcW w:w="461" w:type="pct"/>
            <w:tcBorders>
              <w:left w:val="single" w:sz="18" w:space="0" w:color="auto"/>
            </w:tcBorders>
            <w:vAlign w:val="center"/>
          </w:tcPr>
          <w:p w14:paraId="3EAFDE77"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12,807,044</w:t>
            </w:r>
          </w:p>
        </w:tc>
        <w:tc>
          <w:tcPr>
            <w:tcW w:w="461" w:type="pct"/>
            <w:vAlign w:val="center"/>
          </w:tcPr>
          <w:p w14:paraId="7BF64F12"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21,232,960</w:t>
            </w:r>
          </w:p>
        </w:tc>
        <w:tc>
          <w:tcPr>
            <w:tcW w:w="459" w:type="pct"/>
            <w:vAlign w:val="center"/>
          </w:tcPr>
          <w:p w14:paraId="33446F8F"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–8,425,916</w:t>
            </w:r>
          </w:p>
        </w:tc>
      </w:tr>
      <w:tr w:rsidR="00DB1BD6" w:rsidRPr="00CF536C" w14:paraId="7EB13948" w14:textId="77777777" w:rsidTr="00796F6C">
        <w:trPr>
          <w:cantSplit/>
          <w:trHeight w:val="355"/>
        </w:trPr>
        <w:tc>
          <w:tcPr>
            <w:tcW w:w="855" w:type="pct"/>
            <w:shd w:val="clear" w:color="auto" w:fill="FFFFFF" w:themeFill="background1"/>
            <w:vAlign w:val="center"/>
          </w:tcPr>
          <w:p w14:paraId="2275A479"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Total direct costs</w:t>
            </w:r>
          </w:p>
        </w:tc>
        <w:tc>
          <w:tcPr>
            <w:tcW w:w="460" w:type="pct"/>
            <w:vAlign w:val="center"/>
          </w:tcPr>
          <w:p w14:paraId="163386A8"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56,555,699</w:t>
            </w:r>
          </w:p>
        </w:tc>
        <w:tc>
          <w:tcPr>
            <w:tcW w:w="461" w:type="pct"/>
            <w:vAlign w:val="center"/>
          </w:tcPr>
          <w:p w14:paraId="51C1A68F"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26,168,652</w:t>
            </w:r>
          </w:p>
        </w:tc>
        <w:tc>
          <w:tcPr>
            <w:tcW w:w="461" w:type="pct"/>
            <w:tcBorders>
              <w:right w:val="single" w:sz="18" w:space="0" w:color="auto"/>
            </w:tcBorders>
            <w:vAlign w:val="center"/>
          </w:tcPr>
          <w:p w14:paraId="0D1F9963"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30,387,047</w:t>
            </w:r>
          </w:p>
        </w:tc>
        <w:tc>
          <w:tcPr>
            <w:tcW w:w="461" w:type="pct"/>
            <w:tcBorders>
              <w:left w:val="single" w:sz="18" w:space="0" w:color="auto"/>
            </w:tcBorders>
            <w:vAlign w:val="center"/>
          </w:tcPr>
          <w:p w14:paraId="104C31DA"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95,070,524</w:t>
            </w:r>
          </w:p>
        </w:tc>
        <w:tc>
          <w:tcPr>
            <w:tcW w:w="460" w:type="pct"/>
            <w:vAlign w:val="center"/>
          </w:tcPr>
          <w:p w14:paraId="5621253A"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44,181,189</w:t>
            </w:r>
          </w:p>
        </w:tc>
        <w:tc>
          <w:tcPr>
            <w:tcW w:w="461" w:type="pct"/>
            <w:tcBorders>
              <w:right w:val="single" w:sz="18" w:space="0" w:color="auto"/>
            </w:tcBorders>
            <w:vAlign w:val="center"/>
          </w:tcPr>
          <w:p w14:paraId="509E0247"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50,889,335</w:t>
            </w:r>
          </w:p>
        </w:tc>
        <w:tc>
          <w:tcPr>
            <w:tcW w:w="461" w:type="pct"/>
            <w:tcBorders>
              <w:left w:val="single" w:sz="18" w:space="0" w:color="auto"/>
            </w:tcBorders>
            <w:vAlign w:val="center"/>
          </w:tcPr>
          <w:p w14:paraId="58CA4053"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55,555,221</w:t>
            </w:r>
          </w:p>
        </w:tc>
        <w:tc>
          <w:tcPr>
            <w:tcW w:w="461" w:type="pct"/>
            <w:vAlign w:val="center"/>
          </w:tcPr>
          <w:p w14:paraId="62128485"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21,232,960</w:t>
            </w:r>
          </w:p>
        </w:tc>
        <w:tc>
          <w:tcPr>
            <w:tcW w:w="459" w:type="pct"/>
            <w:vAlign w:val="center"/>
          </w:tcPr>
          <w:p w14:paraId="7B72D062"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34,322,261</w:t>
            </w:r>
          </w:p>
        </w:tc>
      </w:tr>
      <w:tr w:rsidR="00DB1BD6" w:rsidRPr="00CF536C" w14:paraId="0100C5CD" w14:textId="77777777" w:rsidTr="00796F6C">
        <w:trPr>
          <w:cantSplit/>
          <w:trHeight w:val="355"/>
        </w:trPr>
        <w:tc>
          <w:tcPr>
            <w:tcW w:w="855" w:type="pct"/>
            <w:shd w:val="clear" w:color="auto" w:fill="FFFFFF" w:themeFill="background1"/>
            <w:vAlign w:val="center"/>
          </w:tcPr>
          <w:p w14:paraId="6FEF7EC2"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Total indirect costs</w:t>
            </w:r>
          </w:p>
        </w:tc>
        <w:tc>
          <w:tcPr>
            <w:tcW w:w="460" w:type="pct"/>
            <w:vAlign w:val="center"/>
          </w:tcPr>
          <w:p w14:paraId="51DEBF34"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1,012,017</w:t>
            </w:r>
          </w:p>
        </w:tc>
        <w:tc>
          <w:tcPr>
            <w:tcW w:w="461" w:type="pct"/>
            <w:vAlign w:val="center"/>
          </w:tcPr>
          <w:p w14:paraId="695A08ED"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1,718,176</w:t>
            </w:r>
          </w:p>
        </w:tc>
        <w:tc>
          <w:tcPr>
            <w:tcW w:w="461" w:type="pct"/>
            <w:tcBorders>
              <w:right w:val="single" w:sz="18" w:space="0" w:color="auto"/>
            </w:tcBorders>
            <w:vAlign w:val="center"/>
          </w:tcPr>
          <w:p w14:paraId="3E156089"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–706,159</w:t>
            </w:r>
          </w:p>
        </w:tc>
        <w:tc>
          <w:tcPr>
            <w:tcW w:w="461" w:type="pct"/>
            <w:tcBorders>
              <w:left w:val="single" w:sz="18" w:space="0" w:color="auto"/>
            </w:tcBorders>
            <w:vAlign w:val="center"/>
          </w:tcPr>
          <w:p w14:paraId="55254BF3"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1,370,895</w:t>
            </w:r>
          </w:p>
        </w:tc>
        <w:tc>
          <w:tcPr>
            <w:tcW w:w="460" w:type="pct"/>
            <w:vAlign w:val="center"/>
          </w:tcPr>
          <w:p w14:paraId="12DF7D80"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2,294,850</w:t>
            </w:r>
          </w:p>
        </w:tc>
        <w:tc>
          <w:tcPr>
            <w:tcW w:w="461" w:type="pct"/>
            <w:tcBorders>
              <w:right w:val="single" w:sz="18" w:space="0" w:color="auto"/>
            </w:tcBorders>
            <w:vAlign w:val="center"/>
          </w:tcPr>
          <w:p w14:paraId="22DE5146"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–923,955</w:t>
            </w:r>
          </w:p>
        </w:tc>
        <w:tc>
          <w:tcPr>
            <w:tcW w:w="461" w:type="pct"/>
            <w:tcBorders>
              <w:left w:val="single" w:sz="18" w:space="0" w:color="auto"/>
            </w:tcBorders>
            <w:vAlign w:val="center"/>
          </w:tcPr>
          <w:p w14:paraId="45E09FA1"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0</w:t>
            </w:r>
          </w:p>
        </w:tc>
        <w:tc>
          <w:tcPr>
            <w:tcW w:w="461" w:type="pct"/>
            <w:vAlign w:val="center"/>
          </w:tcPr>
          <w:p w14:paraId="5558BBFA"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0</w:t>
            </w:r>
          </w:p>
        </w:tc>
        <w:tc>
          <w:tcPr>
            <w:tcW w:w="459" w:type="pct"/>
            <w:vAlign w:val="center"/>
          </w:tcPr>
          <w:p w14:paraId="48305384"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0</w:t>
            </w:r>
          </w:p>
        </w:tc>
      </w:tr>
      <w:tr w:rsidR="00DB1BD6" w:rsidRPr="00CF536C" w14:paraId="4FCEF8D0" w14:textId="77777777" w:rsidTr="00796F6C">
        <w:trPr>
          <w:cantSplit/>
          <w:trHeight w:val="355"/>
        </w:trPr>
        <w:tc>
          <w:tcPr>
            <w:tcW w:w="855" w:type="pct"/>
            <w:tcBorders>
              <w:bottom w:val="single" w:sz="18" w:space="0" w:color="auto"/>
            </w:tcBorders>
            <w:shd w:val="clear" w:color="auto" w:fill="FFFFFF" w:themeFill="background1"/>
            <w:vAlign w:val="center"/>
          </w:tcPr>
          <w:p w14:paraId="15B0EA98"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Total societal costs</w:t>
            </w:r>
          </w:p>
        </w:tc>
        <w:tc>
          <w:tcPr>
            <w:tcW w:w="460" w:type="pct"/>
            <w:vAlign w:val="center"/>
          </w:tcPr>
          <w:p w14:paraId="3F2487A3"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57,567,715</w:t>
            </w:r>
          </w:p>
        </w:tc>
        <w:tc>
          <w:tcPr>
            <w:tcW w:w="461" w:type="pct"/>
            <w:vAlign w:val="center"/>
          </w:tcPr>
          <w:p w14:paraId="777442F4"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27,886,828</w:t>
            </w:r>
          </w:p>
        </w:tc>
        <w:tc>
          <w:tcPr>
            <w:tcW w:w="461" w:type="pct"/>
            <w:tcBorders>
              <w:right w:val="single" w:sz="18" w:space="0" w:color="auto"/>
            </w:tcBorders>
            <w:vAlign w:val="center"/>
          </w:tcPr>
          <w:p w14:paraId="42397EC8"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29,680,887</w:t>
            </w:r>
          </w:p>
        </w:tc>
        <w:tc>
          <w:tcPr>
            <w:tcW w:w="461" w:type="pct"/>
            <w:tcBorders>
              <w:left w:val="single" w:sz="18" w:space="0" w:color="auto"/>
            </w:tcBorders>
            <w:vAlign w:val="center"/>
          </w:tcPr>
          <w:p w14:paraId="32C1871D"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96,441,420</w:t>
            </w:r>
          </w:p>
        </w:tc>
        <w:tc>
          <w:tcPr>
            <w:tcW w:w="460" w:type="pct"/>
            <w:vAlign w:val="center"/>
          </w:tcPr>
          <w:p w14:paraId="45692FD0"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46,476,039</w:t>
            </w:r>
          </w:p>
        </w:tc>
        <w:tc>
          <w:tcPr>
            <w:tcW w:w="461" w:type="pct"/>
            <w:tcBorders>
              <w:right w:val="single" w:sz="18" w:space="0" w:color="auto"/>
            </w:tcBorders>
            <w:vAlign w:val="center"/>
          </w:tcPr>
          <w:p w14:paraId="6F5C14F4"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49,965,381</w:t>
            </w:r>
          </w:p>
        </w:tc>
        <w:tc>
          <w:tcPr>
            <w:tcW w:w="461" w:type="pct"/>
            <w:tcBorders>
              <w:left w:val="single" w:sz="18" w:space="0" w:color="auto"/>
            </w:tcBorders>
            <w:vAlign w:val="center"/>
          </w:tcPr>
          <w:p w14:paraId="3A9CBF0A"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55,555,221</w:t>
            </w:r>
          </w:p>
        </w:tc>
        <w:tc>
          <w:tcPr>
            <w:tcW w:w="461" w:type="pct"/>
            <w:vAlign w:val="center"/>
          </w:tcPr>
          <w:p w14:paraId="2A59B9C7"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21,232,960</w:t>
            </w:r>
          </w:p>
        </w:tc>
        <w:tc>
          <w:tcPr>
            <w:tcW w:w="459" w:type="pct"/>
            <w:vAlign w:val="center"/>
          </w:tcPr>
          <w:p w14:paraId="4F38C449"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34,322,261</w:t>
            </w:r>
          </w:p>
        </w:tc>
      </w:tr>
      <w:tr w:rsidR="00DB1BD6" w:rsidRPr="00CF536C" w14:paraId="0F931310" w14:textId="77777777" w:rsidTr="00796F6C">
        <w:trPr>
          <w:cantSplit/>
          <w:trHeight w:val="355"/>
        </w:trPr>
        <w:tc>
          <w:tcPr>
            <w:tcW w:w="855" w:type="pct"/>
            <w:tcBorders>
              <w:top w:val="single" w:sz="18" w:space="0" w:color="auto"/>
              <w:bottom w:val="single" w:sz="18" w:space="0" w:color="auto"/>
            </w:tcBorders>
            <w:shd w:val="clear" w:color="auto" w:fill="FFFFFF" w:themeFill="background1"/>
            <w:vAlign w:val="center"/>
          </w:tcPr>
          <w:p w14:paraId="522C2AAA" w14:textId="5B008F7B" w:rsidR="007F3ECB" w:rsidRPr="00CF536C" w:rsidRDefault="007F3ECB" w:rsidP="00796F6C">
            <w:pPr>
              <w:pStyle w:val="Tabletextindented"/>
              <w:spacing w:line="276" w:lineRule="auto"/>
              <w:ind w:left="0"/>
              <w:rPr>
                <w:rFonts w:ascii="Times New Roman" w:hAnsi="Times New Roman" w:cs="Times New Roman"/>
                <w:b/>
                <w:bCs/>
                <w:color w:val="000000" w:themeColor="text1"/>
                <w:sz w:val="21"/>
                <w:szCs w:val="21"/>
              </w:rPr>
            </w:pPr>
            <w:r w:rsidRPr="00CF536C">
              <w:rPr>
                <w:rFonts w:ascii="Times New Roman" w:hAnsi="Times New Roman" w:cs="Times New Roman"/>
                <w:b/>
                <w:bCs/>
                <w:color w:val="000000" w:themeColor="text1"/>
                <w:sz w:val="21"/>
                <w:szCs w:val="21"/>
              </w:rPr>
              <w:t xml:space="preserve">QALYs </w:t>
            </w:r>
          </w:p>
        </w:tc>
        <w:tc>
          <w:tcPr>
            <w:tcW w:w="460" w:type="pct"/>
            <w:vAlign w:val="center"/>
          </w:tcPr>
          <w:p w14:paraId="036D9334"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3,020,089</w:t>
            </w:r>
          </w:p>
        </w:tc>
        <w:tc>
          <w:tcPr>
            <w:tcW w:w="461" w:type="pct"/>
            <w:vAlign w:val="center"/>
          </w:tcPr>
          <w:p w14:paraId="1DB4E465"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3,019,269</w:t>
            </w:r>
          </w:p>
        </w:tc>
        <w:tc>
          <w:tcPr>
            <w:tcW w:w="461" w:type="pct"/>
            <w:tcBorders>
              <w:right w:val="single" w:sz="18" w:space="0" w:color="auto"/>
            </w:tcBorders>
            <w:vAlign w:val="center"/>
          </w:tcPr>
          <w:p w14:paraId="3FAABA80"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color w:val="000000" w:themeColor="text1"/>
                <w:sz w:val="21"/>
                <w:szCs w:val="21"/>
              </w:rPr>
              <w:t>820</w:t>
            </w:r>
          </w:p>
        </w:tc>
        <w:tc>
          <w:tcPr>
            <w:tcW w:w="461" w:type="pct"/>
            <w:tcBorders>
              <w:left w:val="single" w:sz="18" w:space="0" w:color="auto"/>
            </w:tcBorders>
            <w:vAlign w:val="center"/>
          </w:tcPr>
          <w:p w14:paraId="13C1A91A"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4,165,714</w:t>
            </w:r>
          </w:p>
        </w:tc>
        <w:tc>
          <w:tcPr>
            <w:tcW w:w="460" w:type="pct"/>
            <w:vAlign w:val="center"/>
          </w:tcPr>
          <w:p w14:paraId="078113CE"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4,164,428</w:t>
            </w:r>
          </w:p>
        </w:tc>
        <w:tc>
          <w:tcPr>
            <w:tcW w:w="461" w:type="pct"/>
            <w:tcBorders>
              <w:right w:val="single" w:sz="18" w:space="0" w:color="auto"/>
            </w:tcBorders>
            <w:vAlign w:val="center"/>
          </w:tcPr>
          <w:p w14:paraId="7DE172A4"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1,286</w:t>
            </w:r>
          </w:p>
        </w:tc>
        <w:tc>
          <w:tcPr>
            <w:tcW w:w="461" w:type="pct"/>
            <w:tcBorders>
              <w:left w:val="single" w:sz="18" w:space="0" w:color="auto"/>
            </w:tcBorders>
            <w:vAlign w:val="center"/>
          </w:tcPr>
          <w:p w14:paraId="4CF7EF3E"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1,631,463</w:t>
            </w:r>
          </w:p>
        </w:tc>
        <w:tc>
          <w:tcPr>
            <w:tcW w:w="461" w:type="pct"/>
            <w:vAlign w:val="center"/>
          </w:tcPr>
          <w:p w14:paraId="5EA20C7E"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1,630,848</w:t>
            </w:r>
          </w:p>
        </w:tc>
        <w:tc>
          <w:tcPr>
            <w:tcW w:w="459" w:type="pct"/>
            <w:vAlign w:val="center"/>
          </w:tcPr>
          <w:p w14:paraId="09C617FE" w14:textId="77777777" w:rsidR="007F3ECB" w:rsidRPr="00CF536C" w:rsidRDefault="007F3ECB" w:rsidP="00796F6C">
            <w:pPr>
              <w:spacing w:before="40" w:after="40" w:line="276" w:lineRule="auto"/>
              <w:jc w:val="center"/>
              <w:rPr>
                <w:color w:val="000000" w:themeColor="text1"/>
                <w:sz w:val="21"/>
                <w:szCs w:val="21"/>
                <w:lang w:val="en-US"/>
              </w:rPr>
            </w:pPr>
            <w:r w:rsidRPr="00CF536C">
              <w:rPr>
                <w:color w:val="000000" w:themeColor="text1"/>
                <w:sz w:val="21"/>
                <w:szCs w:val="21"/>
                <w:lang w:val="en-US"/>
              </w:rPr>
              <w:t>616</w:t>
            </w:r>
          </w:p>
        </w:tc>
      </w:tr>
      <w:tr w:rsidR="00DB1BD6" w:rsidRPr="00CF536C" w14:paraId="439BB76C" w14:textId="77777777" w:rsidTr="00796F6C">
        <w:trPr>
          <w:cantSplit/>
          <w:trHeight w:val="355"/>
        </w:trPr>
        <w:tc>
          <w:tcPr>
            <w:tcW w:w="855" w:type="pct"/>
            <w:tcBorders>
              <w:top w:val="single" w:sz="18" w:space="0" w:color="auto"/>
            </w:tcBorders>
            <w:vAlign w:val="center"/>
          </w:tcPr>
          <w:p w14:paraId="184F1199" w14:textId="77777777" w:rsidR="007F3ECB" w:rsidRPr="00CF536C" w:rsidRDefault="007F3ECB" w:rsidP="00796F6C">
            <w:pPr>
              <w:pStyle w:val="Tabletextindented"/>
              <w:spacing w:line="276" w:lineRule="auto"/>
              <w:ind w:left="0"/>
              <w:rPr>
                <w:rFonts w:ascii="Times New Roman" w:hAnsi="Times New Roman" w:cs="Times New Roman"/>
                <w:b/>
                <w:bCs/>
                <w:color w:val="000000" w:themeColor="text1"/>
                <w:sz w:val="21"/>
                <w:szCs w:val="21"/>
              </w:rPr>
            </w:pPr>
            <w:r w:rsidRPr="00CF536C">
              <w:rPr>
                <w:rFonts w:ascii="Times New Roman" w:hAnsi="Times New Roman" w:cs="Times New Roman"/>
                <w:b/>
                <w:bCs/>
                <w:color w:val="000000" w:themeColor="text1"/>
                <w:sz w:val="21"/>
                <w:szCs w:val="21"/>
              </w:rPr>
              <w:t>ICER (cost per QALY gained)</w:t>
            </w:r>
          </w:p>
        </w:tc>
        <w:tc>
          <w:tcPr>
            <w:tcW w:w="460" w:type="pct"/>
            <w:vAlign w:val="center"/>
          </w:tcPr>
          <w:p w14:paraId="2C62EAAF"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vAlign w:val="center"/>
          </w:tcPr>
          <w:p w14:paraId="69D1F5B7"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right w:val="single" w:sz="18" w:space="0" w:color="auto"/>
            </w:tcBorders>
            <w:vAlign w:val="center"/>
          </w:tcPr>
          <w:p w14:paraId="36CC6BE3"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left w:val="single" w:sz="18" w:space="0" w:color="auto"/>
            </w:tcBorders>
            <w:vAlign w:val="center"/>
          </w:tcPr>
          <w:p w14:paraId="5B53A759"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0" w:type="pct"/>
            <w:vAlign w:val="center"/>
          </w:tcPr>
          <w:p w14:paraId="3347F0E7"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right w:val="single" w:sz="18" w:space="0" w:color="auto"/>
            </w:tcBorders>
            <w:vAlign w:val="center"/>
          </w:tcPr>
          <w:p w14:paraId="69F19326"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left w:val="single" w:sz="18" w:space="0" w:color="auto"/>
            </w:tcBorders>
            <w:vAlign w:val="center"/>
          </w:tcPr>
          <w:p w14:paraId="73A712B6"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vAlign w:val="center"/>
          </w:tcPr>
          <w:p w14:paraId="6B85BE42"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59" w:type="pct"/>
            <w:vAlign w:val="center"/>
          </w:tcPr>
          <w:p w14:paraId="04E0EAC8" w14:textId="77777777" w:rsidR="007F3ECB" w:rsidRPr="00CF536C" w:rsidRDefault="007F3ECB" w:rsidP="00796F6C">
            <w:pPr>
              <w:spacing w:before="40" w:after="40" w:line="276" w:lineRule="auto"/>
              <w:jc w:val="center"/>
              <w:rPr>
                <w:color w:val="000000" w:themeColor="text1"/>
                <w:sz w:val="21"/>
                <w:szCs w:val="21"/>
                <w:lang w:val="en-US"/>
              </w:rPr>
            </w:pPr>
          </w:p>
        </w:tc>
      </w:tr>
      <w:tr w:rsidR="00DB1BD6" w:rsidRPr="00CF536C" w14:paraId="315CD7F7" w14:textId="77777777" w:rsidTr="00796F6C">
        <w:trPr>
          <w:cantSplit/>
          <w:trHeight w:val="355"/>
        </w:trPr>
        <w:tc>
          <w:tcPr>
            <w:tcW w:w="855" w:type="pct"/>
            <w:tcBorders>
              <w:bottom w:val="single" w:sz="18" w:space="0" w:color="auto"/>
            </w:tcBorders>
            <w:shd w:val="clear" w:color="auto" w:fill="FFFFFF" w:themeFill="background1"/>
            <w:vAlign w:val="center"/>
          </w:tcPr>
          <w:p w14:paraId="47D88FFD" w14:textId="77777777" w:rsidR="007F3ECB" w:rsidRPr="00CF536C" w:rsidRDefault="007F3ECB" w:rsidP="00796F6C">
            <w:pPr>
              <w:pStyle w:val="Tabletextindented"/>
              <w:spacing w:line="276" w:lineRule="auto"/>
              <w:ind w:left="0"/>
              <w:rPr>
                <w:rFonts w:ascii="Times New Roman" w:hAnsi="Times New Roman" w:cs="Times New Roman"/>
                <w:color w:val="000000" w:themeColor="text1"/>
                <w:sz w:val="21"/>
                <w:szCs w:val="21"/>
              </w:rPr>
            </w:pPr>
            <w:r w:rsidRPr="00CF536C">
              <w:rPr>
                <w:rFonts w:ascii="Times New Roman" w:hAnsi="Times New Roman" w:cs="Times New Roman"/>
                <w:color w:val="000000" w:themeColor="text1"/>
                <w:sz w:val="21"/>
                <w:szCs w:val="21"/>
              </w:rPr>
              <w:t>Societal perspective</w:t>
            </w:r>
          </w:p>
        </w:tc>
        <w:tc>
          <w:tcPr>
            <w:tcW w:w="460" w:type="pct"/>
            <w:tcBorders>
              <w:bottom w:val="single" w:sz="18" w:space="0" w:color="auto"/>
            </w:tcBorders>
            <w:vAlign w:val="center"/>
          </w:tcPr>
          <w:p w14:paraId="5A18AA03"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bottom w:val="single" w:sz="18" w:space="0" w:color="auto"/>
            </w:tcBorders>
            <w:vAlign w:val="center"/>
          </w:tcPr>
          <w:p w14:paraId="7F3F0B67"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bottom w:val="single" w:sz="18" w:space="0" w:color="auto"/>
              <w:right w:val="single" w:sz="18" w:space="0" w:color="auto"/>
            </w:tcBorders>
            <w:vAlign w:val="center"/>
          </w:tcPr>
          <w:p w14:paraId="30A57836"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b/>
                <w:bCs/>
                <w:color w:val="000000" w:themeColor="text1"/>
                <w:sz w:val="21"/>
                <w:szCs w:val="21"/>
              </w:rPr>
              <w:t>36,207</w:t>
            </w:r>
          </w:p>
        </w:tc>
        <w:tc>
          <w:tcPr>
            <w:tcW w:w="461" w:type="pct"/>
            <w:tcBorders>
              <w:left w:val="single" w:sz="18" w:space="0" w:color="auto"/>
              <w:bottom w:val="single" w:sz="18" w:space="0" w:color="auto"/>
            </w:tcBorders>
            <w:vAlign w:val="center"/>
          </w:tcPr>
          <w:p w14:paraId="57018AF4"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0" w:type="pct"/>
            <w:tcBorders>
              <w:bottom w:val="single" w:sz="18" w:space="0" w:color="auto"/>
            </w:tcBorders>
            <w:vAlign w:val="center"/>
          </w:tcPr>
          <w:p w14:paraId="713C9C96"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bottom w:val="single" w:sz="18" w:space="0" w:color="auto"/>
              <w:right w:val="single" w:sz="18" w:space="0" w:color="auto"/>
            </w:tcBorders>
            <w:vAlign w:val="center"/>
          </w:tcPr>
          <w:p w14:paraId="3D50208D"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r w:rsidRPr="00CF536C">
              <w:rPr>
                <w:rFonts w:ascii="Times New Roman" w:hAnsi="Times New Roman"/>
                <w:b/>
                <w:bCs/>
                <w:color w:val="000000" w:themeColor="text1"/>
                <w:sz w:val="21"/>
                <w:szCs w:val="21"/>
              </w:rPr>
              <w:t>38,852</w:t>
            </w:r>
          </w:p>
        </w:tc>
        <w:tc>
          <w:tcPr>
            <w:tcW w:w="461" w:type="pct"/>
            <w:tcBorders>
              <w:left w:val="single" w:sz="18" w:space="0" w:color="auto"/>
              <w:bottom w:val="single" w:sz="18" w:space="0" w:color="auto"/>
            </w:tcBorders>
            <w:vAlign w:val="center"/>
          </w:tcPr>
          <w:p w14:paraId="45FD9704"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61" w:type="pct"/>
            <w:tcBorders>
              <w:bottom w:val="single" w:sz="18" w:space="0" w:color="auto"/>
            </w:tcBorders>
            <w:vAlign w:val="center"/>
          </w:tcPr>
          <w:p w14:paraId="2C974D78" w14:textId="77777777" w:rsidR="007F3ECB" w:rsidRPr="00CF536C" w:rsidRDefault="007F3ECB" w:rsidP="00796F6C">
            <w:pPr>
              <w:pStyle w:val="Tabletext"/>
              <w:spacing w:before="40" w:after="40" w:line="276" w:lineRule="auto"/>
              <w:jc w:val="center"/>
              <w:rPr>
                <w:rFonts w:ascii="Times New Roman" w:hAnsi="Times New Roman"/>
                <w:color w:val="000000" w:themeColor="text1"/>
                <w:sz w:val="21"/>
                <w:szCs w:val="21"/>
              </w:rPr>
            </w:pPr>
          </w:p>
        </w:tc>
        <w:tc>
          <w:tcPr>
            <w:tcW w:w="459" w:type="pct"/>
            <w:tcBorders>
              <w:bottom w:val="single" w:sz="18" w:space="0" w:color="auto"/>
            </w:tcBorders>
            <w:vAlign w:val="center"/>
          </w:tcPr>
          <w:p w14:paraId="4383C657" w14:textId="77777777" w:rsidR="007F3ECB" w:rsidRPr="00CF536C" w:rsidRDefault="007F3ECB" w:rsidP="00796F6C">
            <w:pPr>
              <w:spacing w:before="40" w:after="40" w:line="276" w:lineRule="auto"/>
              <w:jc w:val="center"/>
              <w:rPr>
                <w:color w:val="000000" w:themeColor="text1"/>
                <w:sz w:val="21"/>
                <w:szCs w:val="21"/>
                <w:lang w:val="en-US"/>
              </w:rPr>
            </w:pPr>
            <w:r w:rsidRPr="00CF536C">
              <w:rPr>
                <w:b/>
                <w:bCs/>
                <w:color w:val="000000" w:themeColor="text1"/>
                <w:sz w:val="21"/>
                <w:szCs w:val="21"/>
                <w:lang w:val="en-US"/>
              </w:rPr>
              <w:t>55,742</w:t>
            </w:r>
          </w:p>
        </w:tc>
      </w:tr>
    </w:tbl>
    <w:p w14:paraId="5D57AC51" w14:textId="77777777" w:rsidR="007F3ECB" w:rsidRPr="00CF536C" w:rsidRDefault="007F3ECB" w:rsidP="007F3ECB">
      <w:pPr>
        <w:pStyle w:val="tabfignote"/>
        <w:spacing w:line="360" w:lineRule="auto"/>
        <w:jc w:val="both"/>
        <w:rPr>
          <w:rFonts w:ascii="Times New Roman" w:hAnsi="Times New Roman" w:cs="Times New Roman"/>
          <w:color w:val="000000" w:themeColor="text1"/>
          <w:sz w:val="22"/>
          <w:szCs w:val="22"/>
        </w:rPr>
      </w:pPr>
      <w:r w:rsidRPr="00CF536C">
        <w:rPr>
          <w:rFonts w:ascii="Times New Roman" w:hAnsi="Times New Roman" w:cs="Times New Roman"/>
          <w:color w:val="000000" w:themeColor="text1"/>
          <w:sz w:val="22"/>
          <w:szCs w:val="22"/>
        </w:rPr>
        <w:t xml:space="preserve">All analyses were performed on a hypothetical cohort of 1 million individuals aged ≥ 65 years, stratified in proportion to the national demographic distribution </w:t>
      </w:r>
      <w:r w:rsidRPr="00CF536C">
        <w:rPr>
          <w:rFonts w:ascii="Times New Roman" w:eastAsiaTheme="majorEastAsia" w:hAnsi="Times New Roman" w:cs="Times New Roman"/>
          <w:bCs/>
          <w:color w:val="000000" w:themeColor="text1"/>
          <w:sz w:val="22"/>
          <w:szCs w:val="22"/>
          <w:lang w:eastAsia="ar-SA"/>
        </w:rPr>
        <w:fldChar w:fldCharType="begin"/>
      </w:r>
      <w:r w:rsidRPr="00CF536C">
        <w:rPr>
          <w:rFonts w:ascii="Times New Roman" w:eastAsiaTheme="majorEastAsia" w:hAnsi="Times New Roman" w:cs="Times New Roman"/>
          <w:bCs/>
          <w:color w:val="000000" w:themeColor="text1"/>
          <w:sz w:val="22"/>
          <w:szCs w:val="22"/>
          <w:lang w:eastAsia="ar-SA"/>
        </w:rPr>
        <w:instrText xml:space="preserve"> ADDIN EN.CITE &lt;EndNote&gt;&lt;Cite ExcludeAuth="1" ExcludeYear="1"&gt;&lt;RecNum&gt;55&lt;/RecNum&gt;&lt;DisplayText&gt;[4]&lt;/DisplayText&gt;&lt;record&gt;&lt;rec-number&gt;55&lt;/rec-number&gt;&lt;foreign-keys&gt;&lt;key app="EN" db-id="zsasps0ztaxwr9e0rt3xss9qsweae9r0w5f9" timestamp="1733325299"&gt;55&lt;/key&gt;&lt;/foreign-keys&gt;&lt;ref-type name="Journal Article"&gt;17&lt;/ref-type&gt;&lt;contributors&gt;&lt;/contributors&gt;&lt;titles&gt;&lt;title&gt;&lt;style face="normal" font="default" size="100%"&gt;Instituto Nacional de Estatística. População residente (Série longa, início 1991 - N.&lt;/style&gt;&lt;style face="superscript" font="default" size="100%"&gt;o&lt;/style&gt;&lt;style face="normal" font="default" size="100%"&gt;) por Local de residência (NUTS - 2013), Sexo e Idade; Anual. Lisboa, Portugal: Instituto Nacional de Estatística; 2024. https://www.ine.pt/xportal/xmain?xpid=INE&amp;amp;xpgid=ine_indicadores&amp;amp;indOcorrCod=0008273&amp;amp;xlang=pt Accessed 7 July 2024&lt;/style&gt;&lt;/title&gt;&lt;/titles&gt;&lt;dates&gt;&lt;/dates&gt;&lt;urls&gt;&lt;/urls&gt;&lt;/record&gt;&lt;/Cite&gt;&lt;/EndNote&gt;</w:instrText>
      </w:r>
      <w:r w:rsidRPr="00CF536C">
        <w:rPr>
          <w:rFonts w:ascii="Times New Roman" w:eastAsiaTheme="majorEastAsia" w:hAnsi="Times New Roman" w:cs="Times New Roman"/>
          <w:bCs/>
          <w:color w:val="000000" w:themeColor="text1"/>
          <w:sz w:val="22"/>
          <w:szCs w:val="22"/>
          <w:lang w:eastAsia="ar-SA"/>
        </w:rPr>
        <w:fldChar w:fldCharType="separate"/>
      </w:r>
      <w:r w:rsidRPr="00CF536C">
        <w:rPr>
          <w:rFonts w:ascii="Times New Roman" w:eastAsiaTheme="majorEastAsia" w:hAnsi="Times New Roman" w:cs="Times New Roman"/>
          <w:bCs/>
          <w:color w:val="000000" w:themeColor="text1"/>
          <w:sz w:val="22"/>
          <w:szCs w:val="22"/>
          <w:lang w:eastAsia="ar-SA"/>
        </w:rPr>
        <w:t>[4]</w:t>
      </w:r>
      <w:r w:rsidRPr="00CF536C">
        <w:rPr>
          <w:rFonts w:ascii="Times New Roman" w:eastAsiaTheme="majorEastAsia" w:hAnsi="Times New Roman" w:cs="Times New Roman"/>
          <w:bCs/>
          <w:color w:val="000000" w:themeColor="text1"/>
          <w:sz w:val="22"/>
          <w:szCs w:val="22"/>
          <w:lang w:eastAsia="ar-SA"/>
        </w:rPr>
        <w:fldChar w:fldCharType="end"/>
      </w:r>
      <w:r w:rsidRPr="00CF536C">
        <w:rPr>
          <w:rFonts w:ascii="Times New Roman" w:eastAsiaTheme="majorEastAsia" w:hAnsi="Times New Roman" w:cs="Times New Roman"/>
          <w:bCs/>
          <w:color w:val="000000" w:themeColor="text1"/>
          <w:sz w:val="22"/>
          <w:szCs w:val="22"/>
          <w:lang w:eastAsia="ar-SA"/>
        </w:rPr>
        <w:t xml:space="preserve"> </w:t>
      </w:r>
      <w:r w:rsidRPr="00CF536C">
        <w:rPr>
          <w:rFonts w:ascii="Times New Roman" w:hAnsi="Times New Roman" w:cs="Times New Roman"/>
          <w:color w:val="000000" w:themeColor="text1"/>
          <w:sz w:val="22"/>
          <w:szCs w:val="22"/>
        </w:rPr>
        <w:t>into three age groups; 65–69 (</w:t>
      </w:r>
      <w:r w:rsidRPr="00CF536C">
        <w:rPr>
          <w:rFonts w:ascii="Times New Roman" w:hAnsi="Times New Roman" w:cs="Times New Roman"/>
          <w:i/>
          <w:iCs/>
          <w:color w:val="000000" w:themeColor="text1"/>
          <w:sz w:val="22"/>
          <w:szCs w:val="22"/>
        </w:rPr>
        <w:t>n</w:t>
      </w:r>
      <w:r w:rsidRPr="00CF536C">
        <w:rPr>
          <w:rFonts w:ascii="Times New Roman" w:hAnsi="Times New Roman" w:cs="Times New Roman"/>
          <w:color w:val="000000" w:themeColor="text1"/>
          <w:sz w:val="22"/>
          <w:szCs w:val="22"/>
        </w:rPr>
        <w:t xml:space="preserve"> = 265,079), 70–79 (</w:t>
      </w:r>
      <w:r w:rsidRPr="00CF536C">
        <w:rPr>
          <w:rFonts w:ascii="Times New Roman" w:hAnsi="Times New Roman" w:cs="Times New Roman"/>
          <w:i/>
          <w:iCs/>
          <w:color w:val="000000" w:themeColor="text1"/>
          <w:sz w:val="22"/>
          <w:szCs w:val="22"/>
        </w:rPr>
        <w:t>n</w:t>
      </w:r>
      <w:r w:rsidRPr="00CF536C">
        <w:rPr>
          <w:rFonts w:ascii="Times New Roman" w:hAnsi="Times New Roman" w:cs="Times New Roman"/>
          <w:color w:val="000000" w:themeColor="text1"/>
          <w:sz w:val="22"/>
          <w:szCs w:val="22"/>
        </w:rPr>
        <w:t xml:space="preserve"> = 443,470) and ≥ 80 years (</w:t>
      </w:r>
      <w:r w:rsidRPr="00CF536C">
        <w:rPr>
          <w:rFonts w:ascii="Times New Roman" w:hAnsi="Times New Roman" w:cs="Times New Roman"/>
          <w:i/>
          <w:iCs/>
          <w:color w:val="000000" w:themeColor="text1"/>
          <w:sz w:val="22"/>
          <w:szCs w:val="22"/>
        </w:rPr>
        <w:t>n</w:t>
      </w:r>
      <w:r w:rsidRPr="00CF536C">
        <w:rPr>
          <w:rFonts w:ascii="Times New Roman" w:hAnsi="Times New Roman" w:cs="Times New Roman"/>
          <w:color w:val="000000" w:themeColor="text1"/>
          <w:sz w:val="22"/>
          <w:szCs w:val="22"/>
        </w:rPr>
        <w:t xml:space="preserve"> = 291,451).</w:t>
      </w:r>
    </w:p>
    <w:p w14:paraId="05424110" w14:textId="77777777" w:rsidR="007F3ECB" w:rsidRPr="00CF536C" w:rsidRDefault="007F3ECB" w:rsidP="007F3ECB">
      <w:pPr>
        <w:spacing w:before="120" w:line="276" w:lineRule="auto"/>
        <w:rPr>
          <w:bCs/>
          <w:color w:val="000000" w:themeColor="text1"/>
          <w:lang w:val="en-US"/>
        </w:rPr>
      </w:pPr>
      <w:r w:rsidRPr="00CF536C">
        <w:rPr>
          <w:color w:val="000000" w:themeColor="text1"/>
          <w:sz w:val="22"/>
          <w:szCs w:val="22"/>
          <w:lang w:val="en-US"/>
        </w:rPr>
        <w:t xml:space="preserve">The scenario analysis considers </w:t>
      </w:r>
      <w:r w:rsidRPr="00CF536C">
        <w:rPr>
          <w:rFonts w:eastAsiaTheme="majorEastAsia"/>
          <w:bCs/>
          <w:color w:val="000000" w:themeColor="text1"/>
          <w:sz w:val="22"/>
          <w:szCs w:val="22"/>
          <w:lang w:val="en-US" w:eastAsia="ar-SA"/>
        </w:rPr>
        <w:t xml:space="preserve">incidence rates for HZ derived from a recent burden-of-disease study conducted in the Portuguese population </w:t>
      </w:r>
      <w:r w:rsidRPr="00CF536C">
        <w:rPr>
          <w:color w:val="000000" w:themeColor="text1"/>
          <w:sz w:val="22"/>
          <w:szCs w:val="22"/>
        </w:rPr>
        <w:fldChar w:fldCharType="begin"/>
      </w:r>
      <w:r w:rsidRPr="00CF536C">
        <w:rPr>
          <w:color w:val="000000" w:themeColor="text1"/>
          <w:sz w:val="22"/>
          <w:szCs w:val="22"/>
        </w:rPr>
        <w:instrText xml:space="preserve"> ADDIN EN.CITE &lt;EndNote&gt;&lt;Cite ExcludeAuth="1" ExcludeYear="1"&gt;&lt;RecNum&gt;106&lt;/RecNum&gt;&lt;DisplayText&gt;[5]&lt;/DisplayText&gt;&lt;record&gt;&lt;rec-number&gt;106&lt;/rec-number&gt;&lt;foreign-keys&gt;&lt;key app="EN" db-id="zsasps0ztaxwr9e0rt3xss9qsweae9r0w5f9" timestamp="1741519663"&gt;106&lt;/key&gt;&lt;/foreign-keys&gt;&lt;ref-type name="Journal Article"&gt;17&lt;/ref-type&gt;&lt;contributors&gt;&lt;/contributors&gt;&lt;titles&gt;&lt;title&gt;Silva F, Castanheira RC, Zarkadoulas E, Figueira D, Bulhosa C, Borges M, et al. Landscape of Herpes Zoster Infections in Portugal. Presented at the 1st annual meeting of the Portuguese Association of General and Family Medicine (APMGF); November 21–23, 2024, Fátima, Portugal.&lt;/title&gt;&lt;/titles&gt;&lt;dates&gt;&lt;/dates&gt;&lt;urls&gt;&lt;/urls&gt;&lt;/record&gt;&lt;/Cite&gt;&lt;/EndNote&gt;</w:instrText>
      </w:r>
      <w:r w:rsidRPr="00CF536C">
        <w:rPr>
          <w:color w:val="000000" w:themeColor="text1"/>
          <w:sz w:val="22"/>
          <w:szCs w:val="22"/>
        </w:rPr>
        <w:fldChar w:fldCharType="separate"/>
      </w:r>
      <w:r w:rsidRPr="00CF536C">
        <w:rPr>
          <w:noProof/>
          <w:color w:val="000000" w:themeColor="text1"/>
          <w:sz w:val="22"/>
          <w:szCs w:val="22"/>
        </w:rPr>
        <w:t>[5]</w:t>
      </w:r>
      <w:r w:rsidRPr="00CF536C">
        <w:rPr>
          <w:color w:val="000000" w:themeColor="text1"/>
          <w:sz w:val="22"/>
          <w:szCs w:val="22"/>
        </w:rPr>
        <w:fldChar w:fldCharType="end"/>
      </w:r>
      <w:r w:rsidRPr="00CF536C">
        <w:rPr>
          <w:color w:val="000000" w:themeColor="text1"/>
          <w:sz w:val="22"/>
          <w:szCs w:val="22"/>
        </w:rPr>
        <w:t>.</w:t>
      </w:r>
    </w:p>
    <w:p w14:paraId="59C6B157" w14:textId="77777777" w:rsidR="007F3ECB" w:rsidRPr="00CF536C" w:rsidRDefault="007F3ECB" w:rsidP="007F3ECB">
      <w:pPr>
        <w:pStyle w:val="tabfignote"/>
        <w:spacing w:line="360" w:lineRule="auto"/>
        <w:jc w:val="both"/>
        <w:rPr>
          <w:rFonts w:ascii="Times New Roman" w:hAnsi="Times New Roman" w:cs="Times New Roman"/>
          <w:color w:val="000000" w:themeColor="text1"/>
          <w:sz w:val="22"/>
          <w:szCs w:val="22"/>
        </w:rPr>
      </w:pPr>
      <w:r w:rsidRPr="00CF536C">
        <w:rPr>
          <w:rFonts w:ascii="Times New Roman" w:hAnsi="Times New Roman" w:cs="Times New Roman"/>
          <w:color w:val="000000" w:themeColor="text1"/>
          <w:sz w:val="22"/>
          <w:szCs w:val="22"/>
        </w:rPr>
        <w:t xml:space="preserve"> All costs and QALYs were discounted at 4% per year. Values in the table were rounded, so differences do not always sum.</w:t>
      </w:r>
    </w:p>
    <w:p w14:paraId="3E339E96" w14:textId="6E1FCFAF" w:rsidR="007F3ECB" w:rsidRPr="00CF536C" w:rsidRDefault="007F3ECB" w:rsidP="007F3ECB">
      <w:pPr>
        <w:spacing w:line="360" w:lineRule="auto"/>
        <w:rPr>
          <w:bCs/>
          <w:color w:val="000000" w:themeColor="text1"/>
          <w:sz w:val="22"/>
          <w:szCs w:val="22"/>
          <w:lang w:val="en-US"/>
        </w:rPr>
      </w:pPr>
      <w:r w:rsidRPr="00CF536C">
        <w:rPr>
          <w:i/>
          <w:color w:val="000000" w:themeColor="text1"/>
          <w:sz w:val="22"/>
          <w:szCs w:val="22"/>
          <w:lang w:val="en-US"/>
        </w:rPr>
        <w:t xml:space="preserve">HZ </w:t>
      </w:r>
      <w:r w:rsidRPr="00CF536C">
        <w:rPr>
          <w:color w:val="000000" w:themeColor="text1"/>
          <w:sz w:val="22"/>
          <w:szCs w:val="22"/>
          <w:lang w:val="en-US"/>
        </w:rPr>
        <w:t xml:space="preserve">herpes zoster, </w:t>
      </w:r>
      <w:r w:rsidRPr="00CF536C">
        <w:rPr>
          <w:i/>
          <w:iCs/>
          <w:color w:val="000000" w:themeColor="text1"/>
          <w:sz w:val="22"/>
          <w:szCs w:val="22"/>
          <w:lang w:val="en-US"/>
        </w:rPr>
        <w:t>ICER</w:t>
      </w:r>
      <w:r w:rsidRPr="00CF536C">
        <w:rPr>
          <w:color w:val="000000" w:themeColor="text1"/>
          <w:sz w:val="22"/>
          <w:szCs w:val="22"/>
          <w:lang w:val="en-US"/>
        </w:rPr>
        <w:t xml:space="preserve"> incremental cost-effectiveness ratio</w:t>
      </w:r>
      <w:r w:rsidRPr="00CF536C">
        <w:rPr>
          <w:i/>
          <w:color w:val="000000" w:themeColor="text1"/>
          <w:sz w:val="22"/>
          <w:szCs w:val="22"/>
          <w:lang w:val="en-US"/>
        </w:rPr>
        <w:t xml:space="preserve">, PHN </w:t>
      </w:r>
      <w:r w:rsidRPr="00CF536C">
        <w:rPr>
          <w:color w:val="000000" w:themeColor="text1"/>
          <w:sz w:val="22"/>
          <w:szCs w:val="22"/>
          <w:lang w:val="en-US"/>
        </w:rPr>
        <w:t xml:space="preserve">post-herpetic neuralgia, </w:t>
      </w:r>
      <w:r w:rsidRPr="00CF536C">
        <w:rPr>
          <w:i/>
          <w:color w:val="000000" w:themeColor="text1"/>
          <w:sz w:val="22"/>
          <w:szCs w:val="22"/>
          <w:lang w:val="en-US"/>
        </w:rPr>
        <w:t>QALY</w:t>
      </w:r>
      <w:r w:rsidRPr="00CF536C">
        <w:rPr>
          <w:color w:val="000000" w:themeColor="text1"/>
          <w:sz w:val="22"/>
          <w:szCs w:val="22"/>
          <w:lang w:val="en-US"/>
        </w:rPr>
        <w:t xml:space="preserve"> quality-adjusted life year, </w:t>
      </w:r>
      <w:r w:rsidRPr="00CF536C">
        <w:rPr>
          <w:bCs/>
          <w:i/>
          <w:iCs/>
          <w:color w:val="000000" w:themeColor="text1"/>
          <w:sz w:val="22"/>
          <w:szCs w:val="22"/>
          <w:lang w:val="en-US"/>
        </w:rPr>
        <w:t>RZV</w:t>
      </w:r>
      <w:r w:rsidRPr="00CF536C">
        <w:rPr>
          <w:bCs/>
          <w:color w:val="000000" w:themeColor="text1"/>
          <w:sz w:val="22"/>
          <w:szCs w:val="22"/>
          <w:lang w:val="en-US"/>
        </w:rPr>
        <w:t xml:space="preserve"> recombinant zoster vaccine</w:t>
      </w:r>
    </w:p>
    <w:p w14:paraId="5BE9A964" w14:textId="19087F27" w:rsidR="0088171E" w:rsidRPr="00CF536C" w:rsidRDefault="007D2F0D">
      <w:pPr>
        <w:rPr>
          <w:bCs/>
          <w:color w:val="000000" w:themeColor="text1"/>
          <w:sz w:val="22"/>
          <w:szCs w:val="22"/>
          <w:lang w:val="en-US"/>
        </w:rPr>
      </w:pPr>
      <w:r w:rsidRPr="00CF536C">
        <w:rPr>
          <w:color w:val="000000" w:themeColor="text1"/>
          <w:sz w:val="22"/>
          <w:szCs w:val="22"/>
          <w:lang w:val="en-US"/>
        </w:rPr>
        <w:br w:type="page"/>
      </w:r>
    </w:p>
    <w:p w14:paraId="32EB4EAF" w14:textId="77777777" w:rsidR="007D2F0D" w:rsidRPr="00CF536C" w:rsidRDefault="007D2F0D" w:rsidP="00241FD0">
      <w:pPr>
        <w:pStyle w:val="Heading2"/>
        <w:spacing w:after="40" w:line="360" w:lineRule="auto"/>
        <w:rPr>
          <w:color w:val="000000" w:themeColor="text1"/>
          <w:sz w:val="24"/>
          <w:szCs w:val="24"/>
        </w:rPr>
        <w:sectPr w:rsidR="007D2F0D" w:rsidRPr="00CF536C" w:rsidSect="00CF536C">
          <w:type w:val="continuous"/>
          <w:pgSz w:w="16838" w:h="11906" w:orient="landscape"/>
          <w:pgMar w:top="1440" w:right="1440" w:bottom="1440" w:left="1440" w:header="708" w:footer="708" w:gutter="0"/>
          <w:cols w:space="708"/>
          <w:docGrid w:linePitch="360"/>
        </w:sectPr>
      </w:pPr>
    </w:p>
    <w:p w14:paraId="4662BEA4" w14:textId="77777777" w:rsidR="007A6E0F" w:rsidRPr="00CF536C" w:rsidRDefault="007A6E0F" w:rsidP="007A6E0F">
      <w:pPr>
        <w:pStyle w:val="Heading1"/>
        <w:rPr>
          <w:rStyle w:val="Hyperlink"/>
          <w:b w:val="0"/>
          <w:color w:val="000000" w:themeColor="text1"/>
          <w:szCs w:val="24"/>
          <w:u w:val="none"/>
          <w:lang w:val="pt-PT" w:eastAsia="en-GB"/>
        </w:rPr>
      </w:pPr>
      <w:bookmarkStart w:id="4" w:name="_Toc216524901"/>
      <w:r w:rsidRPr="00CF536C">
        <w:rPr>
          <w:color w:val="000000" w:themeColor="text1"/>
          <w:lang w:val="pt-PT"/>
        </w:rPr>
        <w:t>References</w:t>
      </w:r>
      <w:bookmarkEnd w:id="4"/>
    </w:p>
    <w:p w14:paraId="63C1C3B8" w14:textId="05347CDD" w:rsidR="00DB1BD6" w:rsidRPr="00CF536C" w:rsidRDefault="007A6E0F" w:rsidP="00DB1BD6">
      <w:pPr>
        <w:pStyle w:val="EndNoteBibliography"/>
        <w:rPr>
          <w:noProof/>
          <w:lang w:val="es-ES"/>
        </w:rPr>
      </w:pPr>
      <w:r w:rsidRPr="00CF536C">
        <w:rPr>
          <w:rFonts w:ascii="Calibri" w:hAnsi="Calibri"/>
          <w:color w:val="000000" w:themeColor="text1"/>
          <w:sz w:val="24"/>
          <w:szCs w:val="24"/>
        </w:rPr>
        <w:fldChar w:fldCharType="begin"/>
      </w:r>
      <w:r w:rsidRPr="00CF536C">
        <w:rPr>
          <w:rFonts w:ascii="Calibri" w:hAnsi="Calibri"/>
          <w:color w:val="000000" w:themeColor="text1"/>
          <w:sz w:val="24"/>
          <w:szCs w:val="24"/>
          <w:lang w:val="pt-PT"/>
        </w:rPr>
        <w:instrText xml:space="preserve"> ADDIN EN.REFLIST </w:instrText>
      </w:r>
      <w:r w:rsidRPr="00CF536C">
        <w:rPr>
          <w:rFonts w:ascii="Calibri" w:hAnsi="Calibri"/>
          <w:color w:val="000000" w:themeColor="text1"/>
          <w:sz w:val="24"/>
          <w:szCs w:val="24"/>
        </w:rPr>
        <w:fldChar w:fldCharType="separate"/>
      </w:r>
      <w:r w:rsidR="00DB1BD6" w:rsidRPr="00CF536C">
        <w:rPr>
          <w:noProof/>
          <w:lang w:val="pt-PT"/>
        </w:rPr>
        <w:t>1.</w:t>
      </w:r>
      <w:r w:rsidR="00DB1BD6" w:rsidRPr="00CF536C">
        <w:rPr>
          <w:noProof/>
          <w:lang w:val="pt-PT"/>
        </w:rPr>
        <w:tab/>
        <w:t xml:space="preserve">Instituto Nacional de Estatística. Portuguese life tables 2019-2021; Lisboa, Portugal: Instituto Nacional de Estatística; 2024. </w:t>
      </w:r>
      <w:hyperlink r:id="rId15" w:history="1">
        <w:r w:rsidR="00DB1BD6" w:rsidRPr="00CF536C">
          <w:rPr>
            <w:rStyle w:val="Hyperlink"/>
            <w:noProof/>
            <w:lang w:val="pt-PT"/>
          </w:rPr>
          <w:t>https://www.ine.pt/xportal/xmain?xpid=INE&amp;xpgid=ine_indicadores&amp;indOcorrCod=0004160&amp;&amp;contexto=bd&amp;selTab=tab2</w:t>
        </w:r>
      </w:hyperlink>
      <w:r w:rsidR="00DB1BD6" w:rsidRPr="00CF536C">
        <w:rPr>
          <w:noProof/>
          <w:lang w:val="pt-PT"/>
        </w:rPr>
        <w:t xml:space="preserve"> </w:t>
      </w:r>
      <w:r w:rsidR="00DB1BD6" w:rsidRPr="00CF536C">
        <w:rPr>
          <w:noProof/>
          <w:lang w:val="es-ES"/>
        </w:rPr>
        <w:t>Accessed 7 July 2024.</w:t>
      </w:r>
    </w:p>
    <w:p w14:paraId="3D1F2EAA" w14:textId="34BB3820" w:rsidR="00DB1BD6" w:rsidRPr="00CF536C" w:rsidRDefault="00DB1BD6" w:rsidP="00DB1BD6">
      <w:pPr>
        <w:pStyle w:val="EndNoteBibliography"/>
        <w:rPr>
          <w:noProof/>
        </w:rPr>
      </w:pPr>
      <w:r w:rsidRPr="00CF536C">
        <w:rPr>
          <w:noProof/>
          <w:lang w:val="es-ES"/>
        </w:rPr>
        <w:t>2.</w:t>
      </w:r>
      <w:r w:rsidRPr="00CF536C">
        <w:rPr>
          <w:noProof/>
          <w:lang w:val="es-ES"/>
        </w:rPr>
        <w:tab/>
        <w:t xml:space="preserve">Instituto Nacional de Estadística. Estadísticas de defunciones según la causa de muerte. Resultados detallados. Año 2020. Causa básica de defunción. Resultados nacionales. Madrid, Spain: Instituto Nacional de Estadística; 2020. </w:t>
      </w:r>
      <w:hyperlink r:id="rId16" w:history="1">
        <w:r w:rsidRPr="00CF536C">
          <w:rPr>
            <w:rStyle w:val="Hyperlink"/>
            <w:noProof/>
            <w:lang w:val="es-ES"/>
          </w:rPr>
          <w:t>https://www.ine.es/jaxi/Tabla.htm?tpx=49913&amp;L=0</w:t>
        </w:r>
      </w:hyperlink>
      <w:r w:rsidRPr="00CF536C">
        <w:rPr>
          <w:noProof/>
          <w:lang w:val="es-ES"/>
        </w:rPr>
        <w:t xml:space="preserve"> </w:t>
      </w:r>
      <w:r w:rsidRPr="00CF536C">
        <w:rPr>
          <w:noProof/>
        </w:rPr>
        <w:t>Accessed 7 July 2024.</w:t>
      </w:r>
    </w:p>
    <w:p w14:paraId="445109E8" w14:textId="67E824CD" w:rsidR="00DB1BD6" w:rsidRPr="00CF536C" w:rsidRDefault="00DB1BD6" w:rsidP="00DB1BD6">
      <w:pPr>
        <w:pStyle w:val="EndNoteBibliography"/>
        <w:rPr>
          <w:noProof/>
          <w:lang w:val="pt-PT"/>
        </w:rPr>
      </w:pPr>
      <w:r w:rsidRPr="00CF536C">
        <w:rPr>
          <w:noProof/>
        </w:rPr>
        <w:t>3.</w:t>
      </w:r>
      <w:r w:rsidRPr="00CF536C">
        <w:rPr>
          <w:noProof/>
        </w:rPr>
        <w:tab/>
        <w:t xml:space="preserve">Garcia A, Vallejo-Aparicio LA, Cambronero Martinez R. The public health impact of recombinant herpes zoster vaccination in adults over 50 years in Spain. </w:t>
      </w:r>
      <w:r w:rsidRPr="00CF536C">
        <w:rPr>
          <w:noProof/>
          <w:lang w:val="pt-PT"/>
        </w:rPr>
        <w:t xml:space="preserve">Hum Vaccin Immunother. 2024;20(1):2366353. </w:t>
      </w:r>
      <w:hyperlink r:id="rId17" w:history="1">
        <w:r w:rsidRPr="00CF536C">
          <w:rPr>
            <w:rStyle w:val="Hyperlink"/>
            <w:noProof/>
            <w:lang w:val="pt-PT"/>
          </w:rPr>
          <w:t>https://doi.org/10.1080/21645515.2024.2366353</w:t>
        </w:r>
      </w:hyperlink>
      <w:r w:rsidRPr="00CF536C">
        <w:rPr>
          <w:noProof/>
          <w:lang w:val="pt-PT"/>
        </w:rPr>
        <w:t>.</w:t>
      </w:r>
    </w:p>
    <w:p w14:paraId="28CD822E" w14:textId="0983EFCB" w:rsidR="00DB1BD6" w:rsidRPr="00CF536C" w:rsidRDefault="00DB1BD6" w:rsidP="00DB1BD6">
      <w:pPr>
        <w:pStyle w:val="EndNoteBibliography"/>
        <w:rPr>
          <w:noProof/>
          <w:lang w:val="pt-PT"/>
        </w:rPr>
      </w:pPr>
      <w:r w:rsidRPr="00CF536C">
        <w:rPr>
          <w:noProof/>
          <w:lang w:val="pt-PT"/>
        </w:rPr>
        <w:t>4.</w:t>
      </w:r>
      <w:r w:rsidRPr="00CF536C">
        <w:rPr>
          <w:noProof/>
          <w:lang w:val="pt-PT"/>
        </w:rPr>
        <w:tab/>
        <w:t>Instituto Nacional de Estatística. População residente (Série longa, início 1991 - N.</w:t>
      </w:r>
      <w:r w:rsidRPr="00CF536C">
        <w:rPr>
          <w:noProof/>
          <w:vertAlign w:val="superscript"/>
          <w:lang w:val="pt-PT"/>
        </w:rPr>
        <w:t>o</w:t>
      </w:r>
      <w:r w:rsidRPr="00CF536C">
        <w:rPr>
          <w:noProof/>
          <w:lang w:val="pt-PT"/>
        </w:rPr>
        <w:t xml:space="preserve">) por Local de residência (NUTS - 2013), Sexo e Idade; Anual. Lisboa, Portugal: Instituto Nacional de Estatística; 2024. </w:t>
      </w:r>
      <w:hyperlink r:id="rId18" w:history="1">
        <w:r w:rsidRPr="00CF536C">
          <w:rPr>
            <w:rStyle w:val="Hyperlink"/>
            <w:noProof/>
            <w:lang w:val="pt-PT"/>
          </w:rPr>
          <w:t>https://www.ine.pt/xportal/xmain?xpid=INE&amp;xpgid=ine_indicadores&amp;indOcorrCod=0008273&amp;xlang=pt</w:t>
        </w:r>
      </w:hyperlink>
      <w:r w:rsidRPr="00CF536C">
        <w:rPr>
          <w:noProof/>
          <w:lang w:val="pt-PT"/>
        </w:rPr>
        <w:t xml:space="preserve"> Accessed 7 July 2024.</w:t>
      </w:r>
    </w:p>
    <w:p w14:paraId="51029153" w14:textId="77777777" w:rsidR="00DB1BD6" w:rsidRPr="00CF536C" w:rsidRDefault="00DB1BD6" w:rsidP="00DB1BD6">
      <w:pPr>
        <w:pStyle w:val="EndNoteBibliography"/>
        <w:rPr>
          <w:noProof/>
        </w:rPr>
      </w:pPr>
      <w:r w:rsidRPr="00CF536C">
        <w:rPr>
          <w:noProof/>
          <w:lang w:val="pt-PT"/>
        </w:rPr>
        <w:t>5.</w:t>
      </w:r>
      <w:r w:rsidRPr="00CF536C">
        <w:rPr>
          <w:noProof/>
          <w:lang w:val="pt-PT"/>
        </w:rPr>
        <w:tab/>
        <w:t xml:space="preserve">Silva F, Castanheira RC, Zarkadoulas E, Figueira D, Bulhosa C, Borges M, et al. </w:t>
      </w:r>
      <w:r w:rsidRPr="00CF536C">
        <w:rPr>
          <w:noProof/>
        </w:rPr>
        <w:t>Landscape of Herpes Zoster Infections in Portugal. Presented at the 1st annual meeting of the Portuguese Association of General and Family Medicine (APMGF); November 21–23, 2024, Fátima, Portugal.</w:t>
      </w:r>
    </w:p>
    <w:p w14:paraId="05A946E3" w14:textId="1F27B2C9" w:rsidR="00556044" w:rsidRPr="00D919B9" w:rsidRDefault="007A6E0F">
      <w:pPr>
        <w:pStyle w:val="TableFootnotesAbbreviations"/>
        <w:spacing w:before="0" w:line="480" w:lineRule="auto"/>
        <w:rPr>
          <w:rFonts w:ascii="Calibri" w:hAnsi="Calibri"/>
          <w:sz w:val="24"/>
          <w:szCs w:val="24"/>
        </w:rPr>
      </w:pPr>
      <w:r w:rsidRPr="00CF536C">
        <w:rPr>
          <w:rFonts w:ascii="Calibri" w:hAnsi="Calibri"/>
          <w:color w:val="000000" w:themeColor="text1"/>
          <w:sz w:val="24"/>
          <w:szCs w:val="24"/>
        </w:rPr>
        <w:fldChar w:fldCharType="end"/>
      </w:r>
      <w:bookmarkStart w:id="5" w:name="_GoBack"/>
      <w:bookmarkEnd w:id="5"/>
    </w:p>
    <w:sectPr w:rsidR="00556044" w:rsidRPr="00D919B9" w:rsidSect="00CF536C">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70AD7" w14:textId="77777777" w:rsidR="00F345AD" w:rsidRDefault="00F345AD">
      <w:r>
        <w:separator/>
      </w:r>
    </w:p>
  </w:endnote>
  <w:endnote w:type="continuationSeparator" w:id="0">
    <w:p w14:paraId="4BD64D36" w14:textId="77777777" w:rsidR="00F345AD" w:rsidRDefault="00F345AD">
      <w:r>
        <w:continuationSeparator/>
      </w:r>
    </w:p>
  </w:endnote>
  <w:endnote w:type="continuationNotice" w:id="1">
    <w:p w14:paraId="44CEC2D4" w14:textId="77777777" w:rsidR="00F345AD" w:rsidRDefault="00F345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33728468"/>
      <w:docPartObj>
        <w:docPartGallery w:val="Page Numbers (Bottom of Page)"/>
        <w:docPartUnique/>
      </w:docPartObj>
    </w:sdtPr>
    <w:sdtEndPr>
      <w:rPr>
        <w:rStyle w:val="PageNumber"/>
      </w:rPr>
    </w:sdtEndPr>
    <w:sdtContent>
      <w:p w14:paraId="52442657" w14:textId="0D0C30FC" w:rsidR="0095197E" w:rsidRDefault="0095197E" w:rsidP="005D63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8DAD08" w14:textId="77777777" w:rsidR="0095197E" w:rsidRDefault="0095197E" w:rsidP="0095197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07628442"/>
      <w:docPartObj>
        <w:docPartGallery w:val="Page Numbers (Bottom of Page)"/>
        <w:docPartUnique/>
      </w:docPartObj>
    </w:sdtPr>
    <w:sdtEndPr>
      <w:rPr>
        <w:rStyle w:val="PageNumber"/>
      </w:rPr>
    </w:sdtEndPr>
    <w:sdtContent>
      <w:p w14:paraId="633EF0F1" w14:textId="47BF41DE" w:rsidR="0095197E" w:rsidRDefault="0095197E" w:rsidP="005D63C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623DC10" w14:textId="38EAEF3A" w:rsidR="0082550A" w:rsidRPr="00663A49" w:rsidRDefault="0082550A" w:rsidP="00156AF3">
    <w:pPr>
      <w:pStyle w:val="Footer"/>
      <w:ind w:right="360"/>
      <w:rPr>
        <w:sz w:val="15"/>
        <w:szCs w:val="1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C24D9" w14:textId="77777777" w:rsidR="00F345AD" w:rsidRDefault="00F345AD">
      <w:r>
        <w:separator/>
      </w:r>
    </w:p>
  </w:footnote>
  <w:footnote w:type="continuationSeparator" w:id="0">
    <w:p w14:paraId="14D8AA1B" w14:textId="77777777" w:rsidR="00F345AD" w:rsidRDefault="00F345AD">
      <w:r>
        <w:continuationSeparator/>
      </w:r>
    </w:p>
  </w:footnote>
  <w:footnote w:type="continuationNotice" w:id="1">
    <w:p w14:paraId="16321EAD" w14:textId="77777777" w:rsidR="00F345AD" w:rsidRDefault="00F345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9C446" w14:textId="51D6CFB3" w:rsidR="0082550A" w:rsidRDefault="0082550A" w:rsidP="0082550A">
    <w:pPr>
      <w:pStyle w:val="Header"/>
      <w:tabs>
        <w:tab w:val="left" w:pos="1643"/>
      </w:tabs>
    </w:pPr>
    <w:r w:rsidRPr="0082550A">
      <w:t xml:space="preserve"> </w:t>
    </w:r>
  </w:p>
  <w:p w14:paraId="0116F722" w14:textId="4C0228AD" w:rsidR="0014465F" w:rsidRDefault="0014465F" w:rsidP="00F7317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A683FCB"/>
    <w:multiLevelType w:val="hybridMultilevel"/>
    <w:tmpl w:val="FABA4542"/>
    <w:lvl w:ilvl="0" w:tplc="888E53A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000E47"/>
    <w:multiLevelType w:val="multilevel"/>
    <w:tmpl w:val="B99ADF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E5654DD"/>
    <w:multiLevelType w:val="multilevel"/>
    <w:tmpl w:val="B114BE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F11FAA"/>
    <w:multiLevelType w:val="hybridMultilevel"/>
    <w:tmpl w:val="0B7A8C64"/>
    <w:lvl w:ilvl="0" w:tplc="4F9A414C">
      <w:start w:val="1"/>
      <w:numFmt w:val="decimal"/>
      <w:pStyle w:val="TableTitle"/>
      <w:lvlText w:val="Table %1."/>
      <w:lvlJc w:val="left"/>
      <w:pPr>
        <w:tabs>
          <w:tab w:val="num" w:pos="7920"/>
        </w:tabs>
        <w:ind w:left="828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PharmacoEconomi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zsasps0ztaxwr9e0rt3xss9qsweae9r0w5f9&quot;&gt;MS_HE_RZV CEA_PORT&lt;record-ids&gt;&lt;item&gt;28&lt;/item&gt;&lt;item&gt;55&lt;/item&gt;&lt;item&gt;57&lt;/item&gt;&lt;item&gt;106&lt;/item&gt;&lt;item&gt;107&lt;/item&gt;&lt;/record-ids&gt;&lt;/item&gt;&lt;/Libraries&gt;"/>
  </w:docVars>
  <w:rsids>
    <w:rsidRoot w:val="00B47730"/>
    <w:rsid w:val="000010FA"/>
    <w:rsid w:val="000024B6"/>
    <w:rsid w:val="00011DDC"/>
    <w:rsid w:val="00012A75"/>
    <w:rsid w:val="00013B95"/>
    <w:rsid w:val="00014BE1"/>
    <w:rsid w:val="000151E0"/>
    <w:rsid w:val="00017663"/>
    <w:rsid w:val="00017ECE"/>
    <w:rsid w:val="00020D61"/>
    <w:rsid w:val="000225E1"/>
    <w:rsid w:val="00025623"/>
    <w:rsid w:val="00026595"/>
    <w:rsid w:val="00027AB4"/>
    <w:rsid w:val="00032E24"/>
    <w:rsid w:val="00034616"/>
    <w:rsid w:val="0004076E"/>
    <w:rsid w:val="00043156"/>
    <w:rsid w:val="00047262"/>
    <w:rsid w:val="000478EF"/>
    <w:rsid w:val="00051F45"/>
    <w:rsid w:val="0006063C"/>
    <w:rsid w:val="00060ACF"/>
    <w:rsid w:val="0006145C"/>
    <w:rsid w:val="00062D31"/>
    <w:rsid w:val="000635DA"/>
    <w:rsid w:val="00063CB9"/>
    <w:rsid w:val="00064C77"/>
    <w:rsid w:val="00065D44"/>
    <w:rsid w:val="0007082F"/>
    <w:rsid w:val="0007128E"/>
    <w:rsid w:val="00073A9B"/>
    <w:rsid w:val="00076D0D"/>
    <w:rsid w:val="00085C05"/>
    <w:rsid w:val="0008690B"/>
    <w:rsid w:val="0009183C"/>
    <w:rsid w:val="00094ED1"/>
    <w:rsid w:val="00095FEA"/>
    <w:rsid w:val="000B3CC6"/>
    <w:rsid w:val="000C2C6B"/>
    <w:rsid w:val="000C36EB"/>
    <w:rsid w:val="000C7EAF"/>
    <w:rsid w:val="000D0112"/>
    <w:rsid w:val="000D3377"/>
    <w:rsid w:val="000D44D0"/>
    <w:rsid w:val="000E00D2"/>
    <w:rsid w:val="000E25A8"/>
    <w:rsid w:val="000E5371"/>
    <w:rsid w:val="000F20D3"/>
    <w:rsid w:val="000F243E"/>
    <w:rsid w:val="000F4616"/>
    <w:rsid w:val="000F572D"/>
    <w:rsid w:val="000F6829"/>
    <w:rsid w:val="000F699E"/>
    <w:rsid w:val="000F72E9"/>
    <w:rsid w:val="001056C9"/>
    <w:rsid w:val="0010625B"/>
    <w:rsid w:val="00110E65"/>
    <w:rsid w:val="00111D2F"/>
    <w:rsid w:val="001121C2"/>
    <w:rsid w:val="00112F7F"/>
    <w:rsid w:val="001160DC"/>
    <w:rsid w:val="00123B02"/>
    <w:rsid w:val="001248B8"/>
    <w:rsid w:val="00126D76"/>
    <w:rsid w:val="00127AD3"/>
    <w:rsid w:val="00136293"/>
    <w:rsid w:val="0014311A"/>
    <w:rsid w:val="0014465F"/>
    <w:rsid w:val="00145F29"/>
    <w:rsid w:val="00146B47"/>
    <w:rsid w:val="0015074B"/>
    <w:rsid w:val="00152344"/>
    <w:rsid w:val="00152E67"/>
    <w:rsid w:val="00153265"/>
    <w:rsid w:val="001532D9"/>
    <w:rsid w:val="00156AF3"/>
    <w:rsid w:val="001612DE"/>
    <w:rsid w:val="00161BB8"/>
    <w:rsid w:val="00162F44"/>
    <w:rsid w:val="00163844"/>
    <w:rsid w:val="00163A20"/>
    <w:rsid w:val="0016610E"/>
    <w:rsid w:val="00172714"/>
    <w:rsid w:val="00172E9F"/>
    <w:rsid w:val="00173C27"/>
    <w:rsid w:val="00181C4A"/>
    <w:rsid w:val="001853F1"/>
    <w:rsid w:val="00191E31"/>
    <w:rsid w:val="001933AA"/>
    <w:rsid w:val="001967AC"/>
    <w:rsid w:val="00196EB0"/>
    <w:rsid w:val="001B098F"/>
    <w:rsid w:val="001B2B91"/>
    <w:rsid w:val="001B32E9"/>
    <w:rsid w:val="001B3E36"/>
    <w:rsid w:val="001B7671"/>
    <w:rsid w:val="001C0AEA"/>
    <w:rsid w:val="001C21CE"/>
    <w:rsid w:val="001C4545"/>
    <w:rsid w:val="001C70CB"/>
    <w:rsid w:val="001D2C20"/>
    <w:rsid w:val="001D40AE"/>
    <w:rsid w:val="001D4CF3"/>
    <w:rsid w:val="001D504D"/>
    <w:rsid w:val="001D57AB"/>
    <w:rsid w:val="001D7D00"/>
    <w:rsid w:val="001E053E"/>
    <w:rsid w:val="001E1835"/>
    <w:rsid w:val="001E2210"/>
    <w:rsid w:val="001E2909"/>
    <w:rsid w:val="001F092A"/>
    <w:rsid w:val="001F1DB0"/>
    <w:rsid w:val="001F28E8"/>
    <w:rsid w:val="001F3EA2"/>
    <w:rsid w:val="001F4B9C"/>
    <w:rsid w:val="001F5AA2"/>
    <w:rsid w:val="001F6324"/>
    <w:rsid w:val="001F7697"/>
    <w:rsid w:val="00203EEB"/>
    <w:rsid w:val="0020590F"/>
    <w:rsid w:val="00207C44"/>
    <w:rsid w:val="00210DFD"/>
    <w:rsid w:val="00214DAB"/>
    <w:rsid w:val="00214ED6"/>
    <w:rsid w:val="00215641"/>
    <w:rsid w:val="00215FBB"/>
    <w:rsid w:val="002207E4"/>
    <w:rsid w:val="00220EB0"/>
    <w:rsid w:val="00227566"/>
    <w:rsid w:val="00227B15"/>
    <w:rsid w:val="00232F18"/>
    <w:rsid w:val="002335A1"/>
    <w:rsid w:val="00233CE8"/>
    <w:rsid w:val="0023695D"/>
    <w:rsid w:val="00241232"/>
    <w:rsid w:val="00241FD0"/>
    <w:rsid w:val="0024456E"/>
    <w:rsid w:val="00244A71"/>
    <w:rsid w:val="00246E16"/>
    <w:rsid w:val="00256782"/>
    <w:rsid w:val="00256994"/>
    <w:rsid w:val="00257A73"/>
    <w:rsid w:val="00274BC0"/>
    <w:rsid w:val="00277E7B"/>
    <w:rsid w:val="00280EA6"/>
    <w:rsid w:val="00284565"/>
    <w:rsid w:val="00284F3D"/>
    <w:rsid w:val="00286374"/>
    <w:rsid w:val="002866DC"/>
    <w:rsid w:val="0028787C"/>
    <w:rsid w:val="002953D3"/>
    <w:rsid w:val="0029574B"/>
    <w:rsid w:val="0029639D"/>
    <w:rsid w:val="002A350A"/>
    <w:rsid w:val="002A44FA"/>
    <w:rsid w:val="002A4AAB"/>
    <w:rsid w:val="002A5342"/>
    <w:rsid w:val="002B05A9"/>
    <w:rsid w:val="002B322C"/>
    <w:rsid w:val="002B4CFF"/>
    <w:rsid w:val="002B67F2"/>
    <w:rsid w:val="002B7DCF"/>
    <w:rsid w:val="002C05D4"/>
    <w:rsid w:val="002C3B2F"/>
    <w:rsid w:val="002C492A"/>
    <w:rsid w:val="002C7323"/>
    <w:rsid w:val="002C7EDD"/>
    <w:rsid w:val="002D093E"/>
    <w:rsid w:val="002D0CA2"/>
    <w:rsid w:val="002D2653"/>
    <w:rsid w:val="002E0EB8"/>
    <w:rsid w:val="002E36CF"/>
    <w:rsid w:val="002E7F84"/>
    <w:rsid w:val="002F2073"/>
    <w:rsid w:val="002F22B0"/>
    <w:rsid w:val="003049AD"/>
    <w:rsid w:val="00305AC1"/>
    <w:rsid w:val="00307E02"/>
    <w:rsid w:val="003102FE"/>
    <w:rsid w:val="00312CBF"/>
    <w:rsid w:val="0031314D"/>
    <w:rsid w:val="0032201A"/>
    <w:rsid w:val="00324809"/>
    <w:rsid w:val="00324D9A"/>
    <w:rsid w:val="00324EEA"/>
    <w:rsid w:val="00324FED"/>
    <w:rsid w:val="00325893"/>
    <w:rsid w:val="0032636E"/>
    <w:rsid w:val="00326F90"/>
    <w:rsid w:val="0032727A"/>
    <w:rsid w:val="003300B5"/>
    <w:rsid w:val="00330A05"/>
    <w:rsid w:val="0033148A"/>
    <w:rsid w:val="00331A3B"/>
    <w:rsid w:val="00332C4E"/>
    <w:rsid w:val="00333194"/>
    <w:rsid w:val="00333C1F"/>
    <w:rsid w:val="00341A7A"/>
    <w:rsid w:val="003451EE"/>
    <w:rsid w:val="00345C6F"/>
    <w:rsid w:val="00350A2F"/>
    <w:rsid w:val="00352F0F"/>
    <w:rsid w:val="00356D68"/>
    <w:rsid w:val="0035747B"/>
    <w:rsid w:val="0037426D"/>
    <w:rsid w:val="00376E1D"/>
    <w:rsid w:val="00382A68"/>
    <w:rsid w:val="00383F2F"/>
    <w:rsid w:val="00385E86"/>
    <w:rsid w:val="00387D95"/>
    <w:rsid w:val="003931C9"/>
    <w:rsid w:val="00393C16"/>
    <w:rsid w:val="00397C55"/>
    <w:rsid w:val="003A0B94"/>
    <w:rsid w:val="003A1093"/>
    <w:rsid w:val="003A3BC5"/>
    <w:rsid w:val="003A7F76"/>
    <w:rsid w:val="003B1B0E"/>
    <w:rsid w:val="003B3581"/>
    <w:rsid w:val="003B4629"/>
    <w:rsid w:val="003B5C8E"/>
    <w:rsid w:val="003C52F9"/>
    <w:rsid w:val="003C5A9C"/>
    <w:rsid w:val="003C7191"/>
    <w:rsid w:val="003D0441"/>
    <w:rsid w:val="003D0BFF"/>
    <w:rsid w:val="003D5E81"/>
    <w:rsid w:val="003E3DE4"/>
    <w:rsid w:val="003E53E3"/>
    <w:rsid w:val="003E584B"/>
    <w:rsid w:val="003F3B72"/>
    <w:rsid w:val="003F3C88"/>
    <w:rsid w:val="003F4B47"/>
    <w:rsid w:val="003F531E"/>
    <w:rsid w:val="003F5A25"/>
    <w:rsid w:val="003F65AB"/>
    <w:rsid w:val="003F73AA"/>
    <w:rsid w:val="0040147D"/>
    <w:rsid w:val="00403628"/>
    <w:rsid w:val="00407822"/>
    <w:rsid w:val="004132AC"/>
    <w:rsid w:val="00415B38"/>
    <w:rsid w:val="004166A0"/>
    <w:rsid w:val="00416EDE"/>
    <w:rsid w:val="00417ECF"/>
    <w:rsid w:val="004219BC"/>
    <w:rsid w:val="00421F9B"/>
    <w:rsid w:val="004221D5"/>
    <w:rsid w:val="004243CC"/>
    <w:rsid w:val="00424C7B"/>
    <w:rsid w:val="0042500D"/>
    <w:rsid w:val="00426DD0"/>
    <w:rsid w:val="0042730C"/>
    <w:rsid w:val="0043124E"/>
    <w:rsid w:val="004340BA"/>
    <w:rsid w:val="00434C7A"/>
    <w:rsid w:val="0044217B"/>
    <w:rsid w:val="00446B60"/>
    <w:rsid w:val="004563D5"/>
    <w:rsid w:val="00456D42"/>
    <w:rsid w:val="00461D90"/>
    <w:rsid w:val="0046313F"/>
    <w:rsid w:val="00463895"/>
    <w:rsid w:val="00464243"/>
    <w:rsid w:val="00464B65"/>
    <w:rsid w:val="004670D0"/>
    <w:rsid w:val="004700E5"/>
    <w:rsid w:val="00473B66"/>
    <w:rsid w:val="004802CA"/>
    <w:rsid w:val="004820CC"/>
    <w:rsid w:val="0048214C"/>
    <w:rsid w:val="00482DB7"/>
    <w:rsid w:val="00484EE0"/>
    <w:rsid w:val="00486E0F"/>
    <w:rsid w:val="00491E22"/>
    <w:rsid w:val="00491EA2"/>
    <w:rsid w:val="004924E1"/>
    <w:rsid w:val="0049528E"/>
    <w:rsid w:val="0049540E"/>
    <w:rsid w:val="0049767E"/>
    <w:rsid w:val="004A339A"/>
    <w:rsid w:val="004A7453"/>
    <w:rsid w:val="004B1317"/>
    <w:rsid w:val="004B2019"/>
    <w:rsid w:val="004B2D7D"/>
    <w:rsid w:val="004B453C"/>
    <w:rsid w:val="004B496A"/>
    <w:rsid w:val="004C23D0"/>
    <w:rsid w:val="004C4939"/>
    <w:rsid w:val="004C75C0"/>
    <w:rsid w:val="004D1840"/>
    <w:rsid w:val="004D1AF0"/>
    <w:rsid w:val="004D3B31"/>
    <w:rsid w:val="004D6224"/>
    <w:rsid w:val="004E04EE"/>
    <w:rsid w:val="004E440F"/>
    <w:rsid w:val="004E541A"/>
    <w:rsid w:val="004E5E73"/>
    <w:rsid w:val="004F0B21"/>
    <w:rsid w:val="004F4818"/>
    <w:rsid w:val="005018CD"/>
    <w:rsid w:val="00502E69"/>
    <w:rsid w:val="0050541B"/>
    <w:rsid w:val="0050686C"/>
    <w:rsid w:val="0050738A"/>
    <w:rsid w:val="00511E09"/>
    <w:rsid w:val="005178AD"/>
    <w:rsid w:val="00520758"/>
    <w:rsid w:val="005311ED"/>
    <w:rsid w:val="0053361F"/>
    <w:rsid w:val="00534B50"/>
    <w:rsid w:val="0053780E"/>
    <w:rsid w:val="00540BD8"/>
    <w:rsid w:val="005428B2"/>
    <w:rsid w:val="00542C0D"/>
    <w:rsid w:val="005454FE"/>
    <w:rsid w:val="00545FA1"/>
    <w:rsid w:val="00547E46"/>
    <w:rsid w:val="0055286A"/>
    <w:rsid w:val="005535F0"/>
    <w:rsid w:val="00556044"/>
    <w:rsid w:val="005569AA"/>
    <w:rsid w:val="00563A42"/>
    <w:rsid w:val="00567A9E"/>
    <w:rsid w:val="005703C6"/>
    <w:rsid w:val="00572648"/>
    <w:rsid w:val="00573604"/>
    <w:rsid w:val="00574A89"/>
    <w:rsid w:val="00574F95"/>
    <w:rsid w:val="0057721C"/>
    <w:rsid w:val="005814E8"/>
    <w:rsid w:val="005926A7"/>
    <w:rsid w:val="005A1525"/>
    <w:rsid w:val="005A25C2"/>
    <w:rsid w:val="005A6113"/>
    <w:rsid w:val="005B55F0"/>
    <w:rsid w:val="005B6681"/>
    <w:rsid w:val="005B7E79"/>
    <w:rsid w:val="005C1FCE"/>
    <w:rsid w:val="005C206A"/>
    <w:rsid w:val="005C335D"/>
    <w:rsid w:val="005C6F41"/>
    <w:rsid w:val="005C76B5"/>
    <w:rsid w:val="005D4C46"/>
    <w:rsid w:val="005E5185"/>
    <w:rsid w:val="005F5D9F"/>
    <w:rsid w:val="00602225"/>
    <w:rsid w:val="00606290"/>
    <w:rsid w:val="006062A8"/>
    <w:rsid w:val="00607BF2"/>
    <w:rsid w:val="00614144"/>
    <w:rsid w:val="00615722"/>
    <w:rsid w:val="00617134"/>
    <w:rsid w:val="006219F0"/>
    <w:rsid w:val="00634E06"/>
    <w:rsid w:val="00637EE0"/>
    <w:rsid w:val="006400E5"/>
    <w:rsid w:val="00644ED8"/>
    <w:rsid w:val="0064641A"/>
    <w:rsid w:val="006511E1"/>
    <w:rsid w:val="0065188F"/>
    <w:rsid w:val="006519F5"/>
    <w:rsid w:val="00652213"/>
    <w:rsid w:val="00653C44"/>
    <w:rsid w:val="00656250"/>
    <w:rsid w:val="00662855"/>
    <w:rsid w:val="0066391B"/>
    <w:rsid w:val="00663A49"/>
    <w:rsid w:val="00664273"/>
    <w:rsid w:val="00664A4B"/>
    <w:rsid w:val="00666FC1"/>
    <w:rsid w:val="006674BA"/>
    <w:rsid w:val="00670258"/>
    <w:rsid w:val="00670595"/>
    <w:rsid w:val="006707EE"/>
    <w:rsid w:val="006717C6"/>
    <w:rsid w:val="00671C09"/>
    <w:rsid w:val="00673973"/>
    <w:rsid w:val="00674591"/>
    <w:rsid w:val="00677F8F"/>
    <w:rsid w:val="00680BB6"/>
    <w:rsid w:val="00683847"/>
    <w:rsid w:val="0068521B"/>
    <w:rsid w:val="00691429"/>
    <w:rsid w:val="006931A4"/>
    <w:rsid w:val="00693470"/>
    <w:rsid w:val="0069762A"/>
    <w:rsid w:val="006A1315"/>
    <w:rsid w:val="006A797C"/>
    <w:rsid w:val="006B18B6"/>
    <w:rsid w:val="006B1901"/>
    <w:rsid w:val="006B4E67"/>
    <w:rsid w:val="006C1707"/>
    <w:rsid w:val="006C2D30"/>
    <w:rsid w:val="006C6F50"/>
    <w:rsid w:val="006C7559"/>
    <w:rsid w:val="006D05D1"/>
    <w:rsid w:val="006D07FD"/>
    <w:rsid w:val="006D291C"/>
    <w:rsid w:val="006D2CD4"/>
    <w:rsid w:val="006D417C"/>
    <w:rsid w:val="006D6082"/>
    <w:rsid w:val="006E651B"/>
    <w:rsid w:val="006E7169"/>
    <w:rsid w:val="006F25B0"/>
    <w:rsid w:val="007004D2"/>
    <w:rsid w:val="0070073F"/>
    <w:rsid w:val="00702EF6"/>
    <w:rsid w:val="00706DF3"/>
    <w:rsid w:val="0070723F"/>
    <w:rsid w:val="00715B45"/>
    <w:rsid w:val="0072029A"/>
    <w:rsid w:val="00721339"/>
    <w:rsid w:val="00721A74"/>
    <w:rsid w:val="00723431"/>
    <w:rsid w:val="00724D9F"/>
    <w:rsid w:val="00725029"/>
    <w:rsid w:val="0072747D"/>
    <w:rsid w:val="00727631"/>
    <w:rsid w:val="0073003F"/>
    <w:rsid w:val="00732862"/>
    <w:rsid w:val="00733722"/>
    <w:rsid w:val="0073406B"/>
    <w:rsid w:val="007346AF"/>
    <w:rsid w:val="00735FCD"/>
    <w:rsid w:val="007409B6"/>
    <w:rsid w:val="00740CC2"/>
    <w:rsid w:val="0074105B"/>
    <w:rsid w:val="00741CA0"/>
    <w:rsid w:val="007431B2"/>
    <w:rsid w:val="00743698"/>
    <w:rsid w:val="00750A41"/>
    <w:rsid w:val="00755F9A"/>
    <w:rsid w:val="00756429"/>
    <w:rsid w:val="0075665C"/>
    <w:rsid w:val="00757C6E"/>
    <w:rsid w:val="007616D7"/>
    <w:rsid w:val="00771730"/>
    <w:rsid w:val="00772620"/>
    <w:rsid w:val="00772670"/>
    <w:rsid w:val="007726A5"/>
    <w:rsid w:val="00773650"/>
    <w:rsid w:val="007741AB"/>
    <w:rsid w:val="00774870"/>
    <w:rsid w:val="00780729"/>
    <w:rsid w:val="00790BDC"/>
    <w:rsid w:val="00793645"/>
    <w:rsid w:val="00796750"/>
    <w:rsid w:val="00797FFC"/>
    <w:rsid w:val="007A03CB"/>
    <w:rsid w:val="007A6E0F"/>
    <w:rsid w:val="007A70BC"/>
    <w:rsid w:val="007C2ABA"/>
    <w:rsid w:val="007C5809"/>
    <w:rsid w:val="007D1057"/>
    <w:rsid w:val="007D2E2F"/>
    <w:rsid w:val="007D2F0D"/>
    <w:rsid w:val="007D448F"/>
    <w:rsid w:val="007D6BF6"/>
    <w:rsid w:val="007E2D81"/>
    <w:rsid w:val="007E361E"/>
    <w:rsid w:val="007E5F95"/>
    <w:rsid w:val="007E682F"/>
    <w:rsid w:val="007F25D1"/>
    <w:rsid w:val="007F32FF"/>
    <w:rsid w:val="007F3ECB"/>
    <w:rsid w:val="007F4533"/>
    <w:rsid w:val="0080327F"/>
    <w:rsid w:val="00805C6D"/>
    <w:rsid w:val="008063CA"/>
    <w:rsid w:val="00812099"/>
    <w:rsid w:val="00813FE7"/>
    <w:rsid w:val="008169BB"/>
    <w:rsid w:val="00820781"/>
    <w:rsid w:val="0082146D"/>
    <w:rsid w:val="0082550A"/>
    <w:rsid w:val="00825539"/>
    <w:rsid w:val="00826178"/>
    <w:rsid w:val="00833C11"/>
    <w:rsid w:val="00840B1A"/>
    <w:rsid w:val="008422CC"/>
    <w:rsid w:val="008422E0"/>
    <w:rsid w:val="0084319F"/>
    <w:rsid w:val="008439DB"/>
    <w:rsid w:val="008448B9"/>
    <w:rsid w:val="00847137"/>
    <w:rsid w:val="008545D1"/>
    <w:rsid w:val="00854ED2"/>
    <w:rsid w:val="0086246B"/>
    <w:rsid w:val="008670E7"/>
    <w:rsid w:val="00870929"/>
    <w:rsid w:val="00873523"/>
    <w:rsid w:val="00873C97"/>
    <w:rsid w:val="00874C55"/>
    <w:rsid w:val="008752A6"/>
    <w:rsid w:val="0088171E"/>
    <w:rsid w:val="008903D0"/>
    <w:rsid w:val="00893D30"/>
    <w:rsid w:val="00894001"/>
    <w:rsid w:val="00896A9E"/>
    <w:rsid w:val="008970D6"/>
    <w:rsid w:val="008A08D5"/>
    <w:rsid w:val="008A501A"/>
    <w:rsid w:val="008B0658"/>
    <w:rsid w:val="008B1578"/>
    <w:rsid w:val="008B2377"/>
    <w:rsid w:val="008B30C5"/>
    <w:rsid w:val="008B34D7"/>
    <w:rsid w:val="008B373A"/>
    <w:rsid w:val="008B38D9"/>
    <w:rsid w:val="008B5E63"/>
    <w:rsid w:val="008B755C"/>
    <w:rsid w:val="008C20CA"/>
    <w:rsid w:val="008C290D"/>
    <w:rsid w:val="008C38E9"/>
    <w:rsid w:val="008C4FA6"/>
    <w:rsid w:val="008E290D"/>
    <w:rsid w:val="008E3215"/>
    <w:rsid w:val="008E38E7"/>
    <w:rsid w:val="008E52AC"/>
    <w:rsid w:val="008E6B5D"/>
    <w:rsid w:val="008F0059"/>
    <w:rsid w:val="008F18CF"/>
    <w:rsid w:val="008F3A3D"/>
    <w:rsid w:val="008F3C9F"/>
    <w:rsid w:val="008F6731"/>
    <w:rsid w:val="008F75ED"/>
    <w:rsid w:val="00902EDF"/>
    <w:rsid w:val="009053C3"/>
    <w:rsid w:val="00905DC4"/>
    <w:rsid w:val="00907481"/>
    <w:rsid w:val="00907CE6"/>
    <w:rsid w:val="00912B2D"/>
    <w:rsid w:val="00912C21"/>
    <w:rsid w:val="00915BCA"/>
    <w:rsid w:val="00920188"/>
    <w:rsid w:val="009240FA"/>
    <w:rsid w:val="00925240"/>
    <w:rsid w:val="009252EB"/>
    <w:rsid w:val="009255A3"/>
    <w:rsid w:val="00927C5C"/>
    <w:rsid w:val="00927CDE"/>
    <w:rsid w:val="00930509"/>
    <w:rsid w:val="00932723"/>
    <w:rsid w:val="009335E9"/>
    <w:rsid w:val="00936C2C"/>
    <w:rsid w:val="0094769B"/>
    <w:rsid w:val="0095197E"/>
    <w:rsid w:val="009530A7"/>
    <w:rsid w:val="00954B1C"/>
    <w:rsid w:val="00955A20"/>
    <w:rsid w:val="00957BE9"/>
    <w:rsid w:val="00960477"/>
    <w:rsid w:val="00961917"/>
    <w:rsid w:val="00961EBB"/>
    <w:rsid w:val="00962546"/>
    <w:rsid w:val="00962D2A"/>
    <w:rsid w:val="00963B62"/>
    <w:rsid w:val="00964CCB"/>
    <w:rsid w:val="00967AD3"/>
    <w:rsid w:val="00970AD5"/>
    <w:rsid w:val="00972319"/>
    <w:rsid w:val="00982148"/>
    <w:rsid w:val="0098727E"/>
    <w:rsid w:val="00991F66"/>
    <w:rsid w:val="00994647"/>
    <w:rsid w:val="00996ED8"/>
    <w:rsid w:val="009A3D75"/>
    <w:rsid w:val="009A4331"/>
    <w:rsid w:val="009B28E6"/>
    <w:rsid w:val="009B3491"/>
    <w:rsid w:val="009B47A8"/>
    <w:rsid w:val="009B48D2"/>
    <w:rsid w:val="009B582D"/>
    <w:rsid w:val="009B7C31"/>
    <w:rsid w:val="009B7CED"/>
    <w:rsid w:val="009C3CFD"/>
    <w:rsid w:val="009C5017"/>
    <w:rsid w:val="009C7041"/>
    <w:rsid w:val="009D22B5"/>
    <w:rsid w:val="009D44D8"/>
    <w:rsid w:val="009D4CB6"/>
    <w:rsid w:val="009D7A56"/>
    <w:rsid w:val="009E0F2C"/>
    <w:rsid w:val="009E3397"/>
    <w:rsid w:val="009F054C"/>
    <w:rsid w:val="009F2BBF"/>
    <w:rsid w:val="009F378B"/>
    <w:rsid w:val="009F6115"/>
    <w:rsid w:val="009F67E7"/>
    <w:rsid w:val="00A00E2E"/>
    <w:rsid w:val="00A04673"/>
    <w:rsid w:val="00A05DAB"/>
    <w:rsid w:val="00A07772"/>
    <w:rsid w:val="00A07B3C"/>
    <w:rsid w:val="00A111AC"/>
    <w:rsid w:val="00A12C16"/>
    <w:rsid w:val="00A15F03"/>
    <w:rsid w:val="00A20104"/>
    <w:rsid w:val="00A22090"/>
    <w:rsid w:val="00A23695"/>
    <w:rsid w:val="00A26D2A"/>
    <w:rsid w:val="00A27F4F"/>
    <w:rsid w:val="00A34BD6"/>
    <w:rsid w:val="00A404D5"/>
    <w:rsid w:val="00A45F66"/>
    <w:rsid w:val="00A47EAF"/>
    <w:rsid w:val="00A516F0"/>
    <w:rsid w:val="00A56454"/>
    <w:rsid w:val="00A60EDD"/>
    <w:rsid w:val="00A61346"/>
    <w:rsid w:val="00A61A02"/>
    <w:rsid w:val="00A6362B"/>
    <w:rsid w:val="00A66278"/>
    <w:rsid w:val="00A716F0"/>
    <w:rsid w:val="00A75208"/>
    <w:rsid w:val="00A76073"/>
    <w:rsid w:val="00A8461D"/>
    <w:rsid w:val="00A8543E"/>
    <w:rsid w:val="00A92D9D"/>
    <w:rsid w:val="00AA105B"/>
    <w:rsid w:val="00AA1D8D"/>
    <w:rsid w:val="00AA2751"/>
    <w:rsid w:val="00AA31C5"/>
    <w:rsid w:val="00AA34C4"/>
    <w:rsid w:val="00AA3D36"/>
    <w:rsid w:val="00AA3EFA"/>
    <w:rsid w:val="00AB1952"/>
    <w:rsid w:val="00AB4557"/>
    <w:rsid w:val="00AC5E8B"/>
    <w:rsid w:val="00AC6C1F"/>
    <w:rsid w:val="00AD2409"/>
    <w:rsid w:val="00AD39BE"/>
    <w:rsid w:val="00AD3F6E"/>
    <w:rsid w:val="00AE080D"/>
    <w:rsid w:val="00AE13E3"/>
    <w:rsid w:val="00AE61DD"/>
    <w:rsid w:val="00AE7B19"/>
    <w:rsid w:val="00AF04E2"/>
    <w:rsid w:val="00AF3F74"/>
    <w:rsid w:val="00AF4540"/>
    <w:rsid w:val="00AF4685"/>
    <w:rsid w:val="00AF4D7C"/>
    <w:rsid w:val="00AF6A51"/>
    <w:rsid w:val="00B03E27"/>
    <w:rsid w:val="00B0581E"/>
    <w:rsid w:val="00B10DA5"/>
    <w:rsid w:val="00B139C9"/>
    <w:rsid w:val="00B15ABD"/>
    <w:rsid w:val="00B21A4F"/>
    <w:rsid w:val="00B21FF0"/>
    <w:rsid w:val="00B230CD"/>
    <w:rsid w:val="00B23798"/>
    <w:rsid w:val="00B2583B"/>
    <w:rsid w:val="00B2587C"/>
    <w:rsid w:val="00B300A6"/>
    <w:rsid w:val="00B30ADB"/>
    <w:rsid w:val="00B30AE9"/>
    <w:rsid w:val="00B32415"/>
    <w:rsid w:val="00B371A7"/>
    <w:rsid w:val="00B37796"/>
    <w:rsid w:val="00B47730"/>
    <w:rsid w:val="00B47BA8"/>
    <w:rsid w:val="00B50E53"/>
    <w:rsid w:val="00B51EB3"/>
    <w:rsid w:val="00B54879"/>
    <w:rsid w:val="00B61646"/>
    <w:rsid w:val="00B627F6"/>
    <w:rsid w:val="00B62EBE"/>
    <w:rsid w:val="00B646E9"/>
    <w:rsid w:val="00B65445"/>
    <w:rsid w:val="00B66807"/>
    <w:rsid w:val="00B66FD8"/>
    <w:rsid w:val="00B6726C"/>
    <w:rsid w:val="00B67790"/>
    <w:rsid w:val="00B71BCC"/>
    <w:rsid w:val="00B76D42"/>
    <w:rsid w:val="00B77F64"/>
    <w:rsid w:val="00B81CA7"/>
    <w:rsid w:val="00B83402"/>
    <w:rsid w:val="00B85D90"/>
    <w:rsid w:val="00B85DD2"/>
    <w:rsid w:val="00B86609"/>
    <w:rsid w:val="00B87393"/>
    <w:rsid w:val="00BA3946"/>
    <w:rsid w:val="00BA5532"/>
    <w:rsid w:val="00BB206E"/>
    <w:rsid w:val="00BB243A"/>
    <w:rsid w:val="00BB6A5B"/>
    <w:rsid w:val="00BC7A5A"/>
    <w:rsid w:val="00BC7DEC"/>
    <w:rsid w:val="00BD1EA3"/>
    <w:rsid w:val="00BD3308"/>
    <w:rsid w:val="00BD44B5"/>
    <w:rsid w:val="00BD68F9"/>
    <w:rsid w:val="00BE02E1"/>
    <w:rsid w:val="00BE0415"/>
    <w:rsid w:val="00BE24F8"/>
    <w:rsid w:val="00BE28A4"/>
    <w:rsid w:val="00BE2E63"/>
    <w:rsid w:val="00BE3B26"/>
    <w:rsid w:val="00BE5CB5"/>
    <w:rsid w:val="00BF0531"/>
    <w:rsid w:val="00BF69E5"/>
    <w:rsid w:val="00BF7E52"/>
    <w:rsid w:val="00BF7F71"/>
    <w:rsid w:val="00C038C6"/>
    <w:rsid w:val="00C041E2"/>
    <w:rsid w:val="00C04F78"/>
    <w:rsid w:val="00C05B63"/>
    <w:rsid w:val="00C122A4"/>
    <w:rsid w:val="00C20A92"/>
    <w:rsid w:val="00C236A3"/>
    <w:rsid w:val="00C24C03"/>
    <w:rsid w:val="00C318CD"/>
    <w:rsid w:val="00C33356"/>
    <w:rsid w:val="00C367BB"/>
    <w:rsid w:val="00C40873"/>
    <w:rsid w:val="00C41DEC"/>
    <w:rsid w:val="00C424E9"/>
    <w:rsid w:val="00C51CFF"/>
    <w:rsid w:val="00C568E4"/>
    <w:rsid w:val="00C56A54"/>
    <w:rsid w:val="00C579A2"/>
    <w:rsid w:val="00C6406D"/>
    <w:rsid w:val="00C64A20"/>
    <w:rsid w:val="00C702BA"/>
    <w:rsid w:val="00C76FE9"/>
    <w:rsid w:val="00C77629"/>
    <w:rsid w:val="00C81A95"/>
    <w:rsid w:val="00C83554"/>
    <w:rsid w:val="00C84B3B"/>
    <w:rsid w:val="00C903C9"/>
    <w:rsid w:val="00C937E7"/>
    <w:rsid w:val="00C949B2"/>
    <w:rsid w:val="00C95ED0"/>
    <w:rsid w:val="00C97661"/>
    <w:rsid w:val="00CA09E9"/>
    <w:rsid w:val="00CB0664"/>
    <w:rsid w:val="00CB4B65"/>
    <w:rsid w:val="00CC2B39"/>
    <w:rsid w:val="00CC5F14"/>
    <w:rsid w:val="00CD0039"/>
    <w:rsid w:val="00CD0BCB"/>
    <w:rsid w:val="00CD257C"/>
    <w:rsid w:val="00CD2F40"/>
    <w:rsid w:val="00CD59D1"/>
    <w:rsid w:val="00CD5F2B"/>
    <w:rsid w:val="00CE0DB1"/>
    <w:rsid w:val="00CE0F8E"/>
    <w:rsid w:val="00CE2151"/>
    <w:rsid w:val="00CE2ECA"/>
    <w:rsid w:val="00CE4862"/>
    <w:rsid w:val="00CE636A"/>
    <w:rsid w:val="00CE690F"/>
    <w:rsid w:val="00CE6C61"/>
    <w:rsid w:val="00CE7052"/>
    <w:rsid w:val="00CF0AC7"/>
    <w:rsid w:val="00CF1EBB"/>
    <w:rsid w:val="00CF536C"/>
    <w:rsid w:val="00CF74E3"/>
    <w:rsid w:val="00CF7C62"/>
    <w:rsid w:val="00D0128A"/>
    <w:rsid w:val="00D03012"/>
    <w:rsid w:val="00D04392"/>
    <w:rsid w:val="00D053E3"/>
    <w:rsid w:val="00D05A16"/>
    <w:rsid w:val="00D05F6D"/>
    <w:rsid w:val="00D10194"/>
    <w:rsid w:val="00D12209"/>
    <w:rsid w:val="00D16156"/>
    <w:rsid w:val="00D179F0"/>
    <w:rsid w:val="00D21ED0"/>
    <w:rsid w:val="00D31074"/>
    <w:rsid w:val="00D315DE"/>
    <w:rsid w:val="00D32C8F"/>
    <w:rsid w:val="00D34699"/>
    <w:rsid w:val="00D36A83"/>
    <w:rsid w:val="00D41128"/>
    <w:rsid w:val="00D4150A"/>
    <w:rsid w:val="00D4441A"/>
    <w:rsid w:val="00D462B6"/>
    <w:rsid w:val="00D47461"/>
    <w:rsid w:val="00D514FD"/>
    <w:rsid w:val="00D55D8E"/>
    <w:rsid w:val="00D61289"/>
    <w:rsid w:val="00D64463"/>
    <w:rsid w:val="00D66ED4"/>
    <w:rsid w:val="00D72529"/>
    <w:rsid w:val="00D730AD"/>
    <w:rsid w:val="00D80010"/>
    <w:rsid w:val="00D804A8"/>
    <w:rsid w:val="00D81313"/>
    <w:rsid w:val="00D816C4"/>
    <w:rsid w:val="00D90EC6"/>
    <w:rsid w:val="00D917FF"/>
    <w:rsid w:val="00D919B9"/>
    <w:rsid w:val="00D934D3"/>
    <w:rsid w:val="00D94277"/>
    <w:rsid w:val="00DA2F7E"/>
    <w:rsid w:val="00DA3CE5"/>
    <w:rsid w:val="00DA6FA8"/>
    <w:rsid w:val="00DB1BD6"/>
    <w:rsid w:val="00DB2BD0"/>
    <w:rsid w:val="00DB2E1D"/>
    <w:rsid w:val="00DB5F38"/>
    <w:rsid w:val="00DC0067"/>
    <w:rsid w:val="00DC42CD"/>
    <w:rsid w:val="00DC69BA"/>
    <w:rsid w:val="00DD2835"/>
    <w:rsid w:val="00DD28BC"/>
    <w:rsid w:val="00DD292A"/>
    <w:rsid w:val="00DD71D2"/>
    <w:rsid w:val="00DE045B"/>
    <w:rsid w:val="00DE23CC"/>
    <w:rsid w:val="00DE39BA"/>
    <w:rsid w:val="00DF0F36"/>
    <w:rsid w:val="00DF2C35"/>
    <w:rsid w:val="00DF3782"/>
    <w:rsid w:val="00DF3912"/>
    <w:rsid w:val="00DF39BD"/>
    <w:rsid w:val="00DF44BB"/>
    <w:rsid w:val="00DF7EF3"/>
    <w:rsid w:val="00E01813"/>
    <w:rsid w:val="00E03395"/>
    <w:rsid w:val="00E049D7"/>
    <w:rsid w:val="00E05A18"/>
    <w:rsid w:val="00E1036E"/>
    <w:rsid w:val="00E10DFB"/>
    <w:rsid w:val="00E14ECC"/>
    <w:rsid w:val="00E153ED"/>
    <w:rsid w:val="00E1707F"/>
    <w:rsid w:val="00E1723A"/>
    <w:rsid w:val="00E1738B"/>
    <w:rsid w:val="00E36F33"/>
    <w:rsid w:val="00E3794D"/>
    <w:rsid w:val="00E37AF9"/>
    <w:rsid w:val="00E420D6"/>
    <w:rsid w:val="00E4232E"/>
    <w:rsid w:val="00E42812"/>
    <w:rsid w:val="00E45038"/>
    <w:rsid w:val="00E47E60"/>
    <w:rsid w:val="00E50C10"/>
    <w:rsid w:val="00E51366"/>
    <w:rsid w:val="00E54951"/>
    <w:rsid w:val="00E560ED"/>
    <w:rsid w:val="00E609F3"/>
    <w:rsid w:val="00E617B0"/>
    <w:rsid w:val="00E61C6C"/>
    <w:rsid w:val="00E621BB"/>
    <w:rsid w:val="00E634CA"/>
    <w:rsid w:val="00E726F8"/>
    <w:rsid w:val="00E7445A"/>
    <w:rsid w:val="00E74D1F"/>
    <w:rsid w:val="00E75AB1"/>
    <w:rsid w:val="00E76842"/>
    <w:rsid w:val="00E8070E"/>
    <w:rsid w:val="00E8359E"/>
    <w:rsid w:val="00E83929"/>
    <w:rsid w:val="00E942A8"/>
    <w:rsid w:val="00E97E55"/>
    <w:rsid w:val="00EA0A9D"/>
    <w:rsid w:val="00EA1787"/>
    <w:rsid w:val="00EA209C"/>
    <w:rsid w:val="00EA271E"/>
    <w:rsid w:val="00EA4FCE"/>
    <w:rsid w:val="00EA63D4"/>
    <w:rsid w:val="00EA7764"/>
    <w:rsid w:val="00EB1C3A"/>
    <w:rsid w:val="00EB2872"/>
    <w:rsid w:val="00EB3255"/>
    <w:rsid w:val="00EB43C3"/>
    <w:rsid w:val="00EB4838"/>
    <w:rsid w:val="00EB68E5"/>
    <w:rsid w:val="00EB7F22"/>
    <w:rsid w:val="00EC2717"/>
    <w:rsid w:val="00EC604D"/>
    <w:rsid w:val="00EC7004"/>
    <w:rsid w:val="00EC77BD"/>
    <w:rsid w:val="00ED09B4"/>
    <w:rsid w:val="00ED614A"/>
    <w:rsid w:val="00EE0301"/>
    <w:rsid w:val="00EE7F3A"/>
    <w:rsid w:val="00EF3980"/>
    <w:rsid w:val="00EF4611"/>
    <w:rsid w:val="00EF77D3"/>
    <w:rsid w:val="00F036CE"/>
    <w:rsid w:val="00F05CB5"/>
    <w:rsid w:val="00F0721A"/>
    <w:rsid w:val="00F162A5"/>
    <w:rsid w:val="00F17522"/>
    <w:rsid w:val="00F17E49"/>
    <w:rsid w:val="00F23063"/>
    <w:rsid w:val="00F23606"/>
    <w:rsid w:val="00F2442D"/>
    <w:rsid w:val="00F26180"/>
    <w:rsid w:val="00F328A2"/>
    <w:rsid w:val="00F33204"/>
    <w:rsid w:val="00F33F0E"/>
    <w:rsid w:val="00F345AD"/>
    <w:rsid w:val="00F3793E"/>
    <w:rsid w:val="00F408E9"/>
    <w:rsid w:val="00F41241"/>
    <w:rsid w:val="00F41D92"/>
    <w:rsid w:val="00F4263A"/>
    <w:rsid w:val="00F52983"/>
    <w:rsid w:val="00F543B5"/>
    <w:rsid w:val="00F57D3C"/>
    <w:rsid w:val="00F611F6"/>
    <w:rsid w:val="00F66D40"/>
    <w:rsid w:val="00F73170"/>
    <w:rsid w:val="00F7333A"/>
    <w:rsid w:val="00F7469C"/>
    <w:rsid w:val="00F84923"/>
    <w:rsid w:val="00F918EC"/>
    <w:rsid w:val="00F91D92"/>
    <w:rsid w:val="00F92358"/>
    <w:rsid w:val="00F94172"/>
    <w:rsid w:val="00F9508D"/>
    <w:rsid w:val="00FA0586"/>
    <w:rsid w:val="00FA0DE8"/>
    <w:rsid w:val="00FA1EF6"/>
    <w:rsid w:val="00FA2526"/>
    <w:rsid w:val="00FA4B28"/>
    <w:rsid w:val="00FA7C1B"/>
    <w:rsid w:val="00FB52D9"/>
    <w:rsid w:val="00FB7839"/>
    <w:rsid w:val="00FB7BFC"/>
    <w:rsid w:val="00FC0748"/>
    <w:rsid w:val="00FC2CCD"/>
    <w:rsid w:val="00FC5CDD"/>
    <w:rsid w:val="00FC5FFD"/>
    <w:rsid w:val="00FC693F"/>
    <w:rsid w:val="00FD481C"/>
    <w:rsid w:val="00FD5475"/>
    <w:rsid w:val="00FD7CE9"/>
    <w:rsid w:val="00FE35CE"/>
    <w:rsid w:val="00FE3A07"/>
    <w:rsid w:val="00FE5462"/>
    <w:rsid w:val="00FE6E3D"/>
    <w:rsid w:val="00FF0148"/>
    <w:rsid w:val="3C8F03D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062061"/>
  <w14:defaultImageDpi w14:val="300"/>
  <w15:docId w15:val="{13305E5D-8B90-4B97-AA97-73D4CEF9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GB" w:eastAsia="en-GB"/>
    </w:rPr>
  </w:style>
  <w:style w:type="paragraph" w:styleId="Heading1">
    <w:name w:val="heading 1"/>
    <w:basedOn w:val="Normal"/>
    <w:link w:val="Heading1Char"/>
    <w:qFormat/>
    <w:pPr>
      <w:spacing w:line="480" w:lineRule="auto"/>
      <w:outlineLvl w:val="0"/>
    </w:pPr>
    <w:rPr>
      <w:b/>
      <w:szCs w:val="20"/>
      <w:lang w:val="en-US" w:eastAsia="en-US"/>
    </w:rPr>
  </w:style>
  <w:style w:type="paragraph" w:styleId="Heading2">
    <w:name w:val="heading 2"/>
    <w:basedOn w:val="Heading1"/>
    <w:link w:val="Heading2Char"/>
    <w:qFormat/>
    <w:pPr>
      <w:outlineLvl w:val="1"/>
    </w:pPr>
    <w:rPr>
      <w:sz w:val="22"/>
    </w:rPr>
  </w:style>
  <w:style w:type="paragraph" w:styleId="Heading3">
    <w:name w:val="heading 3"/>
    <w:basedOn w:val="Normal"/>
    <w:qFormat/>
    <w:pPr>
      <w:tabs>
        <w:tab w:val="center" w:pos="8931"/>
        <w:tab w:val="right" w:pos="9026"/>
      </w:tabs>
      <w:spacing w:line="480" w:lineRule="auto"/>
      <w:outlineLvl w:val="2"/>
    </w:pPr>
    <w:rPr>
      <w:sz w:val="20"/>
      <w:szCs w:val="20"/>
      <w:lang w:val="en-US" w:eastAsia="en-US"/>
    </w:rPr>
  </w:style>
  <w:style w:type="paragraph" w:styleId="Heading4">
    <w:name w:val="heading 4"/>
    <w:basedOn w:val="Normal"/>
    <w:qFormat/>
    <w:pPr>
      <w:tabs>
        <w:tab w:val="center" w:pos="8931"/>
        <w:tab w:val="right" w:pos="9026"/>
      </w:tabs>
      <w:spacing w:line="480" w:lineRule="auto"/>
      <w:outlineLvl w:val="3"/>
    </w:pPr>
    <w:rPr>
      <w:sz w:val="20"/>
      <w:szCs w:val="20"/>
      <w:lang w:val="en-US" w:eastAsia="en-US"/>
    </w:rPr>
  </w:style>
  <w:style w:type="paragraph" w:styleId="Heading5">
    <w:name w:val="heading 5"/>
    <w:basedOn w:val="Normal"/>
    <w:qFormat/>
    <w:pPr>
      <w:tabs>
        <w:tab w:val="center" w:pos="8931"/>
        <w:tab w:val="right" w:pos="9026"/>
      </w:tabs>
      <w:spacing w:line="480" w:lineRule="auto"/>
      <w:outlineLvl w:val="4"/>
    </w:pPr>
    <w:rPr>
      <w:sz w:val="20"/>
      <w:szCs w:val="20"/>
      <w:lang w:val="en-US" w:eastAsia="en-US"/>
    </w:rPr>
  </w:style>
  <w:style w:type="paragraph" w:styleId="Heading6">
    <w:name w:val="heading 6"/>
    <w:basedOn w:val="Normal"/>
    <w:qFormat/>
    <w:pPr>
      <w:tabs>
        <w:tab w:val="center" w:pos="8931"/>
        <w:tab w:val="right" w:pos="9026"/>
      </w:tabs>
      <w:spacing w:line="480" w:lineRule="auto"/>
      <w:outlineLvl w:val="5"/>
    </w:pPr>
    <w:rPr>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paragraph" w:customStyle="1" w:styleId="abstract">
    <w:name w:val="abstract"/>
    <w:basedOn w:val="Normal"/>
    <w:qFormat/>
    <w:pPr>
      <w:tabs>
        <w:tab w:val="center" w:pos="8931"/>
        <w:tab w:val="right" w:pos="9026"/>
      </w:tabs>
      <w:spacing w:line="480" w:lineRule="auto"/>
    </w:pPr>
    <w:rPr>
      <w:sz w:val="20"/>
      <w:szCs w:val="20"/>
      <w:lang w:val="en-US" w:eastAsia="en-US"/>
    </w:rPr>
  </w:style>
  <w:style w:type="paragraph" w:customStyle="1" w:styleId="EquationCaption">
    <w:name w:val="Equation Caption"/>
    <w:basedOn w:val="Normal"/>
    <w:qFormat/>
    <w:pPr>
      <w:tabs>
        <w:tab w:val="center" w:pos="8931"/>
        <w:tab w:val="right" w:pos="9026"/>
      </w:tabs>
      <w:spacing w:line="480" w:lineRule="auto"/>
    </w:pPr>
    <w:rPr>
      <w:sz w:val="20"/>
      <w:szCs w:val="20"/>
      <w:lang w:val="en-US" w:eastAsia="en-US"/>
    </w:rPr>
  </w:style>
  <w:style w:type="paragraph" w:customStyle="1" w:styleId="FigureCaption">
    <w:name w:val="Figure Caption"/>
    <w:basedOn w:val="Normal"/>
    <w:qFormat/>
    <w:pPr>
      <w:tabs>
        <w:tab w:val="center" w:pos="8931"/>
        <w:tab w:val="right" w:pos="9026"/>
      </w:tabs>
      <w:spacing w:line="480" w:lineRule="auto"/>
    </w:pPr>
    <w:rPr>
      <w:sz w:val="20"/>
      <w:szCs w:val="20"/>
      <w:lang w:val="en-US" w:eastAsia="en-US"/>
    </w:rPr>
  </w:style>
  <w:style w:type="paragraph" w:customStyle="1" w:styleId="Figure">
    <w:name w:val="Figure"/>
    <w:basedOn w:val="Normal"/>
    <w:qFormat/>
    <w:pPr>
      <w:tabs>
        <w:tab w:val="center" w:pos="8931"/>
        <w:tab w:val="right" w:pos="9026"/>
      </w:tabs>
      <w:spacing w:line="480" w:lineRule="auto"/>
    </w:pPr>
    <w:rPr>
      <w:sz w:val="20"/>
      <w:szCs w:val="20"/>
      <w:lang w:val="en-US" w:eastAsia="en-US"/>
    </w:rPr>
  </w:style>
  <w:style w:type="paragraph" w:customStyle="1" w:styleId="FiguresSection">
    <w:name w:val="Figures Section"/>
    <w:basedOn w:val="Heading1"/>
    <w:qFormat/>
  </w:style>
  <w:style w:type="paragraph" w:styleId="Title">
    <w:name w:val="Title"/>
    <w:basedOn w:val="Normal"/>
    <w:qFormat/>
    <w:pPr>
      <w:tabs>
        <w:tab w:val="center" w:pos="8931"/>
        <w:tab w:val="right" w:pos="9026"/>
      </w:tabs>
      <w:spacing w:line="480" w:lineRule="auto"/>
    </w:pPr>
    <w:rPr>
      <w:b/>
      <w:szCs w:val="20"/>
      <w:lang w:val="en-US" w:eastAsia="en-US"/>
    </w:rPr>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pPr>
      <w:tabs>
        <w:tab w:val="center" w:pos="8931"/>
        <w:tab w:val="right" w:pos="9026"/>
      </w:tabs>
      <w:spacing w:line="480" w:lineRule="auto"/>
    </w:pPr>
    <w:rPr>
      <w:sz w:val="20"/>
      <w:szCs w:val="20"/>
      <w:lang w:val="en-US" w:eastAsia="en-US"/>
    </w:rPr>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styleId="ListParagraph">
    <w:name w:val="List Paragraph"/>
    <w:basedOn w:val="Normal"/>
    <w:qFormat/>
    <w:pPr>
      <w:tabs>
        <w:tab w:val="center" w:pos="8931"/>
        <w:tab w:val="right" w:pos="9026"/>
      </w:tabs>
      <w:spacing w:line="480" w:lineRule="auto"/>
      <w:ind w:left="720"/>
      <w:contextualSpacing/>
    </w:pPr>
    <w:rPr>
      <w:sz w:val="20"/>
      <w:szCs w:val="20"/>
      <w:lang w:val="en-US" w:eastAsia="en-US"/>
    </w:rPr>
  </w:style>
  <w:style w:type="paragraph" w:customStyle="1" w:styleId="EndNoteBibliographyTitle">
    <w:name w:val="EndNote Bibliography Title"/>
    <w:basedOn w:val="Normal"/>
    <w:qFormat/>
    <w:pPr>
      <w:tabs>
        <w:tab w:val="center" w:pos="8931"/>
        <w:tab w:val="right" w:pos="9026"/>
      </w:tabs>
      <w:spacing w:line="480" w:lineRule="auto"/>
      <w:jc w:val="center"/>
    </w:pPr>
    <w:rPr>
      <w:sz w:val="20"/>
      <w:szCs w:val="20"/>
      <w:lang w:val="en-US" w:eastAsia="en-US"/>
    </w:rPr>
  </w:style>
  <w:style w:type="paragraph" w:customStyle="1" w:styleId="EndNoteBibliography">
    <w:name w:val="EndNote Bibliography"/>
    <w:basedOn w:val="Normal"/>
    <w:link w:val="EndNoteBibliographyChar"/>
    <w:qFormat/>
    <w:rsid w:val="00491E22"/>
    <w:pPr>
      <w:tabs>
        <w:tab w:val="center" w:pos="8931"/>
        <w:tab w:val="right" w:pos="9026"/>
      </w:tabs>
      <w:spacing w:line="480" w:lineRule="auto"/>
    </w:pPr>
    <w:rPr>
      <w:sz w:val="20"/>
      <w:szCs w:val="20"/>
      <w:lang w:val="en-US" w:eastAsia="en-US"/>
    </w:rPr>
  </w:style>
  <w:style w:type="paragraph" w:styleId="Header">
    <w:name w:val="header"/>
    <w:basedOn w:val="Normal"/>
    <w:link w:val="HeaderChar"/>
    <w:uiPriority w:val="99"/>
    <w:qFormat/>
    <w:pPr>
      <w:tabs>
        <w:tab w:val="center" w:pos="4513"/>
        <w:tab w:val="center" w:pos="8931"/>
        <w:tab w:val="right" w:pos="9026"/>
      </w:tabs>
    </w:pPr>
    <w:rPr>
      <w:sz w:val="20"/>
      <w:szCs w:val="20"/>
      <w:lang w:val="en-US" w:eastAsia="en-US"/>
    </w:rPr>
  </w:style>
  <w:style w:type="paragraph" w:styleId="Footer">
    <w:name w:val="footer"/>
    <w:basedOn w:val="Normal"/>
    <w:link w:val="FooterChar"/>
    <w:uiPriority w:val="99"/>
    <w:qFormat/>
    <w:pPr>
      <w:tabs>
        <w:tab w:val="center" w:pos="4513"/>
        <w:tab w:val="center" w:pos="8931"/>
        <w:tab w:val="right" w:pos="9026"/>
      </w:tabs>
    </w:pPr>
    <w:rPr>
      <w:sz w:val="20"/>
      <w:szCs w:val="20"/>
      <w:lang w:val="en-US" w:eastAsia="en-US"/>
    </w:rPr>
  </w:style>
  <w:style w:type="paragraph" w:customStyle="1" w:styleId="Default">
    <w:name w:val="Default"/>
    <w:qFormat/>
    <w:rPr>
      <w:color w:val="000000"/>
      <w:sz w:val="24"/>
    </w:rPr>
  </w:style>
  <w:style w:type="paragraph" w:styleId="CommentText">
    <w:name w:val="annotation text"/>
    <w:aliases w:val="Table Text"/>
    <w:basedOn w:val="Normal"/>
    <w:link w:val="CommentTextChar"/>
    <w:uiPriority w:val="99"/>
    <w:qFormat/>
    <w:pPr>
      <w:tabs>
        <w:tab w:val="center" w:pos="8931"/>
        <w:tab w:val="right" w:pos="9026"/>
      </w:tabs>
    </w:pPr>
    <w:rPr>
      <w:sz w:val="20"/>
      <w:szCs w:val="20"/>
      <w:lang w:val="en-US" w:eastAsia="en-US"/>
    </w:rPr>
  </w:style>
  <w:style w:type="paragraph" w:customStyle="1" w:styleId="Tabletext">
    <w:name w:val="Table text"/>
    <w:basedOn w:val="Normal"/>
    <w:link w:val="TabletextChar"/>
    <w:qFormat/>
    <w:pPr>
      <w:spacing w:before="60" w:after="60"/>
    </w:pPr>
    <w:rPr>
      <w:rFonts w:ascii="Arial" w:hAnsi="Arial"/>
      <w:sz w:val="20"/>
      <w:szCs w:val="20"/>
      <w:lang w:val="en-US" w:eastAsia="en-US"/>
    </w:rPr>
  </w:style>
  <w:style w:type="paragraph" w:styleId="Caption">
    <w:name w:val="caption"/>
    <w:basedOn w:val="Normal"/>
    <w:qFormat/>
    <w:pPr>
      <w:spacing w:after="200"/>
    </w:pPr>
    <w:rPr>
      <w:rFonts w:ascii="Calibri" w:hAnsi="Calibri"/>
      <w:b/>
      <w:color w:val="4472C4"/>
      <w:sz w:val="18"/>
      <w:szCs w:val="20"/>
      <w:lang w:val="en-US" w:eastAsia="en-US"/>
    </w:rPr>
  </w:style>
  <w:style w:type="paragraph" w:styleId="BodyText">
    <w:name w:val="Body Text"/>
    <w:basedOn w:val="Normal"/>
    <w:qFormat/>
    <w:pPr>
      <w:spacing w:after="120" w:line="276" w:lineRule="auto"/>
    </w:pPr>
    <w:rPr>
      <w:rFonts w:ascii="Calibri" w:hAnsi="Calibri"/>
      <w:sz w:val="22"/>
      <w:szCs w:val="20"/>
      <w:lang w:val="en-US" w:eastAsia="en-US"/>
    </w:rPr>
  </w:style>
  <w:style w:type="paragraph" w:styleId="Revision">
    <w:name w:val="Revision"/>
    <w:qFormat/>
  </w:style>
  <w:style w:type="paragraph" w:customStyle="1" w:styleId="pf0">
    <w:name w:val="pf0"/>
    <w:basedOn w:val="Normal"/>
    <w:qFormat/>
    <w:pPr>
      <w:spacing w:before="100" w:beforeAutospacing="1" w:after="100" w:afterAutospacing="1"/>
    </w:pPr>
    <w:rPr>
      <w:szCs w:val="20"/>
      <w:lang w:val="en-US" w:eastAsia="en-US"/>
    </w:rPr>
  </w:style>
  <w:style w:type="paragraph" w:styleId="NormalWeb">
    <w:name w:val="Normal (Web)"/>
    <w:basedOn w:val="Normal"/>
    <w:uiPriority w:val="99"/>
    <w:qFormat/>
    <w:pPr>
      <w:spacing w:before="100" w:beforeAutospacing="1" w:after="100" w:afterAutospacing="1"/>
    </w:pPr>
    <w:rPr>
      <w:szCs w:val="20"/>
      <w:lang w:val="en-US" w:eastAsia="en-US"/>
    </w:rPr>
  </w:style>
  <w:style w:type="paragraph" w:customStyle="1" w:styleId="xmsonormal">
    <w:name w:val="x_msonormal"/>
    <w:basedOn w:val="Normal"/>
    <w:qFormat/>
    <w:pPr>
      <w:spacing w:before="100" w:beforeAutospacing="1" w:after="100" w:afterAutospacing="1"/>
    </w:pPr>
    <w:rPr>
      <w:szCs w:val="20"/>
      <w:lang w:val="en-US" w:eastAsia="en-US"/>
    </w:rPr>
  </w:style>
  <w:style w:type="paragraph" w:customStyle="1" w:styleId="TableFootnotesAbbreviations">
    <w:name w:val="Table Footnotes/Abbreviations"/>
    <w:basedOn w:val="BodyText"/>
    <w:link w:val="TableFootnotesAbbreviationsChar"/>
    <w:qFormat/>
    <w:pPr>
      <w:spacing w:before="60" w:after="0" w:line="240" w:lineRule="auto"/>
    </w:pPr>
    <w:rPr>
      <w:rFonts w:ascii="Calibri Light" w:hAnsi="Calibri Light"/>
      <w:sz w:val="18"/>
    </w:rPr>
  </w:style>
  <w:style w:type="character" w:styleId="CommentReference">
    <w:name w:val="annotation reference"/>
    <w:aliases w:val="-H18"/>
    <w:basedOn w:val="DefaultParagraphFont"/>
    <w:uiPriority w:val="99"/>
    <w:unhideWhenUsed/>
    <w:qFormat/>
    <w:rPr>
      <w:sz w:val="16"/>
      <w:szCs w:val="16"/>
    </w:rPr>
  </w:style>
  <w:style w:type="character" w:styleId="LineNumber">
    <w:name w:val="line number"/>
    <w:basedOn w:val="DefaultParagraphFont"/>
    <w:uiPriority w:val="99"/>
    <w:semiHidden/>
    <w:unhideWhenUsed/>
    <w:rsid w:val="00FA0586"/>
  </w:style>
  <w:style w:type="paragraph" w:styleId="CommentSubject">
    <w:name w:val="annotation subject"/>
    <w:basedOn w:val="CommentText"/>
    <w:next w:val="CommentText"/>
    <w:link w:val="CommentSubjectChar"/>
    <w:uiPriority w:val="99"/>
    <w:semiHidden/>
    <w:unhideWhenUsed/>
    <w:rsid w:val="00FA0586"/>
    <w:rPr>
      <w:b/>
      <w:bCs/>
    </w:rPr>
  </w:style>
  <w:style w:type="character" w:customStyle="1" w:styleId="CommentTextChar">
    <w:name w:val="Comment Text Char"/>
    <w:aliases w:val="Table Text Char"/>
    <w:basedOn w:val="DefaultParagraphFont"/>
    <w:link w:val="CommentText"/>
    <w:uiPriority w:val="99"/>
    <w:qFormat/>
    <w:rsid w:val="00FA0586"/>
  </w:style>
  <w:style w:type="character" w:customStyle="1" w:styleId="CommentSubjectChar">
    <w:name w:val="Comment Subject Char"/>
    <w:basedOn w:val="CommentTextChar"/>
    <w:link w:val="CommentSubject"/>
    <w:uiPriority w:val="99"/>
    <w:semiHidden/>
    <w:rsid w:val="00FA0586"/>
    <w:rPr>
      <w:b/>
      <w:bCs/>
    </w:rPr>
  </w:style>
  <w:style w:type="character" w:styleId="Hyperlink">
    <w:name w:val="Hyperlink"/>
    <w:basedOn w:val="DefaultParagraphFont"/>
    <w:uiPriority w:val="99"/>
    <w:unhideWhenUsed/>
    <w:rsid w:val="001532D9"/>
    <w:rPr>
      <w:color w:val="0000FF" w:themeColor="hyperlink"/>
      <w:u w:val="single"/>
    </w:rPr>
  </w:style>
  <w:style w:type="character" w:customStyle="1" w:styleId="UnresolvedMention1">
    <w:name w:val="Unresolved Mention1"/>
    <w:basedOn w:val="DefaultParagraphFont"/>
    <w:uiPriority w:val="99"/>
    <w:semiHidden/>
    <w:unhideWhenUsed/>
    <w:rsid w:val="001532D9"/>
    <w:rPr>
      <w:color w:val="605E5C"/>
      <w:shd w:val="clear" w:color="auto" w:fill="E1DFDD"/>
    </w:rPr>
  </w:style>
  <w:style w:type="character" w:customStyle="1" w:styleId="TableFootnotesAbbreviationsChar">
    <w:name w:val="Table Footnotes/Abbreviations Char"/>
    <w:basedOn w:val="DefaultParagraphFont"/>
    <w:link w:val="TableFootnotesAbbreviations"/>
    <w:rsid w:val="00634E06"/>
    <w:rPr>
      <w:rFonts w:ascii="Calibri Light" w:hAnsi="Calibri Light"/>
      <w:sz w:val="18"/>
    </w:rPr>
  </w:style>
  <w:style w:type="character" w:customStyle="1" w:styleId="cf01">
    <w:name w:val="cf01"/>
    <w:basedOn w:val="DefaultParagraphFont"/>
    <w:rsid w:val="00416EDE"/>
    <w:rPr>
      <w:rFonts w:ascii="Segoe UI" w:hAnsi="Segoe UI" w:cs="Segoe UI" w:hint="default"/>
      <w:color w:val="72828B"/>
      <w:sz w:val="18"/>
      <w:szCs w:val="18"/>
      <w:shd w:val="clear" w:color="auto" w:fill="FFFFFF"/>
    </w:rPr>
  </w:style>
  <w:style w:type="character" w:styleId="FollowedHyperlink">
    <w:name w:val="FollowedHyperlink"/>
    <w:basedOn w:val="DefaultParagraphFont"/>
    <w:uiPriority w:val="99"/>
    <w:semiHidden/>
    <w:unhideWhenUsed/>
    <w:rsid w:val="00E1738B"/>
    <w:rPr>
      <w:color w:val="800080" w:themeColor="followedHyperlink"/>
      <w:u w:val="single"/>
    </w:rPr>
  </w:style>
  <w:style w:type="table" w:styleId="TableGrid">
    <w:name w:val="Table Grid"/>
    <w:basedOn w:val="TableNormal"/>
    <w:uiPriority w:val="59"/>
    <w:rsid w:val="00214DAB"/>
    <w:rPr>
      <w:rFonts w:asciiTheme="minorHAnsi" w:eastAsiaTheme="minorHAnsi" w:hAnsiTheme="minorHAnsi" w:cstheme="minorBidi"/>
      <w:kern w:val="2"/>
      <w:sz w:val="22"/>
      <w:szCs w:val="2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214DAB"/>
    <w:rPr>
      <w:rFonts w:ascii="Segoe UI" w:hAnsi="Segoe UI" w:cs="Segoe UI" w:hint="default"/>
      <w:sz w:val="18"/>
      <w:szCs w:val="18"/>
    </w:rPr>
  </w:style>
  <w:style w:type="character" w:customStyle="1" w:styleId="cf21">
    <w:name w:val="cf21"/>
    <w:basedOn w:val="DefaultParagraphFont"/>
    <w:rsid w:val="00214DAB"/>
    <w:rPr>
      <w:rFonts w:ascii="Segoe UI" w:hAnsi="Segoe UI" w:cs="Segoe UI" w:hint="default"/>
      <w:b/>
      <w:bCs/>
      <w:sz w:val="18"/>
      <w:szCs w:val="18"/>
    </w:rPr>
  </w:style>
  <w:style w:type="character" w:customStyle="1" w:styleId="markad75eehvz">
    <w:name w:val="markad75eehvz"/>
    <w:basedOn w:val="DefaultParagraphFont"/>
    <w:rsid w:val="00214DAB"/>
  </w:style>
  <w:style w:type="character" w:styleId="Strong">
    <w:name w:val="Strong"/>
    <w:basedOn w:val="DefaultParagraphFont"/>
    <w:uiPriority w:val="22"/>
    <w:qFormat/>
    <w:rsid w:val="00214DAB"/>
    <w:rPr>
      <w:b/>
      <w:bCs/>
    </w:rPr>
  </w:style>
  <w:style w:type="character" w:customStyle="1" w:styleId="Heading1Char">
    <w:name w:val="Heading 1 Char"/>
    <w:basedOn w:val="DefaultParagraphFont"/>
    <w:link w:val="Heading1"/>
    <w:rsid w:val="00AA105B"/>
    <w:rPr>
      <w:b/>
      <w:sz w:val="24"/>
    </w:rPr>
  </w:style>
  <w:style w:type="character" w:customStyle="1" w:styleId="Heading2Char">
    <w:name w:val="Heading 2 Char"/>
    <w:basedOn w:val="DefaultParagraphFont"/>
    <w:link w:val="Heading2"/>
    <w:rsid w:val="00AA105B"/>
    <w:rPr>
      <w:b/>
      <w:sz w:val="22"/>
    </w:rPr>
  </w:style>
  <w:style w:type="character" w:customStyle="1" w:styleId="EndNoteBibliographyChar">
    <w:name w:val="EndNote Bibliography Char"/>
    <w:basedOn w:val="DefaultParagraphFont"/>
    <w:link w:val="EndNoteBibliography"/>
    <w:rsid w:val="00491E22"/>
  </w:style>
  <w:style w:type="paragraph" w:customStyle="1" w:styleId="Manuscriptbody">
    <w:name w:val="Manuscript body"/>
    <w:basedOn w:val="NormalWeb"/>
    <w:link w:val="ManuscriptbodyChar"/>
    <w:qFormat/>
    <w:rsid w:val="00E8359E"/>
    <w:pPr>
      <w:spacing w:before="0" w:beforeAutospacing="0" w:line="360" w:lineRule="auto"/>
    </w:pPr>
    <w:rPr>
      <w:rFonts w:ascii="Tahoma" w:hAnsi="Tahoma"/>
      <w:szCs w:val="24"/>
      <w:lang w:val="en-SG" w:eastAsia="ja-JP"/>
    </w:rPr>
  </w:style>
  <w:style w:type="character" w:customStyle="1" w:styleId="ManuscriptbodyChar">
    <w:name w:val="Manuscript body Char"/>
    <w:basedOn w:val="DefaultParagraphFont"/>
    <w:link w:val="Manuscriptbody"/>
    <w:rsid w:val="00E8359E"/>
    <w:rPr>
      <w:rFonts w:ascii="Tahoma" w:hAnsi="Tahoma"/>
      <w:sz w:val="24"/>
      <w:szCs w:val="24"/>
      <w:lang w:val="en-SG" w:eastAsia="ja-JP"/>
    </w:rPr>
  </w:style>
  <w:style w:type="paragraph" w:styleId="TOC1">
    <w:name w:val="toc 1"/>
    <w:basedOn w:val="Normal"/>
    <w:next w:val="Normal"/>
    <w:autoRedefine/>
    <w:uiPriority w:val="39"/>
    <w:unhideWhenUsed/>
    <w:rsid w:val="007F4533"/>
    <w:pPr>
      <w:tabs>
        <w:tab w:val="right" w:leader="dot" w:pos="14006"/>
      </w:tabs>
      <w:spacing w:after="100" w:line="259" w:lineRule="auto"/>
    </w:pPr>
    <w:rPr>
      <w:rFonts w:asciiTheme="minorHAnsi" w:eastAsiaTheme="minorHAnsi" w:hAnsiTheme="minorHAnsi" w:cstheme="minorBidi"/>
      <w:b/>
      <w:bCs/>
      <w:noProof/>
      <w:sz w:val="22"/>
      <w:szCs w:val="22"/>
      <w:lang w:eastAsia="en-US"/>
    </w:rPr>
  </w:style>
  <w:style w:type="paragraph" w:styleId="TOC2">
    <w:name w:val="toc 2"/>
    <w:basedOn w:val="Normal"/>
    <w:next w:val="Normal"/>
    <w:autoRedefine/>
    <w:uiPriority w:val="39"/>
    <w:unhideWhenUsed/>
    <w:rsid w:val="009D7A56"/>
    <w:pPr>
      <w:tabs>
        <w:tab w:val="right" w:leader="dot" w:pos="9016"/>
      </w:tabs>
      <w:spacing w:after="100" w:line="480" w:lineRule="auto"/>
      <w:ind w:left="200"/>
    </w:pPr>
    <w:rPr>
      <w:sz w:val="20"/>
      <w:szCs w:val="20"/>
      <w:lang w:val="en-US" w:eastAsia="en-US"/>
    </w:rPr>
  </w:style>
  <w:style w:type="character" w:customStyle="1" w:styleId="UnresolvedMention">
    <w:name w:val="Unresolved Mention"/>
    <w:basedOn w:val="DefaultParagraphFont"/>
    <w:uiPriority w:val="99"/>
    <w:semiHidden/>
    <w:unhideWhenUsed/>
    <w:rsid w:val="001B098F"/>
    <w:rPr>
      <w:color w:val="605E5C"/>
      <w:shd w:val="clear" w:color="auto" w:fill="E1DFDD"/>
    </w:rPr>
  </w:style>
  <w:style w:type="character" w:customStyle="1" w:styleId="HeaderChar">
    <w:name w:val="Header Char"/>
    <w:basedOn w:val="DefaultParagraphFont"/>
    <w:link w:val="Header"/>
    <w:uiPriority w:val="99"/>
    <w:rsid w:val="0082550A"/>
  </w:style>
  <w:style w:type="paragraph" w:customStyle="1" w:styleId="tables">
    <w:name w:val="tables"/>
    <w:basedOn w:val="Normal"/>
    <w:link w:val="tablesChar"/>
    <w:autoRedefine/>
    <w:qFormat/>
    <w:rsid w:val="0050541B"/>
    <w:pPr>
      <w:keepNext/>
      <w:keepLines/>
      <w:spacing w:before="40" w:line="360" w:lineRule="auto"/>
    </w:pPr>
    <w:rPr>
      <w:rFonts w:eastAsiaTheme="minorHAnsi"/>
      <w:lang w:val="pt-PT" w:eastAsia="pt-PT"/>
    </w:rPr>
  </w:style>
  <w:style w:type="character" w:customStyle="1" w:styleId="tablesChar">
    <w:name w:val="tables Char"/>
    <w:basedOn w:val="DefaultParagraphFont"/>
    <w:link w:val="tables"/>
    <w:rsid w:val="0050541B"/>
    <w:rPr>
      <w:rFonts w:eastAsiaTheme="minorHAnsi"/>
      <w:sz w:val="24"/>
      <w:szCs w:val="24"/>
      <w:lang w:val="pt-PT" w:eastAsia="pt-PT"/>
    </w:rPr>
  </w:style>
  <w:style w:type="character" w:customStyle="1" w:styleId="TabletextChar">
    <w:name w:val="Table text Char"/>
    <w:basedOn w:val="DefaultParagraphFont"/>
    <w:link w:val="Tabletext"/>
    <w:locked/>
    <w:rsid w:val="0050541B"/>
    <w:rPr>
      <w:rFonts w:ascii="Arial" w:hAnsi="Arial"/>
    </w:rPr>
  </w:style>
  <w:style w:type="paragraph" w:customStyle="1" w:styleId="Tabletextindented">
    <w:name w:val="Table text indented"/>
    <w:basedOn w:val="Tabletext"/>
    <w:rsid w:val="0050541B"/>
    <w:pPr>
      <w:spacing w:before="40" w:after="40" w:line="240" w:lineRule="atLeast"/>
      <w:ind w:left="187"/>
    </w:pPr>
    <w:rPr>
      <w:rFonts w:ascii="Verdana" w:hAnsi="Verdana" w:cs="Courier New"/>
      <w:sz w:val="17"/>
      <w:szCs w:val="18"/>
    </w:rPr>
  </w:style>
  <w:style w:type="table" w:styleId="PlainTable2">
    <w:name w:val="Plain Table 2"/>
    <w:basedOn w:val="TableNormal"/>
    <w:uiPriority w:val="42"/>
    <w:rsid w:val="00EC604D"/>
    <w:rPr>
      <w:rFonts w:ascii="Arial" w:eastAsiaTheme="minorHAnsi" w:hAnsi="Arial" w:cs="Arial"/>
      <w:sz w:val="24"/>
      <w:szCs w:val="26"/>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fignote">
    <w:name w:val="tab/fig note"/>
    <w:basedOn w:val="Normal"/>
    <w:qFormat/>
    <w:rsid w:val="00AE61DD"/>
    <w:pPr>
      <w:keepLines/>
      <w:spacing w:before="120" w:line="240" w:lineRule="atLeast"/>
    </w:pPr>
    <w:rPr>
      <w:rFonts w:ascii="Verdana" w:hAnsi="Verdana" w:cs="Courier New"/>
      <w:sz w:val="16"/>
      <w:szCs w:val="18"/>
      <w:lang w:val="en-US" w:eastAsia="en-US"/>
    </w:rPr>
  </w:style>
  <w:style w:type="character" w:styleId="PageNumber">
    <w:name w:val="page number"/>
    <w:basedOn w:val="DefaultParagraphFont"/>
    <w:uiPriority w:val="99"/>
    <w:semiHidden/>
    <w:unhideWhenUsed/>
    <w:rsid w:val="0095197E"/>
  </w:style>
  <w:style w:type="paragraph" w:customStyle="1" w:styleId="TableTitle">
    <w:name w:val="Table Title"/>
    <w:basedOn w:val="Normal"/>
    <w:rsid w:val="0050738A"/>
    <w:pPr>
      <w:keepNext/>
      <w:keepLines/>
      <w:numPr>
        <w:numId w:val="12"/>
      </w:numPr>
      <w:spacing w:before="320" w:after="120" w:line="240" w:lineRule="atLeast"/>
    </w:pPr>
    <w:rPr>
      <w:rFonts w:ascii="Arial" w:hAnsi="Arial" w:cs="Courier New"/>
      <w:b/>
      <w:sz w:val="20"/>
      <w:szCs w:val="18"/>
      <w:lang w:val="en-US" w:eastAsia="en-US"/>
    </w:rPr>
  </w:style>
  <w:style w:type="character" w:customStyle="1" w:styleId="FooterChar">
    <w:name w:val="Footer Char"/>
    <w:basedOn w:val="DefaultParagraphFont"/>
    <w:link w:val="Footer"/>
    <w:uiPriority w:val="99"/>
    <w:rsid w:val="00156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9096">
      <w:bodyDiv w:val="1"/>
      <w:marLeft w:val="0"/>
      <w:marRight w:val="0"/>
      <w:marTop w:val="0"/>
      <w:marBottom w:val="0"/>
      <w:divBdr>
        <w:top w:val="none" w:sz="0" w:space="0" w:color="auto"/>
        <w:left w:val="none" w:sz="0" w:space="0" w:color="auto"/>
        <w:bottom w:val="none" w:sz="0" w:space="0" w:color="auto"/>
        <w:right w:val="none" w:sz="0" w:space="0" w:color="auto"/>
      </w:divBdr>
    </w:div>
    <w:div w:id="47654613">
      <w:bodyDiv w:val="1"/>
      <w:marLeft w:val="0"/>
      <w:marRight w:val="0"/>
      <w:marTop w:val="0"/>
      <w:marBottom w:val="0"/>
      <w:divBdr>
        <w:top w:val="none" w:sz="0" w:space="0" w:color="auto"/>
        <w:left w:val="none" w:sz="0" w:space="0" w:color="auto"/>
        <w:bottom w:val="none" w:sz="0" w:space="0" w:color="auto"/>
        <w:right w:val="none" w:sz="0" w:space="0" w:color="auto"/>
      </w:divBdr>
    </w:div>
    <w:div w:id="63457121">
      <w:bodyDiv w:val="1"/>
      <w:marLeft w:val="0"/>
      <w:marRight w:val="0"/>
      <w:marTop w:val="0"/>
      <w:marBottom w:val="0"/>
      <w:divBdr>
        <w:top w:val="none" w:sz="0" w:space="0" w:color="auto"/>
        <w:left w:val="none" w:sz="0" w:space="0" w:color="auto"/>
        <w:bottom w:val="none" w:sz="0" w:space="0" w:color="auto"/>
        <w:right w:val="none" w:sz="0" w:space="0" w:color="auto"/>
      </w:divBdr>
    </w:div>
    <w:div w:id="77792877">
      <w:bodyDiv w:val="1"/>
      <w:marLeft w:val="0"/>
      <w:marRight w:val="0"/>
      <w:marTop w:val="0"/>
      <w:marBottom w:val="0"/>
      <w:divBdr>
        <w:top w:val="none" w:sz="0" w:space="0" w:color="auto"/>
        <w:left w:val="none" w:sz="0" w:space="0" w:color="auto"/>
        <w:bottom w:val="none" w:sz="0" w:space="0" w:color="auto"/>
        <w:right w:val="none" w:sz="0" w:space="0" w:color="auto"/>
      </w:divBdr>
    </w:div>
    <w:div w:id="116608003">
      <w:bodyDiv w:val="1"/>
      <w:marLeft w:val="0"/>
      <w:marRight w:val="0"/>
      <w:marTop w:val="0"/>
      <w:marBottom w:val="0"/>
      <w:divBdr>
        <w:top w:val="none" w:sz="0" w:space="0" w:color="auto"/>
        <w:left w:val="none" w:sz="0" w:space="0" w:color="auto"/>
        <w:bottom w:val="none" w:sz="0" w:space="0" w:color="auto"/>
        <w:right w:val="none" w:sz="0" w:space="0" w:color="auto"/>
      </w:divBdr>
    </w:div>
    <w:div w:id="152379561">
      <w:bodyDiv w:val="1"/>
      <w:marLeft w:val="0"/>
      <w:marRight w:val="0"/>
      <w:marTop w:val="0"/>
      <w:marBottom w:val="0"/>
      <w:divBdr>
        <w:top w:val="none" w:sz="0" w:space="0" w:color="auto"/>
        <w:left w:val="none" w:sz="0" w:space="0" w:color="auto"/>
        <w:bottom w:val="none" w:sz="0" w:space="0" w:color="auto"/>
        <w:right w:val="none" w:sz="0" w:space="0" w:color="auto"/>
      </w:divBdr>
    </w:div>
    <w:div w:id="177542702">
      <w:bodyDiv w:val="1"/>
      <w:marLeft w:val="0"/>
      <w:marRight w:val="0"/>
      <w:marTop w:val="0"/>
      <w:marBottom w:val="0"/>
      <w:divBdr>
        <w:top w:val="none" w:sz="0" w:space="0" w:color="auto"/>
        <w:left w:val="none" w:sz="0" w:space="0" w:color="auto"/>
        <w:bottom w:val="none" w:sz="0" w:space="0" w:color="auto"/>
        <w:right w:val="none" w:sz="0" w:space="0" w:color="auto"/>
      </w:divBdr>
    </w:div>
    <w:div w:id="184948944">
      <w:bodyDiv w:val="1"/>
      <w:marLeft w:val="0"/>
      <w:marRight w:val="0"/>
      <w:marTop w:val="0"/>
      <w:marBottom w:val="0"/>
      <w:divBdr>
        <w:top w:val="none" w:sz="0" w:space="0" w:color="auto"/>
        <w:left w:val="none" w:sz="0" w:space="0" w:color="auto"/>
        <w:bottom w:val="none" w:sz="0" w:space="0" w:color="auto"/>
        <w:right w:val="none" w:sz="0" w:space="0" w:color="auto"/>
      </w:divBdr>
    </w:div>
    <w:div w:id="198396312">
      <w:bodyDiv w:val="1"/>
      <w:marLeft w:val="0"/>
      <w:marRight w:val="0"/>
      <w:marTop w:val="0"/>
      <w:marBottom w:val="0"/>
      <w:divBdr>
        <w:top w:val="none" w:sz="0" w:space="0" w:color="auto"/>
        <w:left w:val="none" w:sz="0" w:space="0" w:color="auto"/>
        <w:bottom w:val="none" w:sz="0" w:space="0" w:color="auto"/>
        <w:right w:val="none" w:sz="0" w:space="0" w:color="auto"/>
      </w:divBdr>
    </w:div>
    <w:div w:id="210462380">
      <w:bodyDiv w:val="1"/>
      <w:marLeft w:val="0"/>
      <w:marRight w:val="0"/>
      <w:marTop w:val="0"/>
      <w:marBottom w:val="0"/>
      <w:divBdr>
        <w:top w:val="none" w:sz="0" w:space="0" w:color="auto"/>
        <w:left w:val="none" w:sz="0" w:space="0" w:color="auto"/>
        <w:bottom w:val="none" w:sz="0" w:space="0" w:color="auto"/>
        <w:right w:val="none" w:sz="0" w:space="0" w:color="auto"/>
      </w:divBdr>
    </w:div>
    <w:div w:id="231745281">
      <w:bodyDiv w:val="1"/>
      <w:marLeft w:val="0"/>
      <w:marRight w:val="0"/>
      <w:marTop w:val="0"/>
      <w:marBottom w:val="0"/>
      <w:divBdr>
        <w:top w:val="none" w:sz="0" w:space="0" w:color="auto"/>
        <w:left w:val="none" w:sz="0" w:space="0" w:color="auto"/>
        <w:bottom w:val="none" w:sz="0" w:space="0" w:color="auto"/>
        <w:right w:val="none" w:sz="0" w:space="0" w:color="auto"/>
      </w:divBdr>
    </w:div>
    <w:div w:id="295259920">
      <w:bodyDiv w:val="1"/>
      <w:marLeft w:val="0"/>
      <w:marRight w:val="0"/>
      <w:marTop w:val="0"/>
      <w:marBottom w:val="0"/>
      <w:divBdr>
        <w:top w:val="none" w:sz="0" w:space="0" w:color="auto"/>
        <w:left w:val="none" w:sz="0" w:space="0" w:color="auto"/>
        <w:bottom w:val="none" w:sz="0" w:space="0" w:color="auto"/>
        <w:right w:val="none" w:sz="0" w:space="0" w:color="auto"/>
      </w:divBdr>
    </w:div>
    <w:div w:id="310209362">
      <w:bodyDiv w:val="1"/>
      <w:marLeft w:val="0"/>
      <w:marRight w:val="0"/>
      <w:marTop w:val="0"/>
      <w:marBottom w:val="0"/>
      <w:divBdr>
        <w:top w:val="none" w:sz="0" w:space="0" w:color="auto"/>
        <w:left w:val="none" w:sz="0" w:space="0" w:color="auto"/>
        <w:bottom w:val="none" w:sz="0" w:space="0" w:color="auto"/>
        <w:right w:val="none" w:sz="0" w:space="0" w:color="auto"/>
      </w:divBdr>
    </w:div>
    <w:div w:id="332953480">
      <w:bodyDiv w:val="1"/>
      <w:marLeft w:val="0"/>
      <w:marRight w:val="0"/>
      <w:marTop w:val="0"/>
      <w:marBottom w:val="0"/>
      <w:divBdr>
        <w:top w:val="none" w:sz="0" w:space="0" w:color="auto"/>
        <w:left w:val="none" w:sz="0" w:space="0" w:color="auto"/>
        <w:bottom w:val="none" w:sz="0" w:space="0" w:color="auto"/>
        <w:right w:val="none" w:sz="0" w:space="0" w:color="auto"/>
      </w:divBdr>
    </w:div>
    <w:div w:id="334066508">
      <w:bodyDiv w:val="1"/>
      <w:marLeft w:val="0"/>
      <w:marRight w:val="0"/>
      <w:marTop w:val="0"/>
      <w:marBottom w:val="0"/>
      <w:divBdr>
        <w:top w:val="none" w:sz="0" w:space="0" w:color="auto"/>
        <w:left w:val="none" w:sz="0" w:space="0" w:color="auto"/>
        <w:bottom w:val="none" w:sz="0" w:space="0" w:color="auto"/>
        <w:right w:val="none" w:sz="0" w:space="0" w:color="auto"/>
      </w:divBdr>
    </w:div>
    <w:div w:id="392437509">
      <w:bodyDiv w:val="1"/>
      <w:marLeft w:val="0"/>
      <w:marRight w:val="0"/>
      <w:marTop w:val="0"/>
      <w:marBottom w:val="0"/>
      <w:divBdr>
        <w:top w:val="none" w:sz="0" w:space="0" w:color="auto"/>
        <w:left w:val="none" w:sz="0" w:space="0" w:color="auto"/>
        <w:bottom w:val="none" w:sz="0" w:space="0" w:color="auto"/>
        <w:right w:val="none" w:sz="0" w:space="0" w:color="auto"/>
      </w:divBdr>
    </w:div>
    <w:div w:id="411007487">
      <w:bodyDiv w:val="1"/>
      <w:marLeft w:val="0"/>
      <w:marRight w:val="0"/>
      <w:marTop w:val="0"/>
      <w:marBottom w:val="0"/>
      <w:divBdr>
        <w:top w:val="none" w:sz="0" w:space="0" w:color="auto"/>
        <w:left w:val="none" w:sz="0" w:space="0" w:color="auto"/>
        <w:bottom w:val="none" w:sz="0" w:space="0" w:color="auto"/>
        <w:right w:val="none" w:sz="0" w:space="0" w:color="auto"/>
      </w:divBdr>
    </w:div>
    <w:div w:id="421025717">
      <w:bodyDiv w:val="1"/>
      <w:marLeft w:val="0"/>
      <w:marRight w:val="0"/>
      <w:marTop w:val="0"/>
      <w:marBottom w:val="0"/>
      <w:divBdr>
        <w:top w:val="none" w:sz="0" w:space="0" w:color="auto"/>
        <w:left w:val="none" w:sz="0" w:space="0" w:color="auto"/>
        <w:bottom w:val="none" w:sz="0" w:space="0" w:color="auto"/>
        <w:right w:val="none" w:sz="0" w:space="0" w:color="auto"/>
      </w:divBdr>
    </w:div>
    <w:div w:id="443623425">
      <w:bodyDiv w:val="1"/>
      <w:marLeft w:val="0"/>
      <w:marRight w:val="0"/>
      <w:marTop w:val="0"/>
      <w:marBottom w:val="0"/>
      <w:divBdr>
        <w:top w:val="none" w:sz="0" w:space="0" w:color="auto"/>
        <w:left w:val="none" w:sz="0" w:space="0" w:color="auto"/>
        <w:bottom w:val="none" w:sz="0" w:space="0" w:color="auto"/>
        <w:right w:val="none" w:sz="0" w:space="0" w:color="auto"/>
      </w:divBdr>
    </w:div>
    <w:div w:id="467667855">
      <w:bodyDiv w:val="1"/>
      <w:marLeft w:val="0"/>
      <w:marRight w:val="0"/>
      <w:marTop w:val="0"/>
      <w:marBottom w:val="0"/>
      <w:divBdr>
        <w:top w:val="none" w:sz="0" w:space="0" w:color="auto"/>
        <w:left w:val="none" w:sz="0" w:space="0" w:color="auto"/>
        <w:bottom w:val="none" w:sz="0" w:space="0" w:color="auto"/>
        <w:right w:val="none" w:sz="0" w:space="0" w:color="auto"/>
      </w:divBdr>
    </w:div>
    <w:div w:id="476261477">
      <w:bodyDiv w:val="1"/>
      <w:marLeft w:val="0"/>
      <w:marRight w:val="0"/>
      <w:marTop w:val="0"/>
      <w:marBottom w:val="0"/>
      <w:divBdr>
        <w:top w:val="none" w:sz="0" w:space="0" w:color="auto"/>
        <w:left w:val="none" w:sz="0" w:space="0" w:color="auto"/>
        <w:bottom w:val="none" w:sz="0" w:space="0" w:color="auto"/>
        <w:right w:val="none" w:sz="0" w:space="0" w:color="auto"/>
      </w:divBdr>
    </w:div>
    <w:div w:id="486746916">
      <w:bodyDiv w:val="1"/>
      <w:marLeft w:val="0"/>
      <w:marRight w:val="0"/>
      <w:marTop w:val="0"/>
      <w:marBottom w:val="0"/>
      <w:divBdr>
        <w:top w:val="none" w:sz="0" w:space="0" w:color="auto"/>
        <w:left w:val="none" w:sz="0" w:space="0" w:color="auto"/>
        <w:bottom w:val="none" w:sz="0" w:space="0" w:color="auto"/>
        <w:right w:val="none" w:sz="0" w:space="0" w:color="auto"/>
      </w:divBdr>
    </w:div>
    <w:div w:id="525288391">
      <w:bodyDiv w:val="1"/>
      <w:marLeft w:val="0"/>
      <w:marRight w:val="0"/>
      <w:marTop w:val="0"/>
      <w:marBottom w:val="0"/>
      <w:divBdr>
        <w:top w:val="none" w:sz="0" w:space="0" w:color="auto"/>
        <w:left w:val="none" w:sz="0" w:space="0" w:color="auto"/>
        <w:bottom w:val="none" w:sz="0" w:space="0" w:color="auto"/>
        <w:right w:val="none" w:sz="0" w:space="0" w:color="auto"/>
      </w:divBdr>
    </w:div>
    <w:div w:id="527256336">
      <w:bodyDiv w:val="1"/>
      <w:marLeft w:val="0"/>
      <w:marRight w:val="0"/>
      <w:marTop w:val="0"/>
      <w:marBottom w:val="0"/>
      <w:divBdr>
        <w:top w:val="none" w:sz="0" w:space="0" w:color="auto"/>
        <w:left w:val="none" w:sz="0" w:space="0" w:color="auto"/>
        <w:bottom w:val="none" w:sz="0" w:space="0" w:color="auto"/>
        <w:right w:val="none" w:sz="0" w:space="0" w:color="auto"/>
      </w:divBdr>
    </w:div>
    <w:div w:id="539443034">
      <w:bodyDiv w:val="1"/>
      <w:marLeft w:val="0"/>
      <w:marRight w:val="0"/>
      <w:marTop w:val="0"/>
      <w:marBottom w:val="0"/>
      <w:divBdr>
        <w:top w:val="none" w:sz="0" w:space="0" w:color="auto"/>
        <w:left w:val="none" w:sz="0" w:space="0" w:color="auto"/>
        <w:bottom w:val="none" w:sz="0" w:space="0" w:color="auto"/>
        <w:right w:val="none" w:sz="0" w:space="0" w:color="auto"/>
      </w:divBdr>
    </w:div>
    <w:div w:id="560136773">
      <w:bodyDiv w:val="1"/>
      <w:marLeft w:val="0"/>
      <w:marRight w:val="0"/>
      <w:marTop w:val="0"/>
      <w:marBottom w:val="0"/>
      <w:divBdr>
        <w:top w:val="none" w:sz="0" w:space="0" w:color="auto"/>
        <w:left w:val="none" w:sz="0" w:space="0" w:color="auto"/>
        <w:bottom w:val="none" w:sz="0" w:space="0" w:color="auto"/>
        <w:right w:val="none" w:sz="0" w:space="0" w:color="auto"/>
      </w:divBdr>
    </w:div>
    <w:div w:id="571696240">
      <w:bodyDiv w:val="1"/>
      <w:marLeft w:val="0"/>
      <w:marRight w:val="0"/>
      <w:marTop w:val="0"/>
      <w:marBottom w:val="0"/>
      <w:divBdr>
        <w:top w:val="none" w:sz="0" w:space="0" w:color="auto"/>
        <w:left w:val="none" w:sz="0" w:space="0" w:color="auto"/>
        <w:bottom w:val="none" w:sz="0" w:space="0" w:color="auto"/>
        <w:right w:val="none" w:sz="0" w:space="0" w:color="auto"/>
      </w:divBdr>
    </w:div>
    <w:div w:id="599221871">
      <w:bodyDiv w:val="1"/>
      <w:marLeft w:val="0"/>
      <w:marRight w:val="0"/>
      <w:marTop w:val="0"/>
      <w:marBottom w:val="0"/>
      <w:divBdr>
        <w:top w:val="none" w:sz="0" w:space="0" w:color="auto"/>
        <w:left w:val="none" w:sz="0" w:space="0" w:color="auto"/>
        <w:bottom w:val="none" w:sz="0" w:space="0" w:color="auto"/>
        <w:right w:val="none" w:sz="0" w:space="0" w:color="auto"/>
      </w:divBdr>
    </w:div>
    <w:div w:id="613558357">
      <w:bodyDiv w:val="1"/>
      <w:marLeft w:val="0"/>
      <w:marRight w:val="0"/>
      <w:marTop w:val="0"/>
      <w:marBottom w:val="0"/>
      <w:divBdr>
        <w:top w:val="none" w:sz="0" w:space="0" w:color="auto"/>
        <w:left w:val="none" w:sz="0" w:space="0" w:color="auto"/>
        <w:bottom w:val="none" w:sz="0" w:space="0" w:color="auto"/>
        <w:right w:val="none" w:sz="0" w:space="0" w:color="auto"/>
      </w:divBdr>
    </w:div>
    <w:div w:id="660087532">
      <w:bodyDiv w:val="1"/>
      <w:marLeft w:val="0"/>
      <w:marRight w:val="0"/>
      <w:marTop w:val="0"/>
      <w:marBottom w:val="0"/>
      <w:divBdr>
        <w:top w:val="none" w:sz="0" w:space="0" w:color="auto"/>
        <w:left w:val="none" w:sz="0" w:space="0" w:color="auto"/>
        <w:bottom w:val="none" w:sz="0" w:space="0" w:color="auto"/>
        <w:right w:val="none" w:sz="0" w:space="0" w:color="auto"/>
      </w:divBdr>
    </w:div>
    <w:div w:id="680398536">
      <w:bodyDiv w:val="1"/>
      <w:marLeft w:val="0"/>
      <w:marRight w:val="0"/>
      <w:marTop w:val="0"/>
      <w:marBottom w:val="0"/>
      <w:divBdr>
        <w:top w:val="none" w:sz="0" w:space="0" w:color="auto"/>
        <w:left w:val="none" w:sz="0" w:space="0" w:color="auto"/>
        <w:bottom w:val="none" w:sz="0" w:space="0" w:color="auto"/>
        <w:right w:val="none" w:sz="0" w:space="0" w:color="auto"/>
      </w:divBdr>
    </w:div>
    <w:div w:id="697898924">
      <w:bodyDiv w:val="1"/>
      <w:marLeft w:val="0"/>
      <w:marRight w:val="0"/>
      <w:marTop w:val="0"/>
      <w:marBottom w:val="0"/>
      <w:divBdr>
        <w:top w:val="none" w:sz="0" w:space="0" w:color="auto"/>
        <w:left w:val="none" w:sz="0" w:space="0" w:color="auto"/>
        <w:bottom w:val="none" w:sz="0" w:space="0" w:color="auto"/>
        <w:right w:val="none" w:sz="0" w:space="0" w:color="auto"/>
      </w:divBdr>
    </w:div>
    <w:div w:id="722946223">
      <w:bodyDiv w:val="1"/>
      <w:marLeft w:val="0"/>
      <w:marRight w:val="0"/>
      <w:marTop w:val="0"/>
      <w:marBottom w:val="0"/>
      <w:divBdr>
        <w:top w:val="none" w:sz="0" w:space="0" w:color="auto"/>
        <w:left w:val="none" w:sz="0" w:space="0" w:color="auto"/>
        <w:bottom w:val="none" w:sz="0" w:space="0" w:color="auto"/>
        <w:right w:val="none" w:sz="0" w:space="0" w:color="auto"/>
      </w:divBdr>
    </w:div>
    <w:div w:id="723724386">
      <w:bodyDiv w:val="1"/>
      <w:marLeft w:val="0"/>
      <w:marRight w:val="0"/>
      <w:marTop w:val="0"/>
      <w:marBottom w:val="0"/>
      <w:divBdr>
        <w:top w:val="none" w:sz="0" w:space="0" w:color="auto"/>
        <w:left w:val="none" w:sz="0" w:space="0" w:color="auto"/>
        <w:bottom w:val="none" w:sz="0" w:space="0" w:color="auto"/>
        <w:right w:val="none" w:sz="0" w:space="0" w:color="auto"/>
      </w:divBdr>
    </w:div>
    <w:div w:id="727800463">
      <w:bodyDiv w:val="1"/>
      <w:marLeft w:val="0"/>
      <w:marRight w:val="0"/>
      <w:marTop w:val="0"/>
      <w:marBottom w:val="0"/>
      <w:divBdr>
        <w:top w:val="none" w:sz="0" w:space="0" w:color="auto"/>
        <w:left w:val="none" w:sz="0" w:space="0" w:color="auto"/>
        <w:bottom w:val="none" w:sz="0" w:space="0" w:color="auto"/>
        <w:right w:val="none" w:sz="0" w:space="0" w:color="auto"/>
      </w:divBdr>
    </w:div>
    <w:div w:id="756899389">
      <w:bodyDiv w:val="1"/>
      <w:marLeft w:val="0"/>
      <w:marRight w:val="0"/>
      <w:marTop w:val="0"/>
      <w:marBottom w:val="0"/>
      <w:divBdr>
        <w:top w:val="none" w:sz="0" w:space="0" w:color="auto"/>
        <w:left w:val="none" w:sz="0" w:space="0" w:color="auto"/>
        <w:bottom w:val="none" w:sz="0" w:space="0" w:color="auto"/>
        <w:right w:val="none" w:sz="0" w:space="0" w:color="auto"/>
      </w:divBdr>
    </w:div>
    <w:div w:id="766193528">
      <w:bodyDiv w:val="1"/>
      <w:marLeft w:val="0"/>
      <w:marRight w:val="0"/>
      <w:marTop w:val="0"/>
      <w:marBottom w:val="0"/>
      <w:divBdr>
        <w:top w:val="none" w:sz="0" w:space="0" w:color="auto"/>
        <w:left w:val="none" w:sz="0" w:space="0" w:color="auto"/>
        <w:bottom w:val="none" w:sz="0" w:space="0" w:color="auto"/>
        <w:right w:val="none" w:sz="0" w:space="0" w:color="auto"/>
      </w:divBdr>
    </w:div>
    <w:div w:id="845905630">
      <w:bodyDiv w:val="1"/>
      <w:marLeft w:val="0"/>
      <w:marRight w:val="0"/>
      <w:marTop w:val="0"/>
      <w:marBottom w:val="0"/>
      <w:divBdr>
        <w:top w:val="none" w:sz="0" w:space="0" w:color="auto"/>
        <w:left w:val="none" w:sz="0" w:space="0" w:color="auto"/>
        <w:bottom w:val="none" w:sz="0" w:space="0" w:color="auto"/>
        <w:right w:val="none" w:sz="0" w:space="0" w:color="auto"/>
      </w:divBdr>
    </w:div>
    <w:div w:id="847328752">
      <w:bodyDiv w:val="1"/>
      <w:marLeft w:val="0"/>
      <w:marRight w:val="0"/>
      <w:marTop w:val="0"/>
      <w:marBottom w:val="0"/>
      <w:divBdr>
        <w:top w:val="none" w:sz="0" w:space="0" w:color="auto"/>
        <w:left w:val="none" w:sz="0" w:space="0" w:color="auto"/>
        <w:bottom w:val="none" w:sz="0" w:space="0" w:color="auto"/>
        <w:right w:val="none" w:sz="0" w:space="0" w:color="auto"/>
      </w:divBdr>
    </w:div>
    <w:div w:id="856122052">
      <w:bodyDiv w:val="1"/>
      <w:marLeft w:val="0"/>
      <w:marRight w:val="0"/>
      <w:marTop w:val="0"/>
      <w:marBottom w:val="0"/>
      <w:divBdr>
        <w:top w:val="none" w:sz="0" w:space="0" w:color="auto"/>
        <w:left w:val="none" w:sz="0" w:space="0" w:color="auto"/>
        <w:bottom w:val="none" w:sz="0" w:space="0" w:color="auto"/>
        <w:right w:val="none" w:sz="0" w:space="0" w:color="auto"/>
      </w:divBdr>
    </w:div>
    <w:div w:id="900679249">
      <w:bodyDiv w:val="1"/>
      <w:marLeft w:val="0"/>
      <w:marRight w:val="0"/>
      <w:marTop w:val="0"/>
      <w:marBottom w:val="0"/>
      <w:divBdr>
        <w:top w:val="none" w:sz="0" w:space="0" w:color="auto"/>
        <w:left w:val="none" w:sz="0" w:space="0" w:color="auto"/>
        <w:bottom w:val="none" w:sz="0" w:space="0" w:color="auto"/>
        <w:right w:val="none" w:sz="0" w:space="0" w:color="auto"/>
      </w:divBdr>
    </w:div>
    <w:div w:id="908265684">
      <w:bodyDiv w:val="1"/>
      <w:marLeft w:val="0"/>
      <w:marRight w:val="0"/>
      <w:marTop w:val="0"/>
      <w:marBottom w:val="0"/>
      <w:divBdr>
        <w:top w:val="none" w:sz="0" w:space="0" w:color="auto"/>
        <w:left w:val="none" w:sz="0" w:space="0" w:color="auto"/>
        <w:bottom w:val="none" w:sz="0" w:space="0" w:color="auto"/>
        <w:right w:val="none" w:sz="0" w:space="0" w:color="auto"/>
      </w:divBdr>
    </w:div>
    <w:div w:id="920019849">
      <w:bodyDiv w:val="1"/>
      <w:marLeft w:val="0"/>
      <w:marRight w:val="0"/>
      <w:marTop w:val="0"/>
      <w:marBottom w:val="0"/>
      <w:divBdr>
        <w:top w:val="none" w:sz="0" w:space="0" w:color="auto"/>
        <w:left w:val="none" w:sz="0" w:space="0" w:color="auto"/>
        <w:bottom w:val="none" w:sz="0" w:space="0" w:color="auto"/>
        <w:right w:val="none" w:sz="0" w:space="0" w:color="auto"/>
      </w:divBdr>
    </w:div>
    <w:div w:id="952132825">
      <w:bodyDiv w:val="1"/>
      <w:marLeft w:val="0"/>
      <w:marRight w:val="0"/>
      <w:marTop w:val="0"/>
      <w:marBottom w:val="0"/>
      <w:divBdr>
        <w:top w:val="none" w:sz="0" w:space="0" w:color="auto"/>
        <w:left w:val="none" w:sz="0" w:space="0" w:color="auto"/>
        <w:bottom w:val="none" w:sz="0" w:space="0" w:color="auto"/>
        <w:right w:val="none" w:sz="0" w:space="0" w:color="auto"/>
      </w:divBdr>
    </w:div>
    <w:div w:id="953097495">
      <w:bodyDiv w:val="1"/>
      <w:marLeft w:val="0"/>
      <w:marRight w:val="0"/>
      <w:marTop w:val="0"/>
      <w:marBottom w:val="0"/>
      <w:divBdr>
        <w:top w:val="none" w:sz="0" w:space="0" w:color="auto"/>
        <w:left w:val="none" w:sz="0" w:space="0" w:color="auto"/>
        <w:bottom w:val="none" w:sz="0" w:space="0" w:color="auto"/>
        <w:right w:val="none" w:sz="0" w:space="0" w:color="auto"/>
      </w:divBdr>
    </w:div>
    <w:div w:id="977538305">
      <w:bodyDiv w:val="1"/>
      <w:marLeft w:val="0"/>
      <w:marRight w:val="0"/>
      <w:marTop w:val="0"/>
      <w:marBottom w:val="0"/>
      <w:divBdr>
        <w:top w:val="none" w:sz="0" w:space="0" w:color="auto"/>
        <w:left w:val="none" w:sz="0" w:space="0" w:color="auto"/>
        <w:bottom w:val="none" w:sz="0" w:space="0" w:color="auto"/>
        <w:right w:val="none" w:sz="0" w:space="0" w:color="auto"/>
      </w:divBdr>
    </w:div>
    <w:div w:id="984045707">
      <w:bodyDiv w:val="1"/>
      <w:marLeft w:val="0"/>
      <w:marRight w:val="0"/>
      <w:marTop w:val="0"/>
      <w:marBottom w:val="0"/>
      <w:divBdr>
        <w:top w:val="none" w:sz="0" w:space="0" w:color="auto"/>
        <w:left w:val="none" w:sz="0" w:space="0" w:color="auto"/>
        <w:bottom w:val="none" w:sz="0" w:space="0" w:color="auto"/>
        <w:right w:val="none" w:sz="0" w:space="0" w:color="auto"/>
      </w:divBdr>
    </w:div>
    <w:div w:id="1029916168">
      <w:bodyDiv w:val="1"/>
      <w:marLeft w:val="0"/>
      <w:marRight w:val="0"/>
      <w:marTop w:val="0"/>
      <w:marBottom w:val="0"/>
      <w:divBdr>
        <w:top w:val="none" w:sz="0" w:space="0" w:color="auto"/>
        <w:left w:val="none" w:sz="0" w:space="0" w:color="auto"/>
        <w:bottom w:val="none" w:sz="0" w:space="0" w:color="auto"/>
        <w:right w:val="none" w:sz="0" w:space="0" w:color="auto"/>
      </w:divBdr>
    </w:div>
    <w:div w:id="1032339264">
      <w:bodyDiv w:val="1"/>
      <w:marLeft w:val="0"/>
      <w:marRight w:val="0"/>
      <w:marTop w:val="0"/>
      <w:marBottom w:val="0"/>
      <w:divBdr>
        <w:top w:val="none" w:sz="0" w:space="0" w:color="auto"/>
        <w:left w:val="none" w:sz="0" w:space="0" w:color="auto"/>
        <w:bottom w:val="none" w:sz="0" w:space="0" w:color="auto"/>
        <w:right w:val="none" w:sz="0" w:space="0" w:color="auto"/>
      </w:divBdr>
    </w:div>
    <w:div w:id="1063066156">
      <w:bodyDiv w:val="1"/>
      <w:marLeft w:val="0"/>
      <w:marRight w:val="0"/>
      <w:marTop w:val="0"/>
      <w:marBottom w:val="0"/>
      <w:divBdr>
        <w:top w:val="none" w:sz="0" w:space="0" w:color="auto"/>
        <w:left w:val="none" w:sz="0" w:space="0" w:color="auto"/>
        <w:bottom w:val="none" w:sz="0" w:space="0" w:color="auto"/>
        <w:right w:val="none" w:sz="0" w:space="0" w:color="auto"/>
      </w:divBdr>
    </w:div>
    <w:div w:id="1071349552">
      <w:bodyDiv w:val="1"/>
      <w:marLeft w:val="0"/>
      <w:marRight w:val="0"/>
      <w:marTop w:val="0"/>
      <w:marBottom w:val="0"/>
      <w:divBdr>
        <w:top w:val="none" w:sz="0" w:space="0" w:color="auto"/>
        <w:left w:val="none" w:sz="0" w:space="0" w:color="auto"/>
        <w:bottom w:val="none" w:sz="0" w:space="0" w:color="auto"/>
        <w:right w:val="none" w:sz="0" w:space="0" w:color="auto"/>
      </w:divBdr>
    </w:div>
    <w:div w:id="1142964874">
      <w:bodyDiv w:val="1"/>
      <w:marLeft w:val="0"/>
      <w:marRight w:val="0"/>
      <w:marTop w:val="0"/>
      <w:marBottom w:val="0"/>
      <w:divBdr>
        <w:top w:val="none" w:sz="0" w:space="0" w:color="auto"/>
        <w:left w:val="none" w:sz="0" w:space="0" w:color="auto"/>
        <w:bottom w:val="none" w:sz="0" w:space="0" w:color="auto"/>
        <w:right w:val="none" w:sz="0" w:space="0" w:color="auto"/>
      </w:divBdr>
    </w:div>
    <w:div w:id="1154106805">
      <w:bodyDiv w:val="1"/>
      <w:marLeft w:val="0"/>
      <w:marRight w:val="0"/>
      <w:marTop w:val="0"/>
      <w:marBottom w:val="0"/>
      <w:divBdr>
        <w:top w:val="none" w:sz="0" w:space="0" w:color="auto"/>
        <w:left w:val="none" w:sz="0" w:space="0" w:color="auto"/>
        <w:bottom w:val="none" w:sz="0" w:space="0" w:color="auto"/>
        <w:right w:val="none" w:sz="0" w:space="0" w:color="auto"/>
      </w:divBdr>
    </w:div>
    <w:div w:id="1162962541">
      <w:bodyDiv w:val="1"/>
      <w:marLeft w:val="0"/>
      <w:marRight w:val="0"/>
      <w:marTop w:val="0"/>
      <w:marBottom w:val="0"/>
      <w:divBdr>
        <w:top w:val="none" w:sz="0" w:space="0" w:color="auto"/>
        <w:left w:val="none" w:sz="0" w:space="0" w:color="auto"/>
        <w:bottom w:val="none" w:sz="0" w:space="0" w:color="auto"/>
        <w:right w:val="none" w:sz="0" w:space="0" w:color="auto"/>
      </w:divBdr>
    </w:div>
    <w:div w:id="1188757992">
      <w:bodyDiv w:val="1"/>
      <w:marLeft w:val="0"/>
      <w:marRight w:val="0"/>
      <w:marTop w:val="0"/>
      <w:marBottom w:val="0"/>
      <w:divBdr>
        <w:top w:val="none" w:sz="0" w:space="0" w:color="auto"/>
        <w:left w:val="none" w:sz="0" w:space="0" w:color="auto"/>
        <w:bottom w:val="none" w:sz="0" w:space="0" w:color="auto"/>
        <w:right w:val="none" w:sz="0" w:space="0" w:color="auto"/>
      </w:divBdr>
    </w:div>
    <w:div w:id="1217012641">
      <w:bodyDiv w:val="1"/>
      <w:marLeft w:val="0"/>
      <w:marRight w:val="0"/>
      <w:marTop w:val="0"/>
      <w:marBottom w:val="0"/>
      <w:divBdr>
        <w:top w:val="none" w:sz="0" w:space="0" w:color="auto"/>
        <w:left w:val="none" w:sz="0" w:space="0" w:color="auto"/>
        <w:bottom w:val="none" w:sz="0" w:space="0" w:color="auto"/>
        <w:right w:val="none" w:sz="0" w:space="0" w:color="auto"/>
      </w:divBdr>
    </w:div>
    <w:div w:id="1266305830">
      <w:bodyDiv w:val="1"/>
      <w:marLeft w:val="0"/>
      <w:marRight w:val="0"/>
      <w:marTop w:val="0"/>
      <w:marBottom w:val="0"/>
      <w:divBdr>
        <w:top w:val="none" w:sz="0" w:space="0" w:color="auto"/>
        <w:left w:val="none" w:sz="0" w:space="0" w:color="auto"/>
        <w:bottom w:val="none" w:sz="0" w:space="0" w:color="auto"/>
        <w:right w:val="none" w:sz="0" w:space="0" w:color="auto"/>
      </w:divBdr>
    </w:div>
    <w:div w:id="1299337003">
      <w:bodyDiv w:val="1"/>
      <w:marLeft w:val="0"/>
      <w:marRight w:val="0"/>
      <w:marTop w:val="0"/>
      <w:marBottom w:val="0"/>
      <w:divBdr>
        <w:top w:val="none" w:sz="0" w:space="0" w:color="auto"/>
        <w:left w:val="none" w:sz="0" w:space="0" w:color="auto"/>
        <w:bottom w:val="none" w:sz="0" w:space="0" w:color="auto"/>
        <w:right w:val="none" w:sz="0" w:space="0" w:color="auto"/>
      </w:divBdr>
    </w:div>
    <w:div w:id="1325936862">
      <w:bodyDiv w:val="1"/>
      <w:marLeft w:val="0"/>
      <w:marRight w:val="0"/>
      <w:marTop w:val="0"/>
      <w:marBottom w:val="0"/>
      <w:divBdr>
        <w:top w:val="none" w:sz="0" w:space="0" w:color="auto"/>
        <w:left w:val="none" w:sz="0" w:space="0" w:color="auto"/>
        <w:bottom w:val="none" w:sz="0" w:space="0" w:color="auto"/>
        <w:right w:val="none" w:sz="0" w:space="0" w:color="auto"/>
      </w:divBdr>
    </w:div>
    <w:div w:id="1351952351">
      <w:bodyDiv w:val="1"/>
      <w:marLeft w:val="0"/>
      <w:marRight w:val="0"/>
      <w:marTop w:val="0"/>
      <w:marBottom w:val="0"/>
      <w:divBdr>
        <w:top w:val="none" w:sz="0" w:space="0" w:color="auto"/>
        <w:left w:val="none" w:sz="0" w:space="0" w:color="auto"/>
        <w:bottom w:val="none" w:sz="0" w:space="0" w:color="auto"/>
        <w:right w:val="none" w:sz="0" w:space="0" w:color="auto"/>
      </w:divBdr>
    </w:div>
    <w:div w:id="1366828128">
      <w:bodyDiv w:val="1"/>
      <w:marLeft w:val="0"/>
      <w:marRight w:val="0"/>
      <w:marTop w:val="0"/>
      <w:marBottom w:val="0"/>
      <w:divBdr>
        <w:top w:val="none" w:sz="0" w:space="0" w:color="auto"/>
        <w:left w:val="none" w:sz="0" w:space="0" w:color="auto"/>
        <w:bottom w:val="none" w:sz="0" w:space="0" w:color="auto"/>
        <w:right w:val="none" w:sz="0" w:space="0" w:color="auto"/>
      </w:divBdr>
    </w:div>
    <w:div w:id="1415084294">
      <w:bodyDiv w:val="1"/>
      <w:marLeft w:val="0"/>
      <w:marRight w:val="0"/>
      <w:marTop w:val="0"/>
      <w:marBottom w:val="0"/>
      <w:divBdr>
        <w:top w:val="none" w:sz="0" w:space="0" w:color="auto"/>
        <w:left w:val="none" w:sz="0" w:space="0" w:color="auto"/>
        <w:bottom w:val="none" w:sz="0" w:space="0" w:color="auto"/>
        <w:right w:val="none" w:sz="0" w:space="0" w:color="auto"/>
      </w:divBdr>
    </w:div>
    <w:div w:id="1526626694">
      <w:bodyDiv w:val="1"/>
      <w:marLeft w:val="0"/>
      <w:marRight w:val="0"/>
      <w:marTop w:val="0"/>
      <w:marBottom w:val="0"/>
      <w:divBdr>
        <w:top w:val="none" w:sz="0" w:space="0" w:color="auto"/>
        <w:left w:val="none" w:sz="0" w:space="0" w:color="auto"/>
        <w:bottom w:val="none" w:sz="0" w:space="0" w:color="auto"/>
        <w:right w:val="none" w:sz="0" w:space="0" w:color="auto"/>
      </w:divBdr>
    </w:div>
    <w:div w:id="1537230941">
      <w:bodyDiv w:val="1"/>
      <w:marLeft w:val="0"/>
      <w:marRight w:val="0"/>
      <w:marTop w:val="0"/>
      <w:marBottom w:val="0"/>
      <w:divBdr>
        <w:top w:val="none" w:sz="0" w:space="0" w:color="auto"/>
        <w:left w:val="none" w:sz="0" w:space="0" w:color="auto"/>
        <w:bottom w:val="none" w:sz="0" w:space="0" w:color="auto"/>
        <w:right w:val="none" w:sz="0" w:space="0" w:color="auto"/>
      </w:divBdr>
    </w:div>
    <w:div w:id="1624120318">
      <w:bodyDiv w:val="1"/>
      <w:marLeft w:val="0"/>
      <w:marRight w:val="0"/>
      <w:marTop w:val="0"/>
      <w:marBottom w:val="0"/>
      <w:divBdr>
        <w:top w:val="none" w:sz="0" w:space="0" w:color="auto"/>
        <w:left w:val="none" w:sz="0" w:space="0" w:color="auto"/>
        <w:bottom w:val="none" w:sz="0" w:space="0" w:color="auto"/>
        <w:right w:val="none" w:sz="0" w:space="0" w:color="auto"/>
      </w:divBdr>
    </w:div>
    <w:div w:id="1699892571">
      <w:bodyDiv w:val="1"/>
      <w:marLeft w:val="0"/>
      <w:marRight w:val="0"/>
      <w:marTop w:val="0"/>
      <w:marBottom w:val="0"/>
      <w:divBdr>
        <w:top w:val="none" w:sz="0" w:space="0" w:color="auto"/>
        <w:left w:val="none" w:sz="0" w:space="0" w:color="auto"/>
        <w:bottom w:val="none" w:sz="0" w:space="0" w:color="auto"/>
        <w:right w:val="none" w:sz="0" w:space="0" w:color="auto"/>
      </w:divBdr>
    </w:div>
    <w:div w:id="1717462432">
      <w:bodyDiv w:val="1"/>
      <w:marLeft w:val="0"/>
      <w:marRight w:val="0"/>
      <w:marTop w:val="0"/>
      <w:marBottom w:val="0"/>
      <w:divBdr>
        <w:top w:val="none" w:sz="0" w:space="0" w:color="auto"/>
        <w:left w:val="none" w:sz="0" w:space="0" w:color="auto"/>
        <w:bottom w:val="none" w:sz="0" w:space="0" w:color="auto"/>
        <w:right w:val="none" w:sz="0" w:space="0" w:color="auto"/>
      </w:divBdr>
    </w:div>
    <w:div w:id="1720274866">
      <w:bodyDiv w:val="1"/>
      <w:marLeft w:val="0"/>
      <w:marRight w:val="0"/>
      <w:marTop w:val="0"/>
      <w:marBottom w:val="0"/>
      <w:divBdr>
        <w:top w:val="none" w:sz="0" w:space="0" w:color="auto"/>
        <w:left w:val="none" w:sz="0" w:space="0" w:color="auto"/>
        <w:bottom w:val="none" w:sz="0" w:space="0" w:color="auto"/>
        <w:right w:val="none" w:sz="0" w:space="0" w:color="auto"/>
      </w:divBdr>
    </w:div>
    <w:div w:id="1721903790">
      <w:bodyDiv w:val="1"/>
      <w:marLeft w:val="0"/>
      <w:marRight w:val="0"/>
      <w:marTop w:val="0"/>
      <w:marBottom w:val="0"/>
      <w:divBdr>
        <w:top w:val="none" w:sz="0" w:space="0" w:color="auto"/>
        <w:left w:val="none" w:sz="0" w:space="0" w:color="auto"/>
        <w:bottom w:val="none" w:sz="0" w:space="0" w:color="auto"/>
        <w:right w:val="none" w:sz="0" w:space="0" w:color="auto"/>
      </w:divBdr>
    </w:div>
    <w:div w:id="1724985216">
      <w:bodyDiv w:val="1"/>
      <w:marLeft w:val="0"/>
      <w:marRight w:val="0"/>
      <w:marTop w:val="0"/>
      <w:marBottom w:val="0"/>
      <w:divBdr>
        <w:top w:val="none" w:sz="0" w:space="0" w:color="auto"/>
        <w:left w:val="none" w:sz="0" w:space="0" w:color="auto"/>
        <w:bottom w:val="none" w:sz="0" w:space="0" w:color="auto"/>
        <w:right w:val="none" w:sz="0" w:space="0" w:color="auto"/>
      </w:divBdr>
    </w:div>
    <w:div w:id="1736782204">
      <w:bodyDiv w:val="1"/>
      <w:marLeft w:val="0"/>
      <w:marRight w:val="0"/>
      <w:marTop w:val="0"/>
      <w:marBottom w:val="0"/>
      <w:divBdr>
        <w:top w:val="none" w:sz="0" w:space="0" w:color="auto"/>
        <w:left w:val="none" w:sz="0" w:space="0" w:color="auto"/>
        <w:bottom w:val="none" w:sz="0" w:space="0" w:color="auto"/>
        <w:right w:val="none" w:sz="0" w:space="0" w:color="auto"/>
      </w:divBdr>
    </w:div>
    <w:div w:id="1760448267">
      <w:bodyDiv w:val="1"/>
      <w:marLeft w:val="0"/>
      <w:marRight w:val="0"/>
      <w:marTop w:val="0"/>
      <w:marBottom w:val="0"/>
      <w:divBdr>
        <w:top w:val="none" w:sz="0" w:space="0" w:color="auto"/>
        <w:left w:val="none" w:sz="0" w:space="0" w:color="auto"/>
        <w:bottom w:val="none" w:sz="0" w:space="0" w:color="auto"/>
        <w:right w:val="none" w:sz="0" w:space="0" w:color="auto"/>
      </w:divBdr>
    </w:div>
    <w:div w:id="1779596924">
      <w:bodyDiv w:val="1"/>
      <w:marLeft w:val="0"/>
      <w:marRight w:val="0"/>
      <w:marTop w:val="0"/>
      <w:marBottom w:val="0"/>
      <w:divBdr>
        <w:top w:val="none" w:sz="0" w:space="0" w:color="auto"/>
        <w:left w:val="none" w:sz="0" w:space="0" w:color="auto"/>
        <w:bottom w:val="none" w:sz="0" w:space="0" w:color="auto"/>
        <w:right w:val="none" w:sz="0" w:space="0" w:color="auto"/>
      </w:divBdr>
    </w:div>
    <w:div w:id="1781755579">
      <w:bodyDiv w:val="1"/>
      <w:marLeft w:val="0"/>
      <w:marRight w:val="0"/>
      <w:marTop w:val="0"/>
      <w:marBottom w:val="0"/>
      <w:divBdr>
        <w:top w:val="none" w:sz="0" w:space="0" w:color="auto"/>
        <w:left w:val="none" w:sz="0" w:space="0" w:color="auto"/>
        <w:bottom w:val="none" w:sz="0" w:space="0" w:color="auto"/>
        <w:right w:val="none" w:sz="0" w:space="0" w:color="auto"/>
      </w:divBdr>
    </w:div>
    <w:div w:id="1839689571">
      <w:bodyDiv w:val="1"/>
      <w:marLeft w:val="0"/>
      <w:marRight w:val="0"/>
      <w:marTop w:val="0"/>
      <w:marBottom w:val="0"/>
      <w:divBdr>
        <w:top w:val="none" w:sz="0" w:space="0" w:color="auto"/>
        <w:left w:val="none" w:sz="0" w:space="0" w:color="auto"/>
        <w:bottom w:val="none" w:sz="0" w:space="0" w:color="auto"/>
        <w:right w:val="none" w:sz="0" w:space="0" w:color="auto"/>
      </w:divBdr>
      <w:divsChild>
        <w:div w:id="1181237712">
          <w:marLeft w:val="0"/>
          <w:marRight w:val="0"/>
          <w:marTop w:val="0"/>
          <w:marBottom w:val="0"/>
          <w:divBdr>
            <w:top w:val="none" w:sz="0" w:space="0" w:color="auto"/>
            <w:left w:val="none" w:sz="0" w:space="0" w:color="auto"/>
            <w:bottom w:val="none" w:sz="0" w:space="0" w:color="auto"/>
            <w:right w:val="none" w:sz="0" w:space="0" w:color="auto"/>
          </w:divBdr>
          <w:divsChild>
            <w:div w:id="1594164243">
              <w:marLeft w:val="0"/>
              <w:marRight w:val="0"/>
              <w:marTop w:val="0"/>
              <w:marBottom w:val="0"/>
              <w:divBdr>
                <w:top w:val="none" w:sz="0" w:space="0" w:color="auto"/>
                <w:left w:val="none" w:sz="0" w:space="0" w:color="auto"/>
                <w:bottom w:val="none" w:sz="0" w:space="0" w:color="auto"/>
                <w:right w:val="none" w:sz="0" w:space="0" w:color="auto"/>
              </w:divBdr>
              <w:divsChild>
                <w:div w:id="104814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242936">
      <w:bodyDiv w:val="1"/>
      <w:marLeft w:val="0"/>
      <w:marRight w:val="0"/>
      <w:marTop w:val="0"/>
      <w:marBottom w:val="0"/>
      <w:divBdr>
        <w:top w:val="none" w:sz="0" w:space="0" w:color="auto"/>
        <w:left w:val="none" w:sz="0" w:space="0" w:color="auto"/>
        <w:bottom w:val="none" w:sz="0" w:space="0" w:color="auto"/>
        <w:right w:val="none" w:sz="0" w:space="0" w:color="auto"/>
      </w:divBdr>
    </w:div>
    <w:div w:id="1914967623">
      <w:bodyDiv w:val="1"/>
      <w:marLeft w:val="0"/>
      <w:marRight w:val="0"/>
      <w:marTop w:val="0"/>
      <w:marBottom w:val="0"/>
      <w:divBdr>
        <w:top w:val="none" w:sz="0" w:space="0" w:color="auto"/>
        <w:left w:val="none" w:sz="0" w:space="0" w:color="auto"/>
        <w:bottom w:val="none" w:sz="0" w:space="0" w:color="auto"/>
        <w:right w:val="none" w:sz="0" w:space="0" w:color="auto"/>
      </w:divBdr>
    </w:div>
    <w:div w:id="1916814271">
      <w:bodyDiv w:val="1"/>
      <w:marLeft w:val="0"/>
      <w:marRight w:val="0"/>
      <w:marTop w:val="0"/>
      <w:marBottom w:val="0"/>
      <w:divBdr>
        <w:top w:val="none" w:sz="0" w:space="0" w:color="auto"/>
        <w:left w:val="none" w:sz="0" w:space="0" w:color="auto"/>
        <w:bottom w:val="none" w:sz="0" w:space="0" w:color="auto"/>
        <w:right w:val="none" w:sz="0" w:space="0" w:color="auto"/>
      </w:divBdr>
    </w:div>
    <w:div w:id="1956330955">
      <w:bodyDiv w:val="1"/>
      <w:marLeft w:val="0"/>
      <w:marRight w:val="0"/>
      <w:marTop w:val="0"/>
      <w:marBottom w:val="0"/>
      <w:divBdr>
        <w:top w:val="none" w:sz="0" w:space="0" w:color="auto"/>
        <w:left w:val="none" w:sz="0" w:space="0" w:color="auto"/>
        <w:bottom w:val="none" w:sz="0" w:space="0" w:color="auto"/>
        <w:right w:val="none" w:sz="0" w:space="0" w:color="auto"/>
      </w:divBdr>
    </w:div>
    <w:div w:id="1957175455">
      <w:bodyDiv w:val="1"/>
      <w:marLeft w:val="0"/>
      <w:marRight w:val="0"/>
      <w:marTop w:val="0"/>
      <w:marBottom w:val="0"/>
      <w:divBdr>
        <w:top w:val="none" w:sz="0" w:space="0" w:color="auto"/>
        <w:left w:val="none" w:sz="0" w:space="0" w:color="auto"/>
        <w:bottom w:val="none" w:sz="0" w:space="0" w:color="auto"/>
        <w:right w:val="none" w:sz="0" w:space="0" w:color="auto"/>
      </w:divBdr>
    </w:div>
    <w:div w:id="2037852440">
      <w:bodyDiv w:val="1"/>
      <w:marLeft w:val="0"/>
      <w:marRight w:val="0"/>
      <w:marTop w:val="0"/>
      <w:marBottom w:val="0"/>
      <w:divBdr>
        <w:top w:val="none" w:sz="0" w:space="0" w:color="auto"/>
        <w:left w:val="none" w:sz="0" w:space="0" w:color="auto"/>
        <w:bottom w:val="none" w:sz="0" w:space="0" w:color="auto"/>
        <w:right w:val="none" w:sz="0" w:space="0" w:color="auto"/>
      </w:divBdr>
    </w:div>
    <w:div w:id="2041008355">
      <w:bodyDiv w:val="1"/>
      <w:marLeft w:val="0"/>
      <w:marRight w:val="0"/>
      <w:marTop w:val="0"/>
      <w:marBottom w:val="0"/>
      <w:divBdr>
        <w:top w:val="none" w:sz="0" w:space="0" w:color="auto"/>
        <w:left w:val="none" w:sz="0" w:space="0" w:color="auto"/>
        <w:bottom w:val="none" w:sz="0" w:space="0" w:color="auto"/>
        <w:right w:val="none" w:sz="0" w:space="0" w:color="auto"/>
      </w:divBdr>
    </w:div>
    <w:div w:id="2078821763">
      <w:bodyDiv w:val="1"/>
      <w:marLeft w:val="0"/>
      <w:marRight w:val="0"/>
      <w:marTop w:val="0"/>
      <w:marBottom w:val="0"/>
      <w:divBdr>
        <w:top w:val="none" w:sz="0" w:space="0" w:color="auto"/>
        <w:left w:val="none" w:sz="0" w:space="0" w:color="auto"/>
        <w:bottom w:val="none" w:sz="0" w:space="0" w:color="auto"/>
        <w:right w:val="none" w:sz="0" w:space="0" w:color="auto"/>
      </w:divBdr>
    </w:div>
    <w:div w:id="2100324199">
      <w:bodyDiv w:val="1"/>
      <w:marLeft w:val="0"/>
      <w:marRight w:val="0"/>
      <w:marTop w:val="0"/>
      <w:marBottom w:val="0"/>
      <w:divBdr>
        <w:top w:val="none" w:sz="0" w:space="0" w:color="auto"/>
        <w:left w:val="none" w:sz="0" w:space="0" w:color="auto"/>
        <w:bottom w:val="none" w:sz="0" w:space="0" w:color="auto"/>
        <w:right w:val="none" w:sz="0" w:space="0" w:color="auto"/>
      </w:divBdr>
    </w:div>
    <w:div w:id="2104573624">
      <w:bodyDiv w:val="1"/>
      <w:marLeft w:val="0"/>
      <w:marRight w:val="0"/>
      <w:marTop w:val="0"/>
      <w:marBottom w:val="0"/>
      <w:divBdr>
        <w:top w:val="none" w:sz="0" w:space="0" w:color="auto"/>
        <w:left w:val="none" w:sz="0" w:space="0" w:color="auto"/>
        <w:bottom w:val="none" w:sz="0" w:space="0" w:color="auto"/>
        <w:right w:val="none" w:sz="0" w:space="0" w:color="auto"/>
      </w:divBdr>
    </w:div>
    <w:div w:id="2129546081">
      <w:bodyDiv w:val="1"/>
      <w:marLeft w:val="0"/>
      <w:marRight w:val="0"/>
      <w:marTop w:val="0"/>
      <w:marBottom w:val="0"/>
      <w:divBdr>
        <w:top w:val="none" w:sz="0" w:space="0" w:color="auto"/>
        <w:left w:val="none" w:sz="0" w:space="0" w:color="auto"/>
        <w:bottom w:val="none" w:sz="0" w:space="0" w:color="auto"/>
        <w:right w:val="none" w:sz="0" w:space="0" w:color="auto"/>
      </w:divBdr>
    </w:div>
    <w:div w:id="2132552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ine.pt/xportal/xmain?xpid=INE&amp;xpgid=ine_indicadores&amp;indOcorrCod=0008273&amp;xlang=p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1080/21645515.2024.2366353" TargetMode="External"/><Relationship Id="rId2" Type="http://schemas.openxmlformats.org/officeDocument/2006/relationships/customXml" Target="../customXml/item2.xml"/><Relationship Id="rId16" Type="http://schemas.openxmlformats.org/officeDocument/2006/relationships/hyperlink" Target="https://www.ine.es/jaxi/Tabla.htm?tpx=49913&amp;L=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ne.pt/xportal/xmain?xpid=INE&amp;xpgid=ine_indicadores&amp;indOcorrCod=0004160&amp;&amp;contexto=bd&amp;selTab=tab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097F1C66D85A418AD5E01EB3211312" ma:contentTypeVersion="17" ma:contentTypeDescription="Create a new document." ma:contentTypeScope="" ma:versionID="a6e8ddbe4ff9ece3982212dab220f76b">
  <xsd:schema xmlns:xsd="http://www.w3.org/2001/XMLSchema" xmlns:xs="http://www.w3.org/2001/XMLSchema" xmlns:p="http://schemas.microsoft.com/office/2006/metadata/properties" xmlns:ns2="f83d2651-c21a-4ae8-9720-5760d32750e3" xmlns:ns3="d15b1260-8890-4c59-b424-695adc6cd075" targetNamespace="http://schemas.microsoft.com/office/2006/metadata/properties" ma:root="true" ma:fieldsID="a150f7736dfae8b0dc2afe7a44363636" ns2:_="" ns3:_="">
    <xsd:import namespace="f83d2651-c21a-4ae8-9720-5760d32750e3"/>
    <xsd:import namespace="d15b1260-8890-4c59-b424-695adc6cd0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d2651-c21a-4ae8-9720-5760d3275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451d461-d530-465a-81eb-73ef42a83d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5b1260-8890-4c59-b424-695adc6cd0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55c775-76a2-4f42-84f1-fb656505b47e}" ma:internalName="TaxCatchAll" ma:showField="CatchAllData" ma:web="d15b1260-8890-4c59-b424-695adc6cd0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3d2651-c21a-4ae8-9720-5760d32750e3">
      <Terms xmlns="http://schemas.microsoft.com/office/infopath/2007/PartnerControls"/>
    </lcf76f155ced4ddcb4097134ff3c332f>
    <TaxCatchAll xmlns="d15b1260-8890-4c59-b424-695adc6cd0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DEFAULT.xsl" StyleName="Unknown" Version="2006">
  <b:Source>
    <b:Tag>3ddffc98-6dd0-4cf1-a14e-aa221580dc10</b:Tag>
    <b:RefOrder>0</b:RefOrder>
    <b:SourceType>JournalArticle</b:SourceType>
    <b:Year>2019</b:Year>
    <b:Author>
      <b:Author>
        <b:NameList>
          <b:Person>
            <b:First>McGirr</b:First>
            <b:Last>A.</b:Last>
          </b:Person>
          <b:Person>
            <b:First>Van</b:First>
            <b:Last>Oorschot D.</b:Last>
          </b:Person>
          <b:Person>
            <b:First>Widenmaier</b:First>
            <b:Last>R.</b:Last>
          </b:Person>
          <b:Person>
            <b:First>Stokes</b:First>
            <b:Last>M.</b:Last>
          </b:Person>
          <b:Person>
            <b:First>Ganz</b:First>
            <b:Last>M. L.</b:Last>
          </b:Person>
          <b:Person>
            <b:First>Jung</b:First>
            <b:Last>H.</b:Last>
          </b:Person>
          <b:Person>
            <b:First>Varghese</b:First>
            <b:Last>L.</b:Last>
          </b:Person>
          <b:Person>
            <b:First>Curran</b:First>
            <b:Last>D.</b:Last>
          </b:Person>
        </b:NameList>
      </b:Author>
    </b:Author>
    <b:PlacePublished>GSK, Mississauga, Canada. ashleigh.a.mcgirr@gsk.com. GSK, Wavre, Belgium. GSK, Mississauga, Canada. Evidera, Saint-Laurent, Canada. Evidera, Waltham, MA, USA. GSK, Singapore, Singapore.</b:PlacePublished>
    <b:Pages>723-732</b:Pages>
    <b:Volume>17</b:Volume>
    <b:StandardNumber>5</b:StandardNumber>
    <b:Month>Oct</b:Month>
    <b:DOI>10.1007/s40258-019-00491-6</b:DOI>
    <b:Title>Public health impact and cost-effectiveness of non-live adjuvanted recombinant zoster vaccine in Canadian adults</b:Title>
    <b:JournalName>Appl Health Econ Health Policy</b:JournalName>
    <b:URL>https://www.ncbi.nlm.nih.gov/pubmed/31250218</b:URL>
    <b:Day>30</b:Day>
  </b:Source>
  <b:Source>
    <b:Tag>570ca6aa-f762-4762-93db-b9e21e25a11a</b:Tag>
    <b:RefOrder>1</b:RefOrder>
    <b:SourceType>JournalArticle</b:SourceType>
    <b:Year>2016</b:Year>
    <b:Author>
      <b:Author>
        <b:NameList>
          <b:Person>
            <b:First>Cunningham</b:First>
            <b:Last>A. L.</b:Last>
          </b:Person>
          <b:Person>
            <b:First>Lal</b:First>
            <b:Last>H.</b:Last>
          </b:Person>
          <b:Person>
            <b:First>Kovac</b:First>
            <b:Last>M.</b:Last>
          </b:Person>
          <b:Person>
            <b:First>Chlibek</b:First>
            <b:Last>R.</b:Last>
          </b:Person>
          <b:Person>
            <b:First>Hwang</b:First>
            <b:Last>S. J.</b:Last>
          </b:Person>
          <b:Person>
            <b:First>Diez-Domingo</b:First>
            <b:Last>J.</b:Last>
          </b:Person>
          <b:Person>
            <b:First>Godeaux</b:First>
            <b:Last>O.</b:Last>
          </b:Person>
          <b:Person>
            <b:First>Levin</b:First>
            <b:Last>M. J.</b:Last>
          </b:Person>
          <b:Person>
            <b:First>McElhaney</b:First>
            <b:Last>J. E.</b:Last>
          </b:Person>
          <b:Person>
            <b:First>Puig-Barbera</b:First>
            <b:Last>J.</b:Last>
          </b:Person>
          <b:Person>
            <b:First>Vanden</b:First>
            <b:Last>Abeele C.</b:Last>
          </b:Person>
          <b:Person>
            <b:First>Vesikari</b:First>
            <b:Last>T.</b:Last>
          </b:Person>
          <b:Person>
            <b:First>Watanabe</b:First>
            <b:Last>D.</b:Last>
          </b:Person>
          <b:Person>
            <b:First>Zahaf</b:First>
            <b:Last>T.</b:Last>
          </b:Person>
          <b:Person>
            <b:First>Ahonen</b:First>
            <b:Last>A.</b:Last>
          </b:Person>
          <b:Person>
            <b:First>Athan</b:First>
            <b:Last>E.</b:Last>
          </b:Person>
          <b:Person>
            <b:First>Barba-Gomez</b:First>
            <b:Last>J. F.</b:Last>
          </b:Person>
          <b:Person>
            <b:First>Campora</b:First>
            <b:Last>L.</b:Last>
          </b:Person>
          <b:Person>
            <b:First>de</b:First>
            <b:Last>Looze F.</b:Last>
          </b:Person>
          <b:Person>
            <b:First>Downey</b:First>
            <b:Last>H. J.</b:Last>
          </b:Person>
          <b:Person>
            <b:First>Ghesquiere</b:First>
            <b:Last>W.</b:Last>
          </b:Person>
          <b:Person>
            <b:First>Gorfinkel</b:First>
            <b:Last>I.</b:Last>
          </b:Person>
          <b:Person>
            <b:First>Korhonen</b:First>
            <b:Last>T.</b:Last>
          </b:Person>
          <b:Person>
            <b:First>Leung</b:First>
            <b:Last>E.</b:Last>
          </b:Person>
          <b:Person>
            <b:First>McNeil</b:First>
            <b:Last>S. A.</b:Last>
          </b:Person>
          <b:Person>
            <b:First>Oostvogels</b:First>
            <b:Last>L.</b:Last>
          </b:Person>
          <b:Person>
            <b:First>Rombo</b:First>
            <b:Last>L.</b:Last>
          </b:Person>
          <b:Person>
            <b:First>Smetana</b:First>
            <b:Last>J.</b:Last>
          </b:Person>
          <b:Person>
            <b:First>Weckx</b:First>
            <b:Last>L.</b:Last>
          </b:Person>
          <b:Person>
            <b:First>Yeo</b:First>
            <b:Last>W.</b:Last>
          </b:Person>
          <b:Person>
            <b:First>Heineman</b:First>
            <b:Last>T. C.</b:Last>
          </b:Person>
          <b:Person>
            <b:First>Z.</b:First>
            <b:Last>O. E. Study Group</b:Last>
          </b:Person>
        </b:NameList>
      </b:Author>
    </b:Author>
    <b:PlacePublished>From Westmead Institute for Medical Research, Westmead, NSW (A.L.C.), University of Sydney, Sydney (A.L.C.), the Department of Infectious Disease, Barwon Health, Deakin University, Geelong, VIC (E.A.), AusTrials and the Discipline of General Practice, School of Medicine, University of Queensland, Brisbane (F.L.), and Illawarra Health and Medical Research Institute, Graduate School of Medicine, University of Wollongong, Wollongong, NSW (W.Y.) - all in Australia; GSK Vaccines, King of Prussia, PA (H.L., T.C.H.); GSK Vaccines, Wavre, Belgium (M.K., O.G., C.V.A., T.Z., L.C., L.O.); Faculty of Military Health Sciences, University of Defense, Hradec Kralove, Czech Republic (R.C., J.S.); the Department of Family Medicine, Taipei Veterans General Hospital, and National Yang Ming University School of Medicine, Taipei, Taiwan (S.-J.H.); the Vaccine Research Unit, Fundacion para el Fomento de la Investigacion Sanitaria y Biomedica, Valencia, Spain (J.D.-D., J.P.-B.); the Departments of Pediatrics and Medicine, University of Colorado Anschutz Medical Campus, Aurora (M.J.L.); Health Sciences North Research Institute, Sudbury, ON (J.E.M.), the Section of Infectious Diseases, University of British Colombia, Victoria (W.G.), PrimeHealth Clinical Research, Toronto (I.G.), and the Canadian Center for Vaccinology, IWK Health Center and Nova Scotia Health Authority, Dalhousie University, Halifax (S.A.M.) - all in Canada; Vaccine Research Center, University of Tampere, Tampere, Finland (T.V., A.A., T.K.); the Department of Dermatology, Aichi Medical University, Nagakute, Japan (D.W.); Instituto Dermatologico de Jalisco Dr. Jose Barba Rubio, Zapopan, Mexico (J.F.B.-G.); Jacksonville Center for Clinical Research, Jacksonville, FL (H.J.D.); the Division of Geriatric Medicine, Department of Medicine and Geriatrics, United Christian Hospital, Hong Kong (E.L.); Center for Clinical Research, Sormland County Council, Eskilstuna, and Uppsala University, Uppsala - both in Sweden (L.R.); and</b:PlacePublished>
    <b:Pages>1019-32</b:Pages>
    <b:Volume>375</b:Volume>
    <b:StandardNumber>11</b:StandardNumber>
    <b:Day>15</b:Day>
    <b:Month>9</b:Month>
    <b:DOI>10.1056/NEJMoa1603800</b:DOI>
    <b:Title>Efficacy of the Herpes Zoster Subunit Vaccine in Adults 70 Years of Age or Older</b:Title>
    <b:JournalName>N Engl J Med</b:JournalName>
    <b:URL>https://www.ncbi.nlm.nih.gov/pubmed/27626517</b:URL>
  </b:Source>
  <b:Source>
    <b:Tag>414bffb5-7a47-46d1-a00e-b9d971a2f918</b:Tag>
    <b:RefOrder>2</b:RefOrder>
    <b:SourceType>JournalArticle</b:SourceType>
    <b:Year>2015</b:Year>
    <b:Author>
      <b:Author>
        <b:NameList>
          <b:Person>
            <b:First>Lal</b:First>
            <b:Last>H.</b:Last>
          </b:Person>
          <b:Person>
            <b:First>Cunningham</b:First>
            <b:Last>A. L.</b:Last>
          </b:Person>
          <b:Person>
            <b:First>Godeaux</b:First>
            <b:Last>O.</b:Last>
          </b:Person>
          <b:Person>
            <b:First>Chlibek</b:First>
            <b:Last>R.</b:Last>
          </b:Person>
          <b:Person>
            <b:First>Diez-Domingo</b:First>
            <b:Last>J.</b:Last>
          </b:Person>
          <b:Person>
            <b:First>Hwang</b:First>
            <b:Last>S. J.</b:Last>
          </b:Person>
          <b:Person>
            <b:First>Levin</b:First>
            <b:Last>M. J.</b:Last>
          </b:Person>
          <b:Person>
            <b:First>McElhaney</b:First>
            <b:Last>J. E.</b:Last>
          </b:Person>
          <b:Person>
            <b:First>Poder</b:First>
            <b:Last>A.</b:Last>
          </b:Person>
          <b:Person>
            <b:First>Puig-Barbera</b:First>
            <b:Last>J.</b:Last>
          </b:Person>
          <b:Person>
            <b:First>Vesikari</b:First>
            <b:Last>T.</b:Last>
          </b:Person>
          <b:Person>
            <b:First>Watanabe</b:First>
            <b:Last>D.</b:Last>
          </b:Person>
          <b:Person>
            <b:First>Weckx</b:First>
            <b:Last>L.</b:Last>
          </b:Person>
          <b:Person>
            <b:First>Zahaf</b:First>
            <b:Last>T.</b:Last>
          </b:Person>
          <b:Person>
            <b:First>Heineman</b:First>
            <b:Last>T. C.</b:Last>
          </b:Person>
          <b:Person>
            <b:First>Z.</b:First>
            <b:Last>O. E. Study Group</b:Last>
          </b:Person>
        </b:NameList>
      </b:Author>
    </b:Author>
    <b:PlacePublished>The authors' affiliations are listed in the Appendix.</b:PlacePublished>
    <b:Pages>2087-96</b:Pages>
    <b:Volume>372</b:Volume>
    <b:StandardNumber>22</b:StandardNumber>
    <b:Day>29</b:Day>
    <b:Month>4</b:Month>
    <b:DOI>10.1056/NEJMoa1501184</b:DOI>
    <b:Title>Efficacy of an adjuvanted herpes zoster subunit vaccine in older adults</b:Title>
    <b:JournalName>N Engl J Med</b:JournalName>
    <b:URL>https://www.ncbi.nlm.nih.gov/pubmed/25916341</b:URL>
  </b:Source>
  <b:Source>
    <b:Tag>47d295bb-7307-4b9c-8971-e7f4fd986b0c</b:Tag>
    <b:RefOrder>3</b:RefOrder>
    <b:SourceType>JournalArticle</b:SourceType>
    <b:Year>2009</b:Year>
    <b:Author>
      <b:Author>
        <b:NameList>
          <b:Person>
            <b:First>Sampathkumar</b:First>
            <b:Last>P.</b:Last>
          </b:Person>
          <b:Person>
            <b:First>Drage</b:First>
            <b:Last>L. A.</b:Last>
          </b:Person>
          <b:Person>
            <b:First>Martin</b:First>
            <b:Last>D. P.</b:Last>
          </b:Person>
        </b:NameList>
      </b:Author>
    </b:Author>
    <b:PlacePublished>Division of Infectious Diseases, Mayo Clinic, 200 First St SW, Rochester, MN 55905, USA. sampathkumar.priya@mayo.edu</b:PlacePublished>
    <b:Pages>274-80</b:Pages>
    <b:Volume>84</b:Volume>
    <b:StandardNumber>3</b:StandardNumber>
    <b:Month>Mar</b:Month>
    <b:DOI>10.1016/S0025-6196(11)61146-4</b:DOI>
    <b:Title>Herpes zoster (shingles) and postherpetic neuralgia</b:Title>
    <b:JournalName>Mayo Clin Proc</b:JournalName>
    <b:URL>https://www.ncbi.nlm.nih.gov/pubmed/19252116</b:URL>
    <b:Day>3</b:Day>
  </b:Source>
  <b:Source>
    <b:Tag>f00fc087-884e-4883-a181-557d2bfcd210</b:Tag>
    <b:RefOrder>4</b:RefOrder>
    <b:SourceType>JournalArticle</b:SourceType>
    <b:Year>2022</b:Year>
    <b:Author>
      <b:Author>
        <b:NameList>
          <b:Person>
            <b:First>Curran</b:First>
            <b:Last>D.</b:Last>
          </b:Person>
          <b:Person>
            <b:First>Callegaro</b:First>
            <b:Last>A.</b:Last>
          </b:Person>
          <b:Person>
            <b:First>Fahrbach</b:First>
            <b:Last>K.</b:Last>
          </b:Person>
          <b:Person>
            <b:First>Neupane</b:First>
            <b:Last>B.</b:Last>
          </b:Person>
          <b:Person>
            <b:First>Vroling</b:First>
            <b:Last>H.</b:Last>
          </b:Person>
          <b:Person>
            <b:First>van</b:First>
            <b:Last>Oorschot D.</b:Last>
          </b:Person>
          <b:Person>
            <b:First>Yawn</b:First>
            <b:Last>B. P.</b:Last>
          </b:Person>
        </b:NameList>
      </b:Author>
    </b:Author>
    <b:PlacePublished>GSK, Wavre, Belgium. desmond.x.curran@gsk.com. GSK, Rixensart, Belgium. Evidera, Waltham, MA, USA. Pallas Health Research and Consultancy, Rotterdam, The Netherlands. GSK, Wavre, Belgium. University of Minnesota, Minneapolis, MN, USA.</b:PlacePublished>
    <b:Pages>389-403</b:Pages>
    <b:Volume>11</b:Volume>
    <b:StandardNumber>1</b:StandardNumber>
    <b:Month>Feb</b:Month>
    <b:DOI>10.1007/s40121-021-00567-8</b:DOI>
    <b:Title>Meta-regression of herpes zoster incidence worldwide</b:Title>
    <b:JournalName>Infect Dis Ther</b:JournalName>
    <b:URL>https://www.ncbi.nlm.nih.gov/pubmed/34874546</b:URL>
    <b:Day>8</b:Day>
  </b:Source>
  <b:Source>
    <b:Tag>cb64d3d4-5448-4a6d-9395-42c364fb2588</b:Tag>
    <b:RefOrder>5</b:RefOrder>
    <b:SourceType>JournalArticle</b:SourceType>
    <b:Year>2014</b:Year>
    <b:Author>
      <b:Author>
        <b:NameList>
          <b:Person>
            <b:First>Chen</b:First>
            <b:Last>S. Y.</b:Last>
          </b:Person>
          <b:Person>
            <b:First>Suaya</b:First>
            <b:Last>J. A.</b:Last>
          </b:Person>
          <b:Person>
            <b:First>Li</b:First>
            <b:Last>Q.</b:Last>
          </b:Person>
          <b:Person>
            <b:First>Galindo</b:First>
            <b:Last>C. M.</b:Last>
          </b:Person>
          <b:Person>
            <b:First>Misurski</b:First>
            <b:Last>D.</b:Last>
          </b:Person>
          <b:Person>
            <b:First>Burstin</b:First>
            <b:Last>S.</b:Last>
          </b:Person>
          <b:Person>
            <b:First>Levin</b:First>
            <b:Last>M. J.</b:Last>
          </b:Person>
        </b:NameList>
      </b:Author>
    </b:Author>
    <b:PlacePublished>Evidera, Lexington, MA, USA, shih-yin.chen@evidera.com.</b:PlacePublished>
    <b:Pages>325-34</b:Pages>
    <b:Volume>42</b:Volume>
    <b:StandardNumber>2</b:StandardNumber>
    <b:Month>Apr</b:Month>
    <b:DOI>10.1007/s15010-013-0550-8</b:DOI>
    <b:Title>Incidence of herpes zoster in patients with altered immune function</b:Title>
    <b:JournalName>Infection</b:JournalName>
    <b:URL>https://www.ncbi.nlm.nih.gov/pubmed/24214127</b:URL>
    <b:Day>12</b:Day>
  </b:Source>
  <b:Source>
    <b:Tag>ba727ba0-2ee6-4d3e-b91f-db2015ebb7c9</b:Tag>
    <b:RefOrder>6</b:RefOrder>
    <b:SourceType>InternetSite</b:SourceType>
    <b:Year>2018</b:Year>
    <b:Author>
      <b:Author>
        <b:NameList>
          <b:Person>
            <b:First>Government</b:First>
            <b:Last>of Canada</b:Last>
          </b:Person>
        </b:NameList>
      </b:Author>
    </b:Author>
    <b:Title>Herpes zoster (shingles) vaccine: Canadian Immunization Guide</b:Title>
    <b:URL>https://www.canada.ca/en/public-health/services/publications/healthy-living/canadian-immunization-guide-part-4-active-vaccines/page-8-herpes-zoster-(shingles)-vaccine.html</b:URL>
    <b:DayAccessed>18</b:DayAccessed>
    <b:MonthAccessed>1</b:MonthAccessed>
    <b:YearAccessed>2023</b:YearAccessed>
  </b:Source>
  <b:Source>
    <b:Tag>e8c0bd9a-07fc-4f8a-abc3-1afb19f5ccb2</b:Tag>
    <b:RefOrder>7</b:RefOrder>
    <b:SourceType>JournalArticle</b:SourceType>
    <b:Year>2017</b:Year>
    <b:Author>
      <b:Author>
        <b:NameList>
          <b:Person>
            <b:First>Varghese</b:First>
            <b:Last>L.</b:Last>
          </b:Person>
          <b:Person>
            <b:First>Standaert</b:First>
            <b:Last>B.</b:Last>
          </b:Person>
          <b:Person>
            <b:First>Olivieri</b:First>
            <b:Last>A.</b:Last>
          </b:Person>
          <b:Person>
            <b:First>Curran</b:First>
            <b:Last>D.</b:Last>
          </b:Person>
        </b:NameList>
      </b:Author>
    </b:Author>
    <b:PlacePublished>GSK R&amp;D - Asia-Pacific &amp; North Asia, 150 Beach Road, #22-00 Gateway West, Singapore, 189720, Singapore. lijoy.x.varghese@gsk.com. GSK, Wavre, Belgium. Current affiliation: Alexion Pharmaceuticals, Lausanne, Switzerland.</b:PlacePublished>
    <b:Pages>30</b:Pages>
    <b:Volume>17</b:Volume>
    <b:StandardNumber>1</b:StandardNumber>
    <b:Day>25</b:Day>
    <b:Month>1</b:Month>
    <b:DOI>10.1186/s12877-017-0420-9</b:DOI>
    <b:Title>The temporal impact of aging on the burden of herpes zoster</b:Title>
    <b:JournalName>BMC Geriatr</b:JournalName>
    <b:URL>https://www.ncbi.nlm.nih.gov/pubmed/28114907</b:URL>
  </b:Source>
  <b:Source>
    <b:Tag>0cd88979-a332-4a2d-8321-ff4aee4298fd</b:Tag>
    <b:RefOrder>8</b:RefOrder>
    <b:SourceType>JournalArticle</b:SourceType>
    <b:Year>2007</b:Year>
    <b:Author>
      <b:Author>
        <b:NameList>
          <b:Person>
            <b:First>Yawn</b:First>
            <b:Last>B. P.</b:Last>
          </b:Person>
          <b:Person>
            <b:First>Saddier</b:First>
            <b:Last>P.</b:Last>
          </b:Person>
          <b:Person>
            <b:First>Wollan</b:First>
            <b:Last>P. C.</b:Last>
          </b:Person>
          <b:Person>
            <b:First>St</b:First>
            <b:Last>Sauver J. L.</b:Last>
          </b:Person>
          <b:Person>
            <b:First>Kurland</b:First>
            <b:Last>M. J.</b:Last>
          </b:Person>
          <b:Person>
            <b:First>Sy</b:First>
            <b:Last>L. S.</b:Last>
          </b:Person>
        </b:NameList>
      </b:Author>
    </b:Author>
    <b:PlacePublished>Department of Research, Olmsted Medical Center, 210 Ninth St SE, Rochester, MN, USA. yawnx002@umn.edu</b:PlacePublished>
    <b:Pages>1341-9</b:Pages>
    <b:Volume>82</b:Volume>
    <b:StandardNumber>11</b:StandardNumber>
    <b:Month>Nov</b:Month>
    <b:DOI>10.4065/82.11.1341</b:DOI>
    <b:Title>A population-based study of the incidence and complication rates of herpes zoster before zoster vaccine introduction</b:Title>
    <b:JournalName>Mayo Clin Proc</b:JournalName>
    <b:URL>https://www.ncbi.nlm.nih.gov/pubmed/17976353</b:URL>
    <b:Day>3</b:Day>
  </b:Source>
  <b:Source>
    <b:Tag>15e0f9ba-2428-451b-a7a5-a936f6967b7c</b:Tag>
    <b:RefOrder>9</b:RefOrder>
    <b:SourceType>JournalArticle</b:SourceType>
    <b:Year>2008</b:Year>
    <b:Author>
      <b:Author>
        <b:NameList>
          <b:Person>
            <b:First>Liesegang</b:First>
            <b:Last>T. J.</b:Last>
          </b:Person>
        </b:NameList>
      </b:Author>
    </b:Author>
    <b:PlacePublished>Mayo Clinic College of Medicine, Jacksonville, Florida 32224, USA. tliesegang@mayo.edu</b:PlacePublished>
    <b:Pages>S3-12</b:Pages>
    <b:Volume>115</b:Volume>
    <b:StandardNumber>2 Suppl</b:StandardNumber>
    <b:Month>Feb</b:Month>
    <b:DOI>10.1016/j.ophtha.2007.10.009</b:DOI>
    <b:Title>Herpes zoster ophthalmicus natural history, risk factors, clinical presentation, and morbidity</b:Title>
    <b:JournalName>Ophthalmology</b:JournalName>
    <b:URL>https://www.ncbi.nlm.nih.gov/pubmed/18243930</b:URL>
    <b:Day>14</b:Day>
  </b:Source>
  <b:Source>
    <b:Tag>d8eebcd1-dfb6-4f51-a37c-d52de6c37a87</b:Tag>
    <b:RefOrder>10</b:RefOrder>
    <b:SourceType>BookSection</b:SourceType>
    <b:Year>2022</b:Year>
    <b:Author>
      <b:Author>
        <b:NameList>
          <b:Person>
            <b:First>Minor</b:First>
            <b:Last>M.</b:Last>
          </b:Person>
          <b:Person>
            <b:First>Payne</b:First>
            <b:Last>E.</b:Last>
          </b:Person>
        </b:NameList>
      </b:Author>
    </b:Author>
    <b:PlacePublished>Treasure Island (FL)</b:PlacePublished>
    <b:Title>Herpes Zoster Ophthalmicus</b:Title>
    <b:PublicationTitle>StatPearls</b:PublicationTitle>
    <b:URL>https://www.ncbi.nlm.nih.gov/pubmed/32491711</b:URL>
  </b:Source>
  <b:Source>
    <b:Tag>b6445458-4c52-4f71-8fd9-e34a969a21a0</b:Tag>
    <b:RefOrder>11</b:RefOrder>
    <b:SourceType>JournalArticle</b:SourceType>
    <b:Year>2010</b:Year>
    <b:Author>
      <b:Author>
        <b:NameList>
          <b:Person>
            <b:First>Johnson</b:First>
            <b:Last>R. W.</b:Last>
          </b:Person>
          <b:Person>
            <b:First>Bouhassira</b:First>
            <b:Last>D.</b:Last>
          </b:Person>
          <b:Person>
            <b:First>Kassianos</b:First>
            <b:Last>G.</b:Last>
          </b:Person>
          <b:Person>
            <b:First>Leplege</b:First>
            <b:Last>A.</b:Last>
          </b:Person>
          <b:Person>
            <b:First>Schmader</b:First>
            <b:Last>K. E.</b:Last>
          </b:Person>
          <b:Person>
            <b:First>Weinke</b:First>
            <b:Last>T.</b:Last>
          </b:Person>
        </b:NameList>
      </b:Author>
    </b:Author>
    <b:PlacePublished>NSERM U987, Hopital Ambroise Pare, APHP, F-92100 Boulogne-Billancourt, France. rwjbristol@doctors.org.uk</b:PlacePublished>
    <b:Pages>37</b:Pages>
    <b:Volume>8</b:Volume>
    <b:StandardNumber>1</b:StandardNumber>
    <b:Day>23</b:Day>
    <b:Month>6</b:Month>
    <b:DOI>10.1186/1741-7015-8-37</b:DOI>
    <b:Title>The impact of herpes zoster and post-herpetic neuralgia on quality-of-life</b:Title>
    <b:JournalName>BMC Med</b:JournalName>
    <b:URL>https://www.ncbi.nlm.nih.gov/pubmed/20565946</b:URL>
  </b:Source>
  <b:Source>
    <b:Tag>a814698d-c32e-4e2f-af65-b05b06e53f7e</b:Tag>
    <b:RefOrder>12</b:RefOrder>
    <b:SourceType>JournalArticle</b:SourceType>
    <b:Year>2010</b:Year>
    <b:Author>
      <b:Author>
        <b:NameList>
          <b:Person>
            <b:First>Drolet</b:First>
            <b:Last>M.</b:Last>
          </b:Person>
          <b:Person>
            <b:First>Brisson</b:First>
            <b:Last>M.</b:Last>
          </b:Person>
          <b:Person>
            <b:First>Schmader</b:First>
            <b:Last>K. E.</b:Last>
          </b:Person>
          <b:Person>
            <b:First>Levin</b:First>
            <b:Last>M. J.</b:Last>
          </b:Person>
          <b:Person>
            <b:First>Johnson</b:First>
            <b:Last>R.</b:Last>
          </b:Person>
          <b:Person>
            <b:First>Oxman</b:First>
            <b:Last>M. N.</b:Last>
          </b:Person>
          <b:Person>
            <b:First>Patrick</b:First>
            <b:Last>D.</b:Last>
          </b:Person>
          <b:Person>
            <b:First>Blanchette</b:First>
            <b:Last>C.</b:Last>
          </b:Person>
          <b:Person>
            <b:First>Mansi</b:First>
            <b:Last>J. A.</b:Last>
          </b:Person>
        </b:NameList>
      </b:Author>
    </b:Author>
    <b:PlacePublished>Unite de recherche en sante des populations, Centre hospitalier affilie universitaire de Quebec, Quebec, Que.</b:PlacePublished>
    <b:Pages>1731-6</b:Pages>
    <b:Volume>182</b:Volume>
    <b:StandardNumber>16</b:StandardNumber>
    <b:Month>Nov 9</b:Month>
    <b:DOI>10.1503/cmaj.091711</b:DOI>
    <b:Title>The impact of herpes zoster and postherpetic neuralgia on health-related quality of life: a prospective study</b:Title>
    <b:JournalName>CMAJ</b:JournalName>
    <b:URL>https://www.ncbi.nlm.nih.gov/pubmed/20921251</b:URL>
    <b:Day>6</b:Day>
  </b:Source>
  <b:Source>
    <b:Tag>f4ab5701-3ac5-4409-a567-680367dcb74a</b:Tag>
    <b:RefOrder>13</b:RefOrder>
    <b:SourceType>InternetSite</b:SourceType>
    <b:Year>2010</b:Year>
    <b:Author>
      <b:Author>
        <b:NameList>
          <b:Person>
            <b:First>National</b:First>
            <b:Last>Advisory Committee on Immunization (NACI)</b:Last>
          </b:Person>
        </b:NameList>
      </b:Author>
    </b:Author>
    <b:Title>Statement on the Recommended Use of Herpes Zoster Vaccine</b:Title>
    <b:URL>https://www.canada.ca/en/public-health/services/reports-publications/canada-communicable-disease-report-ccdr/monthly-issue/2010-36/canada-communicable-disease-report.html</b:URL>
    <b:DayAccessed>30</b:DayAccessed>
    <b:MonthAccessed>1</b:MonthAccessed>
    <b:YearAccessed>2023</b:YearAccessed>
  </b:Source>
  <b:Source>
    <b:Tag>04d030bc-7623-4c48-8282-1248e699f9a5</b:Tag>
    <b:RefOrder>14</b:RefOrder>
    <b:SourceType>JournalArticle</b:SourceType>
    <b:Year>2018</b:Year>
    <b:Author>
      <b:Author>
        <b:NameList>
          <b:Person>
            <b:First>Warrington</b:First>
            <b:Last>R.</b:Last>
          </b:Person>
          <b:Person>
            <b:First>Ismail</b:First>
            <b:Last>S.</b:Last>
          </b:Person>
          <b:Person>
            <b:First>National</b:First>
            <b:Last>Advisory Committee on Immunization (NACI)</b:Last>
          </b:Person>
        </b:NameList>
      </b:Author>
    </b:Author>
    <b:PlacePublished>NACI Herpes Zoster Working Group Chair, Edmonton, AB. Department of Internal Medicine, Adult Allergy &amp; Clinical Immunology, University of Manitoba, Winnipeg, MB. Centre for Immunization and Respiratory Infectious Diseases, Public Health Agency of Canada, Ottawa, ON.</b:PlacePublished>
    <b:Pages>220-225</b:Pages>
    <b:Volume>44</b:Volume>
    <b:StandardNumber>9</b:StandardNumber>
    <b:Month>Sep 6</b:Month>
    <b:DOI>10.14745/ccdr.v44i09a06</b:DOI>
    <b:Title>Summary of the NACI Update on Herpes Zoster Vaccines</b:Title>
    <b:JournalName>Can Commun Dis Rep</b:JournalName>
    <b:URL>https://www.ncbi.nlm.nih.gov/pubmed/31015813</b:URL>
    <b:Day>25</b:Day>
  </b:Source>
  <b:Source>
    <b:Tag>548b0bbc-e7f5-4209-ac4e-8817596d92f9</b:Tag>
    <b:RefOrder>15</b:RefOrder>
    <b:SourceType>JournalArticle</b:SourceType>
    <b:Year>2017</b:Year>
    <b:Author>
      <b:Author>
        <b:NameList>
          <b:Person>
            <b:First>Curran</b:First>
            <b:Last>D.</b:Last>
          </b:Person>
          <b:Person>
            <b:First>Van</b:First>
            <b:Last>Oorschot D.</b:Last>
          </b:Person>
          <b:Person>
            <b:First>Varghese</b:First>
            <b:Last>L.</b:Last>
          </b:Person>
          <b:Person>
            <b:First>Oostvogels</b:First>
            <b:Last>L.</b:Last>
          </b:Person>
          <b:Person>
            <b:First>Mrkvan</b:First>
            <b:Last>T.</b:Last>
          </b:Person>
          <b:Person>
            <b:First>Colindres</b:First>
            <b:Last>R.</b:Last>
          </b:Person>
          <b:Person>
            <b:First>von</b:First>
            <b:Last>Krempelhuber A.</b:Last>
          </b:Person>
          <b:Person>
            <b:First>Anastassopoulou</b:First>
            <b:Last>A.</b:Last>
          </b:Person>
        </b:NameList>
      </b:Author>
    </b:Author>
    <b:PlacePublished>a GSK , Wavre , Belgium. b GSK , Singapore. c GSK , Munchen , Germany.</b:PlacePublished>
    <b:Pages>2213-2221</b:Pages>
    <b:Volume>13</b:Volume>
    <b:StandardNumber>10</b:StandardNumber>
    <b:Month>Oct 3</b:Month>
    <b:DOI>10.1080/21645515.2017.1345399</b:DOI>
    <b:Title>Assessment of the potential public health impact of herpes zoster vaccination in Germany</b:Title>
    <b:JournalName>Hum Vaccin Immunother</b:JournalName>
    <b:URL>https://www.ncbi.nlm.nih.gov/pubmed/28708959</b:URL>
    <b:Day>15</b:Day>
  </b:Source>
  <b:Source>
    <b:Tag>f66a3fcf-35d6-4804-906a-596f3a7b2295</b:Tag>
    <b:RefOrder>16</b:RefOrder>
    <b:SourceType>JournalArticle</b:SourceType>
    <b:Year>2018</b:Year>
    <b:Author>
      <b:Author>
        <b:NameList>
          <b:Person>
            <b:First>Curran</b:First>
            <b:Last>D.</b:Last>
          </b:Person>
          <b:Person>
            <b:First>Patterson</b:First>
            <b:Last>B.</b:Last>
          </b:Person>
          <b:Person>
            <b:First>Varghese</b:First>
            <b:Last>L.</b:Last>
          </b:Person>
          <b:Person>
            <b:First>Van</b:First>
            <b:Last>Oorschot D.</b:Last>
          </b:Person>
          <b:Person>
            <b:First>Buck</b:First>
            <b:Last>P.</b:Last>
          </b:Person>
          <b:Person>
            <b:First>Carrico</b:First>
            <b:Last>J.</b:Last>
          </b:Person>
          <b:Person>
            <b:First>Hicks</b:First>
            <b:Last>K.</b:Last>
          </b:Person>
          <b:Person>
            <b:First>Lee</b:First>
            <b:Last>B.</b:Last>
          </b:Person>
          <b:Person>
            <b:First>Yawn</b:First>
            <b:Last>B.</b:Last>
          </b:Person>
        </b:NameList>
      </b:Author>
    </b:Author>
    <b:PlacePublished>GSK, Avenue Fleming 20, 1300 Wavre, Belgium. Electronic address: desmond.x.curran@gsk.com. GSK, 5 Crescent Drive, Philadelphia, PA 19112, USA. Electronic address: brandon.j.patterson@gsk.com. GSK, 150 Beach Road, #22-00 Gateway West, 189720, Singapore. Electronic address: lijoy.x.varghese@gsk.com. GSK, Avenue Fleming 20, 1300 Wavre, Belgium. Electronic address: desiree.x.van-oorschot@gsk.com. GSK, 5 Crescent Drive, Philadelphia, PA 19112, USA. Electronic address: philip.o.buck@gsk.com. RTI Health Solutions, P.O. Box 12194, 3040 Cornwallis Road, Research Triangle Park, NC 27709-2194, USA. Electronic address: jcarrico@rti.org. RTI Health Solutions, P.O. Box 12194, 3040 Cornwallis Road, Research Triangle Park, NC 27709-2194, USA. Electronic address: khicks@rti.org. Johns-Hopkins University, Baltimore, MD 21218, USA. Electronic address: brucelee@jhu.edu. University of Minnesota, MN 55455, USA. Electronic address: byawn47@gmail.com.</b:PlacePublished>
    <b:Pages>5037-5045</b:Pages>
    <b:Volume>36</b:Volume>
    <b:StandardNumber>33</b:StandardNumber>
    <b:Month>Aug 9</b:Month>
    <b:DOI>10.1016/j.vaccine.2018.07.005</b:DOI>
    <b:Title>Cost-effectiveness of an adjuvanted recombinant zoster vaccine in older adults in the United States</b:Title>
    <b:JournalName>Vaccine</b:JournalName>
    <b:URL>https://www.ncbi.nlm.nih.gov/pubmed/30017145</b:URL>
    <b:Day>19</b:Day>
  </b:Source>
  <b:Source>
    <b:Tag>db7c9df3-bd5c-45d8-ad4e-20d89fdfd80f</b:Tag>
    <b:RefOrder>17</b:RefOrder>
    <b:SourceType>JournalArticle</b:SourceType>
    <b:Year>2018</b:Year>
    <b:Author>
      <b:Author>
        <b:NameList>
          <b:Person>
            <b:First>Watanabe</b:First>
            <b:Last>D.</b:Last>
          </b:Person>
          <b:Person>
            <b:First>Mizukami</b:First>
            <b:Last>A.</b:Last>
          </b:Person>
          <b:Person>
            <b:First>Holl</b:First>
            <b:Last>K.</b:Last>
          </b:Person>
          <b:Person>
            <b:First>Curran</b:First>
            <b:Last>D.</b:Last>
          </b:Person>
          <b:Person>
            <b:First>Van</b:First>
            <b:Last>Oorschot D.</b:Last>
          </b:Person>
          <b:Person>
            <b:First>Varghese</b:First>
            <b:Last>L.</b:Last>
          </b:Person>
          <b:Person>
            <b:First>Shiragami</b:First>
            <b:Last>M.</b:Last>
          </b:Person>
        </b:NameList>
      </b:Author>
    </b:Author>
    <b:PlacePublished>Department of Dermatology, Aichi Medical University, 1-1 Yazakokarimata, Nagakute, Aichi, Japan. GSK, Akasaka Intercity AIR, 1-8-1, Akasaka, Minato-ku, Tokyo, Japan. akiko.mizukami@gsk.com. GSK, Akasaka Intercity AIR, 1-8-1, Akasaka, Minato-ku, Tokyo, Japan. GSK, Avenue Fleming 20, Wavre, Belgium. GSK R&amp;D-Asia-Pacific and North Asia, 8 Cross Street, #24-01 PWC Building, Singapore, 048424, Singapore. Faculty of Pharmaceutical Sciences, Teikyo Heisei University, 4-21-2, Nakano, Nakano-ku, Tokyo, Japan.</b:PlacePublished>
    <b:Pages>269-284</b:Pages>
    <b:Volume>8</b:Volume>
    <b:StandardNumber>2</b:StandardNumber>
    <b:Month>Jun</b:Month>
    <b:DOI>10.1007/s13555-018-0236-3</b:DOI>
    <b:Title>The potential public health impact of herpes zoster vaccination of people aged ≥ 50 years in Japan: Results of a Markov model analysis</b:Title>
    <b:JournalName>Dermatol Ther (Heidelb)</b:JournalName>
    <b:URL>https://www.ncbi.nlm.nih.gov/pubmed/29680914</b:URL>
    <b:Day>24</b:Day>
  </b:Source>
  <b:Source>
    <b:Tag>603df031-2000-4cb2-b97d-c5a6a31dce2d</b:Tag>
    <b:RefOrder>18</b:RefOrder>
    <b:SourceType>JournalArticle</b:SourceType>
    <b:Year>2019</b:Year>
    <b:Author>
      <b:Author>
        <b:NameList>
          <b:Person>
            <b:First>van</b:First>
            <b:Last>Oorschot D. A. M.</b:Last>
          </b:Person>
          <b:Person>
            <b:First>Hunjan</b:First>
            <b:Last>M.</b:Last>
          </b:Person>
          <b:Person>
            <b:First>Bracke</b:First>
            <b:Last>B.</b:Last>
          </b:Person>
          <b:Person>
            <b:First>Lorenc</b:First>
            <b:Last>S.</b:Last>
          </b:Person>
          <b:Person>
            <b:First>Curran</b:First>
            <b:Last>D.</b:Last>
          </b:Person>
          <b:Person>
            <b:First>Starkie-Camejo</b:First>
            <b:Last>H.</b:Last>
          </b:Person>
        </b:NameList>
      </b:Author>
    </b:Author>
    <b:PlacePublished>GSK, Wavre, Belgium. GSK, Uxbridge, UK. Freelance on behalf of GSK, Wavre, Belgium.</b:PlacePublished>
    <b:Pages>e025553</b:Pages>
    <b:Volume>9</b:Volume>
    <b:StandardNumber>5</b:StandardNumber>
    <b:Month>May 5</b:Month>
    <b:DOI>10.1136/bmjopen-2018-025553</b:DOI>
    <b:Title>Public health impact model estimating the impact of introducing an adjuvanted recombinant zoster vaccine into the UK universal mass vaccination programme</b:Title>
    <b:JournalName>BMJ Open</b:JournalName>
    <b:URL>https://www.ncbi.nlm.nih.gov/pubmed/31061027</b:URL>
    <b:Day>8</b:Day>
  </b:Source>
  <b:Source>
    <b:Tag>d54a8abe-43d4-431f-ade3-fec50b5f92f2</b:Tag>
    <b:RefOrder>19</b:RefOrder>
    <b:SourceType>JournalArticle</b:SourceType>
    <b:Year>2019</b:Year>
    <b:Author>
      <b:Author>
        <b:NameList>
          <b:Person>
            <b:First>Shiragami</b:First>
            <b:Last>M.</b:Last>
          </b:Person>
          <b:Person>
            <b:First>Mizukami</b:First>
            <b:Last>A.</b:Last>
          </b:Person>
          <b:Person>
            <b:First>Kaise</b:First>
            <b:Last>T.</b:Last>
          </b:Person>
          <b:Person>
            <b:First>Curran</b:First>
            <b:Last>D.</b:Last>
          </b:Person>
          <b:Person>
            <b:First>Van</b:First>
            <b:Last>Oorschot D.</b:Last>
          </b:Person>
          <b:Person>
            <b:First>Bracke</b:First>
            <b:Last>B.</b:Last>
          </b:Person>
          <b:Person>
            <b:First>Watanabe</b:First>
            <b:Last>D.</b:Last>
          </b:Person>
        </b:NameList>
      </b:Author>
    </b:Author>
    <b:PlacePublished>Faculty of Pharmaceutical Sciences, Teikyo Heisei University, Tokyo, Japan. Healthoutcomes Department, GSK, Tokyo, Japan. akiko.mizukami@gsk.com. Healthoutcomes Department, GSK, Tokyo, Japan. Value Evidence Department, GSK, Wavre, Belgium. Department of Dermatology, Aichi Medical University, Aichi, Japan.</b:PlacePublished>
    <b:Pages>281-297</b:Pages>
    <b:Volume>9</b:Volume>
    <b:StandardNumber>2</b:StandardNumber>
    <b:Month>Jun</b:Month>
    <b:DOI>10.1007/s13555-019-0291-4</b:DOI>
    <b:Title>Cost-effectiveness of the adjuvant recombinant zoster vaccine in Japanese adults aged 65 years and older</b:Title>
    <b:JournalName>Dermatol Ther (Heidelb)</b:JournalName>
    <b:URL>https://www.ncbi.nlm.nih.gov/pubmed/30929219</b:URL>
    <b:Day>1</b:Day>
  </b:Source>
  <b:Source>
    <b:Tag>b5d183e8-8242-4287-9b08-be671ba2248d</b:Tag>
    <b:RefOrder>20</b:RefOrder>
    <b:SourceType>JournalArticle</b:SourceType>
    <b:Year>2020</b:Year>
    <b:Author>
      <b:Author>
        <b:NameList>
          <b:Person>
            <b:First>Volpi</b:First>
            <b:Last>A.</b:Last>
          </b:Person>
          <b:Person>
            <b:First>Boccalini</b:First>
            <b:Last>S.</b:Last>
          </b:Person>
          <b:Person>
            <b:First>Dari</b:First>
            <b:Last>S.</b:Last>
          </b:Person>
          <b:Person>
            <b:First>Clarke</b:First>
            <b:Last>C.</b:Last>
          </b:Person>
          <b:Person>
            <b:First>Curran</b:First>
            <b:Last>D.</b:Last>
          </b:Person>
          <b:Person>
            <b:First>Loiacono</b:First>
            <b:Last>I.</b:Last>
          </b:Person>
          <b:Person>
            <b:First>Pitrelli</b:First>
            <b:Last>A.</b:Last>
          </b:Person>
          <b:Person>
            <b:First>Puggina</b:First>
            <b:Last>A.</b:Last>
          </b:Person>
          <b:Person>
            <b:First>Tosatto</b:First>
            <b:Last>R.</b:Last>
          </b:Person>
          <b:Person>
            <b:First>Van</b:First>
            <b:Last>Oorschot D.</b:Last>
          </b:Person>
          <b:Person>
            <b:First>Franco</b:First>
            <b:Last>E.</b:Last>
          </b:Person>
        </b:NameList>
      </b:Author>
    </b:Author>
    <b:PlacePublished>Department of Clinical Sciences and Translational Medicine, University of Rome "Tor Vergata", Rome, Italy. Department of Health Sciences, University of Florence, Florence, Italy. NEOS (Neuroscienze, Salute Mentale e Organi di Senso), Sapienza University, Rome, Italy. Health Economics Zoster, GSK, Wavre, Belgium. ITA Market Access and Pricing, GSK Italy, Verona, Italy. Department of Biomedicine and Prevention, University "Tor Vergata", Rome, Italy.</b:PlacePublished>
    <b:Pages>327-334</b:Pages>
    <b:Volume>16</b:Volume>
    <b:StandardNumber>2</b:StandardNumber>
    <b:DOI>10.1080/21645515.2019.1657753</b:DOI>
    <b:Title>The potential public health impact of herpes zoster vaccination in the 65 years of age cohort in Italy</b:Title>
    <b:JournalName>Hum Vaccin Immunother</b:JournalName>
    <b:URL>https://www.ncbi.nlm.nih.gov/pubmed/31442095</b:URL>
    <b:Day>24</b:Day>
    <b:Month>8</b:Month>
  </b:Source>
  <b:Source>
    <b:Tag>0f7c31c2-53f8-4b84-98b9-7d50a525604d</b:Tag>
    <b:RefOrder>21</b:RefOrder>
    <b:SourceType>JournalArticle</b:SourceType>
    <b:Year>2021</b:Year>
    <b:Author>
      <b:Author>
        <b:NameList>
          <b:Person>
            <b:First>Curran</b:First>
            <b:Last>D.</b:Last>
          </b:Person>
          <b:Person>
            <b:First>Van</b:First>
            <b:Last>Oorschot D.</b:Last>
          </b:Person>
          <b:Person>
            <b:First>Matthews</b:First>
            <b:Last>S.</b:Last>
          </b:Person>
          <b:Person>
            <b:First>Hain</b:First>
            <b:Last>J.</b:Last>
          </b:Person>
          <b:Person>
            <b:First>Salem</b:First>
            <b:Last>A. E.</b:Last>
          </b:Person>
          <b:Person>
            <b:First>Schwarz</b:First>
            <b:Last>M.</b:Last>
          </b:Person>
        </b:NameList>
      </b:Author>
    </b:Author>
    <b:PlacePublished>Value Evidence, GSK, Wavre, Belgium. Value Evidence Freelance c/o GSK, Wavre, Belgium. Vaccines, GSK, Munchen, Germany.</b:PlacePublished>
    <b:Pages>5296-5303</b:Pages>
    <b:Volume>17</b:Volume>
    <b:StandardNumber>12</b:StandardNumber>
    <b:Month>Dec 2</b:Month>
    <b:DOI>10.1080/21645515.2021.2002085</b:DOI>
    <b:Title>Long-term efficacy data for the recombinant zoster vaccine: impact on public health and cost effectiveness in Germany</b:Title>
    <b:JournalName>Hum Vaccin Immunother</b:JournalName>
    <b:URL>https://www.ncbi.nlm.nih.gov/pubmed/34905463</b:URL>
    <b:Day>15</b:Day>
  </b:Source>
  <b:Source>
    <b:Tag>9b2b3f12-e491-4ff2-a7c6-2290250165e4</b:Tag>
    <b:RefOrder>22</b:RefOrder>
    <b:SourceType>JournalArticle</b:SourceType>
    <b:Year>2021</b:Year>
    <b:Author>
      <b:Author>
        <b:NameList>
          <b:Person>
            <b:First>Lee</b:First>
            <b:Last>C.</b:Last>
          </b:Person>
          <b:Person>
            <b:First>Jiang</b:First>
            <b:Last>N.</b:Last>
          </b:Person>
          <b:Person>
            <b:First>Tang</b:First>
            <b:Last>H.</b:Last>
          </b:Person>
          <b:Person>
            <b:First>Ye</b:First>
            <b:Last>C.</b:Last>
          </b:Person>
          <b:Person>
            <b:First>Yuan</b:First>
            <b:Last>Y.</b:Last>
          </b:Person>
          <b:Person>
            <b:First>Curran</b:First>
            <b:Last>D.</b:Last>
          </b:Person>
        </b:NameList>
      </b:Author>
    </b:Author>
    <b:PlacePublished>GSK, Singapore, Singapore. GSK, Beijing, China. GSK, Wavre, Belgium.</b:PlacePublished>
    <b:Pages>3735-3746</b:Pages>
    <b:Volume>17</b:Volume>
    <b:StandardNumber>10</b:StandardNumber>
    <b:Month>Oct 3</b:Month>
    <b:Publisher>Taylor &amp; Francis</b:Publisher>
    <b:DOI>10.1080/21645515.2021.1932216</b:DOI>
    <b:Title>Potential public health impact of the adjuvanted recombinant zoster vaccine among people aged 50 years and older in Beijing</b:Title>
    <b:JournalName>Hum Vaccin Immunother</b:JournalName>
    <b:URL>https://www.ncbi.nlm.nih.gov/pubmed/34310268</b:URL>
    <b:Day>27</b:Day>
  </b:Source>
  <b:Source>
    <b:Tag>6f814bd1-194d-44f6-a7fa-ed1ef1ea2474</b:Tag>
    <b:RefOrder>23</b:RefOrder>
    <b:SourceType>JournalArticle</b:SourceType>
    <b:Year>2022</b:Year>
    <b:Author>
      <b:Author>
        <b:NameList>
          <b:Person>
            <b:First>Teng</b:First>
            <b:Last>L.</b:Last>
          </b:Person>
          <b:Person>
            <b:First>Mizukami</b:First>
            <b:Last>A.</b:Last>
          </b:Person>
          <b:Person>
            <b:First>Ng</b:First>
            <b:Last>C.</b:Last>
          </b:Person>
          <b:Person>
            <b:First>Giannelos</b:First>
            <b:Last>N.</b:Last>
          </b:Person>
          <b:Person>
            <b:First>Curran</b:First>
            <b:Last>D.</b:Last>
          </b:Person>
          <b:Person>
            <b:First>Sato</b:First>
            <b:Last>T.</b:Last>
          </b:Person>
          <b:Person>
            <b:First>Lee</b:First>
            <b:Last>C.</b:Last>
          </b:Person>
          <b:Person>
            <b:First>Matsuki</b:First>
            <b:Last>T.</b:Last>
          </b:Person>
        </b:NameList>
      </b:Author>
    </b:Author>
    <b:PlacePublished>Department of Health Economics and Outcomes Research, Graduate School of Pharmaceutical Sciences, The University of Tokyo, Tokyo, Japan. GSK, 1-8-1 Akasaka, Minato-ku, Tokyo, 107-0052, Japan. GSK, Singapore, Singapore. GSK, Wavre, Belgium. GSK, 1-8-1 Akasaka, Minato-ku, Tokyo, 107-0052, Japan. taizo.2.matsuki@gsk.com.</b:PlacePublished>
    <b:Pages>1447-1467</b:Pages>
    <b:Volume>12</b:Volume>
    <b:StandardNumber>6</b:StandardNumber>
    <b:Month>Jun</b:Month>
    <b:DOI>10.1007/s13555-022-00744-8</b:DOI>
    <b:Title>Cost-effectiveness analysis update of the adjuvanted recombinant zoster vaccine in Japanese older adults</b:Title>
    <b:JournalName>Dermatol Ther (Heidelb)</b:JournalName>
    <b:URL>https://www.ncbi.nlm.nih.gov/pubmed/35668295</b:URL>
    <b:Day>7</b:Day>
  </b:Source>
  <b:Source>
    <b:Tag>0c901957-908c-41cd-8eb2-ca650e6ff2da</b:Tag>
    <b:RefOrder>24</b:RefOrder>
    <b:SourceType>InternetSite</b:SourceType>
    <b:Year>2022</b:Year>
    <b:Author>
      <b:Author>
        <b:NameList>
          <b:Person>
            <b:First>Statistics</b:First>
            <b:Last>Canada</b:Last>
          </b:Person>
        </b:NameList>
      </b:Author>
    </b:Author>
    <b:Title>Population estimates on July 1st, by age and sex</b:Title>
    <b:URL>https://doi.org/10.25318/1710000501-eng</b:URL>
    <b:DayAccessed>31</b:DayAccessed>
    <b:MonthAccessed>3</b:MonthAccessed>
    <b:YearAccessed>2022</b:YearAccessed>
  </b:Source>
  <b:Source>
    <b:Tag>97b00a01-27f2-4d1a-8287-22c6aa8654ab</b:Tag>
    <b:RefOrder>25</b:RefOrder>
    <b:SourceType>InternetSite</b:SourceType>
    <b:Year>2022</b:Year>
    <b:Author>
      <b:Author>
        <b:NameList>
          <b:Person>
            <b:First>Statistics</b:First>
            <b:Last>Canada</b:Last>
          </b:Person>
        </b:NameList>
      </b:Author>
    </b:Author>
    <b:Title>Mortality rates, by age group</b:Title>
    <b:URL>https://doi.org/10.25318/1310071001-eng</b:URL>
    <b:DayAccessed>31</b:DayAccessed>
    <b:MonthAccessed>3</b:MonthAccessed>
    <b:YearAccessed>2022</b:YearAccessed>
  </b:Source>
  <b:Source>
    <b:Tag>e7872846-8cd6-44be-bbf6-0168b06a65bd</b:Tag>
    <b:RefOrder>26</b:RefOrder>
    <b:SourceType>JournalArticle</b:SourceType>
    <b:Year>2016</b:Year>
    <b:Author>
      <b:Author>
        <b:NameList>
          <b:Person>
            <b:First>Marra</b:First>
            <b:Last>F.</b:Last>
          </b:Person>
          <b:Person>
            <b:First>Chong</b:First>
            <b:Last>M.</b:Last>
          </b:Person>
          <b:Person>
            <b:First>Najafzadeh</b:First>
            <b:Last>M.</b:Last>
          </b:Person>
        </b:NameList>
      </b:Author>
    </b:Author>
    <b:PlacePublished>University of British Columbia, Vancouver, BC, Canada. fawziah@mail.ubc.ca. University of British Columbia, 2405 Wesbrook Mall, Vancouver, British Columbia, V6T 1Z3, Canada. fawziah@mail.ubc.ca. JC2 Answers, Vancouver, BC, Canada. Brigham and Women's Hospital, Harvard Medical School, Boston, USA.</b:PlacePublished>
    <b:Pages>589</b:Pages>
    <b:Volume>16</b:Volume>
    <b:StandardNumber>1</b:StandardNumber>
    <b:Day>22</b:Day>
    <b:Month>10</b:Month>
    <b:DOI>10.1186/s12879-016-1898-z</b:DOI>
    <b:Title>Increasing incidence associated with herpes zoster infection in British Columbia, Canada</b:Title>
    <b:JournalName>BMC Infect Dis</b:JournalName>
    <b:URL>https://www.ncbi.nlm.nih.gov/pubmed/27765026</b:URL>
  </b:Source>
  <b:Source>
    <b:Tag>2d4fd10f-8630-4e75-b519-549e0278ebe7</b:Tag>
    <b:RefOrder>27</b:RefOrder>
    <b:SourceType>JournalArticle</b:SourceType>
    <b:Year>2010</b:Year>
    <b:Author>
      <b:Author>
        <b:NameList>
          <b:Person>
            <b:First>Drolet</b:First>
            <b:Last>M.</b:Last>
          </b:Person>
          <b:Person>
            <b:First>Brisson</b:First>
            <b:Last>M.</b:Last>
          </b:Person>
          <b:Person>
            <b:First>Schmader</b:First>
            <b:Last>K.</b:Last>
          </b:Person>
          <b:Person>
            <b:First>Levin</b:First>
            <b:Last>M.</b:Last>
          </b:Person>
          <b:Person>
            <b:First>Johnson</b:First>
            <b:Last>R.</b:Last>
          </b:Person>
          <b:Person>
            <b:First>Oxman</b:First>
            <b:Last>M.</b:Last>
          </b:Person>
          <b:Person>
            <b:First>Patrick</b:First>
            <b:Last>D.</b:Last>
          </b:Person>
          <b:Person>
            <b:First>Camden</b:First>
            <b:Last>S.</b:Last>
          </b:Person>
          <b:Person>
            <b:First>Mansi</b:First>
            <b:Last>J. A.</b:Last>
          </b:Person>
        </b:NameList>
      </b:Author>
    </b:Author>
    <b:PlacePublished>URESP, Centre de recherche FRSQ du CHA Universitaire de Quebec, QC, Canada.</b:PlacePublished>
    <b:Pages>1211-21</b:Pages>
    <b:Volume>11</b:Volume>
    <b:StandardNumber>11</b:StandardNumber>
    <b:Month>Nov</b:Month>
    <b:DOI>10.1016/j.jpain.2010.02.020</b:DOI>
    <b:Title>Predictors of postherpetic neuralgia among patients with herpes zoster: A prospective study</b:Title>
    <b:JournalName>J Pain</b:JournalName>
    <b:URL>https://www.ncbi.nlm.nih.gov/pubmed/20434957</b:URL>
    <b:Day>4</b:Day>
  </b:Source>
  <b:Source>
    <b:Tag>d940228d-0fac-40cb-a3e9-2f5688ebda70</b:Tag>
    <b:RefOrder>28</b:RefOrder>
    <b:SourceType>JournalArticle</b:SourceType>
    <b:Year>2008</b:Year>
    <b:Author>
      <b:Author>
        <b:NameList>
          <b:Person>
            <b:First>Brisson</b:First>
            <b:Last>M.</b:Last>
          </b:Person>
        </b:NameList>
      </b:Author>
    </b:Author>
    <b:PlacePublished>Departemente de medecine sociale et preventive, Universite Laval, Quebec, QC. marc.brisson@uresp.ulaval.ca</b:PlacePublished>
    <b:Pages>383-6</b:Pages>
    <b:Volume>99</b:Volume>
    <b:StandardNumber>5</b:StandardNumber>
    <b:Month>Sep-Oct</b:Month>
    <b:DOI>10.1007/BF03405246</b:DOI>
    <b:Title>Estimating the number needed to vaccinate to prevent herpes zoster-related disease, health care resource use and mortality</b:Title>
    <b:JournalName>Can J Public Health</b:JournalName>
    <b:URL>https://www.ncbi.nlm.nih.gov/pubmed/19009921</b:URL>
    <b:Day>18</b:Day>
  </b:Source>
  <b:Source>
    <b:Tag>9e7e563e-db36-44be-b178-61f7a43f8cff</b:Tag>
    <b:RefOrder>29</b:RefOrder>
    <b:SourceType>Misc</b:SourceType>
    <b:Author>
      <b:Author>
        <b:NameList>
          <b:Person>
            <b:First>IQVIA</b:First>
          </b:Person>
        </b:NameList>
      </b:Author>
    </b:Author>
    <b:Title>Estimated Shingrix immunization rate from IQVIA CompuScript NRx (March 2022 DM) and IQVIA GPM by Payer (March 2022 DM), both for the Canadian Shingles market. All Rights Reserved; GSK Internal Sales Data (March 2022 DM) for the Canadian Shingles market, as well as population data published by Statistics Canada. The statements, findings, conclusions, views, and opinions contained and expressed in this report are based only in part on data obtained under license from IQVIA Solutions Canada Inc. (IQVIA), and therefore such statements, findings, conclusions, views, and opinions are not necessarily those of IQVIA or any of its affiliated or subsidiary entities</b:Title>
  </b:Source>
  <b:Source>
    <b:Tag>d7b8c869-ffb8-4c9f-bbc7-91d372f96b76</b:Tag>
    <b:RefOrder>30</b:RefOrder>
    <b:SourceType>JournalArticle</b:SourceType>
    <b:Year>2021</b:Year>
    <b:Author>
      <b:Author>
        <b:NameList>
          <b:Person>
            <b:First>McGirr</b:First>
            <b:Last>A.</b:Last>
          </b:Person>
          <b:Person>
            <b:First>Bourgoin</b:First>
            <b:Last>T.</b:Last>
          </b:Person>
          <b:Person>
            <b:First>Wortzman</b:First>
            <b:Last>M.</b:Last>
          </b:Person>
          <b:Person>
            <b:First>Millson</b:First>
            <b:Last>B.</b:Last>
          </b:Person>
          <b:Person>
            <b:First>McNeil</b:First>
            <b:Last>S. A.</b:Last>
          </b:Person>
        </b:NameList>
      </b:Author>
    </b:Author>
    <b:PlacePublished>GSK, Mississauga, Canada. Electronic address: ashleigh.a.mcgirr@gsk.com. IQVIA, Ottawa, Canada. GSK, Mississauga, Canada. Canadian Center for Vaccinology, IWK Health Centre and Nova Scotia Health Authority, Dalhousie University, Halifax, Canada.</b:PlacePublished>
    <b:Pages>3397-3403</b:Pages>
    <b:Volume>39</b:Volume>
    <b:StandardNumber>25</b:StandardNumber>
    <b:Month>Jun 8</b:Month>
    <b:DOI>10.1016/j.vaccine.2021.04.053</b:DOI>
    <b:Title>An early look at the second dose completion of the recombinant zoster vaccine in Canadian adults: A retrospective database study</b:Title>
    <b:JournalName>Vaccine</b:JournalName>
    <b:URL>https://www.ncbi.nlm.nih.gov/pubmed/34001346</b:URL>
    <b:Day>19</b:Day>
  </b:Source>
  <b:Source>
    <b:Tag>30942ee8-ad39-4668-b650-acfdfdcef929</b:Tag>
    <b:RefOrder>31</b:RefOrder>
    <b:SourceType>JournalArticle</b:SourceType>
    <b:Year>2017</b:Year>
    <b:Author>
      <b:Author>
        <b:NameList>
          <b:Person>
            <b:First>Friesen</b:First>
            <b:Last>K. J.</b:Last>
          </b:Person>
          <b:Person>
            <b:First>Chateau</b:First>
            <b:Last>D.</b:Last>
          </b:Person>
          <b:Person>
            <b:First>Falk</b:First>
            <b:Last>J.</b:Last>
          </b:Person>
          <b:Person>
            <b:First>Alessi-Severini</b:First>
            <b:Last>S.</b:Last>
          </b:Person>
          <b:Person>
            <b:First>Bugden</b:First>
            <b:Last>S.</b:Last>
          </b:Person>
        </b:NameList>
      </b:Author>
    </b:Author>
    <b:PlacePublished>College of Pharmacy, Rady Faculty of Health Sciences, University of Manitoba, Winnipeg, MB, Canada. Department of Community Health Sciences, College of Medicine, Rady Faculty of Health Sciences, University of Manitoba, Winnipeg, MB, Canada. College of Pharmacy, Rady Faculty of Health Sciences, University of Manitoba, Winnipeg, MB, Canada. Shawn.Bugden@umanitoba.ca.</b:PlacePublished>
    <b:Pages>69</b:Pages>
    <b:Volume>17</b:Volume>
    <b:StandardNumber>1</b:StandardNumber>
    <b:Day>15</b:Day>
    <b:Month>1</b:Month>
    <b:DOI>10.1186/s12879-017-2185-3</b:DOI>
    <b:Title>Cost of shingles: population based burden of disease analysis of herpes zoster and postherpetic neuralgia</b:Title>
    <b:JournalName>BMC Infect Dis</b:JournalName>
    <b:URL>https://www.ncbi.nlm.nih.gov/pubmed/28086817</b:URL>
  </b:Source>
  <b:Source>
    <b:Tag>6a133341-69d6-4831-ae5d-e1e0446a154e</b:Tag>
    <b:RefOrder>32</b:RefOrder>
    <b:SourceType>InternetSite</b:SourceType>
    <b:Year>2021</b:Year>
    <b:Author>
      <b:Author>
        <b:NameList>
          <b:Person>
            <b:First>Ontario</b:First>
            <b:Last>Ministry of Health and Long-Term Care</b:Last>
          </b:Person>
        </b:NameList>
      </b:Author>
    </b:Author>
    <b:Title>Ontario Case Costing Initiative Costing Analysis Tool. Acute Inpatient FY 2017/2018 statistics by most responsible diagnosis ICD-10 Code</b:Title>
    <b:URL>https://hsim.health.gov.on.ca/hdbportal/</b:URL>
    <b:DayAccessed>15</b:DayAccessed>
    <b:MonthAccessed>6</b:MonthAccessed>
    <b:YearAccessed>2021</b:YearAccessed>
  </b:Source>
  <b:Source>
    <b:Tag>44e866b9-574c-4168-a992-c3bef9af6b18</b:Tag>
    <b:RefOrder>33</b:RefOrder>
    <b:SourceType>InternetSite</b:SourceType>
    <b:Year>2022</b:Year>
    <b:Author>
      <b:Author>
        <b:NameList>
          <b:Person>
            <b:First>Ontario</b:First>
            <b:Last>Ministry of Health</b:Last>
          </b:Person>
        </b:NameList>
      </b:Author>
    </b:Author>
    <b:Title>Schedule of Benefits. Physician Services Under the Health Insurance Act</b:Title>
    <b:URL>https://www.health.gov.on.ca/en/pro/programs/ohip/sob/physserv/sob_master_20221201.pdf</b:URL>
    <b:DayAccessed>1</b:DayAccessed>
    <b:MonthAccessed>2</b:MonthAccessed>
    <b:YearAccessed>2023</b:YearAccessed>
  </b:Source>
  <b:Source>
    <b:Tag>afae22f7-a3fc-4e36-8d55-10f8fd394501</b:Tag>
    <b:RefOrder>34</b:RefOrder>
    <b:SourceType>InternetSite</b:SourceType>
    <b:Author>
      <b:Author>
        <b:NameList>
          <b:Person>
            <b:First>Ontario</b:First>
            <b:Last>Ministry of Health and Long-Term Care</b:Last>
          </b:Person>
        </b:NameList>
      </b:Author>
    </b:Author>
    <b:Volume>1 Apr 2022</b:Volume>
    <b:Title>Formulary search</b:Title>
    <b:URL>https://www.formulary.health.gov.on.ca/formulary/</b:URL>
  </b:Source>
  <b:Source>
    <b:Tag>58e187e5-e16f-4d34-80d6-8b71c8fbbc18</b:Tag>
    <b:RefOrder>35</b:RefOrder>
    <b:SourceType>Misc</b:SourceType>
    <b:Author>
      <b:Author>
        <b:NameList>
          <b:Person>
            <b:First>GSK</b:First>
          </b:Person>
        </b:NameList>
      </b:Author>
    </b:Author>
    <b:Title>List price for Shingrix as of April 18, 2022. Data on file</b:Title>
  </b:Source>
  <b:Source>
    <b:Tag>95319ed8-61a7-4fee-a690-d587cbb418a3</b:Tag>
    <b:RefOrder>36</b:RefOrder>
    <b:SourceType>InternetSite</b:SourceType>
    <b:Year>2022</b:Year>
    <b:Author>
      <b:Author>
        <b:NameList>
          <b:Person>
            <b:First>Ministry</b:First>
            <b:Last>of Health</b:Last>
          </b:Person>
        </b:NameList>
      </b:Author>
    </b:Author>
    <b:Title>Schedule of Benefits. Physician Services Under the Health Insurance Act</b:Title>
    <b:URL>https://www.health.gov.on.ca/en/pro/programs/ohip/sob/physserv/sob_master_20221201.pdf</b:URL>
    <b:DayAccessed>16</b:DayAccessed>
    <b:MonthAccessed>1</b:MonthAccessed>
    <b:YearAccessed>2023</b:YearAccessed>
  </b:Source>
  <b:Source>
    <b:Tag>93e5066a-0167-4754-a78a-04a033b9ca3f</b:Tag>
    <b:RefOrder>37</b:RefOrder>
    <b:SourceType>InternetSite</b:SourceType>
    <b:Year>2022</b:Year>
    <b:Author>
      <b:Author>
        <b:NameList>
          <b:Person>
            <b:First>Statistics</b:First>
            <b:Last>Canada</b:Last>
          </b:Person>
        </b:NameList>
      </b:Author>
    </b:Author>
    <b:Title>Consumer Price Index, annual average, not seasonally adjusted</b:Title>
    <b:URL>https://doi.org/10.25318/1810000501-eng</b:URL>
    <b:DayAccessed>31</b:DayAccessed>
    <b:MonthAccessed>3</b:MonthAccessed>
    <b:YearAccessed>2022</b:YearAccessed>
  </b:Source>
  <b:Source>
    <b:Tag>7c0ccae5-c5ca-4b24-8d0d-c9ebf64519b5</b:Tag>
    <b:RefOrder>38</b:RefOrder>
    <b:SourceType>InternetSite</b:SourceType>
    <b:Year>2022</b:Year>
    <b:Author>
      <b:Author>
        <b:NameList>
          <b:Person>
            <b:First>Statistics</b:First>
            <b:Last>Canada</b:Last>
          </b:Person>
        </b:NameList>
      </b:Author>
    </b:Author>
    <b:Title>Consumer Price Index, monthly, not seasonally adjusted</b:Title>
    <b:URL>https://doi.org/10.25318/1810000401-eng</b:URL>
    <b:DayAccessed>1</b:DayAccessed>
    <b:MonthAccessed>4</b:MonthAccessed>
    <b:YearAccessed>2022</b:YearAccessed>
  </b:Source>
  <b:Source>
    <b:Tag>b08964c0-aa0a-48a5-bffb-29fe207af579</b:Tag>
    <b:RefOrder>39</b:RefOrder>
    <b:SourceType>Book</b:SourceType>
    <b:Year>2014</b:Year>
    <b:Author>
      <b:Author>
        <b:NameList>
          <b:Person>
            <b:First>Szende</b:First>
            <b:Last>A.</b:Last>
          </b:Person>
          <b:Person>
            <b:First>Janssen</b:First>
            <b:Last>B.</b:Last>
          </b:Person>
          <b:Person>
            <b:First>Cabases</b:First>
            <b:Last>J.</b:Last>
          </b:Person>
        </b:NameList>
      </b:Author>
    </b:Author>
    <b:PlacePublished>Dordrecht, The Netherlands</b:PlacePublished>
    <b:Publisher>Springer Netherlands</b:Publisher>
    <b:Title>Self-reported population health: an international perspective based on EQ-5D</b:Title>
  </b:Source>
  <b:Source>
    <b:Tag>21c6e949-f077-488e-870d-e295c184a8d8</b:Tag>
    <b:RefOrder>40</b:RefOrder>
    <b:SourceType>JournalArticle</b:SourceType>
    <b:Year>2019</b:Year>
    <b:Author>
      <b:Author>
        <b:NameList>
          <b:Person>
            <b:First>Drolet</b:First>
            <b:Last>M.</b:Last>
          </b:Person>
          <b:Person>
            <b:First>Zhou</b:First>
            <b:Last>Z.</b:Last>
          </b:Person>
          <b:Person>
            <b:First>Sauvageau</b:First>
            <b:Last>C.</b:Last>
          </b:Person>
          <b:Person>
            <b:First>DeWals</b:First>
            <b:Last>P.</b:Last>
          </b:Person>
          <b:Person>
            <b:First>Gilca</b:First>
            <b:Last>V.</b:Last>
          </b:Person>
          <b:Person>
            <b:First>Amini</b:First>
            <b:Last>R.</b:Last>
          </b:Person>
          <b:Person>
            <b:First>Benard</b:First>
            <b:Last>E.</b:Last>
          </b:Person>
          <b:Person>
            <b:First>Brisson</b:First>
            <b:Last>M.</b:Last>
          </b:Person>
        </b:NameList>
      </b:Author>
    </b:Author>
    <b:PlacePublished>Centre de recherche du Centre hospitalier de l'Universite de Quebec (Drolet, Zhou, Sauvageau, Gilca, Benard, Brisson) and Departement de medecine sociale et preventive (Sauvageau, DeWals, Benard, Brisson), Universite Laval; Institut national de sante publique du Quebec (Sauvageau, DeWals, Gilca, Amini), Quebec, Que. Centre de recherche du Centre hospitalier de l'Universite de Quebec (Drolet, Zhou, Sauvageau, Gilca, Benard, Brisson) and Departement de medecine sociale et preventive (Sauvageau, DeWals, Benard, Brisson), Universite Laval; Institut national de sante publique du Quebec (Sauvageau, DeWals, Gilca, Amini), Quebec, Que. Marc.Brisson@crchudequebec.ulaval.ca.</b:PlacePublished>
    <b:Pages>E932-E939</b:Pages>
    <b:Volume>191</b:Volume>
    <b:StandardNumber>34</b:StandardNumber>
    <b:Day>28</b:Day>
    <b:Month>8</b:Month>
    <b:DOI>10.1503/cmaj.190274</b:DOI>
    <b:Title>Effectiveness and cost-effectiveness of vaccination against herpes zoster in Canada: a modelling study</b:Title>
    <b:JournalName>CMAJ</b:JournalName>
    <b:URL>https://www.ncbi.nlm.nih.gov/pubmed/31451524</b:URL>
  </b:Source>
  <b:Source>
    <b:Tag>77f677a9-b026-4fea-a19c-a37af438e32e</b:Tag>
    <b:RefOrder>41</b:RefOrder>
    <b:SourceType>JournalArticle</b:SourceType>
    <b:Year>2015</b:Year>
    <b:Author>
      <b:Author>
        <b:NameList>
          <b:Person>
            <b:First>Le</b:First>
            <b:Last>P.</b:Last>
          </b:Person>
          <b:Person>
            <b:First>Rothberg</b:First>
            <b:Last>M. B.</b:Last>
          </b:Person>
        </b:NameList>
      </b:Author>
    </b:Author>
    <b:Pages>489-97</b:Pages>
    <b:Volume>163</b:Volume>
    <b:StandardNumber>7</b:StandardNumber>
    <b:Month>Oct 6</b:Month>
    <b:DOI>10.7326/M15-0093</b:DOI>
    <b:Title>Cost-Effectiveness of Herpes Zoster Vaccine for Persons Aged 50 Years</b:Title>
    <b:JournalName>Ann Intern Med</b:JournalName>
    <b:URL>https://www.ncbi.nlm.nih.gov/pubmed/26344036</b:URL>
    <b:Day>8</b:Day>
  </b:Source>
  <b:Source>
    <b:Tag>9b12420e-e937-4ff9-8dfe-97e4bfe6387e</b:Tag>
    <b:RefOrder>42</b:RefOrder>
    <b:SourceType>InternetSite</b:SourceType>
    <b:Author>
      <b:Author>
        <b:NameList>
          <b:Person>
            <b:First>Canada's</b:First>
            <b:Last>Drug and Health Technology Agency (CADTH)</b:Last>
          </b:Person>
        </b:NameList>
      </b:Author>
    </b:Author>
    <b:Title>Guidelines for the Economic Evaluation of Health Technologies: Canada — 4th Edition</b:Title>
    <b:URL>https://www.cadth.ca/guidelines-economic-evaluation-health-technologies-canada-4th-edition</b:URL>
    <b:DayAccessed>18</b:DayAccessed>
    <b:MonthAccessed>1</b:MonthAccessed>
    <b:YearAccessed>2023</b:YearAccessed>
  </b:Source>
  <b:Source>
    <b:Tag>3f3f1ee0-dc36-49ee-aaca-7748d11b0e97</b:Tag>
    <b:RefOrder>43</b:RefOrder>
    <b:SourceType>JournalArticle</b:SourceType>
    <b:Year>2012</b:Year>
    <b:Author>
      <b:Author>
        <b:NameList>
          <b:Person>
            <b:First>Drolet</b:First>
            <b:Last>M.</b:Last>
          </b:Person>
          <b:Person>
            <b:First>Levin</b:First>
            <b:Last>M. J.</b:Last>
          </b:Person>
          <b:Person>
            <b:First>Schmader</b:First>
            <b:Last>K. E.</b:Last>
          </b:Person>
          <b:Person>
            <b:First>Johnson</b:First>
            <b:Last>R.</b:Last>
          </b:Person>
          <b:Person>
            <b:First>Oxman</b:First>
            <b:Last>M. N.</b:Last>
          </b:Person>
          <b:Person>
            <b:First>Patrick</b:First>
            <b:Last>D.</b:Last>
          </b:Person>
          <b:Person>
            <b:First>Fournier</b:First>
            <b:Last>S. O.</b:Last>
          </b:Person>
          <b:Person>
            <b:First>Mansi</b:First>
            <b:Last>J. A.</b:Last>
          </b:Person>
          <b:Person>
            <b:First>Brisson</b:First>
            <b:Last>M.</b:Last>
          </b:Person>
        </b:NameList>
      </b:Author>
    </b:Author>
    <b:PlacePublished>URESP, Centre de recherche FRSQ du CHA universitaire de Quebec, QC, Canada.</b:PlacePublished>
    <b:Pages>2047-50</b:Pages>
    <b:Volume>30</b:Volume>
    <b:StandardNumber>12</b:StandardNumber>
    <b:Month>Mar 9</b:Month>
    <b:DOI>10.1016/j.vaccine.2012.01.045</b:DOI>
    <b:Title>Employment related productivity loss associated with herpes zoster and postherpetic neuralgia: a 6-month prospective study</b:Title>
    <b:JournalName>Vaccine</b:JournalName>
    <b:URL>https://www.ncbi.nlm.nih.gov/pubmed/22285632</b:URL>
    <b:Day>31</b:Day>
  </b:Source>
  <b:Source>
    <b:Tag>a2f928e1-c744-480b-a2ac-4feb4f7ee362</b:Tag>
    <b:RefOrder>44</b:RefOrder>
    <b:SourceType>InternetSite</b:SourceType>
    <b:Year>2022</b:Year>
    <b:Author>
      <b:Author>
        <b:NameList>
          <b:Person>
            <b:First>Statistics</b:First>
            <b:Last>Canada</b:Last>
          </b:Person>
        </b:NameList>
      </b:Author>
    </b:Author>
    <b:Title>Labour force characteristics, monthly, seasonally adjusted and trend-cycle, last 5 months</b:Title>
    <b:URL>https://doi.org/10.25318/1410028701-eng</b:URL>
    <b:DayAccessed>5</b:DayAccessed>
    <b:MonthAccessed>4</b:MonthAccessed>
    <b:YearAccessed>2022</b:YearAccessed>
  </b:Source>
  <b:Source>
    <b:Tag>3c6ed532-dfa7-4697-af51-9dbc3d770749</b:Tag>
    <b:RefOrder>45</b:RefOrder>
    <b:SourceType>InternetSite</b:SourceType>
    <b:Year>2022</b:Year>
    <b:Author>
      <b:Author>
        <b:NameList>
          <b:Person>
            <b:First>Statistics</b:First>
            <b:Last>Canada</b:Last>
          </b:Person>
        </b:NameList>
      </b:Author>
    </b:Author>
    <b:Title>Labour productivity and related measures by business sector industry and by non-commercial activity consistent with the industry accounts</b:Title>
    <b:URL>https://doi.org/10.25318/3610048001-eng</b:URL>
    <b:DayAccessed>5</b:DayAccessed>
    <b:MonthAccessed>4</b:MonthAccessed>
    <b:YearAccessed>2022</b:YearAccessed>
  </b:Source>
  <b:Source>
    <b:Tag>3887529e-2f38-4a83-aba9-f1fc4db86a27</b:Tag>
    <b:RefOrder>46</b:RefOrder>
    <b:SourceType>InternetSite</b:SourceType>
    <b:Year>2016</b:Year>
    <b:Author>
      <b:Author>
        <b:NameList>
          <b:Person>
            <b:First>National</b:First>
            <b:Last>Advisory Committee on Immunization (NACI)</b:Last>
          </b:Person>
        </b:NameList>
      </b:Author>
    </b:Author>
    <b:Title>Update on the Use of Herpes Zoster Vaccine</b:Title>
    <b:URL>https://www.canada.ca/en/services/health/publications/healthy-living/updated-recommendations-use-herpes-zoster-vaccines.html</b:URL>
    <b:DayAccessed>30</b:DayAccessed>
    <b:MonthAccessed>1</b:MonthAccessed>
    <b:YearAccessed>2023</b:YearAccessed>
  </b:Source>
  <b:Source>
    <b:Tag>e5554d97-b670-464b-8c4d-ade72a51be01</b:Tag>
    <b:RefOrder>47</b:RefOrder>
    <b:SourceType>JournalArticle</b:SourceType>
    <b:Year>2022</b:Year>
    <b:Author>
      <b:Author>
        <b:NameList>
          <b:Person>
            <b:First>Boutry</b:First>
            <b:Last>C.</b:Last>
          </b:Person>
          <b:Person>
            <b:First>Hastie</b:First>
            <b:Last>A.</b:Last>
          </b:Person>
          <b:Person>
            <b:First>Diez-Domingo</b:First>
            <b:Last>J.</b:Last>
          </b:Person>
          <b:Person>
            <b:First>Tinoco</b:First>
            <b:Last>J. C.</b:Last>
          </b:Person>
          <b:Person>
            <b:First>Yu</b:First>
            <b:Last>C. J.</b:Last>
          </b:Person>
          <b:Person>
            <b:First>Andrews</b:First>
            <b:Last>C.</b:Last>
          </b:Person>
          <b:Person>
            <b:First>Beytout</b:First>
            <b:Last>J.</b:Last>
          </b:Person>
          <b:Person>
            <b:First>Caso</b:First>
            <b:Last>C.</b:Last>
          </b:Person>
          <b:Person>
            <b:First>Cheng</b:First>
            <b:Last>H. S.</b:Last>
          </b:Person>
          <b:Person>
            <b:First>Cheong</b:First>
            <b:Last>H. J.</b:Last>
          </b:Person>
          <b:Person>
            <b:First>Choo</b:First>
            <b:Last>E. J.</b:Last>
          </b:Person>
          <b:Person>
            <b:First>Curiac</b:First>
            <b:Last>D.</b:Last>
          </b:Person>
          <b:Person>
            <b:First>Di</b:First>
            <b:Last>Paolo E.</b:Last>
          </b:Person>
          <b:Person>
            <b:First>Dionne</b:First>
            <b:Last>M.</b:Last>
          </b:Person>
          <b:Person>
            <b:First>Eckermann</b:First>
            <b:Last>T.</b:Last>
          </b:Person>
          <b:Person>
            <b:First>Esen</b:First>
            <b:Last>M.</b:Last>
          </b:Person>
          <b:Person>
            <b:First>Ferguson</b:First>
            <b:Last>M.</b:Last>
          </b:Person>
          <b:Person>
            <b:First>Ghesquiere</b:First>
            <b:Last>W.</b:Last>
          </b:Person>
          <b:Person>
            <b:First>Hwang</b:First>
            <b:Last>S. J.</b:Last>
          </b:Person>
          <b:Person>
            <b:First>Avelino-Silva</b:First>
            <b:Last>T. J.</b:Last>
          </b:Person>
          <b:Person>
            <b:First>Kosina</b:First>
            <b:Last>P.</b:Last>
          </b:Person>
          <b:Person>
            <b:First>Liu</b:First>
            <b:Last>C. S.</b:Last>
          </b:Person>
          <b:Person>
            <b:First>Markkula</b:First>
            <b:Last>J.</b:Last>
          </b:Person>
          <b:Person>
            <b:First>Moeckesch</b:First>
            <b:Last>B.</b:Last>
          </b:Person>
          <b:Person>
            <b:First>Murta</b:First>
            <b:Last>de Oliveira C.</b:Last>
          </b:Person>
          <b:Person>
            <b:First>Park</b:First>
            <b:Last>D. W.</b:Last>
          </b:Person>
          <b:Person>
            <b:First>Pauksens</b:First>
            <b:Last>K.</b:Last>
          </b:Person>
          <b:Person>
            <b:First>Pirrotta</b:First>
            <b:Last>P.</b:Last>
          </b:Person>
          <b:Person>
            <b:First>Plassmann</b:First>
            <b:Last>G.</b:Last>
          </b:Person>
          <b:Person>
            <b:First>Pretswell</b:First>
            <b:Last>C.</b:Last>
          </b:Person>
          <b:Person>
            <b:First>Rombo</b:First>
            <b:Last>L.</b:Last>
          </b:Person>
          <b:Person>
            <b:First>Salaun</b:First>
            <b:Last>B.</b:Last>
          </b:Person>
          <b:Person>
            <b:First>Sanmartin</b:First>
            <b:Last>Berglund J.</b:Last>
          </b:Person>
          <b:Person>
            <b:First>Schenkenberger</b:First>
            <b:Last>I.</b:Last>
          </b:Person>
          <b:Person>
            <b:First>Schwarz</b:First>
            <b:Last>T.</b:Last>
          </b:Person>
          <b:Person>
            <b:First>Shi</b:First>
            <b:Last>M.</b:Last>
          </b:Person>
          <b:Person>
            <b:First>Ukkonen</b:First>
            <b:Last>B.</b:Last>
          </b:Person>
          <b:Person>
            <b:First>Zahaf</b:First>
            <b:Last>T.</b:Last>
          </b:Person>
          <b:Person>
            <b:First>Zerbini</b:First>
            <b:Last>C.</b:Last>
          </b:Person>
          <b:Person>
            <b:First>Schuind</b:First>
            <b:Last>A.</b:Last>
          </b:Person>
          <b:Person>
            <b:First>Cunningham</b:First>
            <b:Last>A. L.</b:Last>
          </b:Person>
          <b:Person>
            <b:First>Zoster-049</b:First>
            <b:Last>Study Group</b:Last>
          </b:Person>
        </b:NameList>
      </b:Author>
    </b:Author>
    <b:PlacePublished>Aixial, an Alten Company, Brussels, Belgium, C/O GSK, Wavre, Belgium. GSK, Rockville, Maryland, USA. FISABIO Fundacion para el Fomento Investigacion Sanitaria y Biomedica de la Comunitat Valenciana, Valencia, Spain. Hospital General de Durango, Durango, Mexico. Department of Internal Medicine, National Taiwan University College of Medicine and National Taiwan University Hospital, Taipei, Taiwan. Diagnostics Research Group, San Antonio, Texas, USA. Service CIC, CHU Clermont-Ferrand, Clermont-Ferrand, France. Servicio de Prevencion, Hospital Clinico San Carlos, Madrid, Spain. Linkou Chang Gung Memorial Hospital, Taoyuan City, Taiwan. Korea University Guro Hospital, Seoul, Republic of Korea. SoonChunhyang University Bucheon Hospital, Bucheon-si, Republic of Korea. Clinical Trial Center, SU/Sahlgrenska Universitetssjukhuset, Goteborg, Sweden. GSK, Rixensart, Belgium. CHU de Quebec-Universite Laval, Quebec City, Canada. Praxisgemeinschaft Heimeranplatz, Munchen, Germany. Institute of Tropical Medicine, Universitatsklinikum Tubingen, Tubingen, Germany. Colchester Research Group, Truro, Canada. Division of Infectious Diseases, UBC, Island Health Authority, PerCuro Clinical Research Ltd., Victoria, Canada. Taipei Veterans General Hospital, Taipei City, Taiwan. National Yang Ming University School of Medicine, Taipei City, Taiwan. Laboratorio de Investigacao Medica em Envelhecimento (LIM-66), Servico de Geriatria, Hospital das Clinicas HCFMUSP, Faculdade de Medicina, Universidade de Sao Paulo, Sao Paulo, Brazil. Department of Infectious Diseases, Hradec Kralove, Czechia. Occupational Medicine and Family Medicine, China Medical University Hospital, Taichung, Taiwan. Pori Vaccine Research Clinic, Vaccine Research Center, Tampere University, Pori, Finland. Praxis Dr. med. Beate Moeckesch, Weinheim, Germany. Ambulatorio de Pesquisa Clinica, Santa Casa de Misericordia de Belo Horizonte, Belo Horizonte, Brazil. Korea University Ansan Hospital, Ansan, Republic of Korea. Akademiska sjukhuset, Infektionskliniken, Uppsala, Sweden. GSK, Wavre, Belgium. UHZ Klinische Forschung, Essen, Germany. Synexus Lancashire Clinical Research Centre, Chorley, United Kingdom. Clinical Research Centre, Eskilstuna, Sweden. Blekinge Institute of Technology, Department of Health, Karlstrona, Sweden. KFB- Klinische Forschung Berlin, Berlin, Germany. Institute of Laboratory Medicine and Vaccination Centre, Klinikum Wurzburg Mitte, Standort Juliusspital, Wurzburg, Germany. Espoo Vaccine Research Clinic, Vaccine Research Center, Tampere University, Espoo, Finland. Centro Paulista de Investigacao Clinica, CEPIC, Sao Paulo, Brazil. The Westmead Institute for Medical Research, Westmead, NSW, Australia. University of Sydney, Sydney, NSW, Australia.</b:PlacePublished>
    <b:Pages>1459-1467</b:Pages>
    <b:Volume>74</b:Volume>
    <b:StandardNumber>8</b:StandardNumber>
    <b:Day>21</b:Day>
    <b:Month>7</b:Month>
    <b:DOI>10.1093/cid/ciab629</b:DOI>
    <b:Title>The adjuvanted recombinant zoster vaccine confers long-term protection against herpes zoster: Interim results of an extension study of the pivotal phase 3 clinical trials ZOE-50 and ZOE-70</b:Title>
    <b:JournalName>Clin Infect Dis</b:JournalName>
    <b:URL>https://www.ncbi.nlm.nih.gov/pubmed/34283213</b:URL>
  </b:Source>
  <b:Source>
    <b:Tag>ab1d60a0-b64c-47aa-a892-187a3ea204de</b:Tag>
    <b:RefOrder>48</b:RefOrder>
    <b:SourceType>JournalArticle</b:SourceType>
    <b:Year>2022</b:Year>
    <b:Author>
      <b:Author>
        <b:NameList>
          <b:Person>
            <b:First>Udayachalerm</b:First>
            <b:Last>S.</b:Last>
          </b:Person>
          <b:Person>
            <b:First>Renouard</b:First>
            <b:Last>M. G.</b:Last>
          </b:Person>
          <b:Person>
            <b:First>Anothaisintawee</b:First>
            <b:Last>T.</b:Last>
          </b:Person>
          <b:Person>
            <b:First>Thakkinstian</b:First>
            <b:Last>A.</b:Last>
          </b:Person>
          <b:Person>
            <b:First>Veettil</b:First>
            <b:Last>S. K.</b:Last>
          </b:Person>
          <b:Person>
            <b:First>Chaiyakunapruk</b:First>
            <b:Last>N.</b:Last>
          </b:Person>
        </b:NameList>
      </b:Author>
    </b:Author>
    <b:PlacePublished>University of Utah College of Pharmacy, Salt Lake City, UT, USA. Department of Family Medicine, Faculty of Medicine Ramathibodi Hospital, Mahidol University, Bangkok, Thailand. Department of Clinical Epidemiology and Biostatistics, Faculty of Medicine Ramathibodi Hospital, Mahidol University, Bangkok, Thailand. School of Pharmacy, University of Wisconsin-Madison, Madison, WI, USA.</b:PlacePublished>
    <b:Pages>26-37</b:Pages>
    <b:Volume>25</b:Volume>
    <b:StandardNumber>1</b:StandardNumber>
    <b:Month>Jan-Dec</b:Month>
    <b:DOI>10.1080/13696998.2021.2008195</b:DOI>
    <b:Title>Incremental net monetary benefit of herpes zoster vaccination: A systematic review and meta-analysis of cost-effectiveness evidence</b:Title>
    <b:JournalName>J Med Econ</b:JournalName>
    <b:URL>https://www.ncbi.nlm.nih.gov/pubmed/34791974</b:URL>
    <b:Day>19</b:Day>
  </b:Source>
  <b:Source>
    <b:Tag>8d843456-7dcb-41b2-a1e9-ba68c2fb30d7</b:Tag>
    <b:RefOrder>49</b:RefOrder>
    <b:SourceType>JournalArticle</b:SourceType>
    <b:Year>2023</b:Year>
    <b:Author>
      <b:Author>
        <b:NameList>
          <b:Person>
            <b:First>Giannelos</b:First>
            <b:Last>N.</b:Last>
          </b:Person>
          <b:Person>
            <b:First>Ng</b:First>
            <b:Last>C.</b:Last>
          </b:Person>
          <b:Person>
            <b:First>Curran</b:First>
            <b:Last>D.</b:Last>
          </b:Person>
        </b:NameList>
      </b:Author>
    </b:Author>
    <b:PlacePublished>GSK, Value Evidence, Wavre, Belgium. GSK, Value Evidence, Singapore, Singapore.</b:PlacePublished>
    <b:Pages>2168952</b:Pages>
    <b:Day>15</b:Day>
    <b:Month>3</b:Month>
    <b:DOI>10.1080/21645515.2023.2168952</b:DOI>
    <b:Title>Cost-effectiveness of the recombinant zoster vaccine (RZV) against herpes zoster: An updated critical review</b:Title>
    <b:JournalName>Hum Vaccin Immunother</b:JournalName>
    <b:URL>https://www.ncbi.nlm.nih.gov/pubmed/36916240</b:URL>
  </b:Source>
  <b:Source>
    <b:Tag>de9985f7-73d0-48d2-95a9-eb3e1fed1cc3</b:Tag>
    <b:RefOrder>50</b:RefOrder>
    <b:SourceType>JournalArticle</b:SourceType>
    <b:Year>2022</b:Year>
    <b:Author>
      <b:Author>
        <b:NameList>
          <b:Person>
            <b:First>Meredith</b:First>
            <b:Last>N. R.</b:Last>
          </b:Person>
          <b:Person>
            <b:First>Armstrong</b:First>
            <b:Last>E. P.</b:Last>
          </b:Person>
        </b:NameList>
      </b:Author>
    </b:Author>
    <b:PlacePublished>West Texas A&amp;M University, Department of Accounting, Economics, and Finance, Canyon, TX, USA. University of Arizona College of Pharmacy, Department of Pharmacy Practice and Science, Tucson, AZ, USA.</b:PlacePublished>
    <b:Pages>101923</b:Pages>
    <b:Volume>29</b:Volume>
    <b:Month>Oct</b:Month>
    <b:DOI>10.1016/j.pmedr.2022.101923</b:DOI>
    <b:Title>Cost-effectiveness of herpes zoster vaccines in the U.S.: A systematic review</b:Title>
    <b:JournalName>Prev Med Rep</b:JournalName>
    <b:URL>https://www.ncbi.nlm.nih.gov/pubmed/35898193</b:URL>
    <b:Day>29</b:Day>
  </b:Source>
  <b:Source>
    <b:Tag>298d5083-ce7f-4525-aa5e-1c29062b7018</b:Tag>
    <b:RefOrder>51</b:RefOrder>
    <b:SourceType>JournalArticle</b:SourceType>
    <b:Author>
      <b:Author>
        <b:NameList>
          <b:Person>
            <b:First>George</b:First>
            <b:Last>S.</b:Last>
          </b:Person>
          <b:Person>
            <b:First>Regan</b:First>
            <b:Last>J.</b:Last>
          </b:Person>
          <b:Person>
            <b:First>Awan</b:First>
            <b:Last>A.</b:Last>
          </b:Person>
          <b:Person>
            <b:First>O’Connor</b:First>
            <b:Last>M.</b:Last>
          </b:Person>
          <b:Person>
            <b:First>Foster</b:First>
            <b:Last>A.</b:Last>
          </b:Person>
          <b:Person>
            <b:First>Raymond</b:First>
            <b:Last>K.</b:Last>
          </b:Person>
          <b:Person>
            <b:First>Gorfinkel</b:First>
            <b:Last>I.</b:Last>
          </b:Person>
          <b:Person>
            <b:First>McNeil</b:First>
            <b:Last>S.</b:Last>
          </b:Person>
        </b:NameList>
      </b:Author>
    </b:Author>
    <b:Year>IN PREPARATION</b:Year>
    <b:Title>Attitudes, barriers, and facilitators to adherent completion of the recombinant zoster vaccine regimen in Canada: Qualitative interviews with healthcare providers and patients</b:Title>
    <b:JournalName>Can J Public Health</b:JournalName>
  </b:Source>
  <b:Source>
    <b:Tag>500d3318-2af2-4c17-b2cf-2f7b097c6b96</b:Tag>
    <b:RefOrder>52</b:RefOrder>
    <b:SourceType>JournalArticle</b:SourceType>
    <b:Year>2022</b:Year>
    <b:Author>
      <b:Author>
        <b:NameList>
          <b:Person>
            <b:First>Ricks</b:First>
            <b:Last>T.</b:Last>
          </b:Person>
          <b:Person>
            <b:First>Trent</b:First>
            <b:Last>M. J.</b:Last>
          </b:Person>
          <b:Person>
            <b:First>MacIntyre</b:First>
            <b:Last>C. R.</b:Last>
          </b:Person>
        </b:NameList>
      </b:Author>
    </b:Author>
    <b:PlacePublished>Biosecurity Program, The Kirby Institute, University of New South Wales, Sydney, Australia. Biosecurity Program, The Kirby Institute, University of New South Wales, Sydney, Australia. Electronic address: mallory.trent@unsw.edu.au.</b:PlacePublished>
    <b:Pages>7182-7186</b:Pages>
    <b:Volume>40</b:Volume>
    <b:StandardNumber>50</b:StandardNumber>
    <b:Day>7</b:Day>
    <b:Month>11</b:Month>
    <b:DOI>10.1016/j.vaccine.2022.10.064</b:DOI>
    <b:Title>Predictors of herpes zoster vaccination among Australian adults aged 65 and over</b:Title>
    <b:JournalName>Vaccine</b:JournalName>
    <b:URL>https://www.ncbi.nlm.nih.gov/pubmed/36336528</b:URL>
  </b:Source>
  <b:Source>
    <b:Tag>0e5d9993-0103-4a30-b256-a36123ae97a6</b:Tag>
    <b:RefOrder>53</b:RefOrder>
    <b:SourceType>JournalArticle</b:SourceType>
    <b:Year>2022</b:Year>
    <b:Author>
      <b:Author>
        <b:NameList>
          <b:Person>
            <b:First>Hurley</b:First>
            <b:Last>L. P.</b:Last>
          </b:Person>
          <b:Person>
            <b:First>O'Leary</b:First>
            <b:Last>S. T.</b:Last>
          </b:Person>
          <b:Person>
            <b:First>Dooling</b:First>
            <b:Last>K.</b:Last>
          </b:Person>
          <b:Person>
            <b:First>Anderson</b:First>
            <b:Last>T. C.</b:Last>
          </b:Person>
          <b:Person>
            <b:First>Crane</b:First>
            <b:Last>L. A.</b:Last>
          </b:Person>
          <b:Person>
            <b:First>Cataldi</b:First>
            <b:Last>J. R.</b:Last>
          </b:Person>
          <b:Person>
            <b:First>Brtnikova</b:First>
            <b:Last>M.</b:Last>
          </b:Person>
          <b:Person>
            <b:First>Beaty</b:First>
            <b:Last>B. L.</b:Last>
          </b:Person>
          <b:Person>
            <b:First>Gorman</b:First>
            <b:Last>C.</b:Last>
          </b:Person>
          <b:Person>
            <b:First>Guo</b:First>
            <b:Last>A.</b:Last>
          </b:Person>
          <b:Person>
            <b:First>Lindley</b:First>
            <b:Last>M. C.</b:Last>
          </b:Person>
          <b:Person>
            <b:First>Kempe</b:First>
            <b:Last>A.</b:Last>
          </b:Person>
        </b:NameList>
      </b:Author>
    </b:Author>
    <b:PlacePublished>Adult and Child Consortium for Health Outcomes Research and Delivery Science, University of Colorado Anschutz Medical Campus and Children's Hospital Colorado, Aurora, CO, USA. Laura.Hurley@dhha.org. Division of General Internal Medicine, Denver Health, Denver, CO, USA. Laura.Hurley@dhha.org. Adult and Child Consortium for Health Outcomes Research and Delivery Science, University of Colorado Anschutz Medical Campus and Children's Hospital Colorado, Aurora, CO, USA. Department of Pediatrics University of Colorado Anschutz Medical Center, Aurora, CO, USA. National Center for Immunization and Respiratory Diseases, Centers for Disease Control and Prevention, Atlanta, GA, USA. Department of Community and Behavioral Health, University of Colorado Anschutz Medical Campus, Aurora, CO, USA. Strategic Innovative Solutions, LLC, Atlanta, GA, USA.</b:PlacePublished>
    <b:Pages>1-8</b:Pages>
    <b:Month>Jul 6</b:Month>
    <b:DOI>10.1007/s11606-022-07721-z</b:DOI>
    <b:Title>Survey of Physician Practices, Attitudes, and Knowledge Regarding Recombinant Zoster Vaccine</b:Title>
    <b:JournalName>J Gen Intern Med</b:JournalName>
    <b:URL>https://www.ncbi.nlm.nih.gov/pubmed/35794307</b:URL>
    <b:Day>7</b:Day>
  </b:Source>
  <b:Source>
    <b:Tag>4b65c0fb-58e6-4447-9f2f-b525c08a21e4</b:Tag>
    <b:RefOrder>54</b:RefOrder>
    <b:SourceType>JournalArticle</b:SourceType>
    <b:Year>2015</b:Year>
    <b:Author>
      <b:Author>
        <b:NameList>
          <b:Person>
            <b:First>Yang</b:First>
            <b:Last>T. U.</b:Last>
          </b:Person>
          <b:Person>
            <b:First>Cheong</b:First>
            <b:Last>H. J.</b:Last>
          </b:Person>
          <b:Person>
            <b:First>Song</b:First>
            <b:Last>J. Y.</b:Last>
          </b:Person>
          <b:Person>
            <b:First>Noh</b:First>
            <b:Last>J. Y.</b:Last>
          </b:Person>
          <b:Person>
            <b:First>Kim</b:First>
            <b:Last>W. J.</b:Last>
          </b:Person>
        </b:NameList>
      </b:Author>
    </b:Author>
    <b:PlacePublished>a Division of Infectious Diseases; Department of Internal Medicine ; Korea University College of Medicine ; Seoul , South Korea.</b:PlacePublished>
    <b:Pages>719-26</b:Pages>
    <b:Volume>11</b:Volume>
    <b:StandardNumber>3</b:StandardNumber>
    <b:DOI>10.1080/21645515.2015.1008885</b:DOI>
    <b:Title>Survey on public awareness, attitudes, and barriers for herpes zoster vaccination in South Korea</b:Title>
    <b:JournalName>Hum Vaccin Immunother</b:JournalName>
    <b:URL>https://www.ncbi.nlm.nih.gov/pubmed/25785481</b:URL>
    <b:Day>19</b:Day>
    <b:Month>3</b:Month>
  </b:Source>
  <b:Source>
    <b:Tag>281bf7b2-8de8-4769-a205-a248198766a6</b:Tag>
    <b:RefOrder>55</b:RefOrder>
    <b:SourceType>JournalArticle</b:SourceType>
    <b:Year>2014</b:Year>
    <b:Author>
      <b:Author>
        <b:NameList>
          <b:Person>
            <b:First>Elkin</b:First>
            <b:Last>Z. P.</b:Last>
          </b:Person>
          <b:Person>
            <b:First>Cohen</b:First>
            <b:Last>E. J.</b:Last>
          </b:Person>
          <b:Person>
            <b:First>Goldberg</b:First>
            <b:Last>J. D.</b:Last>
          </b:Person>
          <b:Person>
            <b:First>Li</b:First>
            <b:Last>X.</b:Last>
          </b:Person>
          <b:Person>
            <b:First>Castano</b:First>
            <b:Last>E.</b:Last>
          </b:Person>
          <b:Person>
            <b:First>Gillespie</b:First>
            <b:Last>C.</b:Last>
          </b:Person>
          <b:Person>
            <b:First>Haberman</b:First>
            <b:Last>I.</b:Last>
          </b:Person>
          <b:Person>
            <b:First>Jung</b:First>
            <b:Last>J. J.</b:Last>
          </b:Person>
          <b:Person>
            <b:First>Zabar</b:First>
            <b:Last>S.</b:Last>
          </b:Person>
          <b:Person>
            <b:First>Park</b:First>
            <b:Last>L.</b:Last>
          </b:Person>
          <b:Person>
            <b:First>Perskin</b:First>
            <b:Last>M. H.</b:Last>
          </b:Person>
        </b:NameList>
      </b:Author>
    </b:Author>
    <b:PlacePublished>Department of Ophthalmology (Z.P.E., E.J.C., E.C., I.H., J.J.J., L.P.), Division of Biostatistics and Department of Population Health (J.D.G., X.L., M.H.P.), and Division of General Internal Medicine and Department of Medicine (C.G., S.Z.), New York University School of Medicine, New York, NY.</b:PlacePublished>
    <b:Pages>225-31</b:Pages>
    <b:Volume>40</b:Volume>
    <b:StandardNumber>4</b:StandardNumber>
    <b:Month>Jul</b:Month>
    <b:DOI>10.1097/ICL.0000000000000041</b:DOI>
    <b:Title>Improving adherence to national recommendations for zoster vaccination through simple interventions</b:Title>
    <b:JournalName>Eye Contact Lens</b:JournalName>
    <b:URL>https://www.ncbi.nlm.nih.gov/pubmed/24901974</b:URL>
    <b:Day>6</b:Day>
  </b:Source>
  <b:Source>
    <b:Tag>e55672e0-6100-4575-b091-cafcb21e18e1</b:Tag>
    <b:RefOrder>56</b:RefOrder>
    <b:SourceType>JournalArticle</b:SourceType>
    <b:Year>2018</b:Year>
    <b:Author>
      <b:Author>
        <b:NameList>
          <b:Person>
            <b:First>O'Donnell</b:First>
            <b:Last>M.</b:Last>
          </b:Person>
          <b:Person>
            <b:First>Shurpin</b:First>
            <b:Last>K.</b:Last>
          </b:Person>
          <b:Person>
            <b:First>Janotha</b:First>
            <b:Last>B.</b:Last>
          </b:Person>
        </b:NameList>
      </b:Author>
    </b:Author>
    <b:PlacePublished>South Nassau Communities Hospital, Oceanside, New York.</b:PlacePublished>
    <b:Pages>435-440</b:Pages>
    <b:Volume>30</b:Volume>
    <b:StandardNumber>8</b:StandardNumber>
    <b:Month>Aug</b:Month>
    <b:DOI>10.1097/JXX.0000000000000039</b:DOI>
    <b:Title>Improving herpes zoster vaccine rates: The impact of a targeted educational program</b:Title>
    <b:JournalName>J Am Assoc Nurse Pract</b:JournalName>
    <b:URL>https://www.ncbi.nlm.nih.gov/pubmed/29905591</b:URL>
    <b:Day>16</b:Day>
  </b:Source>
  <b:Source>
    <b:Tag>3c4b8197-6ecd-4bd5-94e6-ab01b0e05d5a</b:Tag>
    <b:RefOrder>57</b:RefOrder>
    <b:SourceType>JournalArticle</b:SourceType>
    <b:Year>2022</b:Year>
    <b:Author>
      <b:Author>
        <b:NameList>
          <b:Person>
            <b:First>Gatwood</b:First>
            <b:Last>J.</b:Last>
          </b:Person>
          <b:Person>
            <b:First>Brookhart</b:First>
            <b:Last>A.</b:Last>
          </b:Person>
          <b:Person>
            <b:First>Kinney</b:First>
            <b:Last>O.</b:Last>
          </b:Person>
          <b:Person>
            <b:First>Hagemann</b:First>
            <b:Last>T.</b:Last>
          </b:Person>
          <b:Person>
            <b:First>Chiu</b:First>
            <b:Last>C. Y.</b:Last>
          </b:Person>
          <b:Person>
            <b:First>Ramachandran</b:First>
            <b:Last>S.</b:Last>
          </b:Person>
          <b:Person>
            <b:First>Hohmeier</b:First>
            <b:Last>K. C.</b:Last>
          </b:Person>
        </b:NameList>
      </b:Author>
    </b:Author>
    <b:PlacePublished>Department of Clinical and Translational Sciences, College of Pharmacy, The University of Tennessee Health Science Center, Nashville, Tennessee. Electronic address: jgatwood@uthsc.edu. Kroger Health, Cincinnati, Ohio. Department of Clinical and Translational Sciences, College of Pharmacy, The University of Tennessee Health Science Center, Nashville, Tennessee. Department of Preventive Medicine, College of Medicine, The University of Tennessee Health Science Center, Memphis, Tennessee. Department of Pharmacy Administration, School of Pharmacy, The University of Mississippi, Oxford, Mississippi.</b:PlacePublished>
    <b:Pages>582-591</b:Pages>
    <b:Volume>63</b:Volume>
    <b:StandardNumber>4</b:StandardNumber>
    <b:Month>Oct</b:Month>
    <b:DOI>10.1016/j.amepre.2022.04.018</b:DOI>
    <b:Title>Clinical Nudge Impact on Herpes Zoster Vaccine Series Completion in Pharmacies</b:Title>
    <b:JournalName>Am J Prev Med</b:JournalName>
    <b:URL>https://www.ncbi.nlm.nih.gov/pubmed/35705425</b:URL>
    <b:Day>16</b:Day>
  </b:Source>
  <b:Source>
    <b:Tag>c91f3f55-c1cd-47eb-b296-8d3da90a27d3</b:Tag>
    <b:RefOrder>58</b:RefOrder>
    <b:SourceType>JournalArticle</b:SourceType>
    <b:Year>2022</b:Year>
    <b:Author>
      <b:Author>
        <b:NameList>
          <b:Person>
            <b:First>Kim</b:First>
            <b:Last>J. H.</b:Last>
          </b:Person>
          <b:Person>
            <b:First>Johnson</b:First>
            <b:Last>R.</b:Last>
          </b:Person>
          <b:Person>
            <b:First>Kovac</b:First>
            <b:Last>M.</b:Last>
          </b:Person>
          <b:Person>
            <b:First>Cunningham</b:First>
            <b:Last>A. L.</b:Last>
          </b:Person>
          <b:Person>
            <b:First>Amakrane</b:First>
            <b:Last>M.</b:Last>
          </b:Person>
          <b:Person>
            <b:First>Sullivan</b:First>
            <b:Last>K. M.</b:Last>
          </b:Person>
          <b:Person>
            <b:First>Dagnew</b:First>
            <b:Last>A. F.</b:Last>
          </b:Person>
          <b:Person>
            <b:First>Curran</b:First>
            <b:Last>D.</b:Last>
          </b:Person>
          <b:Person>
            <b:First>Schuind</b:First>
            <b:Last>A.</b:Last>
          </b:Person>
        </b:NameList>
      </b:Author>
    </b:Author>
    <b:PlacePublished>GSK, Rockville, MD, United States , Martina Kovac is now with the PPD, Bethesda, MD, United States. Alemnew F. Dagnew is now with the Bill &amp; Melinda Gates Medical Research Institute, Cambridge, MA, United States. Anne Schuind is now with the PATH, Washington, DC, United States. Faculty of Health Sciences, University of Bristol, Bristol, United Kingdom. The Westmead Institute for Medical Research, University of Sydney, Westmead, NSW, Australia. University of Sydney, Sydney, NSW, Australia. GSK, Wavre, Belgium. Duke University Medical Center, Durham, NC, United States.</b:PlacePublished>
    <b:Pages>[Online ahead of print]</b:Pages>
    <b:Day>7</b:Day>
    <b:Month>9</b:Month>
    <b:DOI>10.1097/j.pain.0000000000002760</b:DOI>
    <b:Title>Adjuvanted recombinant zoster vaccine decreases herpes zoster-associated pain and the use of pain medication across 3 randomized, placebo-controlled trials</b:Title>
    <b:JournalName>Pain</b:JournalName>
    <b:URL>https://www.ncbi.nlm.nih.gov/pubmed/36066965</b:URL>
  </b:Source>
  <b:Source>
    <b:Tag>46e29a4d-77ff-4011-a60f-fbc5811ee842</b:Tag>
    <b:RefOrder>59</b:RefOrder>
    <b:SourceType>JournalArticle</b:SourceType>
    <b:Year>2016</b:Year>
    <b:Author>
      <b:Author>
        <b:NameList>
          <b:Person>
            <b:First>Griffiths</b:First>
            <b:Last>E. A.</b:Last>
          </b:Person>
          <b:Person>
            <b:First>Vadlamundi</b:First>
            <b:Last>N.K.</b:Last>
          </b:Person>
        </b:NameList>
      </b:Author>
    </b:Author>
    <b:Pages>A488</b:Pages>
    <b:Volume>19</b:Volume>
    <b:Title>Cadth’s $50,000 cost-effectiveness threshold: Fact or fiction? [abstract PHP278]</b:Title>
    <b:JournalName>Value Health</b:JournalName>
    <b:URL>https://www.valueinhealthjournal.com/article/S1098-3015(16)32187-8/fulltext</b:URL>
  </b:Source>
  <b:Source>
    <b:Tag>87eadb94-1890-4dd2-93f6-71d62952a010</b:Tag>
    <b:RefOrder>60</b:RefOrder>
    <b:SourceType>JournalArticle</b:SourceType>
    <b:Year>2016</b:Year>
    <b:Author>
      <b:Author>
        <b:NameList>
          <b:Person>
            <b:First>Friesen</b:First>
            <b:Last>K. J.</b:Last>
          </b:Person>
          <b:Person>
            <b:First>Alessi-Severini</b:First>
            <b:Last>S.</b:Last>
          </b:Person>
          <b:Person>
            <b:First>Chateau</b:First>
            <b:Last>D.</b:Last>
          </b:Person>
          <b:Person>
            <b:First>Falk</b:First>
            <b:Last>J.</b:Last>
          </b:Person>
          <b:Person>
            <b:First>Bugden</b:First>
            <b:Last>S.</b:Last>
          </b:Person>
        </b:NameList>
      </b:Author>
    </b:Author>
    <b:PlacePublished>College of Pharmacy, Faculty of Health Sciences, University of Manitoba, Winnipeg, MB, Canada. Department of Community Health Sciences, College of Medicine, Faculty of Health Sciences, University of Manitoba, Winnipeg, MB, Canada.</b:PlacePublished>
    <b:Pages>207-14</b:Pages>
    <b:Volume>8</b:Volume>
    <b:DOI>10.2147/CEOR.S102243</b:DOI>
    <b:Title>The changing landscape of antiviral treatment of herpes zoster: a 17-year population-based cohort study</b:Title>
    <b:JournalName>Clinicoecon Outcomes Res</b:JournalName>
    <b:URL>https://www.ncbi.nlm.nih.gov/pubmed/27284258</b:URL>
    <b:Day>11</b:Day>
    <b:Month>6</b:Month>
  </b:Source>
  <b:Source>
    <b:Tag>e9631e41-8816-4ece-9591-9da98a9fefa8</b:Tag>
    <b:RefOrder>61</b:RefOrder>
    <b:SourceType>JournalArticle</b:SourceType>
    <b:Year>2016</b:Year>
    <b:Author>
      <b:Author>
        <b:NameList>
          <b:Person>
            <b:First>Friesen</b:First>
            <b:Last>K. J.</b:Last>
          </b:Person>
          <b:Person>
            <b:First>Falk</b:First>
            <b:Last>J.</b:Last>
          </b:Person>
          <b:Person>
            <b:First>Alessi-Severini</b:First>
            <b:Last>S.</b:Last>
          </b:Person>
          <b:Person>
            <b:First>Chateau</b:First>
            <b:Last>D.</b:Last>
          </b:Person>
          <b:Person>
            <b:First>Bugden</b:First>
            <b:Last>S.</b:Last>
          </b:Person>
        </b:NameList>
      </b:Author>
    </b:Author>
    <b:PlacePublished>College of Pharmacy, Rady Faculty of Health Sciences, University of Manitoba, Winnipeg, MB, Canada. Department of Community Health Sciences, Rady Faculty of Health Sciences, University of Manitoba, Winnipeg, MB, Canada.</b:PlacePublished>
    <b:Pages>543-50</b:Pages>
    <b:Volume>9</b:Volume>
    <b:DOI>10.2147/JPR.S107944</b:DOI>
    <b:Title>Price of pain: population-based cohort burden of disease analysis of medication cost of herpes zoster and postherpetic neuralgia</b:Title>
    <b:JournalName>J Pain Res</b:JournalName>
    <b:URL>https://www.ncbi.nlm.nih.gov/pubmed/27536159</b:URL>
    <b:Day>19</b:Day>
    <b:Month>8</b:Month>
  </b:Source>
</b:Sources>
</file>

<file path=customXml/itemProps1.xml><?xml version="1.0" encoding="utf-8"?>
<ds:datastoreItem xmlns:ds="http://schemas.openxmlformats.org/officeDocument/2006/customXml" ds:itemID="{CDAE4164-F2CB-4610-8ED6-C0C7BDCFA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d2651-c21a-4ae8-9720-5760d32750e3"/>
    <ds:schemaRef ds:uri="d15b1260-8890-4c59-b424-695adc6cd0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B450D6-DB49-411A-A85D-3331BB2E0DD9}">
  <ds:schemaRefs>
    <ds:schemaRef ds:uri="http://schemas.microsoft.com/office/2006/metadata/properties"/>
    <ds:schemaRef ds:uri="http://schemas.microsoft.com/office/infopath/2007/PartnerControls"/>
    <ds:schemaRef ds:uri="f83d2651-c21a-4ae8-9720-5760d32750e3"/>
    <ds:schemaRef ds:uri="d15b1260-8890-4c59-b424-695adc6cd075"/>
  </ds:schemaRefs>
</ds:datastoreItem>
</file>

<file path=customXml/itemProps3.xml><?xml version="1.0" encoding="utf-8"?>
<ds:datastoreItem xmlns:ds="http://schemas.openxmlformats.org/officeDocument/2006/customXml" ds:itemID="{FEE5E08B-3AB4-401D-8AC2-9588ACF2A633}">
  <ds:schemaRefs>
    <ds:schemaRef ds:uri="http://schemas.microsoft.com/sharepoint/v3/contenttype/forms"/>
  </ds:schemaRefs>
</ds:datastoreItem>
</file>

<file path=customXml/itemProps4.xml><?xml version="1.0" encoding="utf-8"?>
<ds:datastoreItem xmlns:ds="http://schemas.openxmlformats.org/officeDocument/2006/customXml" ds:itemID="{7B980D7E-D8E4-442A-B02B-91202304C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9876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Dodoc Integration User</dc:creator>
  <cp:keywords/>
  <dc:description/>
  <cp:lastModifiedBy>Aswini V</cp:lastModifiedBy>
  <cp:revision>14</cp:revision>
  <dcterms:created xsi:type="dcterms:W3CDTF">2025-12-13T12:30:00Z</dcterms:created>
  <dcterms:modified xsi:type="dcterms:W3CDTF">2026-02-07T04:47:00Z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0x01010071097F1C66D85A418AD5E01EB3211312</vt:lpwstr>
  </property>
  <property fmtid="{D5CDD505-2E9C-101B-9397-08002B2CF9AE}" pid="3" name="MediaServiceImageTags">
    <vt:lpwstr/>
  </property>
  <property fmtid="{D5CDD505-2E9C-101B-9397-08002B2CF9AE}" pid="4" name="GrammarlyDocumentId">
    <vt:lpwstr>c1a91f56-23a1-47e7-9c1f-933ca9938c3f</vt:lpwstr>
  </property>
</Properties>
</file>