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10853" w14:textId="4F88E812" w:rsidR="00F86337" w:rsidRPr="00A7382B" w:rsidRDefault="00696B3D" w:rsidP="00691299">
      <w:pPr>
        <w:pBdr>
          <w:bottom w:val="single" w:sz="6" w:space="1" w:color="auto"/>
        </w:pBdr>
        <w:tabs>
          <w:tab w:val="left" w:pos="3119"/>
        </w:tabs>
        <w:adjustRightInd w:val="0"/>
        <w:snapToGrid w:val="0"/>
        <w:spacing w:beforeLines="50" w:before="180" w:line="360" w:lineRule="auto"/>
        <w:jc w:val="center"/>
        <w:rPr>
          <w:b/>
        </w:rPr>
      </w:pPr>
      <w:r w:rsidRPr="00A7382B">
        <w:rPr>
          <w:b/>
        </w:rPr>
        <w:t>SUPPLEMENTARY</w:t>
      </w:r>
    </w:p>
    <w:p w14:paraId="6E13A405" w14:textId="067F25D5" w:rsidR="00566BAC" w:rsidRPr="00D770CC" w:rsidRDefault="003F1C16" w:rsidP="00566BAC">
      <w:pPr>
        <w:pBdr>
          <w:bottom w:val="single" w:sz="6" w:space="1" w:color="auto"/>
        </w:pBdr>
        <w:tabs>
          <w:tab w:val="left" w:pos="3119"/>
        </w:tabs>
        <w:adjustRightInd w:val="0"/>
        <w:snapToGrid w:val="0"/>
        <w:spacing w:beforeLines="50" w:before="180" w:line="360" w:lineRule="auto"/>
        <w:jc w:val="center"/>
      </w:pPr>
      <w:r w:rsidRPr="003F1C16">
        <w:t>Wu, C. H., 202</w:t>
      </w:r>
      <w:r w:rsidR="00F047FC">
        <w:t>5</w:t>
      </w:r>
      <w:r w:rsidRPr="003F1C16">
        <w:t xml:space="preserve">: </w:t>
      </w:r>
      <w:r w:rsidR="00D770CC" w:rsidRPr="00D770CC">
        <w:rPr>
          <w:rFonts w:eastAsia="Arial Unicode MS"/>
        </w:rPr>
        <w:t>Tropical dynamics shaping decadal air quality in subtropical East Asia</w:t>
      </w:r>
      <w:r w:rsidR="00CC26BD" w:rsidRPr="00D770CC">
        <w:rPr>
          <w:rFonts w:hint="eastAsia"/>
          <w:bCs/>
          <w:kern w:val="0"/>
        </w:rPr>
        <w:t>.</w:t>
      </w:r>
    </w:p>
    <w:p w14:paraId="3221E561" w14:textId="50183DC3" w:rsidR="00691299" w:rsidRPr="003F1C16" w:rsidRDefault="00691299" w:rsidP="00691299">
      <w:pPr>
        <w:pBdr>
          <w:bottom w:val="single" w:sz="6" w:space="1" w:color="auto"/>
        </w:pBdr>
        <w:tabs>
          <w:tab w:val="left" w:pos="3119"/>
        </w:tabs>
        <w:adjustRightInd w:val="0"/>
        <w:snapToGrid w:val="0"/>
        <w:spacing w:beforeLines="50" w:before="180" w:line="360" w:lineRule="auto"/>
        <w:jc w:val="center"/>
      </w:pPr>
    </w:p>
    <w:p w14:paraId="6E516B99" w14:textId="77777777" w:rsidR="00CD1F73" w:rsidRPr="00A7382B" w:rsidRDefault="00CD1F73" w:rsidP="00691299">
      <w:pPr>
        <w:pBdr>
          <w:bottom w:val="single" w:sz="6" w:space="1" w:color="auto"/>
        </w:pBdr>
        <w:tabs>
          <w:tab w:val="left" w:pos="3119"/>
        </w:tabs>
        <w:adjustRightInd w:val="0"/>
        <w:snapToGrid w:val="0"/>
        <w:spacing w:beforeLines="50" w:before="180" w:line="360" w:lineRule="auto"/>
        <w:jc w:val="center"/>
        <w:rPr>
          <w:b/>
        </w:rPr>
      </w:pPr>
    </w:p>
    <w:p w14:paraId="31FC817C" w14:textId="77777777" w:rsidR="002700CF" w:rsidRPr="00A7382B" w:rsidRDefault="002700CF" w:rsidP="00691299">
      <w:pPr>
        <w:pBdr>
          <w:bottom w:val="single" w:sz="6" w:space="1" w:color="auto"/>
        </w:pBdr>
        <w:tabs>
          <w:tab w:val="left" w:pos="3119"/>
        </w:tabs>
        <w:adjustRightInd w:val="0"/>
        <w:snapToGrid w:val="0"/>
        <w:spacing w:beforeLines="50" w:before="180" w:line="360" w:lineRule="auto"/>
        <w:jc w:val="center"/>
        <w:rPr>
          <w:b/>
        </w:rPr>
      </w:pPr>
    </w:p>
    <w:p w14:paraId="6D840CA5" w14:textId="41787E4E" w:rsidR="00691299" w:rsidRPr="00A7382B" w:rsidRDefault="002700CF" w:rsidP="002700CF">
      <w:pPr>
        <w:autoSpaceDE w:val="0"/>
        <w:autoSpaceDN w:val="0"/>
        <w:adjustRightInd w:val="0"/>
        <w:jc w:val="center"/>
        <w:rPr>
          <w:rFonts w:eastAsiaTheme="minorEastAsia"/>
          <w:kern w:val="0"/>
        </w:rPr>
      </w:pPr>
      <w:r w:rsidRPr="00A7382B">
        <w:rPr>
          <w:rFonts w:eastAsiaTheme="minorEastAsia"/>
          <w:kern w:val="0"/>
        </w:rPr>
        <w:t>To whom correspondence should be addressed. E-mail:</w:t>
      </w:r>
      <w:r w:rsidRPr="00A7382B">
        <w:rPr>
          <w:rFonts w:eastAsiaTheme="minorEastAsia" w:hint="eastAsia"/>
          <w:kern w:val="0"/>
        </w:rPr>
        <w:t xml:space="preserve"> </w:t>
      </w:r>
      <w:r w:rsidRPr="00A7382B">
        <w:t>chhwu@gate.sinica.edu.tw</w:t>
      </w:r>
    </w:p>
    <w:p w14:paraId="0AD62866" w14:textId="3753C5CF" w:rsidR="003E21D5" w:rsidRPr="00A7382B" w:rsidRDefault="003E21D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23D86E77" w14:textId="77C284F9" w:rsidR="00161F7D" w:rsidRPr="00A7382B" w:rsidRDefault="00161F7D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7C742A48" w14:textId="676CDFDB" w:rsidR="00161F7D" w:rsidRPr="00A7382B" w:rsidRDefault="00161F7D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56D4BD02" w14:textId="47FEFA6C" w:rsidR="00161F7D" w:rsidRPr="00A7382B" w:rsidRDefault="00161F7D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1BD9EC9C" w14:textId="698FA525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46BF5CF3" w14:textId="6E3A0903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4378A543" w14:textId="4D7E1956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799EDF91" w14:textId="58463AAA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1945624D" w14:textId="1A90A7ED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3A86F7DB" w14:textId="1BE8A262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46AA55CE" w14:textId="64F7801F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05FB197B" w14:textId="799F23EA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6931D266" w14:textId="0F44C129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5BB2FD50" w14:textId="1F5045A3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658C4758" w14:textId="27C65490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7EA6D42D" w14:textId="204D254F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4A9D0FB4" w14:textId="52AD63EF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60DFB4D8" w14:textId="29D4859C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59166D2A" w14:textId="7335B2B8" w:rsidR="00F53365" w:rsidRPr="00A7382B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02409B60" w14:textId="5FE9341B" w:rsidR="00F53365" w:rsidRDefault="00F53365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1080E693" w14:textId="04D503B1" w:rsidR="00495797" w:rsidRDefault="00495797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7AFB5472" w14:textId="525D5674" w:rsidR="00495797" w:rsidRDefault="00495797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61CA79AE" w14:textId="603C205B" w:rsidR="00495797" w:rsidRDefault="00495797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</w:rPr>
      </w:pPr>
    </w:p>
    <w:p w14:paraId="7DB23F10" w14:textId="6EC7C00B" w:rsidR="00495797" w:rsidRPr="00733537" w:rsidRDefault="00495797" w:rsidP="00691299">
      <w:pPr>
        <w:tabs>
          <w:tab w:val="left" w:pos="3119"/>
        </w:tabs>
        <w:adjustRightInd w:val="0"/>
        <w:snapToGrid w:val="0"/>
        <w:spacing w:beforeLines="50" w:before="180"/>
        <w:rPr>
          <w:rFonts w:eastAsia="Arial Unicode MS"/>
          <w:b/>
        </w:rPr>
      </w:pPr>
      <w:r w:rsidRPr="00733537">
        <w:rPr>
          <w:b/>
        </w:rPr>
        <w:lastRenderedPageBreak/>
        <w:t>The s</w:t>
      </w:r>
      <w:r w:rsidRPr="00733537">
        <w:rPr>
          <w:b/>
        </w:rPr>
        <w:t>easonal adjustment method</w:t>
      </w:r>
    </w:p>
    <w:p w14:paraId="53CC99A8" w14:textId="202D989A" w:rsidR="00495797" w:rsidRDefault="003B177D" w:rsidP="00733537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/>
        </w:rPr>
      </w:pPr>
      <w:r>
        <w:rPr>
          <w:rFonts w:eastAsia="Arial Unicode MS"/>
        </w:rPr>
        <w:t xml:space="preserve">Here </w:t>
      </w:r>
      <w:r w:rsidR="000B10C6">
        <w:rPr>
          <w:rFonts w:eastAsia="Arial Unicode MS"/>
        </w:rPr>
        <w:t>are the</w:t>
      </w:r>
      <w:r>
        <w:rPr>
          <w:rFonts w:eastAsia="Arial Unicode MS"/>
        </w:rPr>
        <w:t xml:space="preserve"> </w:t>
      </w:r>
      <w:r w:rsidR="00733537">
        <w:rPr>
          <w:rFonts w:eastAsia="Arial Unicode MS"/>
        </w:rPr>
        <w:t xml:space="preserve">major </w:t>
      </w:r>
      <w:r>
        <w:rPr>
          <w:rFonts w:eastAsia="Arial Unicode MS"/>
        </w:rPr>
        <w:t>formula</w:t>
      </w:r>
      <w:r w:rsidR="00733537">
        <w:rPr>
          <w:rFonts w:eastAsia="Arial Unicode MS"/>
        </w:rPr>
        <w:t>s</w:t>
      </w:r>
      <w:r>
        <w:rPr>
          <w:rFonts w:eastAsia="Arial Unicode MS"/>
        </w:rPr>
        <w:t xml:space="preserve"> for the three-step filtering algorithm. </w:t>
      </w:r>
      <w:r w:rsidR="000B10C6">
        <w:rPr>
          <w:rFonts w:eastAsia="Arial Unicode MS"/>
        </w:rPr>
        <w:t>According to</w:t>
      </w:r>
      <w:r>
        <w:rPr>
          <w:rFonts w:eastAsia="Arial Unicode MS"/>
        </w:rPr>
        <w:t xml:space="preserve"> </w:t>
      </w:r>
      <w:r w:rsidR="000B10C6">
        <w:rPr>
          <w:rFonts w:eastAsia="Arial Unicode MS"/>
        </w:rPr>
        <w:t>the</w:t>
      </w:r>
      <w:r>
        <w:rPr>
          <w:rFonts w:eastAsia="Arial Unicode MS"/>
        </w:rPr>
        <w:t xml:space="preserve"> original paper (</w:t>
      </w:r>
      <w:proofErr w:type="spellStart"/>
      <w:r w:rsidR="00884825">
        <w:rPr>
          <w:rFonts w:eastAsia="Arial Unicode MS" w:hint="eastAsia"/>
        </w:rPr>
        <w:t>P</w:t>
      </w:r>
      <w:r w:rsidR="00884825">
        <w:rPr>
          <w:rFonts w:eastAsia="Arial Unicode MS"/>
        </w:rPr>
        <w:t>ezzulli</w:t>
      </w:r>
      <w:proofErr w:type="spellEnd"/>
      <w:r w:rsidR="00884825">
        <w:rPr>
          <w:rFonts w:eastAsia="Arial Unicode MS"/>
        </w:rPr>
        <w:t xml:space="preserve"> et al. 2005)</w:t>
      </w:r>
      <w:r>
        <w:rPr>
          <w:rFonts w:eastAsia="Arial Unicode MS"/>
        </w:rPr>
        <w:t xml:space="preserve">, </w:t>
      </w:r>
      <w:r w:rsidR="000B10C6">
        <w:rPr>
          <w:rFonts w:eastAsia="Arial Unicode MS"/>
        </w:rPr>
        <w:t xml:space="preserve">when </w:t>
      </w:r>
      <w:r>
        <w:rPr>
          <w:rFonts w:eastAsia="Arial Unicode MS"/>
        </w:rPr>
        <w:t xml:space="preserve">compared </w:t>
      </w:r>
      <w:r w:rsidR="000B10C6">
        <w:rPr>
          <w:rFonts w:eastAsia="Arial Unicode MS"/>
        </w:rPr>
        <w:t>to</w:t>
      </w:r>
      <w:r>
        <w:rPr>
          <w:rFonts w:eastAsia="Arial Unicode MS"/>
        </w:rPr>
        <w:t xml:space="preserve"> numerous bandpass filtering methods</w:t>
      </w:r>
      <w:r w:rsidR="00733537">
        <w:rPr>
          <w:rFonts w:eastAsia="Arial Unicode MS"/>
        </w:rPr>
        <w:t xml:space="preserve"> developed for seasonal adjustment, the X-11 procedure can be seen as a straightforward extension of the two-way approach, providing a continuous interannual trend (T</w:t>
      </w:r>
      <w:r w:rsidR="00733537" w:rsidRPr="00733537">
        <w:rPr>
          <w:rFonts w:eastAsia="Arial Unicode MS"/>
          <w:vertAlign w:val="subscript"/>
        </w:rPr>
        <w:t>t</w:t>
      </w:r>
      <w:r w:rsidR="00733537">
        <w:rPr>
          <w:rFonts w:eastAsia="Arial Unicode MS"/>
        </w:rPr>
        <w:t>) and a quasi-periodic seasonal term (S</w:t>
      </w:r>
      <w:r w:rsidR="00733537" w:rsidRPr="00733537">
        <w:rPr>
          <w:rFonts w:eastAsia="Arial Unicode MS"/>
          <w:vertAlign w:val="subscript"/>
        </w:rPr>
        <w:t>t</w:t>
      </w:r>
      <w:r w:rsidR="00733537">
        <w:rPr>
          <w:rFonts w:eastAsia="Arial Unicode MS"/>
        </w:rPr>
        <w:t>).</w:t>
      </w:r>
    </w:p>
    <w:p w14:paraId="73C6C3CB" w14:textId="77777777" w:rsidR="00544C8D" w:rsidRDefault="00733537" w:rsidP="00544C8D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/>
        </w:rPr>
      </w:pPr>
      <w:r w:rsidRPr="00544C8D">
        <w:rPr>
          <w:rFonts w:eastAsia="Arial Unicode MS" w:hint="eastAsia"/>
          <w:i/>
        </w:rPr>
        <w:t>S</w:t>
      </w:r>
      <w:r w:rsidRPr="00544C8D">
        <w:rPr>
          <w:rFonts w:eastAsia="Arial Unicode MS"/>
          <w:i/>
        </w:rPr>
        <w:t xml:space="preserve">easonal </w:t>
      </w:r>
      <w:r w:rsidR="00471D1C" w:rsidRPr="00544C8D">
        <w:rPr>
          <w:rFonts w:eastAsia="Arial Unicode MS"/>
          <w:i/>
        </w:rPr>
        <w:t>filter</w:t>
      </w:r>
      <w:r w:rsidR="00471D1C">
        <w:rPr>
          <w:rFonts w:eastAsia="Arial Unicode MS"/>
        </w:rPr>
        <w:t xml:space="preserve"> (</w:t>
      </w:r>
      <w:r w:rsidR="00471D1C">
        <w:t>1−2−1 moving-average</w:t>
      </w:r>
      <w:r w:rsidR="00471D1C">
        <w:rPr>
          <w:rFonts w:eastAsia="Arial Unicode MS"/>
        </w:rPr>
        <w:t>)</w:t>
      </w:r>
      <w:r>
        <w:rPr>
          <w:rFonts w:eastAsia="Arial Unicode MS"/>
        </w:rPr>
        <w:t>:</w:t>
      </w:r>
    </w:p>
    <w:p w14:paraId="2504D804" w14:textId="17B32E46" w:rsidR="00733537" w:rsidRPr="00544C8D" w:rsidRDefault="00471D1C" w:rsidP="00544C8D">
      <w:pPr>
        <w:tabs>
          <w:tab w:val="left" w:pos="3119"/>
        </w:tabs>
        <w:adjustRightInd w:val="0"/>
        <w:snapToGrid w:val="0"/>
        <w:spacing w:beforeLines="50" w:before="180"/>
        <w:jc w:val="right"/>
        <w:rPr>
          <w:rFonts w:eastAsia="Arial Unicode MS" w:hint="eastAsia"/>
          <w:bCs/>
        </w:rPr>
      </w:pP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sub>
            </m:sSub>
            <m:r>
              <w:rPr>
                <w:rFonts w:ascii="Cambria Math"/>
              </w:rPr>
              <m:t xml:space="preserve"> + 2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</m:sub>
            </m:sSub>
            <m:r>
              <w:rPr>
                <w:rFonts w:ascii="Cambria Math"/>
              </w:rPr>
              <m:t xml:space="preserve"> + 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1</m:t>
                </m:r>
              </m:sub>
            </m:sSub>
          </m:num>
          <m:den>
            <m:r>
              <w:rPr>
                <w:rFonts w:ascii="Cambria Math"/>
              </w:rPr>
              <m:t>4</m:t>
            </m:r>
            <m:ctrlPr>
              <w:rPr>
                <w:rFonts w:ascii="Cambria Math"/>
                <w:bCs/>
                <w:i/>
              </w:rPr>
            </m:ctrlPr>
          </m:den>
        </m:f>
      </m:oMath>
      <w:r w:rsidR="00A52705">
        <w:rPr>
          <w:rFonts w:eastAsia="Arial Unicode MS" w:hint="eastAsia"/>
          <w:bCs/>
        </w:rPr>
        <w:t xml:space="preserve"> </w:t>
      </w:r>
      <w:r w:rsidR="00A52705">
        <w:rPr>
          <w:rFonts w:eastAsia="Arial Unicode MS"/>
          <w:bCs/>
        </w:rPr>
        <w:t>, where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t-1</m:t>
        </m:r>
      </m:oMath>
      <w:r w:rsidR="00A52705">
        <w:rPr>
          <w:rFonts w:eastAsia="Arial Unicode MS"/>
          <w:bCs/>
        </w:rPr>
        <w:t xml:space="preserve"> and </w:t>
      </w: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="00A52705">
        <w:rPr>
          <w:rFonts w:eastAsia="Arial Unicode MS" w:hint="eastAsia"/>
          <w:bCs/>
        </w:rPr>
        <w:t xml:space="preserve"> </w:t>
      </w:r>
      <w:r w:rsidR="00A52705">
        <w:rPr>
          <w:rFonts w:eastAsia="Arial Unicode MS"/>
          <w:bCs/>
        </w:rPr>
        <w:t>are previous and next year (for each month).</w:t>
      </w:r>
    </w:p>
    <w:p w14:paraId="184BD8F0" w14:textId="2C17340B" w:rsidR="00544C8D" w:rsidRDefault="00733537" w:rsidP="00733537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/>
        </w:rPr>
      </w:pPr>
      <w:r w:rsidRPr="00544C8D">
        <w:rPr>
          <w:rFonts w:eastAsia="Arial Unicode MS" w:hint="eastAsia"/>
          <w:i/>
        </w:rPr>
        <w:t>T</w:t>
      </w:r>
      <w:r w:rsidRPr="00544C8D">
        <w:rPr>
          <w:rFonts w:eastAsia="Arial Unicode MS"/>
          <w:i/>
        </w:rPr>
        <w:t>rend</w:t>
      </w:r>
      <w:r w:rsidR="00471D1C" w:rsidRPr="00544C8D">
        <w:rPr>
          <w:rFonts w:eastAsia="Arial Unicode MS"/>
          <w:i/>
        </w:rPr>
        <w:t xml:space="preserve"> </w:t>
      </w:r>
      <w:r w:rsidRPr="00544C8D">
        <w:rPr>
          <w:rFonts w:eastAsia="Arial Unicode MS"/>
          <w:i/>
        </w:rPr>
        <w:t>filter</w:t>
      </w:r>
      <w:r w:rsidR="00544C8D">
        <w:rPr>
          <w:rFonts w:eastAsia="Arial Unicode MS"/>
        </w:rPr>
        <w:t xml:space="preserve"> (</w:t>
      </w:r>
      <w:r w:rsidR="00544C8D" w:rsidRPr="005C2B7E">
        <w:t xml:space="preserve">annual-centered </w:t>
      </w:r>
      <w:r w:rsidR="00544C8D">
        <w:t>on a 13-month series)</w:t>
      </w:r>
      <w:r>
        <w:rPr>
          <w:rFonts w:eastAsia="Arial Unicode MS"/>
        </w:rPr>
        <w:t>:</w:t>
      </w:r>
    </w:p>
    <w:p w14:paraId="0307AC2A" w14:textId="55156747" w:rsidR="00733537" w:rsidRDefault="00A52705" w:rsidP="00544C8D">
      <w:pPr>
        <w:tabs>
          <w:tab w:val="left" w:pos="3119"/>
        </w:tabs>
        <w:adjustRightInd w:val="0"/>
        <w:snapToGrid w:val="0"/>
        <w:spacing w:beforeLines="50" w:before="180"/>
        <w:jc w:val="right"/>
        <w:rPr>
          <w:rFonts w:eastAsia="Arial Unicode MS" w:hint="eastAsia"/>
        </w:rPr>
      </w:pPr>
      <w:r>
        <w:rPr>
          <w:rFonts w:eastAsia="Arial Unicode MS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6</m:t>
                </m:r>
              </m:sub>
            </m:sSub>
            <m:r>
              <w:rPr>
                <w:rFonts w:ascii="Cambria Math"/>
              </w:rPr>
              <m:t xml:space="preserve"> + </m:t>
            </m:r>
            <m:r>
              <w:rPr>
                <w:rFonts w:ascii="Cambria Math"/>
              </w:rPr>
              <m:t>2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</m:sub>
            </m:sSub>
            <m:r>
              <w:rPr>
                <w:rFonts w:ascii="Cambria Math"/>
              </w:rPr>
              <m:t xml:space="preserve"> +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⋯</m:t>
            </m:r>
            <m:r>
              <w:rPr>
                <w:rFonts w:ascii="Cambria Math"/>
              </w:rPr>
              <m:t xml:space="preserve"> +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2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</m:t>
                </m:r>
              </m:sub>
            </m:sSub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 xml:space="preserve">+ </m:t>
            </m:r>
            <m:r>
              <w:rPr>
                <w:rFonts w:ascii="Cambria Math" w:hAnsi="Cambria Math"/>
              </w:rPr>
              <m:t>⋯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 xml:space="preserve">+ 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2</m:t>
                </m:r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t+</m:t>
                </m:r>
                <m:r>
                  <w:rPr>
                    <w:rFonts w:ascii="Cambria Math"/>
                  </w:rPr>
                  <m:t>5</m:t>
                </m:r>
              </m:sub>
            </m:sSub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 xml:space="preserve">+ </m:t>
            </m:r>
            <m:sSub>
              <m:sSubPr>
                <m:ctrlPr>
                  <w:rPr>
                    <w:rFonts w:ascii="Cambria Math"/>
                    <w:bCs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t+</m:t>
                </m:r>
                <m:r>
                  <w:rPr>
                    <w:rFonts w:ascii="Cambria Math"/>
                  </w:rPr>
                  <m:t>6</m:t>
                </m:r>
              </m:sub>
            </m:sSub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4</m:t>
            </m:r>
            <m:ctrlPr>
              <w:rPr>
                <w:rFonts w:ascii="Cambria Math"/>
                <w:bCs/>
                <w:i/>
              </w:rPr>
            </m:ctrlPr>
          </m:den>
        </m:f>
      </m:oMath>
      <w:r w:rsidR="00544C8D">
        <w:rPr>
          <w:rFonts w:eastAsia="Arial Unicode MS" w:hint="eastAsia"/>
          <w:bCs/>
        </w:rPr>
        <w:t>,</w:t>
      </w:r>
      <w:r w:rsidR="00544C8D">
        <w:rPr>
          <w:rFonts w:eastAsia="Arial Unicode MS"/>
          <w:bCs/>
        </w:rPr>
        <w:t xml:space="preserve"> </w:t>
      </w:r>
      <w:r w:rsidR="00544C8D">
        <w:rPr>
          <w:rFonts w:eastAsia="Arial Unicode MS"/>
          <w:bCs/>
        </w:rPr>
        <w:t>where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t-1</m:t>
        </m:r>
      </m:oMath>
      <w:r w:rsidR="00544C8D">
        <w:rPr>
          <w:rFonts w:eastAsia="Arial Unicode MS"/>
          <w:bCs/>
        </w:rPr>
        <w:t xml:space="preserve"> and </w:t>
      </w:r>
      <m:oMath>
        <m:r>
          <w:rPr>
            <w:rFonts w:ascii="Cambria Math" w:hAnsi="Cambria Math"/>
          </w:rPr>
          <m:t>t+1</m:t>
        </m:r>
      </m:oMath>
      <w:r w:rsidR="00544C8D">
        <w:rPr>
          <w:rFonts w:eastAsia="Arial Unicode MS" w:hint="eastAsia"/>
          <w:bCs/>
        </w:rPr>
        <w:t xml:space="preserve"> </w:t>
      </w:r>
      <w:r w:rsidR="00544C8D">
        <w:rPr>
          <w:rFonts w:eastAsia="Arial Unicode MS"/>
          <w:bCs/>
        </w:rPr>
        <w:t xml:space="preserve">are previous and next </w:t>
      </w:r>
      <w:r w:rsidR="00544C8D">
        <w:rPr>
          <w:rFonts w:eastAsia="Arial Unicode MS"/>
          <w:bCs/>
        </w:rPr>
        <w:t>month</w:t>
      </w:r>
      <w:r w:rsidR="00544C8D">
        <w:rPr>
          <w:rFonts w:eastAsia="Arial Unicode MS"/>
          <w:bCs/>
        </w:rPr>
        <w:t>.</w:t>
      </w:r>
    </w:p>
    <w:p w14:paraId="26E92A8A" w14:textId="77777777" w:rsidR="00733537" w:rsidRDefault="00733537" w:rsidP="00733537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 w:hint="eastAsia"/>
        </w:rPr>
      </w:pPr>
    </w:p>
    <w:p w14:paraId="5FBEA750" w14:textId="10F48943" w:rsidR="00733537" w:rsidRDefault="00170646" w:rsidP="006927FB">
      <w:pPr>
        <w:tabs>
          <w:tab w:val="left" w:pos="3119"/>
        </w:tabs>
        <w:adjustRightInd w:val="0"/>
        <w:snapToGrid w:val="0"/>
        <w:spacing w:beforeLines="50" w:before="180"/>
        <w:jc w:val="both"/>
      </w:pPr>
      <w:r>
        <w:t>T</w:t>
      </w:r>
      <w:r w:rsidR="00884825" w:rsidRPr="005C2B7E">
        <w:t>hree-step applied to monthly mean data</w:t>
      </w:r>
      <w:r>
        <w:t>:</w:t>
      </w:r>
    </w:p>
    <w:p w14:paraId="0BAB947A" w14:textId="42F9DF7A" w:rsidR="006927FB" w:rsidRDefault="00170646" w:rsidP="006927FB">
      <w:pPr>
        <w:tabs>
          <w:tab w:val="left" w:pos="3119"/>
        </w:tabs>
        <w:adjustRightInd w:val="0"/>
        <w:snapToGrid w:val="0"/>
        <w:spacing w:beforeLines="50" w:before="180"/>
        <w:jc w:val="both"/>
      </w:pPr>
      <w:r>
        <w:t>(1)</w:t>
      </w:r>
      <w:r w:rsidR="000B10C6">
        <w:t xml:space="preserve"> The</w:t>
      </w:r>
      <w:r>
        <w:t xml:space="preserve"> </w:t>
      </w:r>
      <w:r w:rsidR="000B10C6">
        <w:rPr>
          <w:i/>
        </w:rPr>
        <w:t>t</w:t>
      </w:r>
      <w:r w:rsidRPr="006927FB">
        <w:rPr>
          <w:i/>
        </w:rPr>
        <w:t>rend filter</w:t>
      </w:r>
      <w:r w:rsidR="00884825">
        <w:t xml:space="preserve"> </w:t>
      </w:r>
      <w:r w:rsidR="006927FB">
        <w:t>i</w:t>
      </w:r>
      <w:r w:rsidR="00884825" w:rsidRPr="005C2B7E">
        <w:t xml:space="preserve">s used to smooth </w:t>
      </w:r>
      <w:r w:rsidR="000B10C6">
        <w:t>raw</w:t>
      </w:r>
      <w:r w:rsidR="00884825" w:rsidRPr="005C2B7E">
        <w:t xml:space="preserve"> time series data</w:t>
      </w:r>
      <w:r w:rsidR="00AB044B">
        <w:t xml:space="preserve"> (X)</w:t>
      </w:r>
      <w:r w:rsidR="000B10C6">
        <w:t xml:space="preserve"> to</w:t>
      </w:r>
      <w:r w:rsidR="00884825" w:rsidRPr="005C2B7E">
        <w:t xml:space="preserve"> reveal the initial trend</w:t>
      </w:r>
      <w:r w:rsidR="00AB044B">
        <w:t xml:space="preserve"> (TI)</w:t>
      </w:r>
      <w:r w:rsidR="00884825">
        <w:t>;</w:t>
      </w:r>
      <w:r w:rsidR="006927FB">
        <w:t xml:space="preserve"> </w:t>
      </w:r>
      <w:r w:rsidR="00884825" w:rsidRPr="005C2B7E">
        <w:t>seasonal components and shorter-term noise remain</w:t>
      </w:r>
      <w:r w:rsidR="00AB044B">
        <w:t>s</w:t>
      </w:r>
      <w:r w:rsidR="00884825" w:rsidRPr="005C2B7E">
        <w:t xml:space="preserve"> in the </w:t>
      </w:r>
      <w:r w:rsidR="00884825" w:rsidRPr="005C2B7E">
        <w:rPr>
          <w:u w:val="single"/>
        </w:rPr>
        <w:t>trend-adjusted series</w:t>
      </w:r>
      <w:r w:rsidR="00884825" w:rsidRPr="00132F04">
        <w:t xml:space="preserve"> </w:t>
      </w:r>
      <w:r w:rsidR="00AB044B">
        <w:t>(X</w:t>
      </w:r>
      <w:r w:rsidR="00AB044B">
        <w:t>−</w:t>
      </w:r>
      <w:r w:rsidR="00AB044B">
        <w:t xml:space="preserve">TI) </w:t>
      </w:r>
      <w:r w:rsidR="00884825" w:rsidRPr="005C2B7E">
        <w:t xml:space="preserve">by subtracting the initial </w:t>
      </w:r>
      <w:r w:rsidR="00884825">
        <w:t>trend from the raw data</w:t>
      </w:r>
      <w:r w:rsidR="00884825" w:rsidRPr="005C2B7E">
        <w:t xml:space="preserve">. </w:t>
      </w:r>
      <w:r w:rsidR="006927FB">
        <w:rPr>
          <w:rFonts w:hint="eastAsia"/>
        </w:rPr>
        <w:t>(</w:t>
      </w:r>
      <w:r w:rsidR="006927FB">
        <w:t xml:space="preserve">1a) </w:t>
      </w:r>
      <w:r w:rsidR="00884825" w:rsidRPr="005C2B7E">
        <w:t xml:space="preserve">This trend-adjusted data series </w:t>
      </w:r>
      <w:r w:rsidR="006927FB">
        <w:t>i</w:t>
      </w:r>
      <w:r w:rsidR="00884825" w:rsidRPr="005C2B7E">
        <w:t xml:space="preserve">s further adjusted by applying </w:t>
      </w:r>
      <w:r w:rsidR="008E4DF1">
        <w:rPr>
          <w:i/>
        </w:rPr>
        <w:t>s</w:t>
      </w:r>
      <w:r w:rsidR="006927FB" w:rsidRPr="006927FB">
        <w:rPr>
          <w:i/>
        </w:rPr>
        <w:t>easonal filter</w:t>
      </w:r>
      <w:r w:rsidR="00884825">
        <w:t>.</w:t>
      </w:r>
      <w:r w:rsidR="00884825" w:rsidRPr="005C2B7E">
        <w:t xml:space="preserve"> </w:t>
      </w:r>
      <w:r w:rsidR="006927FB">
        <w:t>(1b)</w:t>
      </w:r>
      <w:r w:rsidR="006927FB">
        <w:rPr>
          <w:rFonts w:hint="eastAsia"/>
        </w:rPr>
        <w:t xml:space="preserve"> </w:t>
      </w:r>
      <w:r w:rsidR="00884825">
        <w:t>The</w:t>
      </w:r>
      <w:r w:rsidR="00884825" w:rsidRPr="005C2B7E">
        <w:t xml:space="preserve"> initial seasonal estimate</w:t>
      </w:r>
      <w:r w:rsidR="00884825">
        <w:t xml:space="preserve"> </w:t>
      </w:r>
      <w:r w:rsidR="00AB044B">
        <w:t xml:space="preserve">(SI) </w:t>
      </w:r>
      <w:r w:rsidR="006927FB">
        <w:t>i</w:t>
      </w:r>
      <w:r w:rsidR="00884825">
        <w:t xml:space="preserve">s produced by </w:t>
      </w:r>
      <w:r w:rsidR="00884825" w:rsidRPr="005C2B7E">
        <w:t>subtracting</w:t>
      </w:r>
      <w:r w:rsidR="00884825">
        <w:t xml:space="preserve"> the resulting seasonal series from its </w:t>
      </w:r>
      <w:r w:rsidR="00884825" w:rsidRPr="005C2B7E">
        <w:t>annual-centered running mean</w:t>
      </w:r>
      <w:r w:rsidR="00884825">
        <w:t>, producing approximately a zero-mean seasonality</w:t>
      </w:r>
      <w:r w:rsidR="00884825" w:rsidRPr="005C2B7E">
        <w:t xml:space="preserve">. </w:t>
      </w:r>
    </w:p>
    <w:p w14:paraId="2E4D08EB" w14:textId="47C8C7E9" w:rsidR="006927FB" w:rsidRDefault="006927FB" w:rsidP="006927FB">
      <w:pPr>
        <w:tabs>
          <w:tab w:val="left" w:pos="3119"/>
        </w:tabs>
        <w:adjustRightInd w:val="0"/>
        <w:snapToGrid w:val="0"/>
        <w:spacing w:beforeLines="50" w:before="180"/>
        <w:jc w:val="both"/>
      </w:pPr>
      <w:r>
        <w:t>(2)</w:t>
      </w:r>
      <w:r w:rsidR="004E3928">
        <w:t xml:space="preserve"> The</w:t>
      </w:r>
      <w:r>
        <w:t xml:space="preserve"> </w:t>
      </w:r>
      <w:r w:rsidR="004E3928">
        <w:rPr>
          <w:i/>
        </w:rPr>
        <w:t>t</w:t>
      </w:r>
      <w:r w:rsidRPr="006927FB">
        <w:rPr>
          <w:i/>
        </w:rPr>
        <w:t>rend filter</w:t>
      </w:r>
      <w:r w:rsidR="00884825" w:rsidRPr="005C2B7E">
        <w:t xml:space="preserve"> </w:t>
      </w:r>
      <w:r>
        <w:t>i</w:t>
      </w:r>
      <w:r w:rsidR="00884825" w:rsidRPr="005C2B7E">
        <w:t xml:space="preserve">s applied to smooth the </w:t>
      </w:r>
      <w:r w:rsidR="00884825" w:rsidRPr="005C2B7E">
        <w:rPr>
          <w:u w:val="single"/>
        </w:rPr>
        <w:t>season-adjusted series</w:t>
      </w:r>
      <w:r w:rsidR="008E4DF1">
        <w:t xml:space="preserve"> (X</w:t>
      </w:r>
      <w:r w:rsidR="008E4DF1">
        <w:t>−</w:t>
      </w:r>
      <w:r w:rsidR="008E4DF1">
        <w:t>S</w:t>
      </w:r>
      <w:r w:rsidR="008E4DF1">
        <w:t>I</w:t>
      </w:r>
      <w:r w:rsidR="008E4DF1">
        <w:t>),</w:t>
      </w:r>
      <w:r>
        <w:t xml:space="preserve"> </w:t>
      </w:r>
      <w:r w:rsidR="00884825" w:rsidRPr="005C2B7E">
        <w:t>by subtracting the initial seasonal estimate from the raw data</w:t>
      </w:r>
      <w:r w:rsidR="004E3928">
        <w:t>. This</w:t>
      </w:r>
      <w:r w:rsidR="00884825" w:rsidRPr="005C2B7E">
        <w:t xml:space="preserve"> generat</w:t>
      </w:r>
      <w:r w:rsidR="004E3928">
        <w:t>es</w:t>
      </w:r>
      <w:r w:rsidR="00884825" w:rsidRPr="005C2B7E">
        <w:t xml:space="preserve"> a revised trend</w:t>
      </w:r>
      <w:r w:rsidR="008E4DF1">
        <w:t xml:space="preserve"> (TR)</w:t>
      </w:r>
      <w:r w:rsidR="00884825" w:rsidRPr="005C2B7E">
        <w:t xml:space="preserve">. </w:t>
      </w:r>
      <w:r w:rsidR="008E4DF1">
        <w:t xml:space="preserve">(2a) </w:t>
      </w:r>
      <w:r w:rsidR="00884825" w:rsidRPr="005C2B7E">
        <w:t xml:space="preserve">The </w:t>
      </w:r>
      <w:r w:rsidR="008E4DF1">
        <w:rPr>
          <w:i/>
        </w:rPr>
        <w:t>s</w:t>
      </w:r>
      <w:r w:rsidR="008E4DF1" w:rsidRPr="006927FB">
        <w:rPr>
          <w:i/>
        </w:rPr>
        <w:t>easonal filter</w:t>
      </w:r>
      <w:r w:rsidR="00884825" w:rsidRPr="005C2B7E">
        <w:t xml:space="preserve"> </w:t>
      </w:r>
      <w:r w:rsidR="008E4DF1">
        <w:t>i</w:t>
      </w:r>
      <w:r w:rsidR="00884825" w:rsidRPr="005C2B7E">
        <w:t xml:space="preserve">s applied to smooth the </w:t>
      </w:r>
      <w:r w:rsidR="00884825" w:rsidRPr="005C2B7E">
        <w:rPr>
          <w:u w:val="single"/>
        </w:rPr>
        <w:t>"revised trend"-adjusted series</w:t>
      </w:r>
      <w:r w:rsidR="00884825" w:rsidRPr="005C2B7E">
        <w:t xml:space="preserve"> </w:t>
      </w:r>
      <w:r w:rsidR="008E4DF1">
        <w:t>(X</w:t>
      </w:r>
      <w:r w:rsidR="008E4DF1">
        <w:t>−</w:t>
      </w:r>
      <w:r w:rsidR="008E4DF1">
        <w:t xml:space="preserve">TR) </w:t>
      </w:r>
      <w:r w:rsidR="00884825" w:rsidRPr="005C2B7E">
        <w:t>to obtain the final seasonal estimate</w:t>
      </w:r>
      <w:r w:rsidR="008E4DF1">
        <w:t xml:space="preserve"> (</w:t>
      </w:r>
      <w:r w:rsidR="008E4DF1">
        <w:rPr>
          <w:rFonts w:eastAsia="Arial Unicode MS"/>
        </w:rPr>
        <w:t>S</w:t>
      </w:r>
      <w:r w:rsidR="008E4DF1">
        <w:rPr>
          <w:rFonts w:eastAsia="Arial Unicode MS"/>
        </w:rPr>
        <w:t xml:space="preserve">F) </w:t>
      </w:r>
      <w:r w:rsidR="00884825">
        <w:t>after subtracting its annual-centered running mean</w:t>
      </w:r>
      <w:r w:rsidR="00884825" w:rsidRPr="005C2B7E">
        <w:t xml:space="preserve">. </w:t>
      </w:r>
    </w:p>
    <w:p w14:paraId="446C7876" w14:textId="77777777" w:rsidR="004E3928" w:rsidRDefault="008E4DF1" w:rsidP="006927FB">
      <w:pPr>
        <w:tabs>
          <w:tab w:val="left" w:pos="3119"/>
        </w:tabs>
        <w:adjustRightInd w:val="0"/>
        <w:snapToGrid w:val="0"/>
        <w:spacing w:beforeLines="50" w:before="180"/>
        <w:jc w:val="both"/>
      </w:pPr>
      <w:r>
        <w:t>(3) T</w:t>
      </w:r>
      <w:r w:rsidR="00884825" w:rsidRPr="005C2B7E">
        <w:t xml:space="preserve">he final trend </w:t>
      </w:r>
      <w:r>
        <w:t>(</w:t>
      </w:r>
      <w:r>
        <w:rPr>
          <w:rFonts w:eastAsia="Arial Unicode MS"/>
        </w:rPr>
        <w:t>T</w:t>
      </w:r>
      <w:r>
        <w:rPr>
          <w:rFonts w:eastAsia="Arial Unicode MS"/>
        </w:rPr>
        <w:t>F</w:t>
      </w:r>
      <w:r>
        <w:t>) i</w:t>
      </w:r>
      <w:r w:rsidR="00884825" w:rsidRPr="005C2B7E">
        <w:t xml:space="preserve">s calculated by applying the </w:t>
      </w:r>
      <w:r>
        <w:rPr>
          <w:i/>
        </w:rPr>
        <w:t>t</w:t>
      </w:r>
      <w:r w:rsidRPr="006927FB">
        <w:rPr>
          <w:i/>
        </w:rPr>
        <w:t>rend filter</w:t>
      </w:r>
      <w:r w:rsidR="00884825" w:rsidRPr="005C2B7E">
        <w:t xml:space="preserve"> to the "</w:t>
      </w:r>
      <w:r w:rsidR="00884825" w:rsidRPr="005C2B7E">
        <w:rPr>
          <w:u w:val="single"/>
        </w:rPr>
        <w:t>final season"-adjusted series</w:t>
      </w:r>
      <w:r>
        <w:t xml:space="preserve"> (X</w:t>
      </w:r>
      <w:r>
        <w:t>−</w:t>
      </w:r>
      <w:r>
        <w:rPr>
          <w:rFonts w:eastAsia="Arial Unicode MS"/>
        </w:rPr>
        <w:t>S</w:t>
      </w:r>
      <w:r>
        <w:rPr>
          <w:rFonts w:eastAsia="Arial Unicode MS"/>
        </w:rPr>
        <w:t>F</w:t>
      </w:r>
      <w:r>
        <w:t xml:space="preserve">). </w:t>
      </w:r>
      <w:r w:rsidR="00884825" w:rsidRPr="005C2B7E">
        <w:t>The final seasonal estimate is defined</w:t>
      </w:r>
      <w:r w:rsidR="00884825" w:rsidRPr="005C2B7E">
        <w:rPr>
          <w:rFonts w:hint="eastAsia"/>
        </w:rPr>
        <w:t xml:space="preserve"> </w:t>
      </w:r>
      <w:r w:rsidR="00884825" w:rsidRPr="005C2B7E">
        <w:t>as the seasonal component</w:t>
      </w:r>
      <w:r w:rsidR="000B10C6">
        <w:t xml:space="preserve"> (</w:t>
      </w:r>
      <w:r w:rsidR="000B10C6">
        <w:rPr>
          <w:rFonts w:eastAsia="Arial Unicode MS"/>
        </w:rPr>
        <w:t>S</w:t>
      </w:r>
      <w:r w:rsidR="000B10C6" w:rsidRPr="00733537">
        <w:rPr>
          <w:rFonts w:eastAsia="Arial Unicode MS"/>
          <w:vertAlign w:val="subscript"/>
        </w:rPr>
        <w:t>t</w:t>
      </w:r>
      <w:r w:rsidR="000B10C6">
        <w:t>)</w:t>
      </w:r>
      <w:r w:rsidR="00884825" w:rsidRPr="005C2B7E">
        <w:t>, and the final trend represents the nonseasonal component</w:t>
      </w:r>
      <w:r w:rsidR="000B10C6">
        <w:t xml:space="preserve"> (</w:t>
      </w:r>
      <w:r w:rsidR="000B10C6">
        <w:rPr>
          <w:rFonts w:eastAsia="Arial Unicode MS"/>
        </w:rPr>
        <w:t>T</w:t>
      </w:r>
      <w:r w:rsidR="000B10C6" w:rsidRPr="00733537">
        <w:rPr>
          <w:rFonts w:eastAsia="Arial Unicode MS"/>
          <w:vertAlign w:val="subscript"/>
        </w:rPr>
        <w:t>t</w:t>
      </w:r>
      <w:r w:rsidR="000B10C6">
        <w:t>)</w:t>
      </w:r>
      <w:r w:rsidR="00884825" w:rsidRPr="005C2B7E">
        <w:t xml:space="preserve">. </w:t>
      </w:r>
    </w:p>
    <w:p w14:paraId="73A2C547" w14:textId="64665234" w:rsidR="00884825" w:rsidRDefault="00884825" w:rsidP="006927FB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/>
        </w:rPr>
      </w:pPr>
      <w:bookmarkStart w:id="0" w:name="_GoBack"/>
      <w:bookmarkEnd w:id="0"/>
      <w:r w:rsidRPr="005C2B7E">
        <w:t xml:space="preserve">The residual series, derived by subtracting the identified seasonal and nonseasonal time series data from the raw data, </w:t>
      </w:r>
      <w:r w:rsidR="000B10C6">
        <w:t>i</w:t>
      </w:r>
      <w:r w:rsidRPr="005C2B7E">
        <w:t>s not the focus of this study.</w:t>
      </w:r>
    </w:p>
    <w:p w14:paraId="61CC5F56" w14:textId="78725309" w:rsidR="00884825" w:rsidRDefault="00884825" w:rsidP="006927FB">
      <w:pPr>
        <w:tabs>
          <w:tab w:val="left" w:pos="3119"/>
        </w:tabs>
        <w:adjustRightInd w:val="0"/>
        <w:snapToGrid w:val="0"/>
        <w:spacing w:beforeLines="50" w:before="180"/>
        <w:jc w:val="both"/>
        <w:rPr>
          <w:rFonts w:eastAsia="Arial Unicode MS"/>
        </w:rPr>
      </w:pPr>
    </w:p>
    <w:p w14:paraId="154F3807" w14:textId="08832485" w:rsidR="00643E13" w:rsidRPr="008D2E2F" w:rsidRDefault="008D2E2F" w:rsidP="00643E13">
      <w:pPr>
        <w:adjustRightInd w:val="0"/>
        <w:snapToGrid w:val="0"/>
        <w:spacing w:beforeLines="50" w:before="18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A1CC767" wp14:editId="30DDFF99">
            <wp:extent cx="5096236" cy="3600000"/>
            <wp:effectExtent l="0" t="0" r="9525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623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890C1" w14:textId="080E717B" w:rsidR="00F82358" w:rsidRPr="00C13292" w:rsidRDefault="008D2E2F" w:rsidP="00C13292">
      <w:pPr>
        <w:adjustRightInd w:val="0"/>
        <w:snapToGrid w:val="0"/>
        <w:spacing w:beforeLines="50" w:before="180" w:afterLines="50" w:after="180" w:line="360" w:lineRule="auto"/>
        <w:jc w:val="both"/>
      </w:pPr>
      <w:r w:rsidRPr="00A7382B">
        <w:rPr>
          <w:rFonts w:hint="eastAsia"/>
          <w:b/>
          <w:lang w:val="en"/>
        </w:rPr>
        <w:t xml:space="preserve">Fig. </w:t>
      </w:r>
      <w:r>
        <w:rPr>
          <w:b/>
          <w:lang w:val="en"/>
        </w:rPr>
        <w:t>S1</w:t>
      </w:r>
      <w:r w:rsidRPr="00A7382B">
        <w:rPr>
          <w:rFonts w:hint="eastAsia"/>
          <w:b/>
          <w:lang w:val="en"/>
        </w:rPr>
        <w:t xml:space="preserve"> | </w:t>
      </w:r>
      <w:r>
        <w:rPr>
          <w:rFonts w:eastAsia="STIX-Regular"/>
          <w:kern w:val="0"/>
        </w:rPr>
        <w:t>Normalized nonseasonal dynamical index on a global scale from 2002 to 2022 (dotted curve), with 9-year (blue bars) and 11-year (green bars) linear regression trends centered on the years.</w:t>
      </w:r>
    </w:p>
    <w:p w14:paraId="69356923" w14:textId="4ED98484" w:rsidR="00643E13" w:rsidRPr="00A7382B" w:rsidRDefault="008D2E2F" w:rsidP="00643E13">
      <w:pPr>
        <w:adjustRightInd w:val="0"/>
        <w:snapToGrid w:val="0"/>
        <w:spacing w:beforeLines="50" w:before="18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09BDA348" wp14:editId="65299905">
            <wp:extent cx="4621038" cy="4320000"/>
            <wp:effectExtent l="0" t="0" r="8255" b="4445"/>
            <wp:docPr id="95" name="圖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1038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BCB2D" w14:textId="0AD491A1" w:rsidR="00083BEC" w:rsidRPr="008D2E2F" w:rsidRDefault="008D2E2F" w:rsidP="008D2E2F">
      <w:pPr>
        <w:adjustRightInd w:val="0"/>
        <w:snapToGrid w:val="0"/>
        <w:spacing w:beforeLines="50" w:before="180" w:line="360" w:lineRule="auto"/>
        <w:jc w:val="both"/>
        <w:rPr>
          <w:lang w:val="en"/>
        </w:rPr>
      </w:pPr>
      <w:r w:rsidRPr="00A7382B">
        <w:rPr>
          <w:rFonts w:hint="eastAsia"/>
          <w:b/>
          <w:lang w:val="en"/>
        </w:rPr>
        <w:t xml:space="preserve">Fig. </w:t>
      </w:r>
      <w:r>
        <w:rPr>
          <w:b/>
          <w:lang w:val="en"/>
        </w:rPr>
        <w:t>S2</w:t>
      </w:r>
      <w:r w:rsidRPr="00A7382B">
        <w:rPr>
          <w:rFonts w:hint="eastAsia"/>
          <w:b/>
          <w:lang w:val="en"/>
        </w:rPr>
        <w:t xml:space="preserve"> | </w:t>
      </w:r>
      <w:r w:rsidR="006C074B">
        <w:rPr>
          <w:kern w:val="0"/>
          <w:lang w:val="en"/>
        </w:rPr>
        <w:t xml:space="preserve">(a) </w:t>
      </w:r>
      <w:r w:rsidR="006C074B">
        <w:rPr>
          <w:kern w:val="0"/>
          <w:shd w:val="clear" w:color="auto" w:fill="FFFFFF"/>
        </w:rPr>
        <w:t>Correlation coefficients between the nonseasonal dynamical index globally (</w:t>
      </w:r>
      <w:r w:rsidR="006C074B">
        <w:rPr>
          <w:rFonts w:eastAsiaTheme="minorEastAsia"/>
          <w:kern w:val="0"/>
        </w:rPr>
        <w:t>2002–2021</w:t>
      </w:r>
      <w:r w:rsidR="006C074B">
        <w:rPr>
          <w:kern w:val="0"/>
          <w:shd w:val="clear" w:color="auto" w:fill="FFFFFF"/>
        </w:rPr>
        <w:t>) and the East Asian (</w:t>
      </w:r>
      <w:r w:rsidR="006C074B">
        <w:rPr>
          <w:kern w:val="0"/>
        </w:rPr>
        <w:t>115</w:t>
      </w:r>
      <w:r w:rsidR="006C074B">
        <w:rPr>
          <w:rFonts w:eastAsia="Arial Unicode MS"/>
          <w:kern w:val="0"/>
        </w:rPr>
        <w:t>°</w:t>
      </w:r>
      <w:r w:rsidR="006C074B">
        <w:rPr>
          <w:kern w:val="0"/>
        </w:rPr>
        <w:t>E–125</w:t>
      </w:r>
      <w:r w:rsidR="006C074B">
        <w:rPr>
          <w:rFonts w:eastAsia="Arial Unicode MS"/>
          <w:kern w:val="0"/>
        </w:rPr>
        <w:t>°</w:t>
      </w:r>
      <w:r w:rsidR="006C074B">
        <w:rPr>
          <w:kern w:val="0"/>
        </w:rPr>
        <w:t>E</w:t>
      </w:r>
      <w:r w:rsidR="006C074B">
        <w:rPr>
          <w:kern w:val="0"/>
          <w:shd w:val="clear" w:color="auto" w:fill="FFFFFF"/>
        </w:rPr>
        <w:t>) AOD</w:t>
      </w:r>
      <w:r w:rsidR="006C074B">
        <w:rPr>
          <w:kern w:val="0"/>
        </w:rPr>
        <w:t xml:space="preserve"> </w:t>
      </w:r>
      <w:r w:rsidR="006C074B">
        <w:rPr>
          <w:kern w:val="0"/>
          <w:shd w:val="clear" w:color="auto" w:fill="FFFFFF"/>
        </w:rPr>
        <w:t>(</w:t>
      </w:r>
      <w:r w:rsidR="006C074B">
        <w:rPr>
          <w:rFonts w:eastAsiaTheme="minorEastAsia"/>
          <w:kern w:val="0"/>
        </w:rPr>
        <w:t>2003–2022</w:t>
      </w:r>
      <w:r w:rsidR="006C074B">
        <w:rPr>
          <w:kern w:val="0"/>
        </w:rPr>
        <w:t>) in January</w:t>
      </w:r>
      <w:r w:rsidR="006C074B">
        <w:rPr>
          <w:rFonts w:eastAsiaTheme="minorEastAsia"/>
          <w:kern w:val="0"/>
        </w:rPr>
        <w:t>–March, February–March, March, February–April, and March–April, respectively. Monthly conditions indicated in (a) for January–April, respectively, in (b) 2002–2012 versus 2003–2013 and (c) 2010–2020 versus 2011–2021.</w:t>
      </w:r>
    </w:p>
    <w:sectPr w:rsidR="00083BEC" w:rsidRPr="008D2E2F" w:rsidSect="00495797">
      <w:headerReference w:type="default" r:id="rId10"/>
      <w:footerReference w:type="default" r:id="rId11"/>
      <w:pgSz w:w="11906" w:h="16838"/>
      <w:pgMar w:top="1440" w:right="1440" w:bottom="1440" w:left="1440" w:header="851" w:footer="992" w:gutter="0"/>
      <w:pgNumType w:start="1"/>
      <w:cols w:space="361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446F9" w14:textId="77777777" w:rsidR="008E3589" w:rsidRDefault="008E3589">
      <w:r>
        <w:separator/>
      </w:r>
    </w:p>
  </w:endnote>
  <w:endnote w:type="continuationSeparator" w:id="0">
    <w:p w14:paraId="127C9F01" w14:textId="77777777" w:rsidR="008E3589" w:rsidRDefault="008E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-Regular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E574" w14:textId="77777777" w:rsidR="00BE1DB8" w:rsidRDefault="00BE1DB8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Pr="003D66FF">
      <w:rPr>
        <w:noProof/>
        <w:lang w:val="zh-TW"/>
      </w:rPr>
      <w:t>20</w:t>
    </w:r>
    <w:r>
      <w:fldChar w:fldCharType="end"/>
    </w:r>
  </w:p>
  <w:p w14:paraId="07897274" w14:textId="77777777" w:rsidR="00BE1DB8" w:rsidRDefault="00BE1D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D0A13" w14:textId="77777777" w:rsidR="008E3589" w:rsidRDefault="008E3589">
      <w:r>
        <w:separator/>
      </w:r>
    </w:p>
  </w:footnote>
  <w:footnote w:type="continuationSeparator" w:id="0">
    <w:p w14:paraId="4217F421" w14:textId="77777777" w:rsidR="008E3589" w:rsidRDefault="008E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24B41" w14:textId="77777777" w:rsidR="00BE1DB8" w:rsidRPr="005624D6" w:rsidRDefault="00BE1DB8">
    <w:pPr>
      <w:pStyle w:val="a3"/>
      <w:rPr>
        <w:b/>
      </w:rPr>
    </w:pPr>
    <w:r>
      <w:rPr>
        <w:rFonts w:hint="eastAsia"/>
      </w:rPr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843C6"/>
    <w:multiLevelType w:val="hybridMultilevel"/>
    <w:tmpl w:val="7CB23D18"/>
    <w:lvl w:ilvl="0" w:tplc="31A27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804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E6D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F41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447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8A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CEC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20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41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1223171"/>
    <w:multiLevelType w:val="multilevel"/>
    <w:tmpl w:val="FBD8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8C12CF"/>
    <w:multiLevelType w:val="hybridMultilevel"/>
    <w:tmpl w:val="93C21C14"/>
    <w:lvl w:ilvl="0" w:tplc="8AA20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B673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088B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8018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EA58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FC3A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4FD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6F9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64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7E6FAA"/>
    <w:multiLevelType w:val="hybridMultilevel"/>
    <w:tmpl w:val="2EAE278A"/>
    <w:lvl w:ilvl="0" w:tplc="5F92B9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4FC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8CDF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06C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CCB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3A49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B6F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66B5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B475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wstdfsl099zoew9dbvzdrh9vvd9xasxss0&quot;&gt;ReferenceEndnote-Converted&lt;record-ids&gt;&lt;item&gt;208&lt;/item&gt;&lt;item&gt;243&lt;/item&gt;&lt;item&gt;621&lt;/item&gt;&lt;/record-ids&gt;&lt;/item&gt;&lt;/Libraries&gt;"/>
  </w:docVars>
  <w:rsids>
    <w:rsidRoot w:val="00CD1E81"/>
    <w:rsid w:val="0000522A"/>
    <w:rsid w:val="0000551C"/>
    <w:rsid w:val="0001586D"/>
    <w:rsid w:val="00026355"/>
    <w:rsid w:val="0003409B"/>
    <w:rsid w:val="00041B32"/>
    <w:rsid w:val="000775C6"/>
    <w:rsid w:val="00083BEC"/>
    <w:rsid w:val="00084A06"/>
    <w:rsid w:val="000934FE"/>
    <w:rsid w:val="00094AD4"/>
    <w:rsid w:val="000A6530"/>
    <w:rsid w:val="000A7510"/>
    <w:rsid w:val="000B10C6"/>
    <w:rsid w:val="000D17EE"/>
    <w:rsid w:val="000E595A"/>
    <w:rsid w:val="000F63DE"/>
    <w:rsid w:val="0012434A"/>
    <w:rsid w:val="00134E8C"/>
    <w:rsid w:val="001612DC"/>
    <w:rsid w:val="00161F7D"/>
    <w:rsid w:val="00170646"/>
    <w:rsid w:val="00182A2C"/>
    <w:rsid w:val="001A2125"/>
    <w:rsid w:val="001A3763"/>
    <w:rsid w:val="001B3699"/>
    <w:rsid w:val="001E01D3"/>
    <w:rsid w:val="001F5F59"/>
    <w:rsid w:val="00200B70"/>
    <w:rsid w:val="00205EDF"/>
    <w:rsid w:val="00223B3A"/>
    <w:rsid w:val="00226776"/>
    <w:rsid w:val="00232512"/>
    <w:rsid w:val="002700CF"/>
    <w:rsid w:val="00272358"/>
    <w:rsid w:val="00281A56"/>
    <w:rsid w:val="00290868"/>
    <w:rsid w:val="002B6201"/>
    <w:rsid w:val="002C083C"/>
    <w:rsid w:val="002C6DEA"/>
    <w:rsid w:val="002E1EB1"/>
    <w:rsid w:val="003327AF"/>
    <w:rsid w:val="00333421"/>
    <w:rsid w:val="0034473D"/>
    <w:rsid w:val="00345823"/>
    <w:rsid w:val="00355F3C"/>
    <w:rsid w:val="00372D54"/>
    <w:rsid w:val="00386038"/>
    <w:rsid w:val="0039301B"/>
    <w:rsid w:val="003A2F4E"/>
    <w:rsid w:val="003A6261"/>
    <w:rsid w:val="003B177D"/>
    <w:rsid w:val="003B2BBB"/>
    <w:rsid w:val="003D252C"/>
    <w:rsid w:val="003E21D5"/>
    <w:rsid w:val="003F1C16"/>
    <w:rsid w:val="003F62B3"/>
    <w:rsid w:val="003F6541"/>
    <w:rsid w:val="00423150"/>
    <w:rsid w:val="00456795"/>
    <w:rsid w:val="00471D1C"/>
    <w:rsid w:val="00477840"/>
    <w:rsid w:val="00495797"/>
    <w:rsid w:val="004B5376"/>
    <w:rsid w:val="004D02B8"/>
    <w:rsid w:val="004D5DB2"/>
    <w:rsid w:val="004E3928"/>
    <w:rsid w:val="004E4D7C"/>
    <w:rsid w:val="004F3663"/>
    <w:rsid w:val="004F499B"/>
    <w:rsid w:val="00510362"/>
    <w:rsid w:val="00517715"/>
    <w:rsid w:val="0053581B"/>
    <w:rsid w:val="00541E86"/>
    <w:rsid w:val="00544C8D"/>
    <w:rsid w:val="00547703"/>
    <w:rsid w:val="00554630"/>
    <w:rsid w:val="0056266A"/>
    <w:rsid w:val="00566BAC"/>
    <w:rsid w:val="005742CF"/>
    <w:rsid w:val="005B456C"/>
    <w:rsid w:val="005C6818"/>
    <w:rsid w:val="005D137D"/>
    <w:rsid w:val="005D677E"/>
    <w:rsid w:val="0060551A"/>
    <w:rsid w:val="00631391"/>
    <w:rsid w:val="00643E13"/>
    <w:rsid w:val="00651778"/>
    <w:rsid w:val="00653774"/>
    <w:rsid w:val="006724D5"/>
    <w:rsid w:val="00691299"/>
    <w:rsid w:val="006927FB"/>
    <w:rsid w:val="00696B3D"/>
    <w:rsid w:val="006A7B2D"/>
    <w:rsid w:val="006C074B"/>
    <w:rsid w:val="006C3C99"/>
    <w:rsid w:val="006E0934"/>
    <w:rsid w:val="006E4191"/>
    <w:rsid w:val="006E4987"/>
    <w:rsid w:val="006E6084"/>
    <w:rsid w:val="006F3A71"/>
    <w:rsid w:val="0071178A"/>
    <w:rsid w:val="00712210"/>
    <w:rsid w:val="00733537"/>
    <w:rsid w:val="00742ACB"/>
    <w:rsid w:val="00757BCA"/>
    <w:rsid w:val="00765AD5"/>
    <w:rsid w:val="007737D3"/>
    <w:rsid w:val="00776165"/>
    <w:rsid w:val="00785DDC"/>
    <w:rsid w:val="00796381"/>
    <w:rsid w:val="007C3A86"/>
    <w:rsid w:val="007D5234"/>
    <w:rsid w:val="00850D38"/>
    <w:rsid w:val="0085417D"/>
    <w:rsid w:val="00884825"/>
    <w:rsid w:val="00892260"/>
    <w:rsid w:val="008B02ED"/>
    <w:rsid w:val="008B0549"/>
    <w:rsid w:val="008B5468"/>
    <w:rsid w:val="008B6A6B"/>
    <w:rsid w:val="008C51D1"/>
    <w:rsid w:val="008C6479"/>
    <w:rsid w:val="008D2E2F"/>
    <w:rsid w:val="008E3589"/>
    <w:rsid w:val="008E4DF1"/>
    <w:rsid w:val="009039EF"/>
    <w:rsid w:val="0092651E"/>
    <w:rsid w:val="00942D8D"/>
    <w:rsid w:val="00957EB4"/>
    <w:rsid w:val="00972F5D"/>
    <w:rsid w:val="00974B10"/>
    <w:rsid w:val="0099059E"/>
    <w:rsid w:val="009944B7"/>
    <w:rsid w:val="009A0C9D"/>
    <w:rsid w:val="009B2833"/>
    <w:rsid w:val="009D2724"/>
    <w:rsid w:val="009E5364"/>
    <w:rsid w:val="00A05BBF"/>
    <w:rsid w:val="00A12515"/>
    <w:rsid w:val="00A148EA"/>
    <w:rsid w:val="00A15AD2"/>
    <w:rsid w:val="00A502CC"/>
    <w:rsid w:val="00A516C0"/>
    <w:rsid w:val="00A52705"/>
    <w:rsid w:val="00A70918"/>
    <w:rsid w:val="00A7382B"/>
    <w:rsid w:val="00A95ADA"/>
    <w:rsid w:val="00A95E9C"/>
    <w:rsid w:val="00AA329F"/>
    <w:rsid w:val="00AA5A58"/>
    <w:rsid w:val="00AB044B"/>
    <w:rsid w:val="00AB35B2"/>
    <w:rsid w:val="00AB4F43"/>
    <w:rsid w:val="00AC10B7"/>
    <w:rsid w:val="00AC62CE"/>
    <w:rsid w:val="00AD68A0"/>
    <w:rsid w:val="00AF7CBB"/>
    <w:rsid w:val="00B07CB5"/>
    <w:rsid w:val="00B14181"/>
    <w:rsid w:val="00B2013C"/>
    <w:rsid w:val="00B267C6"/>
    <w:rsid w:val="00B378B7"/>
    <w:rsid w:val="00B443CA"/>
    <w:rsid w:val="00B55713"/>
    <w:rsid w:val="00B60DE6"/>
    <w:rsid w:val="00B72D10"/>
    <w:rsid w:val="00B806ED"/>
    <w:rsid w:val="00BD3B21"/>
    <w:rsid w:val="00BE1DB8"/>
    <w:rsid w:val="00BE754C"/>
    <w:rsid w:val="00BE7EEF"/>
    <w:rsid w:val="00BF6BB4"/>
    <w:rsid w:val="00C058D2"/>
    <w:rsid w:val="00C13292"/>
    <w:rsid w:val="00C13B8A"/>
    <w:rsid w:val="00C27CFB"/>
    <w:rsid w:val="00C35DF5"/>
    <w:rsid w:val="00C45B05"/>
    <w:rsid w:val="00C66190"/>
    <w:rsid w:val="00CC26BD"/>
    <w:rsid w:val="00CD15D9"/>
    <w:rsid w:val="00CD1E81"/>
    <w:rsid w:val="00CD1F73"/>
    <w:rsid w:val="00CF2F69"/>
    <w:rsid w:val="00D25E8C"/>
    <w:rsid w:val="00D51215"/>
    <w:rsid w:val="00D770CC"/>
    <w:rsid w:val="00D871F2"/>
    <w:rsid w:val="00DB6202"/>
    <w:rsid w:val="00DC13FF"/>
    <w:rsid w:val="00DF0784"/>
    <w:rsid w:val="00DF7D11"/>
    <w:rsid w:val="00E01E5F"/>
    <w:rsid w:val="00E044D6"/>
    <w:rsid w:val="00E30E65"/>
    <w:rsid w:val="00E6744D"/>
    <w:rsid w:val="00E86F91"/>
    <w:rsid w:val="00EE22DB"/>
    <w:rsid w:val="00EE756D"/>
    <w:rsid w:val="00EF2FBB"/>
    <w:rsid w:val="00F047FC"/>
    <w:rsid w:val="00F06377"/>
    <w:rsid w:val="00F171BE"/>
    <w:rsid w:val="00F176DA"/>
    <w:rsid w:val="00F217D9"/>
    <w:rsid w:val="00F25F2F"/>
    <w:rsid w:val="00F36508"/>
    <w:rsid w:val="00F53365"/>
    <w:rsid w:val="00F55293"/>
    <w:rsid w:val="00F82358"/>
    <w:rsid w:val="00F86337"/>
    <w:rsid w:val="00FC2CC6"/>
    <w:rsid w:val="00FC3C2C"/>
    <w:rsid w:val="00FC7757"/>
    <w:rsid w:val="00FD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11238"/>
  <w15:chartTrackingRefBased/>
  <w15:docId w15:val="{C616B5D6-1756-444D-A3B2-0C95F870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21D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21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21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E21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21D5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本文1"/>
    <w:basedOn w:val="a"/>
    <w:link w:val="10"/>
    <w:rsid w:val="003E21D5"/>
    <w:pPr>
      <w:adjustRightInd w:val="0"/>
      <w:spacing w:before="100" w:beforeAutospacing="1" w:after="100" w:afterAutospacing="1" w:line="360" w:lineRule="auto"/>
      <w:ind w:right="45" w:firstLine="482"/>
      <w:jc w:val="both"/>
      <w:textAlignment w:val="baseline"/>
    </w:pPr>
    <w:rPr>
      <w:rFonts w:cs="新細明體"/>
      <w:kern w:val="0"/>
      <w:szCs w:val="20"/>
    </w:rPr>
  </w:style>
  <w:style w:type="paragraph" w:styleId="a7">
    <w:name w:val="List Paragraph"/>
    <w:basedOn w:val="a"/>
    <w:uiPriority w:val="34"/>
    <w:qFormat/>
    <w:rsid w:val="003E21D5"/>
    <w:pPr>
      <w:ind w:leftChars="200" w:left="480"/>
    </w:pPr>
    <w:rPr>
      <w:rFonts w:ascii="Calibri" w:hAnsi="Calibri"/>
      <w:szCs w:val="22"/>
    </w:rPr>
  </w:style>
  <w:style w:type="character" w:customStyle="1" w:styleId="10">
    <w:name w:val="本文1 字元"/>
    <w:link w:val="1"/>
    <w:rsid w:val="003E21D5"/>
    <w:rPr>
      <w:rFonts w:ascii="Times New Roman" w:eastAsia="新細明體" w:hAnsi="Times New Roman" w:cs="新細明體"/>
      <w:kern w:val="0"/>
      <w:szCs w:val="20"/>
    </w:rPr>
  </w:style>
  <w:style w:type="paragraph" w:styleId="a8">
    <w:name w:val="footnote text"/>
    <w:basedOn w:val="a"/>
    <w:link w:val="a9"/>
    <w:rsid w:val="003E21D5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rsid w:val="003E21D5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otnote reference"/>
    <w:rsid w:val="003E21D5"/>
    <w:rPr>
      <w:vertAlign w:val="superscript"/>
    </w:rPr>
  </w:style>
  <w:style w:type="character" w:styleId="ab">
    <w:name w:val="line number"/>
    <w:basedOn w:val="a0"/>
    <w:uiPriority w:val="99"/>
    <w:semiHidden/>
    <w:unhideWhenUsed/>
    <w:rsid w:val="003E21D5"/>
  </w:style>
  <w:style w:type="paragraph" w:customStyle="1" w:styleId="EndNoteBibliographyTitle">
    <w:name w:val="EndNote Bibliography Title"/>
    <w:basedOn w:val="a"/>
    <w:link w:val="EndNoteBibliographyTitle0"/>
    <w:rsid w:val="0001586D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01586D"/>
    <w:rPr>
      <w:rFonts w:ascii="Times New Roman" w:eastAsia="新細明體" w:hAnsi="Times New Roman" w:cs="Times New Roman"/>
      <w:noProof/>
      <w:szCs w:val="24"/>
    </w:rPr>
  </w:style>
  <w:style w:type="paragraph" w:customStyle="1" w:styleId="EndNoteBibliography">
    <w:name w:val="EndNote Bibliography"/>
    <w:basedOn w:val="a"/>
    <w:link w:val="EndNoteBibliography0"/>
    <w:rsid w:val="0001586D"/>
    <w:rPr>
      <w:noProof/>
    </w:rPr>
  </w:style>
  <w:style w:type="character" w:customStyle="1" w:styleId="EndNoteBibliography0">
    <w:name w:val="EndNote Bibliography 字元"/>
    <w:basedOn w:val="a0"/>
    <w:link w:val="EndNoteBibliography"/>
    <w:rsid w:val="0001586D"/>
    <w:rPr>
      <w:rFonts w:ascii="Times New Roman" w:eastAsia="新細明體" w:hAnsi="Times New Roman" w:cs="Times New Roman"/>
      <w:noProof/>
      <w:szCs w:val="24"/>
    </w:rPr>
  </w:style>
  <w:style w:type="character" w:styleId="ac">
    <w:name w:val="Hyperlink"/>
    <w:basedOn w:val="a0"/>
    <w:uiPriority w:val="99"/>
    <w:unhideWhenUsed/>
    <w:rsid w:val="00C27CF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86F91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uiPriority w:val="99"/>
    <w:semiHidden/>
    <w:unhideWhenUsed/>
    <w:rsid w:val="00F176DA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F176D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9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89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2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7D88E-2D91-4139-86A1-2EBC7ABB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4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</dc:creator>
  <cp:keywords/>
  <dc:description/>
  <cp:lastModifiedBy>CHW</cp:lastModifiedBy>
  <cp:revision>105</cp:revision>
  <dcterms:created xsi:type="dcterms:W3CDTF">2023-09-08T05:21:00Z</dcterms:created>
  <dcterms:modified xsi:type="dcterms:W3CDTF">2025-04-02T04:06:00Z</dcterms:modified>
</cp:coreProperties>
</file>