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3D479" w14:textId="77777777" w:rsidR="00930779" w:rsidRPr="00930779" w:rsidRDefault="00930779" w:rsidP="00930779">
      <w:pPr>
        <w:rPr>
          <w:b/>
          <w:bCs/>
          <w:lang w:val="en-US" w:bidi="en-US"/>
        </w:rPr>
      </w:pPr>
      <w:r w:rsidRPr="00930779">
        <w:rPr>
          <w:b/>
          <w:bCs/>
          <w:lang w:bidi="en-US"/>
        </w:rPr>
        <w:t>Supplementary Materials</w:t>
      </w:r>
    </w:p>
    <w:p w14:paraId="73DA1D7D" w14:textId="77777777" w:rsidR="00930779" w:rsidRDefault="00930779" w:rsidP="00930779">
      <w:pPr>
        <w:rPr>
          <w:lang w:val="en-US" w:bidi="en-US"/>
        </w:rPr>
      </w:pPr>
    </w:p>
    <w:p w14:paraId="225AF8D4" w14:textId="5A2C62E0" w:rsidR="00930779" w:rsidRPr="00B86DC0" w:rsidRDefault="00930779" w:rsidP="00930779">
      <w:pPr>
        <w:spacing w:after="240"/>
        <w:rPr>
          <w:lang w:val="en-US" w:bidi="en-US"/>
        </w:rPr>
      </w:pPr>
      <w:r w:rsidRPr="003127F8">
        <w:rPr>
          <w:b/>
          <w:bCs/>
          <w:lang w:val="en-US" w:bidi="en-US"/>
        </w:rPr>
        <w:t>Table S1.</w:t>
      </w:r>
      <w:r>
        <w:rPr>
          <w:lang w:val="en-US" w:bidi="en-US"/>
        </w:rPr>
        <w:t xml:space="preserve"> </w:t>
      </w:r>
      <w:r w:rsidRPr="00B86DC0">
        <w:rPr>
          <w:lang w:val="en-US" w:bidi="en-US"/>
        </w:rPr>
        <w:t xml:space="preserve">List </w:t>
      </w:r>
      <w:r>
        <w:rPr>
          <w:lang w:val="en-US" w:bidi="en-US"/>
        </w:rPr>
        <w:t xml:space="preserve">keywords </w:t>
      </w:r>
      <w:r w:rsidRPr="00B86DC0">
        <w:rPr>
          <w:lang w:val="en-US" w:bidi="en-US"/>
        </w:rPr>
        <w:t>of ecosystem types on each typology of NbS</w:t>
      </w:r>
    </w:p>
    <w:tbl>
      <w:tblPr>
        <w:tblStyle w:val="a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3"/>
        <w:gridCol w:w="7368"/>
      </w:tblGrid>
      <w:tr w:rsidR="00930779" w:rsidRPr="00930779" w14:paraId="4C3677BA" w14:textId="77777777" w:rsidTr="00930779">
        <w:trPr>
          <w:trHeight w:val="516"/>
        </w:trPr>
        <w:tc>
          <w:tcPr>
            <w:tcW w:w="1671" w:type="dxa"/>
            <w:tcBorders>
              <w:top w:val="single" w:sz="4" w:space="0" w:color="auto"/>
              <w:bottom w:val="single" w:sz="4" w:space="0" w:color="auto"/>
            </w:tcBorders>
            <w:vAlign w:val="center"/>
          </w:tcPr>
          <w:p w14:paraId="1708B2D0" w14:textId="77777777" w:rsidR="00930779" w:rsidRPr="00930779" w:rsidRDefault="00930779" w:rsidP="00930779">
            <w:pPr>
              <w:spacing w:line="276" w:lineRule="auto"/>
              <w:jc w:val="left"/>
              <w:rPr>
                <w:rFonts w:asciiTheme="minorHAnsi" w:hAnsiTheme="minorHAnsi"/>
                <w:b/>
                <w:bCs/>
                <w:lang w:eastAsia="ja-JP" w:bidi="en-US"/>
              </w:rPr>
            </w:pPr>
            <w:r w:rsidRPr="00930779">
              <w:rPr>
                <w:rFonts w:asciiTheme="minorHAnsi" w:hAnsiTheme="minorHAnsi"/>
                <w:b/>
                <w:bCs/>
                <w:lang w:eastAsia="ja-JP" w:bidi="en-US"/>
              </w:rPr>
              <w:t>Typology NbS</w:t>
            </w:r>
          </w:p>
        </w:tc>
        <w:tc>
          <w:tcPr>
            <w:tcW w:w="7543" w:type="dxa"/>
            <w:tcBorders>
              <w:top w:val="single" w:sz="4" w:space="0" w:color="auto"/>
              <w:bottom w:val="single" w:sz="4" w:space="0" w:color="auto"/>
            </w:tcBorders>
            <w:vAlign w:val="center"/>
          </w:tcPr>
          <w:p w14:paraId="43C08837" w14:textId="77777777" w:rsidR="00930779" w:rsidRPr="00930779" w:rsidRDefault="00930779" w:rsidP="00930779">
            <w:pPr>
              <w:spacing w:line="276" w:lineRule="auto"/>
              <w:jc w:val="left"/>
              <w:rPr>
                <w:rFonts w:asciiTheme="minorHAnsi" w:hAnsiTheme="minorHAnsi"/>
                <w:b/>
                <w:bCs/>
                <w:lang w:eastAsia="ja-JP" w:bidi="en-US"/>
              </w:rPr>
            </w:pPr>
            <w:r w:rsidRPr="00930779">
              <w:rPr>
                <w:rFonts w:asciiTheme="minorHAnsi" w:hAnsiTheme="minorHAnsi"/>
                <w:b/>
                <w:bCs/>
                <w:lang w:eastAsia="ja-JP" w:bidi="en-US"/>
              </w:rPr>
              <w:t>Keyword of Ecosystem Types</w:t>
            </w:r>
          </w:p>
        </w:tc>
      </w:tr>
      <w:tr w:rsidR="00930779" w:rsidRPr="005D5A71" w14:paraId="34FDF4CE" w14:textId="77777777" w:rsidTr="00134F2E">
        <w:tc>
          <w:tcPr>
            <w:tcW w:w="1671" w:type="dxa"/>
            <w:tcBorders>
              <w:top w:val="single" w:sz="4" w:space="0" w:color="auto"/>
            </w:tcBorders>
          </w:tcPr>
          <w:p w14:paraId="609BFAED" w14:textId="77777777" w:rsidR="00930779" w:rsidRPr="005D5A71" w:rsidRDefault="00930779" w:rsidP="00930779">
            <w:pPr>
              <w:spacing w:after="120" w:line="276" w:lineRule="auto"/>
              <w:rPr>
                <w:rFonts w:asciiTheme="minorHAnsi" w:hAnsiTheme="minorHAnsi"/>
                <w:lang w:eastAsia="ja-JP" w:bidi="en-US"/>
              </w:rPr>
            </w:pPr>
            <w:r w:rsidRPr="005D5A71">
              <w:rPr>
                <w:rFonts w:asciiTheme="minorHAnsi" w:hAnsiTheme="minorHAnsi"/>
                <w:lang w:eastAsia="ja-JP" w:bidi="en-US"/>
              </w:rPr>
              <w:t>Intrinsic NbS</w:t>
            </w:r>
          </w:p>
        </w:tc>
        <w:tc>
          <w:tcPr>
            <w:tcW w:w="7543" w:type="dxa"/>
            <w:tcBorders>
              <w:top w:val="single" w:sz="4" w:space="0" w:color="auto"/>
            </w:tcBorders>
          </w:tcPr>
          <w:p w14:paraId="5AF64690" w14:textId="77777777" w:rsidR="00930779" w:rsidRPr="005D5A71" w:rsidRDefault="00930779" w:rsidP="00930779">
            <w:pPr>
              <w:spacing w:after="120" w:line="276" w:lineRule="auto"/>
              <w:rPr>
                <w:rFonts w:asciiTheme="minorHAnsi" w:hAnsiTheme="minorHAnsi"/>
                <w:lang w:eastAsia="ja-JP" w:bidi="en-US"/>
              </w:rPr>
            </w:pPr>
            <w:r w:rsidRPr="005D5A71">
              <w:rPr>
                <w:rFonts w:asciiTheme="minorHAnsi" w:hAnsiTheme="minorHAnsi"/>
                <w:lang w:eastAsia="ja-JP" w:bidi="en-US"/>
              </w:rPr>
              <w:t xml:space="preserve">forest, wetland, peatland, grassland, grass, mangrove, coral reef, seagrass, marsh, savanna, alpine, peat bog, floodplain, dune ecosystem, tundra, alpine </w:t>
            </w:r>
            <w:r>
              <w:rPr>
                <w:rFonts w:asciiTheme="minorHAnsi" w:hAnsiTheme="minorHAnsi"/>
                <w:lang w:eastAsia="ja-JP" w:bidi="en-US"/>
              </w:rPr>
              <w:t xml:space="preserve">or subalpine, </w:t>
            </w:r>
            <w:r w:rsidRPr="005D5A71">
              <w:rPr>
                <w:rFonts w:asciiTheme="minorHAnsi" w:hAnsiTheme="minorHAnsi"/>
                <w:lang w:eastAsia="ja-JP" w:bidi="en-US"/>
              </w:rPr>
              <w:t>meadow, karst, rainforest</w:t>
            </w:r>
            <w:r>
              <w:rPr>
                <w:rFonts w:asciiTheme="minorHAnsi" w:hAnsiTheme="minorHAnsi"/>
                <w:lang w:eastAsia="ja-JP" w:bidi="en-US"/>
              </w:rPr>
              <w:t xml:space="preserve">, </w:t>
            </w:r>
            <w:r w:rsidRPr="005D5A71">
              <w:rPr>
                <w:rFonts w:asciiTheme="minorHAnsi" w:hAnsiTheme="minorHAnsi"/>
                <w:lang w:eastAsia="ja-JP" w:bidi="en-US"/>
              </w:rPr>
              <w:t>steppe</w:t>
            </w:r>
            <w:r>
              <w:rPr>
                <w:rFonts w:asciiTheme="minorHAnsi" w:hAnsiTheme="minorHAnsi"/>
                <w:lang w:eastAsia="ja-JP" w:bidi="en-US"/>
              </w:rPr>
              <w:t xml:space="preserve">, </w:t>
            </w:r>
            <w:r w:rsidRPr="005D5A71">
              <w:rPr>
                <w:rFonts w:asciiTheme="minorHAnsi" w:hAnsiTheme="minorHAnsi"/>
                <w:lang w:eastAsia="ja-JP" w:bidi="en-US"/>
              </w:rPr>
              <w:t>tree, shrub,</w:t>
            </w:r>
            <w:r>
              <w:rPr>
                <w:rFonts w:asciiTheme="minorHAnsi" w:hAnsiTheme="minorHAnsi"/>
                <w:lang w:eastAsia="ja-JP" w:bidi="en-US"/>
              </w:rPr>
              <w:t xml:space="preserve"> and</w:t>
            </w:r>
            <w:r w:rsidRPr="005D5A71">
              <w:rPr>
                <w:rFonts w:asciiTheme="minorHAnsi" w:hAnsiTheme="minorHAnsi"/>
                <w:lang w:eastAsia="ja-JP" w:bidi="en-US"/>
              </w:rPr>
              <w:t xml:space="preserve"> orchard</w:t>
            </w:r>
            <w:r>
              <w:rPr>
                <w:rFonts w:asciiTheme="minorHAnsi" w:hAnsiTheme="minorHAnsi"/>
                <w:lang w:eastAsia="ja-JP" w:bidi="en-US"/>
              </w:rPr>
              <w:t>.</w:t>
            </w:r>
          </w:p>
        </w:tc>
      </w:tr>
      <w:tr w:rsidR="00930779" w:rsidRPr="005D5A71" w14:paraId="38591313" w14:textId="77777777" w:rsidTr="00134F2E">
        <w:tc>
          <w:tcPr>
            <w:tcW w:w="1671" w:type="dxa"/>
          </w:tcPr>
          <w:p w14:paraId="0DA54B4C" w14:textId="77777777" w:rsidR="00930779" w:rsidRPr="005D5A71" w:rsidRDefault="00930779" w:rsidP="00930779">
            <w:pPr>
              <w:spacing w:after="120" w:line="276" w:lineRule="auto"/>
              <w:rPr>
                <w:rFonts w:asciiTheme="minorHAnsi" w:hAnsiTheme="minorHAnsi"/>
                <w:lang w:eastAsia="ja-JP" w:bidi="en-US"/>
              </w:rPr>
            </w:pPr>
            <w:r w:rsidRPr="005D5A71">
              <w:rPr>
                <w:rFonts w:asciiTheme="minorHAnsi" w:hAnsiTheme="minorHAnsi"/>
                <w:lang w:eastAsia="ja-JP" w:bidi="en-US"/>
              </w:rPr>
              <w:t>Hybrid NbS</w:t>
            </w:r>
          </w:p>
        </w:tc>
        <w:tc>
          <w:tcPr>
            <w:tcW w:w="7543" w:type="dxa"/>
          </w:tcPr>
          <w:p w14:paraId="19464887" w14:textId="77777777" w:rsidR="00930779" w:rsidRPr="005D5A71" w:rsidRDefault="00930779" w:rsidP="00930779">
            <w:pPr>
              <w:spacing w:after="120" w:line="276" w:lineRule="auto"/>
              <w:rPr>
                <w:rFonts w:asciiTheme="minorHAnsi" w:hAnsiTheme="minorHAnsi"/>
                <w:lang w:eastAsia="ja-JP" w:bidi="en-US"/>
              </w:rPr>
            </w:pPr>
            <w:r w:rsidRPr="005D5A71">
              <w:rPr>
                <w:rFonts w:asciiTheme="minorHAnsi" w:hAnsiTheme="minorHAnsi"/>
                <w:lang w:eastAsia="ja-JP" w:bidi="en-US"/>
              </w:rPr>
              <w:t>urban forest, constructed wetland, riparian, green wall</w:t>
            </w:r>
            <w:r>
              <w:rPr>
                <w:rFonts w:asciiTheme="minorHAnsi" w:hAnsiTheme="minorHAnsi"/>
                <w:lang w:eastAsia="ja-JP" w:bidi="en-US"/>
              </w:rPr>
              <w:t xml:space="preserve"> or facade</w:t>
            </w:r>
            <w:r w:rsidRPr="005D5A71">
              <w:rPr>
                <w:rFonts w:asciiTheme="minorHAnsi" w:hAnsiTheme="minorHAnsi"/>
                <w:lang w:eastAsia="ja-JP" w:bidi="en-US"/>
              </w:rPr>
              <w:t>, eco-roof</w:t>
            </w:r>
            <w:r>
              <w:rPr>
                <w:rFonts w:asciiTheme="minorHAnsi" w:hAnsiTheme="minorHAnsi"/>
                <w:lang w:eastAsia="ja-JP" w:bidi="en-US"/>
              </w:rPr>
              <w:t xml:space="preserve"> (</w:t>
            </w:r>
            <w:r w:rsidRPr="00D93141">
              <w:rPr>
                <w:rFonts w:asciiTheme="minorHAnsi" w:hAnsiTheme="minorHAnsi"/>
                <w:lang w:eastAsia="ja-JP" w:bidi="en-US"/>
              </w:rPr>
              <w:t>green-roof</w:t>
            </w:r>
            <w:r>
              <w:rPr>
                <w:rFonts w:asciiTheme="minorHAnsi" w:hAnsiTheme="minorHAnsi"/>
                <w:lang w:eastAsia="ja-JP" w:bidi="en-US"/>
              </w:rPr>
              <w:t xml:space="preserve"> and </w:t>
            </w:r>
            <w:r w:rsidRPr="00D93141">
              <w:rPr>
                <w:rFonts w:asciiTheme="minorHAnsi" w:hAnsiTheme="minorHAnsi"/>
                <w:lang w:eastAsia="ja-JP" w:bidi="en-US"/>
              </w:rPr>
              <w:t>living eco roof</w:t>
            </w:r>
            <w:r>
              <w:rPr>
                <w:rFonts w:asciiTheme="minorHAnsi" w:hAnsiTheme="minorHAnsi"/>
                <w:lang w:eastAsia="ja-JP" w:bidi="en-US"/>
              </w:rPr>
              <w:t>)</w:t>
            </w:r>
            <w:r w:rsidRPr="005D5A71">
              <w:rPr>
                <w:rFonts w:asciiTheme="minorHAnsi" w:hAnsiTheme="minorHAnsi"/>
                <w:lang w:eastAsia="ja-JP" w:bidi="en-US"/>
              </w:rPr>
              <w:t>, vertical garden, rain garden, living stream, stormwater park, green belt, swales, green street, urban meadow, bioretention system, bioswale, stormwater tree pit, pervious pavement, permeable surface, green urbanism, ecosystem-based coastal protection, sustainable drainage systems (</w:t>
            </w:r>
            <w:proofErr w:type="spellStart"/>
            <w:r w:rsidRPr="005D5A71">
              <w:rPr>
                <w:rFonts w:asciiTheme="minorHAnsi" w:hAnsiTheme="minorHAnsi"/>
                <w:lang w:eastAsia="ja-JP" w:bidi="en-US"/>
              </w:rPr>
              <w:t>SuDS</w:t>
            </w:r>
            <w:proofErr w:type="spellEnd"/>
            <w:r w:rsidRPr="005D5A71">
              <w:rPr>
                <w:rFonts w:asciiTheme="minorHAnsi" w:hAnsiTheme="minorHAnsi"/>
                <w:lang w:eastAsia="ja-JP" w:bidi="en-US"/>
              </w:rPr>
              <w:t>), living shoreline, biophilic design, water sensitive urban design (WSUD).</w:t>
            </w:r>
          </w:p>
        </w:tc>
      </w:tr>
      <w:tr w:rsidR="00930779" w:rsidRPr="005D5A71" w14:paraId="3D6B2ADF" w14:textId="77777777" w:rsidTr="00134F2E">
        <w:tc>
          <w:tcPr>
            <w:tcW w:w="1671" w:type="dxa"/>
          </w:tcPr>
          <w:p w14:paraId="4C3D83F0" w14:textId="77777777" w:rsidR="00930779" w:rsidRPr="005D5A71" w:rsidRDefault="00930779" w:rsidP="00930779">
            <w:pPr>
              <w:spacing w:after="120" w:line="276" w:lineRule="auto"/>
              <w:rPr>
                <w:rFonts w:asciiTheme="minorHAnsi" w:hAnsiTheme="minorHAnsi"/>
                <w:lang w:eastAsia="ja-JP" w:bidi="en-US"/>
              </w:rPr>
            </w:pPr>
            <w:r w:rsidRPr="3960A180">
              <w:rPr>
                <w:rFonts w:asciiTheme="minorHAnsi" w:hAnsiTheme="minorHAnsi"/>
                <w:lang w:val="en-ID" w:eastAsia="ja-JP" w:bidi="en-US"/>
              </w:rPr>
              <w:t xml:space="preserve">Artificial </w:t>
            </w:r>
            <w:r w:rsidRPr="3960A180">
              <w:rPr>
                <w:rFonts w:asciiTheme="minorHAnsi" w:hAnsiTheme="minorHAnsi"/>
                <w:lang w:eastAsia="ja-JP" w:bidi="en-US"/>
              </w:rPr>
              <w:t>NbS</w:t>
            </w:r>
          </w:p>
        </w:tc>
        <w:tc>
          <w:tcPr>
            <w:tcW w:w="7543" w:type="dxa"/>
          </w:tcPr>
          <w:p w14:paraId="6EFB6554" w14:textId="77777777" w:rsidR="00930779" w:rsidRPr="005D5A71" w:rsidRDefault="00930779" w:rsidP="00930779">
            <w:pPr>
              <w:spacing w:after="120" w:line="276" w:lineRule="auto"/>
              <w:rPr>
                <w:rFonts w:asciiTheme="minorHAnsi" w:hAnsiTheme="minorHAnsi"/>
                <w:lang w:eastAsia="ja-JP" w:bidi="en-US"/>
              </w:rPr>
            </w:pPr>
            <w:r w:rsidRPr="005D5A71">
              <w:rPr>
                <w:rFonts w:asciiTheme="minorHAnsi" w:hAnsiTheme="minorHAnsi"/>
                <w:lang w:eastAsia="ja-JP" w:bidi="en-US"/>
              </w:rPr>
              <w:t>Park</w:t>
            </w:r>
            <w:r>
              <w:rPr>
                <w:rFonts w:asciiTheme="minorHAnsi" w:hAnsiTheme="minorHAnsi"/>
                <w:lang w:eastAsia="ja-JP" w:bidi="en-US"/>
              </w:rPr>
              <w:t xml:space="preserve"> (</w:t>
            </w:r>
            <w:r w:rsidRPr="005D5A71">
              <w:rPr>
                <w:rFonts w:asciiTheme="minorHAnsi" w:hAnsiTheme="minorHAnsi"/>
                <w:lang w:eastAsia="ja-JP" w:bidi="en-US"/>
              </w:rPr>
              <w:t>urban park</w:t>
            </w:r>
            <w:r>
              <w:rPr>
                <w:rFonts w:asciiTheme="minorHAnsi" w:hAnsiTheme="minorHAnsi"/>
                <w:lang w:eastAsia="ja-JP" w:bidi="en-US"/>
              </w:rPr>
              <w:t xml:space="preserve">, </w:t>
            </w:r>
            <w:r w:rsidRPr="005D5A71">
              <w:rPr>
                <w:rFonts w:asciiTheme="minorHAnsi" w:hAnsiTheme="minorHAnsi"/>
                <w:lang w:eastAsia="ja-JP" w:bidi="en-US"/>
              </w:rPr>
              <w:t>heritage park</w:t>
            </w:r>
            <w:r>
              <w:rPr>
                <w:rFonts w:asciiTheme="minorHAnsi" w:hAnsiTheme="minorHAnsi"/>
                <w:lang w:eastAsia="ja-JP" w:bidi="en-US"/>
              </w:rPr>
              <w:t>)</w:t>
            </w:r>
            <w:r w:rsidRPr="005D5A71">
              <w:rPr>
                <w:rFonts w:asciiTheme="minorHAnsi" w:hAnsiTheme="minorHAnsi"/>
                <w:lang w:eastAsia="ja-JP" w:bidi="en-US"/>
              </w:rPr>
              <w:t xml:space="preserve">, urban green, garden, community garden, green infrastructure, greenspace, green corridors, green strip, green fence, </w:t>
            </w:r>
            <w:r>
              <w:rPr>
                <w:rFonts w:asciiTheme="minorHAnsi" w:hAnsiTheme="minorHAnsi"/>
                <w:lang w:eastAsia="ja-JP" w:bidi="en-US"/>
              </w:rPr>
              <w:t xml:space="preserve">farming, </w:t>
            </w:r>
            <w:r w:rsidRPr="005D5A71">
              <w:rPr>
                <w:rFonts w:asciiTheme="minorHAnsi" w:hAnsiTheme="minorHAnsi"/>
                <w:lang w:eastAsia="ja-JP" w:bidi="en-US"/>
              </w:rPr>
              <w:t>agroforestry, urban agriculture</w:t>
            </w:r>
            <w:r>
              <w:rPr>
                <w:rFonts w:asciiTheme="minorHAnsi" w:hAnsiTheme="minorHAnsi"/>
                <w:lang w:eastAsia="ja-JP" w:bidi="en-US"/>
              </w:rPr>
              <w:t>/urban farming</w:t>
            </w:r>
            <w:r w:rsidRPr="005D5A71">
              <w:rPr>
                <w:rFonts w:asciiTheme="minorHAnsi" w:hAnsiTheme="minorHAnsi"/>
                <w:lang w:eastAsia="ja-JP" w:bidi="en-US"/>
              </w:rPr>
              <w:t>, eco-urban farming, allotment, forest gardening, green entrepreneurship, sustainable community development, landscape restoration, food forest, urban ecology, green infrastructure networks, permaculture landscape, social forestry, permaculture garden, eco-village.</w:t>
            </w:r>
          </w:p>
        </w:tc>
      </w:tr>
    </w:tbl>
    <w:p w14:paraId="5358814E" w14:textId="77777777" w:rsidR="00930779" w:rsidRDefault="00930779" w:rsidP="00930779">
      <w:pPr>
        <w:rPr>
          <w:lang w:val="en-US"/>
        </w:rPr>
      </w:pPr>
    </w:p>
    <w:p w14:paraId="05657471" w14:textId="77777777" w:rsidR="00930779" w:rsidRDefault="00930779" w:rsidP="00930779">
      <w:pPr>
        <w:spacing w:after="160" w:line="278" w:lineRule="auto"/>
        <w:jc w:val="left"/>
        <w:rPr>
          <w:b/>
          <w:bCs/>
          <w:lang w:val="en-US"/>
        </w:rPr>
      </w:pPr>
      <w:r>
        <w:rPr>
          <w:b/>
          <w:bCs/>
          <w:lang w:val="en-US"/>
        </w:rPr>
        <w:br w:type="page"/>
      </w:r>
    </w:p>
    <w:p w14:paraId="52D53EE9" w14:textId="77777777" w:rsidR="00930779" w:rsidRDefault="00930779" w:rsidP="00930779">
      <w:pPr>
        <w:rPr>
          <w:lang w:val="en-US" w:bidi="en-US"/>
        </w:rPr>
        <w:sectPr w:rsidR="00930779" w:rsidSect="00930779">
          <w:pgSz w:w="11901" w:h="16817"/>
          <w:pgMar w:top="1440" w:right="1440" w:bottom="1440" w:left="1440" w:header="709" w:footer="709" w:gutter="0"/>
          <w:cols w:space="708"/>
          <w:docGrid w:linePitch="360"/>
        </w:sectPr>
      </w:pPr>
    </w:p>
    <w:p w14:paraId="38B0FB70" w14:textId="06ADD516" w:rsidR="00930779" w:rsidRDefault="00930779" w:rsidP="00930779">
      <w:pPr>
        <w:spacing w:after="240"/>
        <w:rPr>
          <w:lang w:val="en-US" w:bidi="en-US"/>
        </w:rPr>
      </w:pPr>
      <w:r w:rsidRPr="003127F8">
        <w:rPr>
          <w:b/>
          <w:bCs/>
          <w:lang w:val="en-US" w:bidi="en-US"/>
        </w:rPr>
        <w:lastRenderedPageBreak/>
        <w:t>Table S2.</w:t>
      </w:r>
      <w:r>
        <w:rPr>
          <w:lang w:val="en-US" w:bidi="en-US"/>
        </w:rPr>
        <w:t xml:space="preserve"> Definition of each</w:t>
      </w:r>
      <w:r w:rsidRPr="00B86DC0">
        <w:rPr>
          <w:lang w:val="en-US" w:bidi="en-US"/>
        </w:rPr>
        <w:t xml:space="preserve"> ecosystem type on each typology of NbS</w:t>
      </w:r>
    </w:p>
    <w:tbl>
      <w:tblPr>
        <w:tblW w:w="14175" w:type="dxa"/>
        <w:tblLook w:val="04A0" w:firstRow="1" w:lastRow="0" w:firstColumn="1" w:lastColumn="0" w:noHBand="0" w:noVBand="1"/>
      </w:tblPr>
      <w:tblGrid>
        <w:gridCol w:w="1829"/>
        <w:gridCol w:w="9511"/>
        <w:gridCol w:w="2835"/>
      </w:tblGrid>
      <w:tr w:rsidR="00930779" w:rsidRPr="00647D57" w14:paraId="3104013F" w14:textId="77777777" w:rsidTr="00930779">
        <w:trPr>
          <w:trHeight w:val="340"/>
        </w:trPr>
        <w:tc>
          <w:tcPr>
            <w:tcW w:w="1829" w:type="dxa"/>
            <w:tcBorders>
              <w:top w:val="single" w:sz="8" w:space="0" w:color="auto"/>
              <w:left w:val="nil"/>
              <w:bottom w:val="single" w:sz="8" w:space="0" w:color="auto"/>
              <w:right w:val="nil"/>
            </w:tcBorders>
            <w:noWrap/>
            <w:vAlign w:val="center"/>
            <w:hideMark/>
          </w:tcPr>
          <w:p w14:paraId="0269242B" w14:textId="77777777" w:rsidR="00930779" w:rsidRPr="00930779" w:rsidRDefault="00930779" w:rsidP="00930779">
            <w:pPr>
              <w:jc w:val="center"/>
              <w:rPr>
                <w:rFonts w:ascii="Aptos" w:eastAsia="Times New Roman" w:hAnsi="Aptos" w:cs="Times New Roman"/>
                <w:b/>
                <w:bCs/>
                <w:color w:val="000000"/>
                <w:kern w:val="0"/>
                <w:szCs w:val="22"/>
                <w14:ligatures w14:val="none"/>
              </w:rPr>
            </w:pPr>
            <w:r w:rsidRPr="00930779">
              <w:rPr>
                <w:rFonts w:ascii="Aptos" w:eastAsia="Times New Roman" w:hAnsi="Aptos" w:cs="Times New Roman"/>
                <w:b/>
                <w:bCs/>
                <w:color w:val="000000"/>
                <w:kern w:val="0"/>
                <w:szCs w:val="22"/>
                <w14:ligatures w14:val="none"/>
              </w:rPr>
              <w:t>Ecosystem Types</w:t>
            </w:r>
          </w:p>
        </w:tc>
        <w:tc>
          <w:tcPr>
            <w:tcW w:w="9511" w:type="dxa"/>
            <w:tcBorders>
              <w:top w:val="single" w:sz="8" w:space="0" w:color="auto"/>
              <w:left w:val="nil"/>
              <w:bottom w:val="single" w:sz="8" w:space="0" w:color="auto"/>
              <w:right w:val="nil"/>
            </w:tcBorders>
            <w:noWrap/>
            <w:vAlign w:val="center"/>
            <w:hideMark/>
          </w:tcPr>
          <w:p w14:paraId="169D459D" w14:textId="77777777" w:rsidR="00930779" w:rsidRPr="00930779" w:rsidRDefault="00930779" w:rsidP="00930779">
            <w:pPr>
              <w:jc w:val="center"/>
              <w:rPr>
                <w:rFonts w:ascii="Aptos" w:eastAsia="Times New Roman" w:hAnsi="Aptos" w:cs="Times New Roman"/>
                <w:b/>
                <w:bCs/>
                <w:color w:val="000000"/>
                <w:kern w:val="0"/>
                <w:szCs w:val="22"/>
                <w14:ligatures w14:val="none"/>
              </w:rPr>
            </w:pPr>
            <w:r w:rsidRPr="00930779">
              <w:rPr>
                <w:rFonts w:ascii="Aptos" w:eastAsia="Times New Roman" w:hAnsi="Aptos" w:cs="Times New Roman"/>
                <w:b/>
                <w:bCs/>
                <w:color w:val="000000"/>
                <w:kern w:val="0"/>
                <w:szCs w:val="22"/>
                <w14:ligatures w14:val="none"/>
              </w:rPr>
              <w:t>Descriptions</w:t>
            </w:r>
          </w:p>
        </w:tc>
        <w:tc>
          <w:tcPr>
            <w:tcW w:w="2835" w:type="dxa"/>
            <w:tcBorders>
              <w:top w:val="single" w:sz="8" w:space="0" w:color="auto"/>
              <w:left w:val="nil"/>
              <w:bottom w:val="single" w:sz="8" w:space="0" w:color="auto"/>
              <w:right w:val="nil"/>
            </w:tcBorders>
            <w:noWrap/>
            <w:vAlign w:val="center"/>
            <w:hideMark/>
          </w:tcPr>
          <w:p w14:paraId="2A845029" w14:textId="77777777" w:rsidR="00930779" w:rsidRPr="00930779" w:rsidRDefault="00930779" w:rsidP="00930779">
            <w:pPr>
              <w:jc w:val="center"/>
              <w:rPr>
                <w:rFonts w:ascii="Aptos" w:eastAsia="Times New Roman" w:hAnsi="Aptos" w:cs="Times New Roman"/>
                <w:b/>
                <w:bCs/>
                <w:color w:val="000000"/>
                <w:kern w:val="0"/>
                <w:szCs w:val="22"/>
                <w14:ligatures w14:val="none"/>
              </w:rPr>
            </w:pPr>
            <w:r w:rsidRPr="00930779">
              <w:rPr>
                <w:rFonts w:ascii="Aptos" w:eastAsia="Times New Roman" w:hAnsi="Aptos" w:cs="Times New Roman"/>
                <w:b/>
                <w:bCs/>
                <w:color w:val="000000"/>
                <w:kern w:val="0"/>
                <w:szCs w:val="22"/>
                <w14:ligatures w14:val="none"/>
              </w:rPr>
              <w:t>Source</w:t>
            </w:r>
          </w:p>
        </w:tc>
      </w:tr>
      <w:tr w:rsidR="00930779" w:rsidRPr="00647D57" w14:paraId="72FAA2B0" w14:textId="77777777" w:rsidTr="00930779">
        <w:trPr>
          <w:trHeight w:val="320"/>
        </w:trPr>
        <w:tc>
          <w:tcPr>
            <w:tcW w:w="1829" w:type="dxa"/>
            <w:tcBorders>
              <w:top w:val="nil"/>
              <w:left w:val="nil"/>
              <w:bottom w:val="nil"/>
              <w:right w:val="nil"/>
            </w:tcBorders>
            <w:noWrap/>
            <w:hideMark/>
          </w:tcPr>
          <w:p w14:paraId="01B0AB4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Agriculture</w:t>
            </w:r>
          </w:p>
        </w:tc>
        <w:tc>
          <w:tcPr>
            <w:tcW w:w="9511" w:type="dxa"/>
            <w:tcBorders>
              <w:top w:val="nil"/>
              <w:left w:val="nil"/>
              <w:bottom w:val="nil"/>
              <w:right w:val="nil"/>
            </w:tcBorders>
            <w:noWrap/>
            <w:hideMark/>
          </w:tcPr>
          <w:p w14:paraId="71A67629"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The science and practice of farming, including soil management and crop production.</w:t>
            </w:r>
          </w:p>
        </w:tc>
        <w:tc>
          <w:tcPr>
            <w:tcW w:w="2835" w:type="dxa"/>
            <w:tcBorders>
              <w:top w:val="nil"/>
              <w:left w:val="nil"/>
              <w:bottom w:val="nil"/>
              <w:right w:val="nil"/>
            </w:tcBorders>
            <w:noWrap/>
            <w:hideMark/>
          </w:tcPr>
          <w:p w14:paraId="1A1000C7"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FAO, (2021)</w:t>
            </w:r>
          </w:p>
        </w:tc>
      </w:tr>
      <w:tr w:rsidR="00930779" w:rsidRPr="00647D57" w14:paraId="5C5283F6" w14:textId="77777777" w:rsidTr="00930779">
        <w:trPr>
          <w:trHeight w:val="320"/>
        </w:trPr>
        <w:tc>
          <w:tcPr>
            <w:tcW w:w="1829" w:type="dxa"/>
            <w:tcBorders>
              <w:top w:val="nil"/>
              <w:left w:val="nil"/>
              <w:bottom w:val="nil"/>
              <w:right w:val="nil"/>
            </w:tcBorders>
            <w:noWrap/>
            <w:hideMark/>
          </w:tcPr>
          <w:p w14:paraId="14403652"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Agroforestry</w:t>
            </w:r>
          </w:p>
        </w:tc>
        <w:tc>
          <w:tcPr>
            <w:tcW w:w="9511" w:type="dxa"/>
            <w:tcBorders>
              <w:top w:val="nil"/>
              <w:left w:val="nil"/>
              <w:bottom w:val="nil"/>
              <w:right w:val="nil"/>
            </w:tcBorders>
            <w:noWrap/>
            <w:hideMark/>
          </w:tcPr>
          <w:p w14:paraId="7E70AF58"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Agroforestry is a land use management system in which trees or shrubs are grown around or among crops or pastureland.</w:t>
            </w:r>
          </w:p>
        </w:tc>
        <w:tc>
          <w:tcPr>
            <w:tcW w:w="2835" w:type="dxa"/>
            <w:tcBorders>
              <w:top w:val="nil"/>
              <w:left w:val="nil"/>
              <w:bottom w:val="nil"/>
              <w:right w:val="nil"/>
            </w:tcBorders>
            <w:noWrap/>
            <w:hideMark/>
          </w:tcPr>
          <w:p w14:paraId="4403AEB7"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37069B48" w14:textId="77777777" w:rsidTr="00930779">
        <w:trPr>
          <w:trHeight w:val="320"/>
        </w:trPr>
        <w:tc>
          <w:tcPr>
            <w:tcW w:w="1829" w:type="dxa"/>
            <w:tcBorders>
              <w:top w:val="nil"/>
              <w:left w:val="nil"/>
              <w:bottom w:val="nil"/>
              <w:right w:val="nil"/>
            </w:tcBorders>
            <w:noWrap/>
            <w:hideMark/>
          </w:tcPr>
          <w:p w14:paraId="649D5A45"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Allotment</w:t>
            </w:r>
          </w:p>
        </w:tc>
        <w:tc>
          <w:tcPr>
            <w:tcW w:w="9511" w:type="dxa"/>
            <w:tcBorders>
              <w:top w:val="nil"/>
              <w:left w:val="nil"/>
              <w:bottom w:val="nil"/>
              <w:right w:val="nil"/>
            </w:tcBorders>
            <w:noWrap/>
            <w:hideMark/>
          </w:tcPr>
          <w:p w14:paraId="039CE41C"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Small plots of land rented by individuals for growing plants or vegetables.</w:t>
            </w:r>
          </w:p>
        </w:tc>
        <w:tc>
          <w:tcPr>
            <w:tcW w:w="2835" w:type="dxa"/>
            <w:tcBorders>
              <w:top w:val="nil"/>
              <w:left w:val="nil"/>
              <w:bottom w:val="nil"/>
              <w:right w:val="nil"/>
            </w:tcBorders>
            <w:noWrap/>
            <w:hideMark/>
          </w:tcPr>
          <w:p w14:paraId="34E7ADE3"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UK Allotment Society, (2019)</w:t>
            </w:r>
          </w:p>
        </w:tc>
      </w:tr>
      <w:tr w:rsidR="00930779" w:rsidRPr="00647D57" w14:paraId="7255B35F" w14:textId="77777777" w:rsidTr="00930779">
        <w:trPr>
          <w:trHeight w:val="320"/>
        </w:trPr>
        <w:tc>
          <w:tcPr>
            <w:tcW w:w="1829" w:type="dxa"/>
            <w:tcBorders>
              <w:top w:val="nil"/>
              <w:left w:val="nil"/>
              <w:bottom w:val="nil"/>
              <w:right w:val="nil"/>
            </w:tcBorders>
            <w:noWrap/>
            <w:hideMark/>
          </w:tcPr>
          <w:p w14:paraId="137FED6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Alpine</w:t>
            </w:r>
          </w:p>
        </w:tc>
        <w:tc>
          <w:tcPr>
            <w:tcW w:w="9511" w:type="dxa"/>
            <w:tcBorders>
              <w:top w:val="nil"/>
              <w:left w:val="nil"/>
              <w:bottom w:val="nil"/>
              <w:right w:val="nil"/>
            </w:tcBorders>
            <w:noWrap/>
            <w:hideMark/>
          </w:tcPr>
          <w:p w14:paraId="2DC25C02"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High-altitude ecosystems above the tree line, characterized by harsh conditions.</w:t>
            </w:r>
          </w:p>
        </w:tc>
        <w:tc>
          <w:tcPr>
            <w:tcW w:w="2835" w:type="dxa"/>
            <w:tcBorders>
              <w:top w:val="nil"/>
              <w:left w:val="nil"/>
              <w:bottom w:val="nil"/>
              <w:right w:val="nil"/>
            </w:tcBorders>
            <w:noWrap/>
            <w:hideMark/>
          </w:tcPr>
          <w:p w14:paraId="1450944B"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IUCN, (2020)</w:t>
            </w:r>
          </w:p>
        </w:tc>
      </w:tr>
      <w:tr w:rsidR="00930779" w:rsidRPr="00647D57" w14:paraId="48542417" w14:textId="77777777" w:rsidTr="00930779">
        <w:trPr>
          <w:trHeight w:val="320"/>
        </w:trPr>
        <w:tc>
          <w:tcPr>
            <w:tcW w:w="1829" w:type="dxa"/>
            <w:tcBorders>
              <w:top w:val="nil"/>
              <w:left w:val="nil"/>
              <w:bottom w:val="nil"/>
              <w:right w:val="nil"/>
            </w:tcBorders>
            <w:noWrap/>
            <w:hideMark/>
          </w:tcPr>
          <w:p w14:paraId="5CCF3135"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Alpine Meadow</w:t>
            </w:r>
          </w:p>
        </w:tc>
        <w:tc>
          <w:tcPr>
            <w:tcW w:w="9511" w:type="dxa"/>
            <w:tcBorders>
              <w:top w:val="nil"/>
              <w:left w:val="nil"/>
              <w:bottom w:val="nil"/>
              <w:right w:val="nil"/>
            </w:tcBorders>
            <w:noWrap/>
            <w:hideMark/>
          </w:tcPr>
          <w:p w14:paraId="139F9519"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High-altitude grasslands with diverse flowering plants.</w:t>
            </w:r>
          </w:p>
        </w:tc>
        <w:tc>
          <w:tcPr>
            <w:tcW w:w="2835" w:type="dxa"/>
            <w:tcBorders>
              <w:top w:val="nil"/>
              <w:left w:val="nil"/>
              <w:bottom w:val="nil"/>
              <w:right w:val="nil"/>
            </w:tcBorders>
            <w:noWrap/>
            <w:hideMark/>
          </w:tcPr>
          <w:p w14:paraId="6C27A79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National Geographic, (2018)</w:t>
            </w:r>
          </w:p>
        </w:tc>
      </w:tr>
      <w:tr w:rsidR="00930779" w:rsidRPr="00647D57" w14:paraId="2E82AC9D" w14:textId="77777777" w:rsidTr="00930779">
        <w:trPr>
          <w:trHeight w:val="320"/>
        </w:trPr>
        <w:tc>
          <w:tcPr>
            <w:tcW w:w="1829" w:type="dxa"/>
            <w:tcBorders>
              <w:top w:val="nil"/>
              <w:left w:val="nil"/>
              <w:bottom w:val="nil"/>
              <w:right w:val="nil"/>
            </w:tcBorders>
            <w:noWrap/>
            <w:hideMark/>
          </w:tcPr>
          <w:p w14:paraId="5EF96C08"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Bioretention System</w:t>
            </w:r>
          </w:p>
        </w:tc>
        <w:tc>
          <w:tcPr>
            <w:tcW w:w="9511" w:type="dxa"/>
            <w:tcBorders>
              <w:top w:val="nil"/>
              <w:left w:val="nil"/>
              <w:bottom w:val="nil"/>
              <w:right w:val="nil"/>
            </w:tcBorders>
            <w:noWrap/>
            <w:hideMark/>
          </w:tcPr>
          <w:p w14:paraId="21B25B68"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Shallow landscaped depressions which are typically under drained and rely on engineered soils, enhanced vegetation and filtration to remove pollution and reduce runoff downstream.</w:t>
            </w:r>
          </w:p>
        </w:tc>
        <w:tc>
          <w:tcPr>
            <w:tcW w:w="2835" w:type="dxa"/>
            <w:tcBorders>
              <w:top w:val="nil"/>
              <w:left w:val="nil"/>
              <w:bottom w:val="nil"/>
              <w:right w:val="nil"/>
            </w:tcBorders>
            <w:noWrap/>
            <w:hideMark/>
          </w:tcPr>
          <w:p w14:paraId="526958DB"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07C1395D" w14:textId="77777777" w:rsidTr="00930779">
        <w:trPr>
          <w:trHeight w:val="320"/>
        </w:trPr>
        <w:tc>
          <w:tcPr>
            <w:tcW w:w="1829" w:type="dxa"/>
            <w:tcBorders>
              <w:top w:val="nil"/>
              <w:left w:val="nil"/>
              <w:bottom w:val="nil"/>
              <w:right w:val="nil"/>
            </w:tcBorders>
            <w:noWrap/>
            <w:hideMark/>
          </w:tcPr>
          <w:p w14:paraId="6624E1D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Bioswale</w:t>
            </w:r>
          </w:p>
        </w:tc>
        <w:tc>
          <w:tcPr>
            <w:tcW w:w="9511" w:type="dxa"/>
            <w:tcBorders>
              <w:top w:val="nil"/>
              <w:left w:val="nil"/>
              <w:bottom w:val="nil"/>
              <w:right w:val="nil"/>
            </w:tcBorders>
            <w:noWrap/>
            <w:hideMark/>
          </w:tcPr>
          <w:p w14:paraId="2FF80683"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Bioswales are channels designed to concentrate and convey stormwater runoff while removing debris and pollution.</w:t>
            </w:r>
          </w:p>
        </w:tc>
        <w:tc>
          <w:tcPr>
            <w:tcW w:w="2835" w:type="dxa"/>
            <w:tcBorders>
              <w:top w:val="nil"/>
              <w:left w:val="nil"/>
              <w:bottom w:val="nil"/>
              <w:right w:val="nil"/>
            </w:tcBorders>
            <w:noWrap/>
            <w:hideMark/>
          </w:tcPr>
          <w:p w14:paraId="591EA588"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452A00B5" w14:textId="77777777" w:rsidTr="00930779">
        <w:trPr>
          <w:trHeight w:val="320"/>
        </w:trPr>
        <w:tc>
          <w:tcPr>
            <w:tcW w:w="1829" w:type="dxa"/>
            <w:tcBorders>
              <w:top w:val="nil"/>
              <w:left w:val="nil"/>
              <w:bottom w:val="nil"/>
              <w:right w:val="nil"/>
            </w:tcBorders>
            <w:noWrap/>
            <w:hideMark/>
          </w:tcPr>
          <w:p w14:paraId="1AC247E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Community Garden</w:t>
            </w:r>
          </w:p>
        </w:tc>
        <w:tc>
          <w:tcPr>
            <w:tcW w:w="9511" w:type="dxa"/>
            <w:tcBorders>
              <w:top w:val="nil"/>
              <w:left w:val="nil"/>
              <w:bottom w:val="nil"/>
              <w:right w:val="nil"/>
            </w:tcBorders>
            <w:noWrap/>
            <w:hideMark/>
          </w:tcPr>
          <w:p w14:paraId="2A4E3035"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Shared green spaces where communities grow plants collectively.</w:t>
            </w:r>
          </w:p>
        </w:tc>
        <w:tc>
          <w:tcPr>
            <w:tcW w:w="2835" w:type="dxa"/>
            <w:tcBorders>
              <w:top w:val="nil"/>
              <w:left w:val="nil"/>
              <w:bottom w:val="nil"/>
              <w:right w:val="nil"/>
            </w:tcBorders>
            <w:noWrap/>
            <w:hideMark/>
          </w:tcPr>
          <w:p w14:paraId="149C245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FAO, (2020)</w:t>
            </w:r>
          </w:p>
        </w:tc>
      </w:tr>
      <w:tr w:rsidR="00930779" w:rsidRPr="00647D57" w14:paraId="7644D6AA" w14:textId="77777777" w:rsidTr="00930779">
        <w:trPr>
          <w:trHeight w:val="320"/>
        </w:trPr>
        <w:tc>
          <w:tcPr>
            <w:tcW w:w="1829" w:type="dxa"/>
            <w:tcBorders>
              <w:top w:val="nil"/>
              <w:left w:val="nil"/>
              <w:bottom w:val="nil"/>
              <w:right w:val="nil"/>
            </w:tcBorders>
            <w:noWrap/>
            <w:hideMark/>
          </w:tcPr>
          <w:p w14:paraId="7769EBF4"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Constructed Wetland</w:t>
            </w:r>
          </w:p>
        </w:tc>
        <w:tc>
          <w:tcPr>
            <w:tcW w:w="9511" w:type="dxa"/>
            <w:tcBorders>
              <w:top w:val="nil"/>
              <w:left w:val="nil"/>
              <w:bottom w:val="nil"/>
              <w:right w:val="nil"/>
            </w:tcBorders>
            <w:noWrap/>
            <w:hideMark/>
          </w:tcPr>
          <w:p w14:paraId="358DE56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An engineered sequence of water bodies designed to filter and treat waterborne pollutants found in sewage, industrial effluent, and storm water runoff.</w:t>
            </w:r>
          </w:p>
        </w:tc>
        <w:tc>
          <w:tcPr>
            <w:tcW w:w="2835" w:type="dxa"/>
            <w:tcBorders>
              <w:top w:val="nil"/>
              <w:left w:val="nil"/>
              <w:bottom w:val="nil"/>
              <w:right w:val="nil"/>
            </w:tcBorders>
            <w:noWrap/>
            <w:hideMark/>
          </w:tcPr>
          <w:p w14:paraId="1FA7751F"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0EC908C4" w14:textId="77777777" w:rsidTr="00930779">
        <w:trPr>
          <w:trHeight w:val="320"/>
        </w:trPr>
        <w:tc>
          <w:tcPr>
            <w:tcW w:w="1829" w:type="dxa"/>
            <w:tcBorders>
              <w:top w:val="nil"/>
              <w:left w:val="nil"/>
              <w:bottom w:val="nil"/>
              <w:right w:val="nil"/>
            </w:tcBorders>
            <w:noWrap/>
            <w:hideMark/>
          </w:tcPr>
          <w:p w14:paraId="49EC1EA2"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Coral Reef</w:t>
            </w:r>
          </w:p>
        </w:tc>
        <w:tc>
          <w:tcPr>
            <w:tcW w:w="9511" w:type="dxa"/>
            <w:tcBorders>
              <w:top w:val="nil"/>
              <w:left w:val="nil"/>
              <w:bottom w:val="nil"/>
              <w:right w:val="nil"/>
            </w:tcBorders>
            <w:noWrap/>
            <w:hideMark/>
          </w:tcPr>
          <w:p w14:paraId="026015D5"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Marine ecosystems formed by coral polyps, rich in biodiversity.</w:t>
            </w:r>
          </w:p>
        </w:tc>
        <w:tc>
          <w:tcPr>
            <w:tcW w:w="2835" w:type="dxa"/>
            <w:tcBorders>
              <w:top w:val="nil"/>
              <w:left w:val="nil"/>
              <w:bottom w:val="nil"/>
              <w:right w:val="nil"/>
            </w:tcBorders>
            <w:noWrap/>
            <w:hideMark/>
          </w:tcPr>
          <w:p w14:paraId="3B322BD9"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NOAA, (2021)</w:t>
            </w:r>
          </w:p>
        </w:tc>
      </w:tr>
      <w:tr w:rsidR="00930779" w:rsidRPr="00647D57" w14:paraId="057C4CFC" w14:textId="77777777" w:rsidTr="00930779">
        <w:trPr>
          <w:trHeight w:val="320"/>
        </w:trPr>
        <w:tc>
          <w:tcPr>
            <w:tcW w:w="1829" w:type="dxa"/>
            <w:tcBorders>
              <w:top w:val="nil"/>
              <w:left w:val="nil"/>
              <w:bottom w:val="nil"/>
              <w:right w:val="nil"/>
            </w:tcBorders>
            <w:noWrap/>
            <w:hideMark/>
          </w:tcPr>
          <w:p w14:paraId="51620505" w14:textId="55186C4E"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 xml:space="preserve">Dune </w:t>
            </w:r>
          </w:p>
        </w:tc>
        <w:tc>
          <w:tcPr>
            <w:tcW w:w="9511" w:type="dxa"/>
            <w:tcBorders>
              <w:top w:val="nil"/>
              <w:left w:val="nil"/>
              <w:bottom w:val="nil"/>
              <w:right w:val="nil"/>
            </w:tcBorders>
            <w:noWrap/>
            <w:hideMark/>
          </w:tcPr>
          <w:p w14:paraId="38676509"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 hill of loose sand built by aeolian processes (wind) or the flow of water.</w:t>
            </w:r>
          </w:p>
        </w:tc>
        <w:tc>
          <w:tcPr>
            <w:tcW w:w="2835" w:type="dxa"/>
            <w:tcBorders>
              <w:top w:val="nil"/>
              <w:left w:val="nil"/>
              <w:bottom w:val="nil"/>
              <w:right w:val="nil"/>
            </w:tcBorders>
            <w:noWrap/>
            <w:hideMark/>
          </w:tcPr>
          <w:p w14:paraId="719BEA66"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6EC8A711" w14:textId="77777777" w:rsidTr="00930779">
        <w:trPr>
          <w:trHeight w:val="320"/>
        </w:trPr>
        <w:tc>
          <w:tcPr>
            <w:tcW w:w="1829" w:type="dxa"/>
            <w:tcBorders>
              <w:top w:val="nil"/>
              <w:left w:val="nil"/>
              <w:bottom w:val="nil"/>
              <w:right w:val="nil"/>
            </w:tcBorders>
            <w:noWrap/>
            <w:hideMark/>
          </w:tcPr>
          <w:p w14:paraId="0CA211AD"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Eco-Cities</w:t>
            </w:r>
          </w:p>
        </w:tc>
        <w:tc>
          <w:tcPr>
            <w:tcW w:w="9511" w:type="dxa"/>
            <w:tcBorders>
              <w:top w:val="nil"/>
              <w:left w:val="nil"/>
              <w:bottom w:val="nil"/>
              <w:right w:val="nil"/>
            </w:tcBorders>
            <w:noWrap/>
            <w:hideMark/>
          </w:tcPr>
          <w:p w14:paraId="408CE12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Urban areas designed to minimize environmental impact and promote sustainability.</w:t>
            </w:r>
          </w:p>
        </w:tc>
        <w:tc>
          <w:tcPr>
            <w:tcW w:w="2835" w:type="dxa"/>
            <w:tcBorders>
              <w:top w:val="nil"/>
              <w:left w:val="nil"/>
              <w:bottom w:val="nil"/>
              <w:right w:val="nil"/>
            </w:tcBorders>
            <w:noWrap/>
            <w:hideMark/>
          </w:tcPr>
          <w:p w14:paraId="77A7788D"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UN-Habitat, (2021)</w:t>
            </w:r>
          </w:p>
        </w:tc>
      </w:tr>
      <w:tr w:rsidR="00930779" w:rsidRPr="00647D57" w14:paraId="0746D82D" w14:textId="77777777" w:rsidTr="00930779">
        <w:trPr>
          <w:trHeight w:val="320"/>
        </w:trPr>
        <w:tc>
          <w:tcPr>
            <w:tcW w:w="1829" w:type="dxa"/>
            <w:tcBorders>
              <w:top w:val="nil"/>
              <w:left w:val="nil"/>
              <w:bottom w:val="nil"/>
              <w:right w:val="nil"/>
            </w:tcBorders>
            <w:noWrap/>
            <w:hideMark/>
          </w:tcPr>
          <w:p w14:paraId="22BE1BF5"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Eco-Roof</w:t>
            </w:r>
          </w:p>
        </w:tc>
        <w:tc>
          <w:tcPr>
            <w:tcW w:w="9511" w:type="dxa"/>
            <w:tcBorders>
              <w:top w:val="nil"/>
              <w:left w:val="nil"/>
              <w:bottom w:val="nil"/>
              <w:right w:val="nil"/>
            </w:tcBorders>
            <w:noWrap/>
            <w:hideMark/>
          </w:tcPr>
          <w:p w14:paraId="7243455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 roof of a building that is partially or completely covered with vegetation and a growing medium, planted over a waterproofing membrane.</w:t>
            </w:r>
          </w:p>
        </w:tc>
        <w:tc>
          <w:tcPr>
            <w:tcW w:w="2835" w:type="dxa"/>
            <w:tcBorders>
              <w:top w:val="nil"/>
              <w:left w:val="nil"/>
              <w:bottom w:val="nil"/>
              <w:right w:val="nil"/>
            </w:tcBorders>
            <w:noWrap/>
            <w:hideMark/>
          </w:tcPr>
          <w:p w14:paraId="19C720ED"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4ACD2DAA" w14:textId="77777777" w:rsidTr="00930779">
        <w:trPr>
          <w:trHeight w:val="320"/>
        </w:trPr>
        <w:tc>
          <w:tcPr>
            <w:tcW w:w="1829" w:type="dxa"/>
            <w:tcBorders>
              <w:top w:val="nil"/>
              <w:left w:val="nil"/>
              <w:bottom w:val="nil"/>
              <w:right w:val="nil"/>
            </w:tcBorders>
            <w:noWrap/>
            <w:hideMark/>
          </w:tcPr>
          <w:p w14:paraId="43DFF30A"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Floodplain</w:t>
            </w:r>
          </w:p>
        </w:tc>
        <w:tc>
          <w:tcPr>
            <w:tcW w:w="9511" w:type="dxa"/>
            <w:tcBorders>
              <w:top w:val="nil"/>
              <w:left w:val="nil"/>
              <w:bottom w:val="nil"/>
              <w:right w:val="nil"/>
            </w:tcBorders>
            <w:noWrap/>
            <w:hideMark/>
          </w:tcPr>
          <w:p w14:paraId="017BA56C"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An area of low-lying ground adjacent to a river and formed mainly by river sediments and subject to flooding.</w:t>
            </w:r>
          </w:p>
        </w:tc>
        <w:tc>
          <w:tcPr>
            <w:tcW w:w="2835" w:type="dxa"/>
            <w:tcBorders>
              <w:top w:val="nil"/>
              <w:left w:val="nil"/>
              <w:bottom w:val="nil"/>
              <w:right w:val="nil"/>
            </w:tcBorders>
            <w:noWrap/>
            <w:hideMark/>
          </w:tcPr>
          <w:p w14:paraId="7F85CB17"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421A7D5B" w14:textId="77777777" w:rsidTr="00930779">
        <w:trPr>
          <w:trHeight w:val="320"/>
        </w:trPr>
        <w:tc>
          <w:tcPr>
            <w:tcW w:w="1829" w:type="dxa"/>
            <w:tcBorders>
              <w:top w:val="nil"/>
              <w:left w:val="nil"/>
              <w:bottom w:val="nil"/>
              <w:right w:val="nil"/>
            </w:tcBorders>
            <w:noWrap/>
            <w:hideMark/>
          </w:tcPr>
          <w:p w14:paraId="3C5D9ED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Forest</w:t>
            </w:r>
          </w:p>
        </w:tc>
        <w:tc>
          <w:tcPr>
            <w:tcW w:w="9511" w:type="dxa"/>
            <w:tcBorders>
              <w:top w:val="nil"/>
              <w:left w:val="nil"/>
              <w:bottom w:val="nil"/>
              <w:right w:val="nil"/>
            </w:tcBorders>
            <w:noWrap/>
            <w:hideMark/>
          </w:tcPr>
          <w:p w14:paraId="6EA2530C"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Planting trees and shrubs</w:t>
            </w:r>
          </w:p>
        </w:tc>
        <w:tc>
          <w:tcPr>
            <w:tcW w:w="2835" w:type="dxa"/>
            <w:tcBorders>
              <w:top w:val="nil"/>
              <w:left w:val="nil"/>
              <w:bottom w:val="nil"/>
              <w:right w:val="nil"/>
            </w:tcBorders>
            <w:noWrap/>
            <w:hideMark/>
          </w:tcPr>
          <w:p w14:paraId="6458EA1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16BF1A7A" w14:textId="77777777" w:rsidTr="00930779">
        <w:trPr>
          <w:trHeight w:val="320"/>
        </w:trPr>
        <w:tc>
          <w:tcPr>
            <w:tcW w:w="1829" w:type="dxa"/>
            <w:tcBorders>
              <w:top w:val="nil"/>
              <w:left w:val="nil"/>
              <w:bottom w:val="nil"/>
              <w:right w:val="nil"/>
            </w:tcBorders>
            <w:noWrap/>
            <w:hideMark/>
          </w:tcPr>
          <w:p w14:paraId="0D47DA96"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Garden</w:t>
            </w:r>
          </w:p>
        </w:tc>
        <w:tc>
          <w:tcPr>
            <w:tcW w:w="9511" w:type="dxa"/>
            <w:tcBorders>
              <w:top w:val="nil"/>
              <w:left w:val="nil"/>
              <w:bottom w:val="nil"/>
              <w:right w:val="nil"/>
            </w:tcBorders>
            <w:noWrap/>
            <w:hideMark/>
          </w:tcPr>
          <w:p w14:paraId="18996DC2"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Cultivated areas for growing plants, often for aesthetic or food purposes.</w:t>
            </w:r>
          </w:p>
        </w:tc>
        <w:tc>
          <w:tcPr>
            <w:tcW w:w="2835" w:type="dxa"/>
            <w:tcBorders>
              <w:top w:val="nil"/>
              <w:left w:val="nil"/>
              <w:bottom w:val="nil"/>
              <w:right w:val="nil"/>
            </w:tcBorders>
            <w:noWrap/>
            <w:hideMark/>
          </w:tcPr>
          <w:p w14:paraId="511466F8"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FAO, (2019)</w:t>
            </w:r>
          </w:p>
        </w:tc>
      </w:tr>
      <w:tr w:rsidR="00930779" w:rsidRPr="00647D57" w14:paraId="238903E3" w14:textId="77777777" w:rsidTr="00930779">
        <w:trPr>
          <w:trHeight w:val="320"/>
        </w:trPr>
        <w:tc>
          <w:tcPr>
            <w:tcW w:w="1829" w:type="dxa"/>
            <w:tcBorders>
              <w:top w:val="nil"/>
              <w:left w:val="nil"/>
              <w:bottom w:val="nil"/>
              <w:right w:val="nil"/>
            </w:tcBorders>
            <w:noWrap/>
            <w:hideMark/>
          </w:tcPr>
          <w:p w14:paraId="3C6780C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Grassland</w:t>
            </w:r>
          </w:p>
        </w:tc>
        <w:tc>
          <w:tcPr>
            <w:tcW w:w="9511" w:type="dxa"/>
            <w:tcBorders>
              <w:top w:val="nil"/>
              <w:left w:val="nil"/>
              <w:bottom w:val="nil"/>
              <w:right w:val="nil"/>
            </w:tcBorders>
            <w:noWrap/>
            <w:hideMark/>
          </w:tcPr>
          <w:p w14:paraId="69C33C0F"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Open areas dominated by grasses, with few trees or shrubs.</w:t>
            </w:r>
          </w:p>
        </w:tc>
        <w:tc>
          <w:tcPr>
            <w:tcW w:w="2835" w:type="dxa"/>
            <w:tcBorders>
              <w:top w:val="nil"/>
              <w:left w:val="nil"/>
              <w:bottom w:val="nil"/>
              <w:right w:val="nil"/>
            </w:tcBorders>
            <w:noWrap/>
            <w:hideMark/>
          </w:tcPr>
          <w:p w14:paraId="01E40463"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FAO, (2018)</w:t>
            </w:r>
          </w:p>
        </w:tc>
      </w:tr>
      <w:tr w:rsidR="00930779" w:rsidRPr="00647D57" w14:paraId="383D051F" w14:textId="77777777" w:rsidTr="00930779">
        <w:trPr>
          <w:trHeight w:val="320"/>
        </w:trPr>
        <w:tc>
          <w:tcPr>
            <w:tcW w:w="1829" w:type="dxa"/>
            <w:tcBorders>
              <w:top w:val="nil"/>
              <w:left w:val="nil"/>
              <w:bottom w:val="nil"/>
              <w:right w:val="nil"/>
            </w:tcBorders>
            <w:noWrap/>
            <w:hideMark/>
          </w:tcPr>
          <w:p w14:paraId="5A66DE9A"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Green Belt</w:t>
            </w:r>
          </w:p>
        </w:tc>
        <w:tc>
          <w:tcPr>
            <w:tcW w:w="9511" w:type="dxa"/>
            <w:tcBorders>
              <w:top w:val="nil"/>
              <w:left w:val="nil"/>
              <w:bottom w:val="nil"/>
              <w:right w:val="nil"/>
            </w:tcBorders>
            <w:noWrap/>
            <w:hideMark/>
          </w:tcPr>
          <w:p w14:paraId="3776A133"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Areas of open land around cities, protected from development.</w:t>
            </w:r>
          </w:p>
        </w:tc>
        <w:tc>
          <w:tcPr>
            <w:tcW w:w="2835" w:type="dxa"/>
            <w:tcBorders>
              <w:top w:val="nil"/>
              <w:left w:val="nil"/>
              <w:bottom w:val="nil"/>
              <w:right w:val="nil"/>
            </w:tcBorders>
            <w:noWrap/>
            <w:hideMark/>
          </w:tcPr>
          <w:p w14:paraId="5D12E08A"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UK Government, (2020)</w:t>
            </w:r>
          </w:p>
        </w:tc>
      </w:tr>
      <w:tr w:rsidR="00930779" w:rsidRPr="00647D57" w14:paraId="716A2298" w14:textId="77777777" w:rsidTr="00930779">
        <w:trPr>
          <w:trHeight w:val="320"/>
        </w:trPr>
        <w:tc>
          <w:tcPr>
            <w:tcW w:w="1829" w:type="dxa"/>
            <w:tcBorders>
              <w:top w:val="nil"/>
              <w:left w:val="nil"/>
              <w:bottom w:val="nil"/>
              <w:right w:val="nil"/>
            </w:tcBorders>
            <w:noWrap/>
            <w:hideMark/>
          </w:tcPr>
          <w:p w14:paraId="17FA3AD3"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lastRenderedPageBreak/>
              <w:t>Green Corridors</w:t>
            </w:r>
          </w:p>
        </w:tc>
        <w:tc>
          <w:tcPr>
            <w:tcW w:w="9511" w:type="dxa"/>
            <w:tcBorders>
              <w:top w:val="nil"/>
              <w:left w:val="nil"/>
              <w:bottom w:val="nil"/>
              <w:right w:val="nil"/>
            </w:tcBorders>
            <w:noWrap/>
            <w:hideMark/>
          </w:tcPr>
          <w:p w14:paraId="75AF6BD8"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Strips of vegetation connecting habitats, promoting wildlife movement.</w:t>
            </w:r>
          </w:p>
        </w:tc>
        <w:tc>
          <w:tcPr>
            <w:tcW w:w="2835" w:type="dxa"/>
            <w:tcBorders>
              <w:top w:val="nil"/>
              <w:left w:val="nil"/>
              <w:bottom w:val="nil"/>
              <w:right w:val="nil"/>
            </w:tcBorders>
            <w:noWrap/>
            <w:hideMark/>
          </w:tcPr>
          <w:p w14:paraId="65C92A56"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IUCN, (2021)</w:t>
            </w:r>
          </w:p>
        </w:tc>
      </w:tr>
      <w:tr w:rsidR="00930779" w:rsidRPr="00647D57" w14:paraId="086DC6C0" w14:textId="77777777" w:rsidTr="00930779">
        <w:trPr>
          <w:trHeight w:val="320"/>
        </w:trPr>
        <w:tc>
          <w:tcPr>
            <w:tcW w:w="1829" w:type="dxa"/>
            <w:tcBorders>
              <w:top w:val="nil"/>
              <w:left w:val="nil"/>
              <w:bottom w:val="nil"/>
              <w:right w:val="nil"/>
            </w:tcBorders>
            <w:noWrap/>
            <w:hideMark/>
          </w:tcPr>
          <w:p w14:paraId="0FBE1D0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Green Fence</w:t>
            </w:r>
          </w:p>
        </w:tc>
        <w:tc>
          <w:tcPr>
            <w:tcW w:w="9511" w:type="dxa"/>
            <w:tcBorders>
              <w:top w:val="nil"/>
              <w:left w:val="nil"/>
              <w:bottom w:val="nil"/>
              <w:right w:val="nil"/>
            </w:tcBorders>
            <w:noWrap/>
            <w:hideMark/>
          </w:tcPr>
          <w:p w14:paraId="0B6B658A"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Living shrubs or trees that can also be referred to as a hedge or a 'green' fence.</w:t>
            </w:r>
          </w:p>
        </w:tc>
        <w:tc>
          <w:tcPr>
            <w:tcW w:w="2835" w:type="dxa"/>
            <w:tcBorders>
              <w:top w:val="nil"/>
              <w:left w:val="nil"/>
              <w:bottom w:val="nil"/>
              <w:right w:val="nil"/>
            </w:tcBorders>
            <w:noWrap/>
            <w:hideMark/>
          </w:tcPr>
          <w:p w14:paraId="32231F1F"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063F44AD" w14:textId="77777777" w:rsidTr="00930779">
        <w:trPr>
          <w:trHeight w:val="320"/>
        </w:trPr>
        <w:tc>
          <w:tcPr>
            <w:tcW w:w="1829" w:type="dxa"/>
            <w:tcBorders>
              <w:top w:val="nil"/>
              <w:left w:val="nil"/>
              <w:bottom w:val="nil"/>
              <w:right w:val="nil"/>
            </w:tcBorders>
            <w:noWrap/>
            <w:hideMark/>
          </w:tcPr>
          <w:p w14:paraId="766E6919"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Green Street</w:t>
            </w:r>
          </w:p>
        </w:tc>
        <w:tc>
          <w:tcPr>
            <w:tcW w:w="9511" w:type="dxa"/>
            <w:tcBorders>
              <w:top w:val="nil"/>
              <w:left w:val="nil"/>
              <w:bottom w:val="nil"/>
              <w:right w:val="nil"/>
            </w:tcBorders>
            <w:noWrap/>
            <w:hideMark/>
          </w:tcPr>
          <w:p w14:paraId="04C2CA83"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They are linear elements/trails connecting other urban green spaces and providing opportunities for connectivity, recreation, and transportation (bicycle). They also create a network of natural and constructed spaces that primarily serve as a green network . Greenways can also be defined as linear parks, pedestrian-friendly corridors, and multipurpose transportation corridors that provide socioeconomic benefits. Their typology could differ based on criteria such as “freeway-to-greenway, rail-to-trail, waterfront, active travel corridor, and nature trail”.</w:t>
            </w:r>
          </w:p>
        </w:tc>
        <w:tc>
          <w:tcPr>
            <w:tcW w:w="2835" w:type="dxa"/>
            <w:tcBorders>
              <w:top w:val="nil"/>
              <w:left w:val="nil"/>
              <w:bottom w:val="nil"/>
              <w:right w:val="nil"/>
            </w:tcBorders>
            <w:noWrap/>
            <w:hideMark/>
          </w:tcPr>
          <w:p w14:paraId="3FDFC2C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Sharma (2015), Horte &amp; Eisenman, (2020)</w:t>
            </w:r>
          </w:p>
        </w:tc>
      </w:tr>
      <w:tr w:rsidR="00930779" w:rsidRPr="00647D57" w14:paraId="26C7B126" w14:textId="77777777" w:rsidTr="00930779">
        <w:trPr>
          <w:trHeight w:val="320"/>
        </w:trPr>
        <w:tc>
          <w:tcPr>
            <w:tcW w:w="1829" w:type="dxa"/>
            <w:tcBorders>
              <w:top w:val="nil"/>
              <w:left w:val="nil"/>
              <w:bottom w:val="nil"/>
              <w:right w:val="nil"/>
            </w:tcBorders>
            <w:noWrap/>
            <w:hideMark/>
          </w:tcPr>
          <w:p w14:paraId="443A5D2A"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Green Strip</w:t>
            </w:r>
          </w:p>
        </w:tc>
        <w:tc>
          <w:tcPr>
            <w:tcW w:w="9511" w:type="dxa"/>
            <w:tcBorders>
              <w:top w:val="nil"/>
              <w:left w:val="nil"/>
              <w:bottom w:val="nil"/>
              <w:right w:val="nil"/>
            </w:tcBorders>
            <w:noWrap/>
            <w:hideMark/>
          </w:tcPr>
          <w:p w14:paraId="0E14F69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Striped grass and vegetation.</w:t>
            </w:r>
          </w:p>
        </w:tc>
        <w:tc>
          <w:tcPr>
            <w:tcW w:w="2835" w:type="dxa"/>
            <w:tcBorders>
              <w:top w:val="nil"/>
              <w:left w:val="nil"/>
              <w:bottom w:val="nil"/>
              <w:right w:val="nil"/>
            </w:tcBorders>
            <w:noWrap/>
            <w:hideMark/>
          </w:tcPr>
          <w:p w14:paraId="5543D824"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00786A25" w14:textId="77777777" w:rsidTr="00930779">
        <w:trPr>
          <w:trHeight w:val="320"/>
        </w:trPr>
        <w:tc>
          <w:tcPr>
            <w:tcW w:w="1829" w:type="dxa"/>
            <w:tcBorders>
              <w:top w:val="nil"/>
              <w:left w:val="nil"/>
              <w:bottom w:val="nil"/>
              <w:right w:val="nil"/>
            </w:tcBorders>
            <w:noWrap/>
            <w:hideMark/>
          </w:tcPr>
          <w:p w14:paraId="55E3D10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Green Wall</w:t>
            </w:r>
          </w:p>
        </w:tc>
        <w:tc>
          <w:tcPr>
            <w:tcW w:w="9511" w:type="dxa"/>
            <w:tcBorders>
              <w:top w:val="nil"/>
              <w:left w:val="nil"/>
              <w:bottom w:val="nil"/>
              <w:right w:val="nil"/>
            </w:tcBorders>
            <w:noWrap/>
            <w:hideMark/>
          </w:tcPr>
          <w:p w14:paraId="1FD5D0CF"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 wall completely or partially covered with greenery.</w:t>
            </w:r>
          </w:p>
        </w:tc>
        <w:tc>
          <w:tcPr>
            <w:tcW w:w="2835" w:type="dxa"/>
            <w:tcBorders>
              <w:top w:val="nil"/>
              <w:left w:val="nil"/>
              <w:bottom w:val="nil"/>
              <w:right w:val="nil"/>
            </w:tcBorders>
            <w:noWrap/>
            <w:hideMark/>
          </w:tcPr>
          <w:p w14:paraId="68B84693"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0E7633F0" w14:textId="77777777" w:rsidTr="00930779">
        <w:trPr>
          <w:trHeight w:val="320"/>
        </w:trPr>
        <w:tc>
          <w:tcPr>
            <w:tcW w:w="1829" w:type="dxa"/>
            <w:tcBorders>
              <w:top w:val="nil"/>
              <w:left w:val="nil"/>
              <w:bottom w:val="nil"/>
              <w:right w:val="nil"/>
            </w:tcBorders>
            <w:noWrap/>
            <w:hideMark/>
          </w:tcPr>
          <w:p w14:paraId="268CC0C5"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Greenspace</w:t>
            </w:r>
          </w:p>
        </w:tc>
        <w:tc>
          <w:tcPr>
            <w:tcW w:w="9511" w:type="dxa"/>
            <w:tcBorders>
              <w:top w:val="nil"/>
              <w:left w:val="nil"/>
              <w:bottom w:val="nil"/>
              <w:right w:val="nil"/>
            </w:tcBorders>
            <w:noWrap/>
            <w:hideMark/>
          </w:tcPr>
          <w:p w14:paraId="00CC094F"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Multifunctional open space characterised by natural vegetation and permeable surfaces</w:t>
            </w:r>
          </w:p>
        </w:tc>
        <w:tc>
          <w:tcPr>
            <w:tcW w:w="2835" w:type="dxa"/>
            <w:tcBorders>
              <w:top w:val="nil"/>
              <w:left w:val="nil"/>
              <w:bottom w:val="nil"/>
              <w:right w:val="nil"/>
            </w:tcBorders>
            <w:noWrap/>
            <w:hideMark/>
          </w:tcPr>
          <w:p w14:paraId="2E8DBC1B"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18F8611A" w14:textId="77777777" w:rsidTr="00930779">
        <w:trPr>
          <w:trHeight w:val="320"/>
        </w:trPr>
        <w:tc>
          <w:tcPr>
            <w:tcW w:w="1829" w:type="dxa"/>
            <w:tcBorders>
              <w:top w:val="nil"/>
              <w:left w:val="nil"/>
              <w:bottom w:val="nil"/>
              <w:right w:val="nil"/>
            </w:tcBorders>
            <w:noWrap/>
            <w:hideMark/>
          </w:tcPr>
          <w:p w14:paraId="67B33688"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Karst</w:t>
            </w:r>
          </w:p>
        </w:tc>
        <w:tc>
          <w:tcPr>
            <w:tcW w:w="9511" w:type="dxa"/>
            <w:tcBorders>
              <w:top w:val="nil"/>
              <w:left w:val="nil"/>
              <w:bottom w:val="nil"/>
              <w:right w:val="nil"/>
            </w:tcBorders>
            <w:noWrap/>
            <w:hideMark/>
          </w:tcPr>
          <w:p w14:paraId="613FF006"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Landscapes formed by the dissolution of soluble rocks like limestone.</w:t>
            </w:r>
          </w:p>
        </w:tc>
        <w:tc>
          <w:tcPr>
            <w:tcW w:w="2835" w:type="dxa"/>
            <w:tcBorders>
              <w:top w:val="nil"/>
              <w:left w:val="nil"/>
              <w:bottom w:val="nil"/>
              <w:right w:val="nil"/>
            </w:tcBorders>
            <w:noWrap/>
            <w:hideMark/>
          </w:tcPr>
          <w:p w14:paraId="6CE7F03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UNESCO, (2021)</w:t>
            </w:r>
          </w:p>
        </w:tc>
      </w:tr>
      <w:tr w:rsidR="00930779" w:rsidRPr="00647D57" w14:paraId="493DEE8E" w14:textId="77777777" w:rsidTr="00930779">
        <w:trPr>
          <w:trHeight w:val="320"/>
        </w:trPr>
        <w:tc>
          <w:tcPr>
            <w:tcW w:w="1829" w:type="dxa"/>
            <w:tcBorders>
              <w:top w:val="nil"/>
              <w:left w:val="nil"/>
              <w:bottom w:val="nil"/>
              <w:right w:val="nil"/>
            </w:tcBorders>
            <w:noWrap/>
            <w:hideMark/>
          </w:tcPr>
          <w:p w14:paraId="0BB1EF8D"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Living Stream</w:t>
            </w:r>
          </w:p>
        </w:tc>
        <w:tc>
          <w:tcPr>
            <w:tcW w:w="9511" w:type="dxa"/>
            <w:tcBorders>
              <w:top w:val="nil"/>
              <w:left w:val="nil"/>
              <w:bottom w:val="nil"/>
              <w:right w:val="nil"/>
            </w:tcBorders>
            <w:noWrap/>
            <w:hideMark/>
          </w:tcPr>
          <w:p w14:paraId="443FA42D"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Restored or natural streams that support aquatic life and biodiversity.</w:t>
            </w:r>
          </w:p>
        </w:tc>
        <w:tc>
          <w:tcPr>
            <w:tcW w:w="2835" w:type="dxa"/>
            <w:tcBorders>
              <w:top w:val="nil"/>
              <w:left w:val="nil"/>
              <w:bottom w:val="nil"/>
              <w:right w:val="nil"/>
            </w:tcBorders>
            <w:noWrap/>
            <w:hideMark/>
          </w:tcPr>
          <w:p w14:paraId="588A35C7"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US EPA, (2019)</w:t>
            </w:r>
          </w:p>
        </w:tc>
      </w:tr>
      <w:tr w:rsidR="00930779" w:rsidRPr="00647D57" w14:paraId="397B9178" w14:textId="77777777" w:rsidTr="00930779">
        <w:trPr>
          <w:trHeight w:val="320"/>
        </w:trPr>
        <w:tc>
          <w:tcPr>
            <w:tcW w:w="1829" w:type="dxa"/>
            <w:tcBorders>
              <w:top w:val="nil"/>
              <w:left w:val="nil"/>
              <w:bottom w:val="nil"/>
              <w:right w:val="nil"/>
            </w:tcBorders>
            <w:noWrap/>
            <w:hideMark/>
          </w:tcPr>
          <w:p w14:paraId="67F5A09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Mangrove</w:t>
            </w:r>
          </w:p>
        </w:tc>
        <w:tc>
          <w:tcPr>
            <w:tcW w:w="9511" w:type="dxa"/>
            <w:tcBorders>
              <w:top w:val="nil"/>
              <w:left w:val="nil"/>
              <w:bottom w:val="nil"/>
              <w:right w:val="nil"/>
            </w:tcBorders>
            <w:noWrap/>
            <w:hideMark/>
          </w:tcPr>
          <w:p w14:paraId="551DB27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 mangrove is a shrub or small tree that grows in coastal saline or brackish water.</w:t>
            </w:r>
          </w:p>
        </w:tc>
        <w:tc>
          <w:tcPr>
            <w:tcW w:w="2835" w:type="dxa"/>
            <w:tcBorders>
              <w:top w:val="nil"/>
              <w:left w:val="nil"/>
              <w:bottom w:val="nil"/>
              <w:right w:val="nil"/>
            </w:tcBorders>
            <w:noWrap/>
            <w:hideMark/>
          </w:tcPr>
          <w:p w14:paraId="6F55611D"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1BC8A4F8" w14:textId="77777777" w:rsidTr="00930779">
        <w:trPr>
          <w:trHeight w:val="320"/>
        </w:trPr>
        <w:tc>
          <w:tcPr>
            <w:tcW w:w="1829" w:type="dxa"/>
            <w:tcBorders>
              <w:top w:val="nil"/>
              <w:left w:val="nil"/>
              <w:bottom w:val="nil"/>
              <w:right w:val="nil"/>
            </w:tcBorders>
            <w:noWrap/>
            <w:hideMark/>
          </w:tcPr>
          <w:p w14:paraId="54886CB4"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Marsh</w:t>
            </w:r>
          </w:p>
        </w:tc>
        <w:tc>
          <w:tcPr>
            <w:tcW w:w="9511" w:type="dxa"/>
            <w:tcBorders>
              <w:top w:val="nil"/>
              <w:left w:val="nil"/>
              <w:bottom w:val="nil"/>
              <w:right w:val="nil"/>
            </w:tcBorders>
            <w:noWrap/>
            <w:hideMark/>
          </w:tcPr>
          <w:p w14:paraId="10BF138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Wetlands dominated by herbaceous plants, often at the edges of water bodies.</w:t>
            </w:r>
          </w:p>
        </w:tc>
        <w:tc>
          <w:tcPr>
            <w:tcW w:w="2835" w:type="dxa"/>
            <w:tcBorders>
              <w:top w:val="nil"/>
              <w:left w:val="nil"/>
              <w:bottom w:val="nil"/>
              <w:right w:val="nil"/>
            </w:tcBorders>
            <w:noWrap/>
            <w:hideMark/>
          </w:tcPr>
          <w:p w14:paraId="0D5BF4BD"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Ramsar Convention, (2019)</w:t>
            </w:r>
          </w:p>
        </w:tc>
      </w:tr>
      <w:tr w:rsidR="00930779" w:rsidRPr="00647D57" w14:paraId="60213DCF" w14:textId="77777777" w:rsidTr="00930779">
        <w:trPr>
          <w:trHeight w:val="320"/>
        </w:trPr>
        <w:tc>
          <w:tcPr>
            <w:tcW w:w="1829" w:type="dxa"/>
            <w:tcBorders>
              <w:top w:val="nil"/>
              <w:left w:val="nil"/>
              <w:bottom w:val="nil"/>
              <w:right w:val="nil"/>
            </w:tcBorders>
            <w:noWrap/>
            <w:hideMark/>
          </w:tcPr>
          <w:p w14:paraId="7B6D7B4F"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Orchard</w:t>
            </w:r>
          </w:p>
        </w:tc>
        <w:tc>
          <w:tcPr>
            <w:tcW w:w="9511" w:type="dxa"/>
            <w:tcBorders>
              <w:top w:val="nil"/>
              <w:left w:val="nil"/>
              <w:bottom w:val="nil"/>
              <w:right w:val="nil"/>
            </w:tcBorders>
            <w:noWrap/>
            <w:hideMark/>
          </w:tcPr>
          <w:p w14:paraId="32206EE6"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 piece of enclosed land planted with fruit trees.</w:t>
            </w:r>
          </w:p>
        </w:tc>
        <w:tc>
          <w:tcPr>
            <w:tcW w:w="2835" w:type="dxa"/>
            <w:tcBorders>
              <w:top w:val="nil"/>
              <w:left w:val="nil"/>
              <w:bottom w:val="nil"/>
              <w:right w:val="nil"/>
            </w:tcBorders>
            <w:noWrap/>
            <w:hideMark/>
          </w:tcPr>
          <w:p w14:paraId="214B484C"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08EC5C64" w14:textId="77777777" w:rsidTr="00930779">
        <w:trPr>
          <w:trHeight w:val="320"/>
        </w:trPr>
        <w:tc>
          <w:tcPr>
            <w:tcW w:w="1829" w:type="dxa"/>
            <w:tcBorders>
              <w:top w:val="nil"/>
              <w:left w:val="nil"/>
              <w:bottom w:val="nil"/>
              <w:right w:val="nil"/>
            </w:tcBorders>
            <w:noWrap/>
            <w:hideMark/>
          </w:tcPr>
          <w:p w14:paraId="764D22DC"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Park</w:t>
            </w:r>
          </w:p>
        </w:tc>
        <w:tc>
          <w:tcPr>
            <w:tcW w:w="9511" w:type="dxa"/>
            <w:tcBorders>
              <w:top w:val="nil"/>
              <w:left w:val="nil"/>
              <w:bottom w:val="nil"/>
              <w:right w:val="nil"/>
            </w:tcBorders>
            <w:noWrap/>
            <w:hideMark/>
          </w:tcPr>
          <w:p w14:paraId="083F4B02"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Designed green spaces in urban or rural areas for recreation and conservation.</w:t>
            </w:r>
          </w:p>
        </w:tc>
        <w:tc>
          <w:tcPr>
            <w:tcW w:w="2835" w:type="dxa"/>
            <w:tcBorders>
              <w:top w:val="nil"/>
              <w:left w:val="nil"/>
              <w:bottom w:val="nil"/>
              <w:right w:val="nil"/>
            </w:tcBorders>
            <w:noWrap/>
            <w:hideMark/>
          </w:tcPr>
          <w:p w14:paraId="7F2D5394"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IUCN, (2020)</w:t>
            </w:r>
          </w:p>
        </w:tc>
      </w:tr>
      <w:tr w:rsidR="00930779" w:rsidRPr="00647D57" w14:paraId="6AA8BEB2" w14:textId="77777777" w:rsidTr="00930779">
        <w:trPr>
          <w:trHeight w:val="320"/>
        </w:trPr>
        <w:tc>
          <w:tcPr>
            <w:tcW w:w="1829" w:type="dxa"/>
            <w:tcBorders>
              <w:top w:val="nil"/>
              <w:left w:val="nil"/>
              <w:bottom w:val="nil"/>
              <w:right w:val="nil"/>
            </w:tcBorders>
            <w:noWrap/>
            <w:hideMark/>
          </w:tcPr>
          <w:p w14:paraId="6EA112F6"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Peat Bog</w:t>
            </w:r>
          </w:p>
        </w:tc>
        <w:tc>
          <w:tcPr>
            <w:tcW w:w="9511" w:type="dxa"/>
            <w:tcBorders>
              <w:top w:val="nil"/>
              <w:left w:val="nil"/>
              <w:bottom w:val="nil"/>
              <w:right w:val="nil"/>
            </w:tcBorders>
            <w:noWrap/>
            <w:hideMark/>
          </w:tcPr>
          <w:p w14:paraId="34614EC5"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 type of wetland with acidic, waterlogged peat soils.</w:t>
            </w:r>
          </w:p>
        </w:tc>
        <w:tc>
          <w:tcPr>
            <w:tcW w:w="2835" w:type="dxa"/>
            <w:tcBorders>
              <w:top w:val="nil"/>
              <w:left w:val="nil"/>
              <w:bottom w:val="nil"/>
              <w:right w:val="nil"/>
            </w:tcBorders>
            <w:noWrap/>
            <w:hideMark/>
          </w:tcPr>
          <w:p w14:paraId="1417A885"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Ramsar Convention, (2019)</w:t>
            </w:r>
          </w:p>
        </w:tc>
      </w:tr>
      <w:tr w:rsidR="00930779" w:rsidRPr="00647D57" w14:paraId="70825273" w14:textId="77777777" w:rsidTr="00930779">
        <w:trPr>
          <w:trHeight w:val="320"/>
        </w:trPr>
        <w:tc>
          <w:tcPr>
            <w:tcW w:w="1829" w:type="dxa"/>
            <w:tcBorders>
              <w:top w:val="nil"/>
              <w:left w:val="nil"/>
              <w:bottom w:val="nil"/>
              <w:right w:val="nil"/>
            </w:tcBorders>
            <w:noWrap/>
            <w:hideMark/>
          </w:tcPr>
          <w:p w14:paraId="66A89E55"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Peatland</w:t>
            </w:r>
          </w:p>
        </w:tc>
        <w:tc>
          <w:tcPr>
            <w:tcW w:w="9511" w:type="dxa"/>
            <w:tcBorders>
              <w:top w:val="nil"/>
              <w:left w:val="nil"/>
              <w:bottom w:val="nil"/>
              <w:right w:val="nil"/>
            </w:tcBorders>
            <w:noWrap/>
            <w:hideMark/>
          </w:tcPr>
          <w:p w14:paraId="6DCF23C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Wetland ecosystems with dense layers of partially decayed organic matter (peat).</w:t>
            </w:r>
          </w:p>
        </w:tc>
        <w:tc>
          <w:tcPr>
            <w:tcW w:w="2835" w:type="dxa"/>
            <w:tcBorders>
              <w:top w:val="nil"/>
              <w:left w:val="nil"/>
              <w:bottom w:val="nil"/>
              <w:right w:val="nil"/>
            </w:tcBorders>
            <w:noWrap/>
            <w:hideMark/>
          </w:tcPr>
          <w:p w14:paraId="3E9B8D23"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IUCN, (2020)</w:t>
            </w:r>
          </w:p>
        </w:tc>
      </w:tr>
      <w:tr w:rsidR="00930779" w:rsidRPr="00647D57" w14:paraId="01D31E0F" w14:textId="77777777" w:rsidTr="00930779">
        <w:trPr>
          <w:trHeight w:val="320"/>
        </w:trPr>
        <w:tc>
          <w:tcPr>
            <w:tcW w:w="1829" w:type="dxa"/>
            <w:tcBorders>
              <w:top w:val="nil"/>
              <w:left w:val="nil"/>
              <w:bottom w:val="nil"/>
              <w:right w:val="nil"/>
            </w:tcBorders>
            <w:noWrap/>
            <w:hideMark/>
          </w:tcPr>
          <w:p w14:paraId="52A204B4"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Pervious Pavement</w:t>
            </w:r>
          </w:p>
        </w:tc>
        <w:tc>
          <w:tcPr>
            <w:tcW w:w="9511" w:type="dxa"/>
            <w:tcBorders>
              <w:top w:val="nil"/>
              <w:left w:val="nil"/>
              <w:bottom w:val="nil"/>
              <w:right w:val="nil"/>
            </w:tcBorders>
            <w:noWrap/>
            <w:hideMark/>
          </w:tcPr>
          <w:p w14:paraId="2C9B620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Pervious pavements are an innovative solution that can substitute for traditional impermeable surfaces in urban environments, including roads, parking lots, walkways, and pedestrian areas. Their purpose is to absorb and infiltrate stormwater runoff effectively. They are well incorporated into other urban stormwater control measures. Pervious pavement is a type of porous pavement that can absorb stormwater, resulting in a decrease in runoff and an increase in groundwater recharge. Typically, these pavements comprise asphalt binder or cement paste-coated single-graded aggregates with interconnected pores that enable water to permeate the surface.</w:t>
            </w:r>
          </w:p>
        </w:tc>
        <w:tc>
          <w:tcPr>
            <w:tcW w:w="2835" w:type="dxa"/>
            <w:tcBorders>
              <w:top w:val="nil"/>
              <w:left w:val="nil"/>
              <w:bottom w:val="nil"/>
              <w:right w:val="nil"/>
            </w:tcBorders>
            <w:noWrap/>
            <w:hideMark/>
          </w:tcPr>
          <w:p w14:paraId="600D85C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Mullaney &amp; Lucke, (2014), Anupam et al., (2021)</w:t>
            </w:r>
          </w:p>
        </w:tc>
      </w:tr>
      <w:tr w:rsidR="00930779" w:rsidRPr="00647D57" w14:paraId="58FB1C99" w14:textId="77777777" w:rsidTr="00930779">
        <w:trPr>
          <w:trHeight w:val="320"/>
        </w:trPr>
        <w:tc>
          <w:tcPr>
            <w:tcW w:w="1829" w:type="dxa"/>
            <w:tcBorders>
              <w:top w:val="nil"/>
              <w:left w:val="nil"/>
              <w:bottom w:val="nil"/>
              <w:right w:val="nil"/>
            </w:tcBorders>
            <w:noWrap/>
            <w:hideMark/>
          </w:tcPr>
          <w:p w14:paraId="1B34E058"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Rain Garden</w:t>
            </w:r>
          </w:p>
        </w:tc>
        <w:tc>
          <w:tcPr>
            <w:tcW w:w="9511" w:type="dxa"/>
            <w:tcBorders>
              <w:top w:val="nil"/>
              <w:left w:val="nil"/>
              <w:bottom w:val="nil"/>
              <w:right w:val="nil"/>
            </w:tcBorders>
            <w:noWrap/>
            <w:hideMark/>
          </w:tcPr>
          <w:p w14:paraId="568F60F8"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 garden of native shrubs, perennials, and flowers planted in a small depression, which is generally formed on a natural slope.</w:t>
            </w:r>
          </w:p>
        </w:tc>
        <w:tc>
          <w:tcPr>
            <w:tcW w:w="2835" w:type="dxa"/>
            <w:tcBorders>
              <w:top w:val="nil"/>
              <w:left w:val="nil"/>
              <w:bottom w:val="nil"/>
              <w:right w:val="nil"/>
            </w:tcBorders>
            <w:noWrap/>
            <w:hideMark/>
          </w:tcPr>
          <w:p w14:paraId="5587E222"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29693797" w14:textId="77777777" w:rsidTr="00930779">
        <w:trPr>
          <w:trHeight w:val="320"/>
        </w:trPr>
        <w:tc>
          <w:tcPr>
            <w:tcW w:w="1829" w:type="dxa"/>
            <w:tcBorders>
              <w:top w:val="nil"/>
              <w:left w:val="nil"/>
              <w:bottom w:val="nil"/>
              <w:right w:val="nil"/>
            </w:tcBorders>
            <w:noWrap/>
            <w:hideMark/>
          </w:tcPr>
          <w:p w14:paraId="34850927"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Rainforest</w:t>
            </w:r>
          </w:p>
        </w:tc>
        <w:tc>
          <w:tcPr>
            <w:tcW w:w="9511" w:type="dxa"/>
            <w:tcBorders>
              <w:top w:val="nil"/>
              <w:left w:val="nil"/>
              <w:bottom w:val="nil"/>
              <w:right w:val="nil"/>
            </w:tcBorders>
            <w:noWrap/>
            <w:hideMark/>
          </w:tcPr>
          <w:p w14:paraId="6EBCE266"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Dense, biodiverse forests with high rainfall, typically tropical or temperate.</w:t>
            </w:r>
          </w:p>
        </w:tc>
        <w:tc>
          <w:tcPr>
            <w:tcW w:w="2835" w:type="dxa"/>
            <w:tcBorders>
              <w:top w:val="nil"/>
              <w:left w:val="nil"/>
              <w:bottom w:val="nil"/>
              <w:right w:val="nil"/>
            </w:tcBorders>
            <w:noWrap/>
            <w:hideMark/>
          </w:tcPr>
          <w:p w14:paraId="5F465CF6"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WWF, (2022)</w:t>
            </w:r>
          </w:p>
        </w:tc>
      </w:tr>
      <w:tr w:rsidR="00930779" w:rsidRPr="00647D57" w14:paraId="40593456" w14:textId="77777777" w:rsidTr="00930779">
        <w:trPr>
          <w:trHeight w:val="320"/>
        </w:trPr>
        <w:tc>
          <w:tcPr>
            <w:tcW w:w="1829" w:type="dxa"/>
            <w:tcBorders>
              <w:top w:val="nil"/>
              <w:left w:val="nil"/>
              <w:bottom w:val="nil"/>
              <w:right w:val="nil"/>
            </w:tcBorders>
            <w:noWrap/>
            <w:hideMark/>
          </w:tcPr>
          <w:p w14:paraId="448656C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lastRenderedPageBreak/>
              <w:t>Riparian</w:t>
            </w:r>
          </w:p>
        </w:tc>
        <w:tc>
          <w:tcPr>
            <w:tcW w:w="9511" w:type="dxa"/>
            <w:tcBorders>
              <w:top w:val="nil"/>
              <w:left w:val="nil"/>
              <w:bottom w:val="nil"/>
              <w:right w:val="nil"/>
            </w:tcBorders>
            <w:noWrap/>
            <w:hideMark/>
          </w:tcPr>
          <w:p w14:paraId="70BAD4BF"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Is a vegetated “buffer-strip” near a stream, which helps to shade and partially protect the stream from the impact of adjacent urban, industrial or agricultural land use.</w:t>
            </w:r>
          </w:p>
        </w:tc>
        <w:tc>
          <w:tcPr>
            <w:tcW w:w="2835" w:type="dxa"/>
            <w:tcBorders>
              <w:top w:val="nil"/>
              <w:left w:val="nil"/>
              <w:bottom w:val="nil"/>
              <w:right w:val="nil"/>
            </w:tcBorders>
            <w:noWrap/>
            <w:hideMark/>
          </w:tcPr>
          <w:p w14:paraId="4A808ACA"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39FFC9C4" w14:textId="77777777" w:rsidTr="00930779">
        <w:trPr>
          <w:trHeight w:val="320"/>
        </w:trPr>
        <w:tc>
          <w:tcPr>
            <w:tcW w:w="1829" w:type="dxa"/>
            <w:tcBorders>
              <w:top w:val="nil"/>
              <w:left w:val="nil"/>
              <w:bottom w:val="nil"/>
              <w:right w:val="nil"/>
            </w:tcBorders>
            <w:noWrap/>
            <w:hideMark/>
          </w:tcPr>
          <w:p w14:paraId="39398FA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Savanna</w:t>
            </w:r>
          </w:p>
        </w:tc>
        <w:tc>
          <w:tcPr>
            <w:tcW w:w="9511" w:type="dxa"/>
            <w:tcBorders>
              <w:top w:val="nil"/>
              <w:left w:val="nil"/>
              <w:bottom w:val="nil"/>
              <w:right w:val="nil"/>
            </w:tcBorders>
            <w:noWrap/>
            <w:hideMark/>
          </w:tcPr>
          <w:p w14:paraId="7047B26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Mixed grassland-woodland ecosystems with scattered trees.</w:t>
            </w:r>
          </w:p>
        </w:tc>
        <w:tc>
          <w:tcPr>
            <w:tcW w:w="2835" w:type="dxa"/>
            <w:tcBorders>
              <w:top w:val="nil"/>
              <w:left w:val="nil"/>
              <w:bottom w:val="nil"/>
              <w:right w:val="nil"/>
            </w:tcBorders>
            <w:noWrap/>
            <w:hideMark/>
          </w:tcPr>
          <w:p w14:paraId="099526D7"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WWF, (2017)</w:t>
            </w:r>
          </w:p>
        </w:tc>
      </w:tr>
      <w:tr w:rsidR="00930779" w:rsidRPr="00647D57" w14:paraId="6A9B7C0B" w14:textId="77777777" w:rsidTr="00930779">
        <w:trPr>
          <w:trHeight w:val="320"/>
        </w:trPr>
        <w:tc>
          <w:tcPr>
            <w:tcW w:w="1829" w:type="dxa"/>
            <w:tcBorders>
              <w:top w:val="nil"/>
              <w:left w:val="nil"/>
              <w:bottom w:val="nil"/>
              <w:right w:val="nil"/>
            </w:tcBorders>
            <w:noWrap/>
            <w:hideMark/>
          </w:tcPr>
          <w:p w14:paraId="24EC3ED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Seagrass</w:t>
            </w:r>
          </w:p>
        </w:tc>
        <w:tc>
          <w:tcPr>
            <w:tcW w:w="9511" w:type="dxa"/>
            <w:tcBorders>
              <w:top w:val="nil"/>
              <w:left w:val="nil"/>
              <w:bottom w:val="nil"/>
              <w:right w:val="nil"/>
            </w:tcBorders>
            <w:noWrap/>
            <w:hideMark/>
          </w:tcPr>
          <w:p w14:paraId="16349C4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 coastal ecosystem in the upper coastal intertidal zone between land and open saltwater or brackish water that is regularly flooded by the tides.</w:t>
            </w:r>
          </w:p>
        </w:tc>
        <w:tc>
          <w:tcPr>
            <w:tcW w:w="2835" w:type="dxa"/>
            <w:tcBorders>
              <w:top w:val="nil"/>
              <w:left w:val="nil"/>
              <w:bottom w:val="nil"/>
              <w:right w:val="nil"/>
            </w:tcBorders>
            <w:noWrap/>
            <w:hideMark/>
          </w:tcPr>
          <w:p w14:paraId="7B5AEF4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4DEF67AA" w14:textId="77777777" w:rsidTr="00930779">
        <w:trPr>
          <w:trHeight w:val="320"/>
        </w:trPr>
        <w:tc>
          <w:tcPr>
            <w:tcW w:w="1829" w:type="dxa"/>
            <w:tcBorders>
              <w:top w:val="nil"/>
              <w:left w:val="nil"/>
              <w:bottom w:val="nil"/>
              <w:right w:val="nil"/>
            </w:tcBorders>
            <w:noWrap/>
            <w:hideMark/>
          </w:tcPr>
          <w:p w14:paraId="69F2A3CF"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Shrub</w:t>
            </w:r>
          </w:p>
        </w:tc>
        <w:tc>
          <w:tcPr>
            <w:tcW w:w="9511" w:type="dxa"/>
            <w:tcBorders>
              <w:top w:val="nil"/>
              <w:left w:val="nil"/>
              <w:bottom w:val="nil"/>
              <w:right w:val="nil"/>
            </w:tcBorders>
            <w:noWrap/>
            <w:hideMark/>
          </w:tcPr>
          <w:p w14:paraId="1C833908"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Living shrubs or trees that can also be referred to as a hedge or a 'green' fence.</w:t>
            </w:r>
          </w:p>
        </w:tc>
        <w:tc>
          <w:tcPr>
            <w:tcW w:w="2835" w:type="dxa"/>
            <w:tcBorders>
              <w:top w:val="nil"/>
              <w:left w:val="nil"/>
              <w:bottom w:val="nil"/>
              <w:right w:val="nil"/>
            </w:tcBorders>
            <w:noWrap/>
            <w:hideMark/>
          </w:tcPr>
          <w:p w14:paraId="712FB2E8"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6894D76D" w14:textId="77777777" w:rsidTr="00930779">
        <w:trPr>
          <w:trHeight w:val="320"/>
        </w:trPr>
        <w:tc>
          <w:tcPr>
            <w:tcW w:w="1829" w:type="dxa"/>
            <w:tcBorders>
              <w:top w:val="nil"/>
              <w:left w:val="nil"/>
              <w:bottom w:val="nil"/>
              <w:right w:val="nil"/>
            </w:tcBorders>
            <w:noWrap/>
            <w:hideMark/>
          </w:tcPr>
          <w:p w14:paraId="7468C87C"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Stormwater Park</w:t>
            </w:r>
          </w:p>
        </w:tc>
        <w:tc>
          <w:tcPr>
            <w:tcW w:w="9511" w:type="dxa"/>
            <w:tcBorders>
              <w:top w:val="nil"/>
              <w:left w:val="nil"/>
              <w:bottom w:val="nil"/>
              <w:right w:val="nil"/>
            </w:tcBorders>
            <w:noWrap/>
            <w:hideMark/>
          </w:tcPr>
          <w:p w14:paraId="72E0342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 xml:space="preserve">Rain and stormwater gardens are green infrastructure stormwater management methods, but stormwater gardens have a more advanced design and may include additional features to improve stormwater treatment and infiltration. While rain gardens focus on capturing and absorbing stormwater through native plants and natural filtration, stormwater gardens use similar approaches. Still, they may also include engineered soil, filter media, and drainage structures to optimize stormwater management and improve water quality </w:t>
            </w:r>
          </w:p>
        </w:tc>
        <w:tc>
          <w:tcPr>
            <w:tcW w:w="2835" w:type="dxa"/>
            <w:tcBorders>
              <w:top w:val="nil"/>
              <w:left w:val="nil"/>
              <w:bottom w:val="nil"/>
              <w:right w:val="nil"/>
            </w:tcBorders>
            <w:noWrap/>
            <w:hideMark/>
          </w:tcPr>
          <w:p w14:paraId="1E3EC193" w14:textId="77777777" w:rsidR="00930779" w:rsidRPr="00930779" w:rsidRDefault="00930779" w:rsidP="00930779">
            <w:pPr>
              <w:jc w:val="left"/>
              <w:rPr>
                <w:rFonts w:ascii="Aptos" w:eastAsia="Times New Roman" w:hAnsi="Aptos" w:cs="Times New Roman"/>
                <w:color w:val="000000"/>
                <w:kern w:val="0"/>
                <w:szCs w:val="22"/>
                <w14:ligatures w14:val="none"/>
              </w:rPr>
            </w:pPr>
            <w:proofErr w:type="spellStart"/>
            <w:r w:rsidRPr="00930779">
              <w:rPr>
                <w:rFonts w:ascii="Aptos" w:eastAsia="Times New Roman" w:hAnsi="Aptos" w:cs="Times New Roman"/>
                <w:color w:val="000000"/>
                <w:kern w:val="0"/>
                <w:szCs w:val="22"/>
                <w14:ligatures w14:val="none"/>
              </w:rPr>
              <w:t>Ishimatsu</w:t>
            </w:r>
            <w:proofErr w:type="spellEnd"/>
            <w:r w:rsidRPr="00930779">
              <w:rPr>
                <w:rFonts w:ascii="Aptos" w:eastAsia="Times New Roman" w:hAnsi="Aptos" w:cs="Times New Roman"/>
                <w:color w:val="000000"/>
                <w:kern w:val="0"/>
                <w:szCs w:val="22"/>
                <w14:ligatures w14:val="none"/>
              </w:rPr>
              <w:t xml:space="preserve"> et al., (2017); Zhang et al., (2021)</w:t>
            </w:r>
          </w:p>
        </w:tc>
      </w:tr>
      <w:tr w:rsidR="00930779" w:rsidRPr="00647D57" w14:paraId="418F082D" w14:textId="77777777" w:rsidTr="00930779">
        <w:trPr>
          <w:trHeight w:val="320"/>
        </w:trPr>
        <w:tc>
          <w:tcPr>
            <w:tcW w:w="1829" w:type="dxa"/>
            <w:tcBorders>
              <w:top w:val="nil"/>
              <w:left w:val="nil"/>
              <w:bottom w:val="nil"/>
              <w:right w:val="nil"/>
            </w:tcBorders>
            <w:noWrap/>
            <w:hideMark/>
          </w:tcPr>
          <w:p w14:paraId="3119653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Swales</w:t>
            </w:r>
          </w:p>
        </w:tc>
        <w:tc>
          <w:tcPr>
            <w:tcW w:w="9511" w:type="dxa"/>
            <w:tcBorders>
              <w:top w:val="nil"/>
              <w:left w:val="nil"/>
              <w:bottom w:val="nil"/>
              <w:right w:val="nil"/>
            </w:tcBorders>
            <w:noWrap/>
            <w:hideMark/>
          </w:tcPr>
          <w:p w14:paraId="364BAE3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Shallow, vegetated channels designed to manage stormwater and promote infiltration.</w:t>
            </w:r>
          </w:p>
        </w:tc>
        <w:tc>
          <w:tcPr>
            <w:tcW w:w="2835" w:type="dxa"/>
            <w:tcBorders>
              <w:top w:val="nil"/>
              <w:left w:val="nil"/>
              <w:bottom w:val="nil"/>
              <w:right w:val="nil"/>
            </w:tcBorders>
            <w:noWrap/>
            <w:hideMark/>
          </w:tcPr>
          <w:p w14:paraId="106659C8" w14:textId="6E15B56D"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SUDS, (2018)</w:t>
            </w:r>
          </w:p>
        </w:tc>
      </w:tr>
      <w:tr w:rsidR="00930779" w:rsidRPr="00647D57" w14:paraId="03D7FE25" w14:textId="77777777" w:rsidTr="00930779">
        <w:trPr>
          <w:trHeight w:val="320"/>
        </w:trPr>
        <w:tc>
          <w:tcPr>
            <w:tcW w:w="1829" w:type="dxa"/>
            <w:tcBorders>
              <w:top w:val="nil"/>
              <w:left w:val="nil"/>
              <w:bottom w:val="nil"/>
              <w:right w:val="nil"/>
            </w:tcBorders>
            <w:noWrap/>
            <w:hideMark/>
          </w:tcPr>
          <w:p w14:paraId="27397AD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Tree</w:t>
            </w:r>
          </w:p>
        </w:tc>
        <w:tc>
          <w:tcPr>
            <w:tcW w:w="9511" w:type="dxa"/>
            <w:tcBorders>
              <w:top w:val="nil"/>
              <w:left w:val="nil"/>
              <w:bottom w:val="nil"/>
              <w:right w:val="nil"/>
            </w:tcBorders>
            <w:noWrap/>
            <w:hideMark/>
          </w:tcPr>
          <w:p w14:paraId="632B6C4A"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 single woody plant or a collection of trees forming a forest ecosystem.</w:t>
            </w:r>
          </w:p>
        </w:tc>
        <w:tc>
          <w:tcPr>
            <w:tcW w:w="2835" w:type="dxa"/>
            <w:tcBorders>
              <w:top w:val="nil"/>
              <w:left w:val="nil"/>
              <w:bottom w:val="nil"/>
              <w:right w:val="nil"/>
            </w:tcBorders>
            <w:noWrap/>
            <w:hideMark/>
          </w:tcPr>
          <w:p w14:paraId="13E64454"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FAO, (2020)</w:t>
            </w:r>
          </w:p>
        </w:tc>
      </w:tr>
      <w:tr w:rsidR="00930779" w:rsidRPr="00647D57" w14:paraId="46DD8BCE" w14:textId="77777777" w:rsidTr="00930779">
        <w:trPr>
          <w:trHeight w:val="320"/>
        </w:trPr>
        <w:tc>
          <w:tcPr>
            <w:tcW w:w="1829" w:type="dxa"/>
            <w:tcBorders>
              <w:top w:val="nil"/>
              <w:left w:val="nil"/>
              <w:bottom w:val="nil"/>
              <w:right w:val="nil"/>
            </w:tcBorders>
            <w:noWrap/>
            <w:hideMark/>
          </w:tcPr>
          <w:p w14:paraId="103D8AB1"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Tundra</w:t>
            </w:r>
          </w:p>
        </w:tc>
        <w:tc>
          <w:tcPr>
            <w:tcW w:w="9511" w:type="dxa"/>
            <w:tcBorders>
              <w:top w:val="nil"/>
              <w:left w:val="nil"/>
              <w:bottom w:val="nil"/>
              <w:right w:val="nil"/>
            </w:tcBorders>
            <w:noWrap/>
            <w:hideMark/>
          </w:tcPr>
          <w:p w14:paraId="23FE5316"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vegetation dominated by shrubs or dwarf shrubs</w:t>
            </w:r>
          </w:p>
        </w:tc>
        <w:tc>
          <w:tcPr>
            <w:tcW w:w="2835" w:type="dxa"/>
            <w:tcBorders>
              <w:top w:val="nil"/>
              <w:left w:val="nil"/>
              <w:bottom w:val="nil"/>
              <w:right w:val="nil"/>
            </w:tcBorders>
            <w:noWrap/>
            <w:hideMark/>
          </w:tcPr>
          <w:p w14:paraId="6EC641F7"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r w:rsidR="00930779" w:rsidRPr="00647D57" w14:paraId="5A83ECF7" w14:textId="77777777" w:rsidTr="00930779">
        <w:trPr>
          <w:trHeight w:val="320"/>
        </w:trPr>
        <w:tc>
          <w:tcPr>
            <w:tcW w:w="1829" w:type="dxa"/>
            <w:tcBorders>
              <w:top w:val="nil"/>
              <w:left w:val="nil"/>
              <w:bottom w:val="nil"/>
              <w:right w:val="nil"/>
            </w:tcBorders>
            <w:noWrap/>
            <w:hideMark/>
          </w:tcPr>
          <w:p w14:paraId="3C49270B"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Urban Agriculture</w:t>
            </w:r>
          </w:p>
        </w:tc>
        <w:tc>
          <w:tcPr>
            <w:tcW w:w="9511" w:type="dxa"/>
            <w:tcBorders>
              <w:top w:val="nil"/>
              <w:left w:val="nil"/>
              <w:bottom w:val="nil"/>
              <w:right w:val="nil"/>
            </w:tcBorders>
            <w:noWrap/>
            <w:hideMark/>
          </w:tcPr>
          <w:p w14:paraId="5D6B963A"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Growing food and raising animals within cities or urban areas.</w:t>
            </w:r>
          </w:p>
        </w:tc>
        <w:tc>
          <w:tcPr>
            <w:tcW w:w="2835" w:type="dxa"/>
            <w:tcBorders>
              <w:top w:val="nil"/>
              <w:left w:val="nil"/>
              <w:bottom w:val="nil"/>
              <w:right w:val="nil"/>
            </w:tcBorders>
            <w:noWrap/>
            <w:hideMark/>
          </w:tcPr>
          <w:p w14:paraId="036F28FC"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FAO, (2022)</w:t>
            </w:r>
          </w:p>
        </w:tc>
      </w:tr>
      <w:tr w:rsidR="00930779" w:rsidRPr="00647D57" w14:paraId="58082CBE" w14:textId="77777777" w:rsidTr="00930779">
        <w:trPr>
          <w:trHeight w:val="320"/>
        </w:trPr>
        <w:tc>
          <w:tcPr>
            <w:tcW w:w="1829" w:type="dxa"/>
            <w:tcBorders>
              <w:top w:val="nil"/>
              <w:left w:val="nil"/>
              <w:bottom w:val="nil"/>
              <w:right w:val="nil"/>
            </w:tcBorders>
            <w:noWrap/>
            <w:hideMark/>
          </w:tcPr>
          <w:p w14:paraId="12269A06"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Urban Forest</w:t>
            </w:r>
          </w:p>
        </w:tc>
        <w:tc>
          <w:tcPr>
            <w:tcW w:w="9511" w:type="dxa"/>
            <w:tcBorders>
              <w:top w:val="nil"/>
              <w:left w:val="nil"/>
              <w:bottom w:val="nil"/>
              <w:right w:val="nil"/>
            </w:tcBorders>
            <w:noWrap/>
            <w:hideMark/>
          </w:tcPr>
          <w:p w14:paraId="6DEF86EF" w14:textId="4A07BF4A"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Urban forests and trees are crucial for providing numerous ecosystem services and addressing various water-related challenges such as flood control, groundwater recharge and water quality improvement. They also contribute to carbon sequestration, climate change adaptation, biodiversity conservation, improving human well-being and socio-ecological connectivity</w:t>
            </w:r>
            <w:r w:rsidR="00EA3CF1" w:rsidRPr="00647D57">
              <w:rPr>
                <w:rFonts w:ascii="Aptos" w:eastAsia="Times New Roman" w:hAnsi="Aptos" w:cs="Times New Roman"/>
                <w:color w:val="000000"/>
                <w:kern w:val="0"/>
                <w:szCs w:val="22"/>
                <w14:ligatures w14:val="none"/>
              </w:rPr>
              <w:t xml:space="preserve">. </w:t>
            </w:r>
            <w:r w:rsidRPr="00930779">
              <w:rPr>
                <w:rFonts w:ascii="Aptos" w:eastAsia="Times New Roman" w:hAnsi="Aptos" w:cs="Times New Roman"/>
                <w:color w:val="000000"/>
                <w:kern w:val="0"/>
                <w:szCs w:val="22"/>
                <w14:ligatures w14:val="none"/>
              </w:rPr>
              <w:t xml:space="preserve">Through evaporation, transpiration, and runoff capture mechanisms such as bioretention and soil rainwater storage systems, urban forests effectively manage stormwater while maintaining natural hydrological processes </w:t>
            </w:r>
          </w:p>
        </w:tc>
        <w:tc>
          <w:tcPr>
            <w:tcW w:w="2835" w:type="dxa"/>
            <w:tcBorders>
              <w:top w:val="nil"/>
              <w:left w:val="nil"/>
              <w:bottom w:val="nil"/>
              <w:right w:val="nil"/>
            </w:tcBorders>
            <w:noWrap/>
            <w:hideMark/>
          </w:tcPr>
          <w:p w14:paraId="191865DA" w14:textId="267B55A8"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Ponte et al., (2021)</w:t>
            </w:r>
            <w:r w:rsidR="00EA3CF1" w:rsidRPr="00647D57">
              <w:rPr>
                <w:rFonts w:ascii="Aptos" w:eastAsia="Times New Roman" w:hAnsi="Aptos" w:cs="Times New Roman"/>
                <w:color w:val="000000"/>
                <w:kern w:val="0"/>
                <w:szCs w:val="22"/>
                <w14:ligatures w14:val="none"/>
              </w:rPr>
              <w:t xml:space="preserve">; </w:t>
            </w:r>
            <w:r w:rsidR="00EA3CF1" w:rsidRPr="00930779">
              <w:rPr>
                <w:rFonts w:ascii="Aptos" w:eastAsia="Times New Roman" w:hAnsi="Aptos" w:cs="Times New Roman"/>
                <w:color w:val="000000"/>
                <w:kern w:val="0"/>
                <w:szCs w:val="22"/>
                <w14:ligatures w14:val="none"/>
              </w:rPr>
              <w:t xml:space="preserve">Livesley, McPherson, &amp; </w:t>
            </w:r>
            <w:proofErr w:type="spellStart"/>
            <w:r w:rsidR="00EA3CF1" w:rsidRPr="00930779">
              <w:rPr>
                <w:rFonts w:ascii="Aptos" w:eastAsia="Times New Roman" w:hAnsi="Aptos" w:cs="Times New Roman"/>
                <w:color w:val="000000"/>
                <w:kern w:val="0"/>
                <w:szCs w:val="22"/>
                <w14:ligatures w14:val="none"/>
              </w:rPr>
              <w:t>Calfapietra</w:t>
            </w:r>
            <w:proofErr w:type="spellEnd"/>
            <w:r w:rsidR="00EA3CF1" w:rsidRPr="00930779">
              <w:rPr>
                <w:rFonts w:ascii="Aptos" w:eastAsia="Times New Roman" w:hAnsi="Aptos" w:cs="Times New Roman"/>
                <w:color w:val="000000"/>
                <w:kern w:val="0"/>
                <w:szCs w:val="22"/>
                <w14:ligatures w14:val="none"/>
              </w:rPr>
              <w:t xml:space="preserve">, </w:t>
            </w:r>
            <w:r w:rsidR="00EA3CF1" w:rsidRPr="00647D57">
              <w:rPr>
                <w:rFonts w:ascii="Aptos" w:eastAsia="Times New Roman" w:hAnsi="Aptos" w:cs="Times New Roman"/>
                <w:color w:val="000000"/>
                <w:kern w:val="0"/>
                <w:szCs w:val="22"/>
                <w14:ligatures w14:val="none"/>
              </w:rPr>
              <w:t>(</w:t>
            </w:r>
            <w:r w:rsidR="00EA3CF1" w:rsidRPr="00930779">
              <w:rPr>
                <w:rFonts w:ascii="Aptos" w:eastAsia="Times New Roman" w:hAnsi="Aptos" w:cs="Times New Roman"/>
                <w:color w:val="000000"/>
                <w:kern w:val="0"/>
                <w:szCs w:val="22"/>
                <w14:ligatures w14:val="none"/>
              </w:rPr>
              <w:t>2016)</w:t>
            </w:r>
          </w:p>
        </w:tc>
      </w:tr>
      <w:tr w:rsidR="00930779" w:rsidRPr="00647D57" w14:paraId="347DB94B" w14:textId="77777777" w:rsidTr="00930779">
        <w:trPr>
          <w:trHeight w:val="320"/>
        </w:trPr>
        <w:tc>
          <w:tcPr>
            <w:tcW w:w="1829" w:type="dxa"/>
            <w:tcBorders>
              <w:top w:val="nil"/>
              <w:left w:val="nil"/>
              <w:bottom w:val="nil"/>
              <w:right w:val="nil"/>
            </w:tcBorders>
            <w:noWrap/>
            <w:hideMark/>
          </w:tcPr>
          <w:p w14:paraId="4CA958FA"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Urban Green</w:t>
            </w:r>
          </w:p>
        </w:tc>
        <w:tc>
          <w:tcPr>
            <w:tcW w:w="9511" w:type="dxa"/>
            <w:tcBorders>
              <w:top w:val="nil"/>
              <w:left w:val="nil"/>
              <w:bottom w:val="nil"/>
              <w:right w:val="nil"/>
            </w:tcBorders>
            <w:noWrap/>
            <w:hideMark/>
          </w:tcPr>
          <w:p w14:paraId="17C7548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Vegetated areas within cities, including parks, gardens, and green roofs.</w:t>
            </w:r>
          </w:p>
        </w:tc>
        <w:tc>
          <w:tcPr>
            <w:tcW w:w="2835" w:type="dxa"/>
            <w:tcBorders>
              <w:top w:val="nil"/>
              <w:left w:val="nil"/>
              <w:bottom w:val="nil"/>
              <w:right w:val="nil"/>
            </w:tcBorders>
            <w:noWrap/>
            <w:hideMark/>
          </w:tcPr>
          <w:p w14:paraId="550178A2"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UN-Habitat, (2021)</w:t>
            </w:r>
          </w:p>
        </w:tc>
      </w:tr>
      <w:tr w:rsidR="00930779" w:rsidRPr="00647D57" w14:paraId="4BEE0927" w14:textId="77777777" w:rsidTr="00930779">
        <w:trPr>
          <w:trHeight w:val="320"/>
        </w:trPr>
        <w:tc>
          <w:tcPr>
            <w:tcW w:w="1829" w:type="dxa"/>
            <w:tcBorders>
              <w:top w:val="nil"/>
              <w:left w:val="nil"/>
              <w:bottom w:val="nil"/>
              <w:right w:val="nil"/>
            </w:tcBorders>
            <w:noWrap/>
            <w:hideMark/>
          </w:tcPr>
          <w:p w14:paraId="563A2EF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Urban Meadow</w:t>
            </w:r>
          </w:p>
        </w:tc>
        <w:tc>
          <w:tcPr>
            <w:tcW w:w="9511" w:type="dxa"/>
            <w:tcBorders>
              <w:top w:val="nil"/>
              <w:left w:val="nil"/>
              <w:bottom w:val="nil"/>
              <w:right w:val="nil"/>
            </w:tcBorders>
            <w:noWrap/>
            <w:hideMark/>
          </w:tcPr>
          <w:p w14:paraId="11278BFA"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Grassland areas in urban settings, often managed for biodiversity.</w:t>
            </w:r>
          </w:p>
        </w:tc>
        <w:tc>
          <w:tcPr>
            <w:tcW w:w="2835" w:type="dxa"/>
            <w:tcBorders>
              <w:top w:val="nil"/>
              <w:left w:val="nil"/>
              <w:bottom w:val="nil"/>
              <w:right w:val="nil"/>
            </w:tcBorders>
            <w:noWrap/>
            <w:hideMark/>
          </w:tcPr>
          <w:p w14:paraId="3531A0AE"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IUCN, (2021)</w:t>
            </w:r>
          </w:p>
        </w:tc>
      </w:tr>
      <w:tr w:rsidR="00930779" w:rsidRPr="00647D57" w14:paraId="6C61721F" w14:textId="77777777" w:rsidTr="00930779">
        <w:trPr>
          <w:trHeight w:val="340"/>
        </w:trPr>
        <w:tc>
          <w:tcPr>
            <w:tcW w:w="1829" w:type="dxa"/>
            <w:tcBorders>
              <w:top w:val="nil"/>
              <w:left w:val="nil"/>
              <w:bottom w:val="single" w:sz="8" w:space="0" w:color="auto"/>
              <w:right w:val="nil"/>
            </w:tcBorders>
            <w:noWrap/>
            <w:hideMark/>
          </w:tcPr>
          <w:p w14:paraId="05E20420"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Wetland</w:t>
            </w:r>
          </w:p>
        </w:tc>
        <w:tc>
          <w:tcPr>
            <w:tcW w:w="9511" w:type="dxa"/>
            <w:tcBorders>
              <w:top w:val="nil"/>
              <w:left w:val="nil"/>
              <w:bottom w:val="single" w:sz="8" w:space="0" w:color="auto"/>
              <w:right w:val="nil"/>
            </w:tcBorders>
            <w:noWrap/>
            <w:hideMark/>
          </w:tcPr>
          <w:p w14:paraId="4AC4E2C4" w14:textId="7082E82F"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an area where water covers the soil or present either at or near the surface of the soil all year.</w:t>
            </w:r>
          </w:p>
        </w:tc>
        <w:tc>
          <w:tcPr>
            <w:tcW w:w="2835" w:type="dxa"/>
            <w:tcBorders>
              <w:top w:val="nil"/>
              <w:left w:val="nil"/>
              <w:bottom w:val="single" w:sz="8" w:space="0" w:color="auto"/>
              <w:right w:val="nil"/>
            </w:tcBorders>
            <w:noWrap/>
            <w:hideMark/>
          </w:tcPr>
          <w:p w14:paraId="7E3C5A4F" w14:textId="77777777" w:rsidR="00930779" w:rsidRPr="00930779" w:rsidRDefault="00930779" w:rsidP="00930779">
            <w:pPr>
              <w:jc w:val="left"/>
              <w:rPr>
                <w:rFonts w:ascii="Aptos" w:eastAsia="Times New Roman" w:hAnsi="Aptos" w:cs="Times New Roman"/>
                <w:color w:val="000000"/>
                <w:kern w:val="0"/>
                <w:szCs w:val="22"/>
                <w14:ligatures w14:val="none"/>
              </w:rPr>
            </w:pPr>
            <w:r w:rsidRPr="00930779">
              <w:rPr>
                <w:rFonts w:ascii="Aptos" w:eastAsia="Times New Roman" w:hAnsi="Aptos" w:cs="Times New Roman"/>
                <w:color w:val="000000"/>
                <w:kern w:val="0"/>
                <w:szCs w:val="22"/>
                <w14:ligatures w14:val="none"/>
              </w:rPr>
              <w:t>Debele et al., (2023)</w:t>
            </w:r>
          </w:p>
        </w:tc>
      </w:tr>
    </w:tbl>
    <w:p w14:paraId="59DB4DC7" w14:textId="659C6146" w:rsidR="00930779" w:rsidRPr="00930779" w:rsidRDefault="00930779" w:rsidP="00930779">
      <w:pPr>
        <w:rPr>
          <w:lang w:val="en-US" w:bidi="en-US"/>
        </w:rPr>
        <w:sectPr w:rsidR="00930779" w:rsidRPr="00930779" w:rsidSect="00930779">
          <w:pgSz w:w="16817" w:h="11901" w:orient="landscape"/>
          <w:pgMar w:top="1440" w:right="1440" w:bottom="1440" w:left="1440" w:header="709" w:footer="709" w:gutter="0"/>
          <w:cols w:space="708"/>
          <w:docGrid w:linePitch="360"/>
        </w:sectPr>
      </w:pPr>
    </w:p>
    <w:p w14:paraId="1DF58DC0" w14:textId="77777777" w:rsidR="00930779" w:rsidRDefault="00930779" w:rsidP="00930779">
      <w:pPr>
        <w:spacing w:after="240"/>
        <w:rPr>
          <w:lang w:val="en-US" w:bidi="en-US"/>
        </w:rPr>
      </w:pPr>
      <w:r w:rsidRPr="003127F8">
        <w:rPr>
          <w:b/>
          <w:bCs/>
          <w:lang w:val="en-US" w:bidi="en-US"/>
        </w:rPr>
        <w:lastRenderedPageBreak/>
        <w:t>Table S</w:t>
      </w:r>
      <w:r w:rsidRPr="003127F8">
        <w:rPr>
          <w:b/>
          <w:bCs/>
          <w:lang w:val="en-US"/>
        </w:rPr>
        <w:t>3.</w:t>
      </w:r>
      <w:r>
        <w:rPr>
          <w:lang w:val="en-US" w:bidi="en-US"/>
        </w:rPr>
        <w:t xml:space="preserve"> </w:t>
      </w:r>
      <w:r w:rsidRPr="2CEAF582">
        <w:rPr>
          <w:lang w:val="en-US" w:bidi="en-US"/>
        </w:rPr>
        <w:t xml:space="preserve">Overview of the </w:t>
      </w:r>
      <w:r>
        <w:rPr>
          <w:lang w:val="en-US" w:bidi="en-US"/>
        </w:rPr>
        <w:t>g</w:t>
      </w:r>
      <w:r w:rsidRPr="2CEAF582">
        <w:rPr>
          <w:lang w:val="en-US" w:bidi="en-US"/>
        </w:rPr>
        <w:t xml:space="preserve">lobal </w:t>
      </w:r>
      <w:r>
        <w:rPr>
          <w:lang w:val="en-US" w:bidi="en-US"/>
        </w:rPr>
        <w:t>a</w:t>
      </w:r>
      <w:r w:rsidRPr="2CEAF582">
        <w:rPr>
          <w:lang w:val="en-US" w:bidi="en-US"/>
        </w:rPr>
        <w:t>gendas</w:t>
      </w:r>
      <w:r>
        <w:rPr>
          <w:lang w:val="en-US" w:bidi="en-US"/>
        </w:rPr>
        <w:t xml:space="preserve"> compiled from various sources.</w:t>
      </w:r>
    </w:p>
    <w:tbl>
      <w:tblPr>
        <w:tblStyle w:val="ae"/>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5"/>
        <w:gridCol w:w="4564"/>
        <w:gridCol w:w="2835"/>
      </w:tblGrid>
      <w:tr w:rsidR="00930779" w:rsidRPr="00930779" w14:paraId="0BBE81F2" w14:textId="77777777" w:rsidTr="00930779">
        <w:trPr>
          <w:trHeight w:val="509"/>
        </w:trPr>
        <w:tc>
          <w:tcPr>
            <w:tcW w:w="1815" w:type="dxa"/>
            <w:tcBorders>
              <w:top w:val="single" w:sz="4" w:space="0" w:color="auto"/>
              <w:bottom w:val="single" w:sz="4" w:space="0" w:color="auto"/>
            </w:tcBorders>
            <w:vAlign w:val="center"/>
          </w:tcPr>
          <w:p w14:paraId="704BC81A" w14:textId="77777777" w:rsidR="00930779" w:rsidRPr="00930779" w:rsidRDefault="00930779" w:rsidP="00134F2E">
            <w:pPr>
              <w:jc w:val="left"/>
              <w:rPr>
                <w:rFonts w:asciiTheme="minorHAnsi" w:hAnsiTheme="minorHAnsi"/>
                <w:b/>
                <w:bCs/>
                <w:lang w:bidi="en-US"/>
              </w:rPr>
            </w:pPr>
            <w:r w:rsidRPr="00930779">
              <w:rPr>
                <w:rFonts w:asciiTheme="minorHAnsi" w:hAnsiTheme="minorHAnsi"/>
                <w:b/>
                <w:bCs/>
                <w:lang w:bidi="en-US"/>
              </w:rPr>
              <w:t>Global Agendas</w:t>
            </w:r>
          </w:p>
        </w:tc>
        <w:tc>
          <w:tcPr>
            <w:tcW w:w="4564" w:type="dxa"/>
            <w:tcBorders>
              <w:top w:val="single" w:sz="4" w:space="0" w:color="auto"/>
              <w:bottom w:val="single" w:sz="4" w:space="0" w:color="auto"/>
            </w:tcBorders>
            <w:vAlign w:val="center"/>
          </w:tcPr>
          <w:p w14:paraId="264886FB" w14:textId="77777777" w:rsidR="00930779" w:rsidRPr="00930779" w:rsidRDefault="00930779" w:rsidP="00134F2E">
            <w:pPr>
              <w:jc w:val="left"/>
              <w:rPr>
                <w:rFonts w:asciiTheme="minorHAnsi" w:hAnsiTheme="minorHAnsi"/>
                <w:b/>
                <w:bCs/>
                <w:lang w:bidi="en-US"/>
              </w:rPr>
            </w:pPr>
            <w:r w:rsidRPr="00930779">
              <w:rPr>
                <w:rFonts w:asciiTheme="minorHAnsi" w:hAnsiTheme="minorHAnsi"/>
                <w:b/>
                <w:bCs/>
                <w:lang w:bidi="en-US"/>
              </w:rPr>
              <w:t>Purpose</w:t>
            </w:r>
          </w:p>
        </w:tc>
        <w:tc>
          <w:tcPr>
            <w:tcW w:w="2835" w:type="dxa"/>
            <w:tcBorders>
              <w:top w:val="single" w:sz="4" w:space="0" w:color="auto"/>
              <w:bottom w:val="single" w:sz="4" w:space="0" w:color="auto"/>
            </w:tcBorders>
            <w:vAlign w:val="center"/>
          </w:tcPr>
          <w:p w14:paraId="476F167D" w14:textId="77777777" w:rsidR="00930779" w:rsidRPr="00930779" w:rsidRDefault="00930779" w:rsidP="00134F2E">
            <w:pPr>
              <w:jc w:val="left"/>
              <w:rPr>
                <w:rFonts w:asciiTheme="minorHAnsi" w:hAnsiTheme="minorHAnsi"/>
                <w:b/>
                <w:bCs/>
                <w:lang w:bidi="en-US"/>
              </w:rPr>
            </w:pPr>
            <w:r w:rsidRPr="00930779">
              <w:rPr>
                <w:rFonts w:asciiTheme="minorHAnsi" w:hAnsiTheme="minorHAnsi"/>
                <w:b/>
                <w:bCs/>
                <w:lang w:bidi="en-US"/>
              </w:rPr>
              <w:t>Timeline</w:t>
            </w:r>
          </w:p>
        </w:tc>
      </w:tr>
      <w:tr w:rsidR="00930779" w:rsidRPr="0088502B" w14:paraId="7106EFB5" w14:textId="77777777" w:rsidTr="00930779">
        <w:tc>
          <w:tcPr>
            <w:tcW w:w="1815" w:type="dxa"/>
            <w:tcBorders>
              <w:top w:val="single" w:sz="4" w:space="0" w:color="auto"/>
            </w:tcBorders>
          </w:tcPr>
          <w:p w14:paraId="268BCDCC" w14:textId="77777777" w:rsidR="00930779" w:rsidRPr="0088502B" w:rsidRDefault="00930779" w:rsidP="00134F2E">
            <w:pPr>
              <w:jc w:val="left"/>
              <w:rPr>
                <w:rFonts w:asciiTheme="minorHAnsi" w:hAnsiTheme="minorHAnsi"/>
                <w:lang w:bidi="en-US"/>
              </w:rPr>
            </w:pPr>
            <w:r w:rsidRPr="0088502B">
              <w:rPr>
                <w:rFonts w:asciiTheme="minorHAnsi" w:hAnsiTheme="minorHAnsi"/>
              </w:rPr>
              <w:t>The Paris Agreement</w:t>
            </w:r>
          </w:p>
        </w:tc>
        <w:tc>
          <w:tcPr>
            <w:tcW w:w="4564" w:type="dxa"/>
            <w:tcBorders>
              <w:top w:val="single" w:sz="4" w:space="0" w:color="auto"/>
            </w:tcBorders>
          </w:tcPr>
          <w:p w14:paraId="5C62DD61" w14:textId="77777777" w:rsidR="00930779" w:rsidRPr="0088502B" w:rsidRDefault="00930779" w:rsidP="00930779">
            <w:pPr>
              <w:spacing w:after="120"/>
              <w:jc w:val="left"/>
              <w:rPr>
                <w:rFonts w:asciiTheme="minorHAnsi" w:hAnsiTheme="minorHAnsi"/>
                <w:lang w:bidi="en-US"/>
              </w:rPr>
            </w:pPr>
            <w:r w:rsidRPr="0088502B">
              <w:rPr>
                <w:rFonts w:asciiTheme="minorHAnsi" w:hAnsiTheme="minorHAnsi"/>
                <w:lang w:bidi="en-US"/>
              </w:rPr>
              <w:t>Consensus among the parties to the UNFCCC over the global approach to climate change, including both mitigation and adaptation strategies.</w:t>
            </w:r>
            <w:r>
              <w:rPr>
                <w:rFonts w:asciiTheme="minorHAnsi" w:hAnsiTheme="minorHAnsi"/>
                <w:lang w:bidi="en-US"/>
              </w:rPr>
              <w:t xml:space="preserve"> </w:t>
            </w:r>
            <w:r w:rsidRPr="00C21139">
              <w:rPr>
                <w:rFonts w:asciiTheme="minorHAnsi" w:hAnsiTheme="minorHAnsi"/>
                <w:lang w:bidi="en-US"/>
              </w:rPr>
              <w:t xml:space="preserve">The Paris Agreement </w:t>
            </w:r>
            <w:r>
              <w:rPr>
                <w:rFonts w:asciiTheme="minorHAnsi" w:hAnsiTheme="minorHAnsi"/>
                <w:lang w:bidi="en-US"/>
              </w:rPr>
              <w:t>along with</w:t>
            </w:r>
            <w:r w:rsidRPr="00C21139">
              <w:rPr>
                <w:rFonts w:asciiTheme="minorHAnsi" w:hAnsiTheme="minorHAnsi"/>
                <w:lang w:bidi="en-US"/>
              </w:rPr>
              <w:t xml:space="preserve"> NDCs aim to limit global warming below 2 degrees Celsius, with efforts to pursue 1.5°C, emphasizing NbS as a fundamental tool for achieving these targets</w:t>
            </w:r>
            <w:r>
              <w:rPr>
                <w:rFonts w:asciiTheme="minorHAnsi" w:hAnsiTheme="minorHAnsi"/>
                <w:lang w:bidi="en-US"/>
              </w:rPr>
              <w:t>.</w:t>
            </w:r>
          </w:p>
        </w:tc>
        <w:tc>
          <w:tcPr>
            <w:tcW w:w="2835" w:type="dxa"/>
            <w:tcBorders>
              <w:top w:val="single" w:sz="4" w:space="0" w:color="auto"/>
            </w:tcBorders>
          </w:tcPr>
          <w:p w14:paraId="57D3BD03" w14:textId="77777777" w:rsidR="00930779" w:rsidRPr="0088502B" w:rsidRDefault="00930779" w:rsidP="00134F2E">
            <w:pPr>
              <w:jc w:val="left"/>
              <w:rPr>
                <w:rFonts w:asciiTheme="minorHAnsi" w:hAnsiTheme="minorHAnsi"/>
                <w:lang w:bidi="en-US"/>
              </w:rPr>
            </w:pPr>
            <w:r w:rsidRPr="0088502B">
              <w:rPr>
                <w:rFonts w:asciiTheme="minorHAnsi" w:hAnsiTheme="minorHAnsi"/>
                <w:lang w:bidi="en-US"/>
              </w:rPr>
              <w:t>Adopted in 2015 and effective from November 2016; the implementation phase officially starts in 2020, while the agreement underscores the need for actions prior to 2020.</w:t>
            </w:r>
          </w:p>
        </w:tc>
      </w:tr>
      <w:tr w:rsidR="00930779" w:rsidRPr="0088502B" w14:paraId="3D51094F" w14:textId="77777777" w:rsidTr="00930779">
        <w:tc>
          <w:tcPr>
            <w:tcW w:w="1815" w:type="dxa"/>
          </w:tcPr>
          <w:p w14:paraId="3226E7DE" w14:textId="77777777" w:rsidR="00930779" w:rsidRPr="0088502B" w:rsidRDefault="00930779" w:rsidP="00134F2E">
            <w:pPr>
              <w:jc w:val="left"/>
              <w:rPr>
                <w:rFonts w:asciiTheme="minorHAnsi" w:hAnsiTheme="minorHAnsi"/>
                <w:lang w:bidi="en-US"/>
              </w:rPr>
            </w:pPr>
            <w:r w:rsidRPr="0088502B">
              <w:rPr>
                <w:rFonts w:asciiTheme="minorHAnsi" w:hAnsiTheme="minorHAnsi"/>
              </w:rPr>
              <w:t>NDCs</w:t>
            </w:r>
          </w:p>
        </w:tc>
        <w:tc>
          <w:tcPr>
            <w:tcW w:w="4564" w:type="dxa"/>
          </w:tcPr>
          <w:p w14:paraId="199A05E5" w14:textId="77777777" w:rsidR="00930779" w:rsidRPr="0088502B" w:rsidRDefault="00930779" w:rsidP="00930779">
            <w:pPr>
              <w:spacing w:after="120"/>
              <w:jc w:val="left"/>
              <w:rPr>
                <w:rFonts w:asciiTheme="minorHAnsi" w:hAnsiTheme="minorHAnsi"/>
                <w:lang w:bidi="en-US"/>
              </w:rPr>
            </w:pPr>
            <w:r w:rsidRPr="0088502B">
              <w:rPr>
                <w:rFonts w:asciiTheme="minorHAnsi" w:hAnsiTheme="minorHAnsi"/>
                <w:lang w:bidi="en-US"/>
              </w:rPr>
              <w:t>Contributions of individual nations towards achieving the objectives of the Paris Agreement.</w:t>
            </w:r>
            <w:r>
              <w:rPr>
                <w:rFonts w:asciiTheme="minorHAnsi" w:hAnsiTheme="minorHAnsi"/>
                <w:lang w:bidi="en-US"/>
              </w:rPr>
              <w:t xml:space="preserve"> </w:t>
            </w:r>
            <w:r w:rsidRPr="00FD6478">
              <w:rPr>
                <w:rFonts w:asciiTheme="minorHAnsi" w:hAnsiTheme="minorHAnsi"/>
                <w:lang w:bidi="en-US"/>
              </w:rPr>
              <w:t>Indonesi</w:t>
            </w:r>
            <w:r w:rsidRPr="00930779">
              <w:rPr>
                <w:rFonts w:asciiTheme="minorHAnsi" w:hAnsiTheme="minorHAnsi"/>
                <w:lang w:bidi="en-US"/>
              </w:rPr>
              <w:t>a</w:t>
            </w:r>
            <w:r w:rsidRPr="00FD6478">
              <w:rPr>
                <w:rFonts w:asciiTheme="minorHAnsi" w:hAnsiTheme="minorHAnsi"/>
                <w:lang w:bidi="en-US"/>
              </w:rPr>
              <w:t xml:space="preserve"> pledges to reduce emissions by 29% unconditionally and up to 41% conditionally by 2030.</w:t>
            </w:r>
            <w:r>
              <w:rPr>
                <w:rFonts w:asciiTheme="minorHAnsi" w:hAnsiTheme="minorHAnsi"/>
                <w:lang w:bidi="en-US"/>
              </w:rPr>
              <w:t xml:space="preserve"> </w:t>
            </w:r>
            <w:r w:rsidRPr="00CC70D1">
              <w:rPr>
                <w:rFonts w:asciiTheme="minorHAnsi" w:hAnsiTheme="minorHAnsi"/>
                <w:lang w:bidi="en-US"/>
              </w:rPr>
              <w:t>These commitments include the necessary policies and strategies to attain the global objectives established in the Paris Agreement.</w:t>
            </w:r>
          </w:p>
        </w:tc>
        <w:tc>
          <w:tcPr>
            <w:tcW w:w="2835" w:type="dxa"/>
          </w:tcPr>
          <w:p w14:paraId="44E0D84A" w14:textId="77777777" w:rsidR="00930779" w:rsidRDefault="00930779" w:rsidP="00134F2E">
            <w:pPr>
              <w:jc w:val="left"/>
              <w:rPr>
                <w:rFonts w:asciiTheme="minorHAnsi" w:hAnsiTheme="minorHAnsi"/>
                <w:lang w:bidi="en-US"/>
              </w:rPr>
            </w:pPr>
            <w:r>
              <w:rPr>
                <w:rFonts w:asciiTheme="minorHAnsi" w:hAnsiTheme="minorHAnsi"/>
                <w:lang w:bidi="en-US"/>
              </w:rPr>
              <w:t>Revised and reported</w:t>
            </w:r>
            <w:r w:rsidRPr="0088502B">
              <w:rPr>
                <w:rFonts w:asciiTheme="minorHAnsi" w:hAnsiTheme="minorHAnsi"/>
                <w:lang w:bidi="en-US"/>
              </w:rPr>
              <w:t xml:space="preserve"> every five years.</w:t>
            </w:r>
            <w:r>
              <w:rPr>
                <w:rFonts w:asciiTheme="minorHAnsi" w:hAnsiTheme="minorHAnsi"/>
                <w:lang w:bidi="en-US"/>
              </w:rPr>
              <w:t xml:space="preserve"> The current target was set to 2030.</w:t>
            </w:r>
          </w:p>
          <w:p w14:paraId="00D66E45" w14:textId="77777777" w:rsidR="00930779" w:rsidRPr="0088502B" w:rsidRDefault="00930779" w:rsidP="00134F2E">
            <w:pPr>
              <w:jc w:val="left"/>
              <w:rPr>
                <w:rFonts w:asciiTheme="minorHAnsi" w:hAnsiTheme="minorHAnsi"/>
                <w:lang w:bidi="en-US"/>
              </w:rPr>
            </w:pPr>
          </w:p>
        </w:tc>
      </w:tr>
      <w:tr w:rsidR="00930779" w:rsidRPr="0088502B" w14:paraId="152564A0" w14:textId="77777777" w:rsidTr="00930779">
        <w:tc>
          <w:tcPr>
            <w:tcW w:w="1815" w:type="dxa"/>
          </w:tcPr>
          <w:p w14:paraId="68DEF709" w14:textId="77777777" w:rsidR="00930779" w:rsidRPr="0088502B" w:rsidRDefault="00930779" w:rsidP="00134F2E">
            <w:pPr>
              <w:jc w:val="left"/>
              <w:rPr>
                <w:rFonts w:asciiTheme="minorHAnsi" w:hAnsiTheme="minorHAnsi"/>
                <w:lang w:bidi="en-US"/>
              </w:rPr>
            </w:pPr>
            <w:r w:rsidRPr="0088502B">
              <w:rPr>
                <w:rFonts w:asciiTheme="minorHAnsi" w:hAnsiTheme="minorHAnsi"/>
              </w:rPr>
              <w:t>SDGs</w:t>
            </w:r>
          </w:p>
        </w:tc>
        <w:tc>
          <w:tcPr>
            <w:tcW w:w="4564" w:type="dxa"/>
          </w:tcPr>
          <w:p w14:paraId="4CB809AF" w14:textId="77777777" w:rsidR="00930779" w:rsidRPr="0088502B" w:rsidRDefault="00930779" w:rsidP="00930779">
            <w:pPr>
              <w:spacing w:after="120"/>
              <w:jc w:val="left"/>
              <w:rPr>
                <w:rFonts w:asciiTheme="minorHAnsi" w:hAnsiTheme="minorHAnsi"/>
                <w:lang w:bidi="en-US"/>
              </w:rPr>
            </w:pPr>
            <w:r w:rsidRPr="0088502B">
              <w:rPr>
                <w:rFonts w:asciiTheme="minorHAnsi" w:hAnsiTheme="minorHAnsi"/>
                <w:lang w:bidi="en-US"/>
              </w:rPr>
              <w:t>International framework for sustainable development, including 17 SDGs and their corresponding goals.</w:t>
            </w:r>
            <w:r>
              <w:rPr>
                <w:rFonts w:asciiTheme="minorHAnsi" w:hAnsiTheme="minorHAnsi"/>
                <w:lang w:bidi="en-US"/>
              </w:rPr>
              <w:t xml:space="preserve"> </w:t>
            </w:r>
            <w:r w:rsidRPr="00D15935">
              <w:rPr>
                <w:rFonts w:asciiTheme="minorHAnsi" w:hAnsiTheme="minorHAnsi"/>
                <w:lang w:bidi="en-US"/>
              </w:rPr>
              <w:t>Goals 13 (Climate Action), 14 (Life Below Water), 15 (Life on Land) emphasize NbS in ecosystem restoration, biodiversity conservation, and climate resilience.</w:t>
            </w:r>
          </w:p>
        </w:tc>
        <w:tc>
          <w:tcPr>
            <w:tcW w:w="2835" w:type="dxa"/>
          </w:tcPr>
          <w:p w14:paraId="4B584A40" w14:textId="77777777" w:rsidR="00930779" w:rsidRPr="0088502B" w:rsidRDefault="00930779" w:rsidP="00134F2E">
            <w:pPr>
              <w:jc w:val="left"/>
              <w:rPr>
                <w:rFonts w:asciiTheme="minorHAnsi" w:hAnsiTheme="minorHAnsi"/>
                <w:lang w:bidi="en-US"/>
              </w:rPr>
            </w:pPr>
            <w:r w:rsidRPr="0088502B">
              <w:rPr>
                <w:rFonts w:asciiTheme="minorHAnsi" w:hAnsiTheme="minorHAnsi"/>
                <w:lang w:bidi="en-US"/>
              </w:rPr>
              <w:t xml:space="preserve">2015 – 2030 </w:t>
            </w:r>
          </w:p>
        </w:tc>
      </w:tr>
      <w:tr w:rsidR="00930779" w:rsidRPr="0088502B" w14:paraId="0DA041D3" w14:textId="77777777" w:rsidTr="00930779">
        <w:tc>
          <w:tcPr>
            <w:tcW w:w="1815" w:type="dxa"/>
          </w:tcPr>
          <w:p w14:paraId="56920CC4" w14:textId="77777777" w:rsidR="00930779" w:rsidRPr="0088502B" w:rsidRDefault="00930779" w:rsidP="00134F2E">
            <w:pPr>
              <w:jc w:val="left"/>
              <w:rPr>
                <w:rFonts w:asciiTheme="minorHAnsi" w:hAnsiTheme="minorHAnsi"/>
                <w:lang w:bidi="en-US"/>
              </w:rPr>
            </w:pPr>
            <w:r w:rsidRPr="0088502B">
              <w:rPr>
                <w:rFonts w:asciiTheme="minorHAnsi" w:hAnsiTheme="minorHAnsi"/>
              </w:rPr>
              <w:t>SFDRR</w:t>
            </w:r>
          </w:p>
        </w:tc>
        <w:tc>
          <w:tcPr>
            <w:tcW w:w="4564" w:type="dxa"/>
          </w:tcPr>
          <w:p w14:paraId="3C008F59" w14:textId="77777777" w:rsidR="00930779" w:rsidRPr="0088502B" w:rsidRDefault="00930779" w:rsidP="00930779">
            <w:pPr>
              <w:spacing w:after="120"/>
              <w:jc w:val="left"/>
              <w:rPr>
                <w:rFonts w:asciiTheme="minorHAnsi" w:hAnsiTheme="minorHAnsi"/>
                <w:lang w:bidi="en-US"/>
              </w:rPr>
            </w:pPr>
            <w:r w:rsidRPr="0088502B">
              <w:rPr>
                <w:rFonts w:asciiTheme="minorHAnsi" w:hAnsiTheme="minorHAnsi"/>
                <w:lang w:bidi="en-US"/>
              </w:rPr>
              <w:t>A global framework to direct multi-hazard catastrophe risk management in development across all levels and sectors.</w:t>
            </w:r>
          </w:p>
        </w:tc>
        <w:tc>
          <w:tcPr>
            <w:tcW w:w="2835" w:type="dxa"/>
          </w:tcPr>
          <w:p w14:paraId="7C88227E" w14:textId="77777777" w:rsidR="00930779" w:rsidRPr="0088502B" w:rsidRDefault="00930779" w:rsidP="00134F2E">
            <w:pPr>
              <w:jc w:val="left"/>
              <w:rPr>
                <w:rFonts w:asciiTheme="minorHAnsi" w:hAnsiTheme="minorHAnsi"/>
                <w:lang w:bidi="en-US"/>
              </w:rPr>
            </w:pPr>
            <w:r w:rsidRPr="0088502B">
              <w:rPr>
                <w:rFonts w:asciiTheme="minorHAnsi" w:hAnsiTheme="minorHAnsi"/>
                <w:lang w:bidi="en-US"/>
              </w:rPr>
              <w:t>2015 – 2030</w:t>
            </w:r>
          </w:p>
        </w:tc>
      </w:tr>
      <w:tr w:rsidR="00930779" w:rsidRPr="0088502B" w14:paraId="2CD4CAC9" w14:textId="77777777" w:rsidTr="00930779">
        <w:tc>
          <w:tcPr>
            <w:tcW w:w="1815" w:type="dxa"/>
          </w:tcPr>
          <w:p w14:paraId="5809ED7B" w14:textId="77777777" w:rsidR="00930779" w:rsidRPr="0088502B" w:rsidRDefault="00930779" w:rsidP="00134F2E">
            <w:pPr>
              <w:jc w:val="left"/>
              <w:rPr>
                <w:rFonts w:asciiTheme="minorHAnsi" w:hAnsiTheme="minorHAnsi"/>
              </w:rPr>
            </w:pPr>
            <w:r w:rsidRPr="0088502B">
              <w:rPr>
                <w:rFonts w:asciiTheme="minorHAnsi" w:hAnsiTheme="minorHAnsi"/>
                <w:lang w:val="en-ID"/>
              </w:rPr>
              <w:t>Nature-Positive</w:t>
            </w:r>
            <w:r>
              <w:rPr>
                <w:rFonts w:asciiTheme="minorHAnsi" w:hAnsiTheme="minorHAnsi"/>
                <w:lang w:val="en-ID"/>
              </w:rPr>
              <w:t xml:space="preserve"> 2030</w:t>
            </w:r>
          </w:p>
        </w:tc>
        <w:tc>
          <w:tcPr>
            <w:tcW w:w="4564" w:type="dxa"/>
          </w:tcPr>
          <w:p w14:paraId="0FE85982" w14:textId="77777777" w:rsidR="00930779" w:rsidRPr="0088502B" w:rsidRDefault="00930779" w:rsidP="00930779">
            <w:pPr>
              <w:spacing w:after="120"/>
              <w:jc w:val="left"/>
              <w:rPr>
                <w:rFonts w:asciiTheme="minorHAnsi" w:hAnsiTheme="minorHAnsi"/>
                <w:lang w:bidi="en-US"/>
              </w:rPr>
            </w:pPr>
            <w:r w:rsidRPr="0088502B">
              <w:rPr>
                <w:rFonts w:asciiTheme="minorHAnsi" w:hAnsiTheme="minorHAnsi"/>
                <w:lang w:bidi="en-US"/>
              </w:rPr>
              <w:t>The objective is to cease and reverse biodiversity loss by 2030, with the aim of attaining complete ecological restoration by 2050.</w:t>
            </w:r>
            <w:r>
              <w:rPr>
                <w:rFonts w:asciiTheme="minorHAnsi" w:hAnsiTheme="minorHAnsi"/>
                <w:lang w:bidi="en-US"/>
              </w:rPr>
              <w:t xml:space="preserve"> This initiative </w:t>
            </w:r>
            <w:r w:rsidRPr="00930779">
              <w:rPr>
                <w:rFonts w:asciiTheme="minorHAnsi" w:hAnsiTheme="minorHAnsi"/>
                <w:lang w:bidi="en-US"/>
              </w:rPr>
              <w:t>promotes ecosystem restoration by integrating NbS in national development policies.</w:t>
            </w:r>
          </w:p>
        </w:tc>
        <w:tc>
          <w:tcPr>
            <w:tcW w:w="2835" w:type="dxa"/>
          </w:tcPr>
          <w:p w14:paraId="5FBE9130" w14:textId="77777777" w:rsidR="00930779" w:rsidRPr="0088502B" w:rsidRDefault="00930779" w:rsidP="00134F2E">
            <w:pPr>
              <w:jc w:val="left"/>
              <w:rPr>
                <w:rFonts w:asciiTheme="minorHAnsi" w:hAnsiTheme="minorHAnsi"/>
                <w:lang w:bidi="en-US"/>
              </w:rPr>
            </w:pPr>
            <w:r w:rsidRPr="0088502B">
              <w:rPr>
                <w:rFonts w:asciiTheme="minorHAnsi" w:hAnsiTheme="minorHAnsi"/>
                <w:lang w:bidi="en-US"/>
              </w:rPr>
              <w:t>2022 – 2030</w:t>
            </w:r>
          </w:p>
        </w:tc>
      </w:tr>
      <w:tr w:rsidR="00930779" w:rsidRPr="0088502B" w14:paraId="09B31DCF" w14:textId="77777777" w:rsidTr="00930779">
        <w:tc>
          <w:tcPr>
            <w:tcW w:w="1815" w:type="dxa"/>
          </w:tcPr>
          <w:p w14:paraId="7A744D85" w14:textId="77777777" w:rsidR="00930779" w:rsidRPr="0088502B" w:rsidRDefault="00930779" w:rsidP="00134F2E">
            <w:pPr>
              <w:jc w:val="left"/>
              <w:rPr>
                <w:rFonts w:asciiTheme="minorHAnsi" w:hAnsiTheme="minorHAnsi"/>
                <w:lang w:bidi="en-US"/>
              </w:rPr>
            </w:pPr>
            <w:r w:rsidRPr="0088502B">
              <w:rPr>
                <w:rFonts w:asciiTheme="minorHAnsi" w:hAnsiTheme="minorHAnsi"/>
              </w:rPr>
              <w:t>GBF</w:t>
            </w:r>
          </w:p>
        </w:tc>
        <w:tc>
          <w:tcPr>
            <w:tcW w:w="4564" w:type="dxa"/>
          </w:tcPr>
          <w:p w14:paraId="5ACED29D" w14:textId="77777777" w:rsidR="00930779" w:rsidRPr="0088502B" w:rsidRDefault="00930779" w:rsidP="00930779">
            <w:pPr>
              <w:spacing w:after="120"/>
              <w:jc w:val="left"/>
              <w:rPr>
                <w:rFonts w:asciiTheme="minorHAnsi" w:hAnsiTheme="minorHAnsi"/>
                <w:lang w:bidi="en-US"/>
              </w:rPr>
            </w:pPr>
            <w:r w:rsidRPr="0088502B">
              <w:rPr>
                <w:rFonts w:asciiTheme="minorHAnsi" w:hAnsiTheme="minorHAnsi"/>
                <w:lang w:bidi="en-US"/>
              </w:rPr>
              <w:t>Accord obligating countries to cease and reverse biodiversity depletion by 2030.</w:t>
            </w:r>
            <w:r>
              <w:rPr>
                <w:rFonts w:asciiTheme="minorHAnsi" w:hAnsiTheme="minorHAnsi"/>
                <w:lang w:bidi="en-US"/>
              </w:rPr>
              <w:t xml:space="preserve"> </w:t>
            </w:r>
            <w:r w:rsidRPr="00694987">
              <w:rPr>
                <w:rFonts w:asciiTheme="minorHAnsi" w:hAnsiTheme="minorHAnsi"/>
                <w:lang w:bidi="en-US"/>
              </w:rPr>
              <w:t xml:space="preserve">comprises 23 action-oriented global priorities for urgent implementation over the decade up to 2030. </w:t>
            </w:r>
          </w:p>
        </w:tc>
        <w:tc>
          <w:tcPr>
            <w:tcW w:w="2835" w:type="dxa"/>
          </w:tcPr>
          <w:p w14:paraId="4B72AF12" w14:textId="77777777" w:rsidR="00930779" w:rsidRPr="0088502B" w:rsidRDefault="00930779" w:rsidP="00134F2E">
            <w:pPr>
              <w:jc w:val="left"/>
              <w:rPr>
                <w:rFonts w:asciiTheme="minorHAnsi" w:hAnsiTheme="minorHAnsi"/>
                <w:lang w:bidi="en-US"/>
              </w:rPr>
            </w:pPr>
            <w:r w:rsidRPr="0088502B">
              <w:rPr>
                <w:rFonts w:asciiTheme="minorHAnsi" w:hAnsiTheme="minorHAnsi"/>
                <w:lang w:bidi="en-US"/>
              </w:rPr>
              <w:t xml:space="preserve">2022 – 2030 </w:t>
            </w:r>
          </w:p>
        </w:tc>
      </w:tr>
      <w:tr w:rsidR="00930779" w:rsidRPr="0088502B" w14:paraId="469F4937" w14:textId="77777777" w:rsidTr="00930779">
        <w:trPr>
          <w:trHeight w:val="1769"/>
        </w:trPr>
        <w:tc>
          <w:tcPr>
            <w:tcW w:w="1815" w:type="dxa"/>
          </w:tcPr>
          <w:p w14:paraId="378B40A0" w14:textId="77777777" w:rsidR="00930779" w:rsidRPr="0088502B" w:rsidRDefault="00930779" w:rsidP="00134F2E">
            <w:pPr>
              <w:jc w:val="left"/>
              <w:rPr>
                <w:rFonts w:asciiTheme="minorHAnsi" w:hAnsiTheme="minorHAnsi"/>
              </w:rPr>
            </w:pPr>
            <w:r w:rsidRPr="0088502B">
              <w:rPr>
                <w:rFonts w:asciiTheme="minorHAnsi" w:hAnsiTheme="minorHAnsi"/>
              </w:rPr>
              <w:t>CRDP</w:t>
            </w:r>
          </w:p>
        </w:tc>
        <w:tc>
          <w:tcPr>
            <w:tcW w:w="4564" w:type="dxa"/>
          </w:tcPr>
          <w:p w14:paraId="743B1D54" w14:textId="77777777" w:rsidR="00930779" w:rsidRPr="0088502B" w:rsidRDefault="00930779" w:rsidP="00134F2E">
            <w:pPr>
              <w:jc w:val="left"/>
              <w:rPr>
                <w:rFonts w:asciiTheme="minorHAnsi" w:hAnsiTheme="minorHAnsi"/>
                <w:lang w:bidi="en-US"/>
              </w:rPr>
            </w:pPr>
            <w:r w:rsidRPr="0088502B">
              <w:rPr>
                <w:rFonts w:asciiTheme="minorHAnsi" w:hAnsiTheme="minorHAnsi"/>
                <w:lang w:bidi="en-US"/>
              </w:rPr>
              <w:t>a continuous process for managing alterations in climate and other influencing factors on development, integrating flexibility, innovation, and collaborative problem-solving with efficacy in reducing and adapting to climate change.</w:t>
            </w:r>
          </w:p>
        </w:tc>
        <w:tc>
          <w:tcPr>
            <w:tcW w:w="2835" w:type="dxa"/>
          </w:tcPr>
          <w:p w14:paraId="1AE10C3D" w14:textId="77777777" w:rsidR="00930779" w:rsidRPr="0088502B" w:rsidRDefault="00930779" w:rsidP="00134F2E">
            <w:pPr>
              <w:jc w:val="left"/>
              <w:rPr>
                <w:rFonts w:asciiTheme="minorHAnsi" w:hAnsiTheme="minorHAnsi"/>
                <w:lang w:bidi="en-US"/>
              </w:rPr>
            </w:pPr>
            <w:r w:rsidRPr="0088502B">
              <w:rPr>
                <w:rFonts w:asciiTheme="minorHAnsi" w:hAnsiTheme="minorHAnsi"/>
                <w:lang w:bidi="en-US"/>
              </w:rPr>
              <w:t>2014 ~</w:t>
            </w:r>
          </w:p>
        </w:tc>
      </w:tr>
    </w:tbl>
    <w:p w14:paraId="67C8A0A4" w14:textId="77777777" w:rsidR="00930779" w:rsidRPr="00B86DC0" w:rsidRDefault="00930779" w:rsidP="00930779">
      <w:pPr>
        <w:rPr>
          <w:lang w:val="en-US" w:bidi="en-US"/>
        </w:rPr>
      </w:pPr>
    </w:p>
    <w:p w14:paraId="00D3D02F" w14:textId="77777777" w:rsidR="00930779" w:rsidRPr="008F106A" w:rsidRDefault="00930779" w:rsidP="00930779">
      <w:pPr>
        <w:spacing w:after="240"/>
        <w:rPr>
          <w:lang w:val="en-US"/>
        </w:rPr>
      </w:pPr>
      <w:r w:rsidRPr="003127F8">
        <w:rPr>
          <w:b/>
          <w:bCs/>
          <w:lang w:val="en-US" w:bidi="en-US"/>
        </w:rPr>
        <w:lastRenderedPageBreak/>
        <w:t>Table S</w:t>
      </w:r>
      <w:r w:rsidRPr="003127F8">
        <w:rPr>
          <w:b/>
          <w:bCs/>
          <w:lang w:val="en-US"/>
        </w:rPr>
        <w:t>4.</w:t>
      </w:r>
      <w:r w:rsidRPr="008F106A">
        <w:rPr>
          <w:lang w:val="en-US"/>
        </w:rPr>
        <w:t xml:space="preserve"> </w:t>
      </w:r>
      <w:r w:rsidRPr="008F106A">
        <w:rPr>
          <w:lang w:val="en-US" w:bidi="en-US"/>
        </w:rPr>
        <w:t xml:space="preserve">List </w:t>
      </w:r>
      <w:r w:rsidRPr="008F106A">
        <w:rPr>
          <w:lang w:val="en-US"/>
        </w:rPr>
        <w:t>keywords of the key lessons learned</w:t>
      </w:r>
    </w:p>
    <w:tbl>
      <w:tblPr>
        <w:tblStyle w:val="a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6912"/>
      </w:tblGrid>
      <w:tr w:rsidR="00930779" w:rsidRPr="005F3D5E" w14:paraId="1A5ABB1D" w14:textId="77777777" w:rsidTr="00930779">
        <w:trPr>
          <w:trHeight w:val="466"/>
        </w:trPr>
        <w:tc>
          <w:tcPr>
            <w:tcW w:w="0" w:type="auto"/>
            <w:tcBorders>
              <w:top w:val="single" w:sz="4" w:space="0" w:color="auto"/>
              <w:bottom w:val="single" w:sz="4" w:space="0" w:color="auto"/>
            </w:tcBorders>
            <w:vAlign w:val="center"/>
            <w:hideMark/>
          </w:tcPr>
          <w:p w14:paraId="58E6560B" w14:textId="77777777" w:rsidR="00930779" w:rsidRPr="005F3D5E" w:rsidRDefault="00930779" w:rsidP="00134F2E">
            <w:pPr>
              <w:snapToGrid w:val="0"/>
              <w:jc w:val="left"/>
              <w:rPr>
                <w:rFonts w:asciiTheme="minorHAnsi" w:hAnsiTheme="minorHAnsi"/>
                <w:b/>
                <w:bCs/>
              </w:rPr>
            </w:pPr>
            <w:r w:rsidRPr="005F3D5E">
              <w:rPr>
                <w:rFonts w:asciiTheme="minorHAnsi" w:hAnsiTheme="minorHAnsi"/>
                <w:b/>
                <w:bCs/>
              </w:rPr>
              <w:t>Lessons Learned</w:t>
            </w:r>
          </w:p>
        </w:tc>
        <w:tc>
          <w:tcPr>
            <w:tcW w:w="0" w:type="auto"/>
            <w:tcBorders>
              <w:top w:val="single" w:sz="4" w:space="0" w:color="auto"/>
              <w:bottom w:val="single" w:sz="4" w:space="0" w:color="auto"/>
            </w:tcBorders>
            <w:vAlign w:val="center"/>
            <w:hideMark/>
          </w:tcPr>
          <w:p w14:paraId="177FBBF7" w14:textId="77777777" w:rsidR="00930779" w:rsidRPr="005F3D5E" w:rsidRDefault="00930779" w:rsidP="00134F2E">
            <w:pPr>
              <w:snapToGrid w:val="0"/>
              <w:jc w:val="left"/>
              <w:rPr>
                <w:rFonts w:asciiTheme="minorHAnsi" w:hAnsiTheme="minorHAnsi"/>
                <w:b/>
                <w:bCs/>
              </w:rPr>
            </w:pPr>
            <w:r w:rsidRPr="005F3D5E">
              <w:rPr>
                <w:rFonts w:asciiTheme="minorHAnsi" w:hAnsiTheme="minorHAnsi"/>
                <w:b/>
                <w:bCs/>
              </w:rPr>
              <w:t xml:space="preserve">Searched Keywords </w:t>
            </w:r>
          </w:p>
        </w:tc>
      </w:tr>
      <w:tr w:rsidR="00930779" w:rsidRPr="008F106A" w14:paraId="2FA00AEB" w14:textId="77777777" w:rsidTr="00134F2E">
        <w:tc>
          <w:tcPr>
            <w:tcW w:w="0" w:type="auto"/>
            <w:tcBorders>
              <w:top w:val="single" w:sz="4" w:space="0" w:color="auto"/>
            </w:tcBorders>
            <w:hideMark/>
          </w:tcPr>
          <w:p w14:paraId="25C90CD9" w14:textId="77777777" w:rsidR="00930779" w:rsidRPr="008F106A" w:rsidRDefault="00930779" w:rsidP="00930779">
            <w:pPr>
              <w:spacing w:after="240"/>
              <w:contextualSpacing/>
              <w:jc w:val="left"/>
              <w:rPr>
                <w:rFonts w:asciiTheme="minorHAnsi" w:hAnsiTheme="minorHAnsi"/>
              </w:rPr>
            </w:pPr>
            <w:r w:rsidRPr="008F106A">
              <w:rPr>
                <w:rFonts w:asciiTheme="minorHAnsi" w:hAnsiTheme="minorHAnsi"/>
              </w:rPr>
              <w:t>Lack of Consensus and Standardized Frameworks</w:t>
            </w:r>
          </w:p>
        </w:tc>
        <w:tc>
          <w:tcPr>
            <w:tcW w:w="0" w:type="auto"/>
            <w:tcBorders>
              <w:top w:val="single" w:sz="4" w:space="0" w:color="auto"/>
            </w:tcBorders>
            <w:hideMark/>
          </w:tcPr>
          <w:p w14:paraId="726442D7" w14:textId="31B93D62" w:rsidR="00930779" w:rsidRPr="008F106A" w:rsidRDefault="00930779" w:rsidP="00930779">
            <w:pPr>
              <w:spacing w:after="120"/>
              <w:rPr>
                <w:rFonts w:asciiTheme="minorHAnsi" w:hAnsiTheme="minorHAnsi"/>
              </w:rPr>
            </w:pPr>
            <w:r w:rsidRPr="008F106A">
              <w:rPr>
                <w:rFonts w:asciiTheme="minorHAnsi" w:hAnsiTheme="minorHAnsi"/>
              </w:rPr>
              <w:t>imperfections, ineffective, integration, standardized, standardized framework, vague framework, administration, ambiguity, universally definition, fragmented, fragmented stakeholder, guidelines, integration, holistic</w:t>
            </w:r>
          </w:p>
          <w:p w14:paraId="3DA64B35" w14:textId="77777777" w:rsidR="00930779" w:rsidRPr="008F106A" w:rsidRDefault="00930779" w:rsidP="00930779">
            <w:pPr>
              <w:spacing w:after="240"/>
              <w:contextualSpacing/>
              <w:rPr>
                <w:rFonts w:asciiTheme="minorHAnsi" w:hAnsiTheme="minorHAnsi"/>
              </w:rPr>
            </w:pPr>
          </w:p>
        </w:tc>
      </w:tr>
      <w:tr w:rsidR="00930779" w:rsidRPr="008F106A" w14:paraId="3DF5755A" w14:textId="77777777" w:rsidTr="00134F2E">
        <w:tc>
          <w:tcPr>
            <w:tcW w:w="0" w:type="auto"/>
            <w:hideMark/>
          </w:tcPr>
          <w:p w14:paraId="29CFAAF8" w14:textId="77777777" w:rsidR="00930779" w:rsidRPr="008F106A" w:rsidRDefault="00930779" w:rsidP="00930779">
            <w:pPr>
              <w:spacing w:after="240"/>
              <w:contextualSpacing/>
              <w:jc w:val="left"/>
              <w:rPr>
                <w:rFonts w:asciiTheme="minorHAnsi" w:hAnsiTheme="minorHAnsi"/>
              </w:rPr>
            </w:pPr>
            <w:r w:rsidRPr="008F106A">
              <w:rPr>
                <w:rFonts w:asciiTheme="minorHAnsi" w:hAnsiTheme="minorHAnsi"/>
              </w:rPr>
              <w:t>Stakeholder Engagement and Collaboration</w:t>
            </w:r>
          </w:p>
        </w:tc>
        <w:tc>
          <w:tcPr>
            <w:tcW w:w="0" w:type="auto"/>
            <w:hideMark/>
          </w:tcPr>
          <w:p w14:paraId="405F7F74" w14:textId="2A74AD6C" w:rsidR="00930779" w:rsidRPr="008F106A" w:rsidRDefault="00930779" w:rsidP="00930779">
            <w:pPr>
              <w:spacing w:after="120"/>
              <w:rPr>
                <w:rFonts w:asciiTheme="minorHAnsi" w:hAnsiTheme="minorHAnsi"/>
              </w:rPr>
            </w:pPr>
            <w:r w:rsidRPr="008F106A">
              <w:rPr>
                <w:rFonts w:asciiTheme="minorHAnsi" w:hAnsiTheme="minorHAnsi"/>
              </w:rPr>
              <w:t>participation, collaboration, engagement, involvement, consultation, cooperation, dialogue, interaction, communication, partnership, networking, collaborative governance, inclusive governance, community-driven, engagement strategies, collective action, social networks, organization, private sector engagement, public-private partnerships, business involvement, industry participation, corporate involvement, teamwork</w:t>
            </w:r>
          </w:p>
          <w:p w14:paraId="623FA04C" w14:textId="77777777" w:rsidR="00930779" w:rsidRPr="008F106A" w:rsidRDefault="00930779" w:rsidP="00930779">
            <w:pPr>
              <w:spacing w:after="120"/>
              <w:rPr>
                <w:rFonts w:asciiTheme="minorHAnsi" w:hAnsiTheme="minorHAnsi"/>
              </w:rPr>
            </w:pPr>
          </w:p>
        </w:tc>
      </w:tr>
      <w:tr w:rsidR="00930779" w:rsidRPr="008F106A" w14:paraId="608B3D4B" w14:textId="77777777" w:rsidTr="00134F2E">
        <w:tc>
          <w:tcPr>
            <w:tcW w:w="0" w:type="auto"/>
            <w:hideMark/>
          </w:tcPr>
          <w:p w14:paraId="0CA3CD33" w14:textId="77777777" w:rsidR="00930779" w:rsidRPr="008F106A" w:rsidRDefault="00930779" w:rsidP="00930779">
            <w:pPr>
              <w:spacing w:after="240"/>
              <w:contextualSpacing/>
              <w:jc w:val="left"/>
              <w:rPr>
                <w:rFonts w:asciiTheme="minorHAnsi" w:hAnsiTheme="minorHAnsi"/>
              </w:rPr>
            </w:pPr>
            <w:r w:rsidRPr="008F106A">
              <w:rPr>
                <w:rFonts w:asciiTheme="minorHAnsi" w:hAnsiTheme="minorHAnsi"/>
              </w:rPr>
              <w:t>Financial Constraints and Investment</w:t>
            </w:r>
          </w:p>
        </w:tc>
        <w:tc>
          <w:tcPr>
            <w:tcW w:w="0" w:type="auto"/>
            <w:hideMark/>
          </w:tcPr>
          <w:p w14:paraId="3C1B5279" w14:textId="592DD363" w:rsidR="00930779" w:rsidRPr="008F106A" w:rsidRDefault="00930779" w:rsidP="00930779">
            <w:pPr>
              <w:spacing w:after="120"/>
              <w:rPr>
                <w:rFonts w:asciiTheme="minorHAnsi" w:hAnsiTheme="minorHAnsi"/>
              </w:rPr>
            </w:pPr>
            <w:r w:rsidRPr="008F106A">
              <w:rPr>
                <w:rFonts w:asciiTheme="minorHAnsi" w:hAnsiTheme="minorHAnsi"/>
              </w:rPr>
              <w:t>financial, credit, inefficiency, evaluations, valuation, distribution, investments, discounting, budget, funding, economy, cost, resources, payment, economic valuation, cost-effectiveness, benefit-cost analysis, financial incentives, funding mechanisms, economic instruments, sustainable finance, green finance, ecosystem service markets, investment strategies, carbon market, carbon tax, carbon price, financial sustainability, national investments, global investments, corporate social responsibility, private financing, market-based solutions, private funding</w:t>
            </w:r>
          </w:p>
          <w:p w14:paraId="42DAD787" w14:textId="77777777" w:rsidR="00930779" w:rsidRPr="008F106A" w:rsidRDefault="00930779" w:rsidP="00930779">
            <w:pPr>
              <w:spacing w:after="120"/>
              <w:rPr>
                <w:rFonts w:asciiTheme="minorHAnsi" w:hAnsiTheme="minorHAnsi"/>
              </w:rPr>
            </w:pPr>
          </w:p>
        </w:tc>
      </w:tr>
      <w:tr w:rsidR="00930779" w:rsidRPr="008F106A" w14:paraId="26751982" w14:textId="77777777" w:rsidTr="00134F2E">
        <w:tc>
          <w:tcPr>
            <w:tcW w:w="0" w:type="auto"/>
            <w:hideMark/>
          </w:tcPr>
          <w:p w14:paraId="58BB62A0" w14:textId="77777777" w:rsidR="00930779" w:rsidRPr="008F106A" w:rsidRDefault="00930779" w:rsidP="00930779">
            <w:pPr>
              <w:spacing w:after="240"/>
              <w:contextualSpacing/>
              <w:jc w:val="left"/>
              <w:rPr>
                <w:rFonts w:asciiTheme="minorHAnsi" w:hAnsiTheme="minorHAnsi"/>
              </w:rPr>
            </w:pPr>
            <w:r w:rsidRPr="008F106A">
              <w:rPr>
                <w:rFonts w:asciiTheme="minorHAnsi" w:hAnsiTheme="minorHAnsi"/>
              </w:rPr>
              <w:t>Regulatory and Policy Constraints</w:t>
            </w:r>
          </w:p>
        </w:tc>
        <w:tc>
          <w:tcPr>
            <w:tcW w:w="0" w:type="auto"/>
            <w:hideMark/>
          </w:tcPr>
          <w:p w14:paraId="174D7012" w14:textId="4E135DEC" w:rsidR="00930779" w:rsidRPr="008F106A" w:rsidRDefault="00930779" w:rsidP="00930779">
            <w:pPr>
              <w:spacing w:after="120"/>
              <w:rPr>
                <w:rFonts w:asciiTheme="minorHAnsi" w:hAnsiTheme="minorHAnsi"/>
              </w:rPr>
            </w:pPr>
            <w:r w:rsidRPr="008F106A">
              <w:rPr>
                <w:rFonts w:asciiTheme="minorHAnsi" w:hAnsiTheme="minorHAnsi"/>
              </w:rPr>
              <w:t>political, complexity, non-compliance, monitoring, regulatory, bureaucracy, oversight, compliance, legislation, enforcement, procedures, policy, planning, adaptive, non-essentiality, blueprint, roadmap, guidelines, objectives, forecasting, sustainability, resilience, adaptation, vision, policy integration, strategic planning, cross-sectoral planning, spatial planning, policy coherence, regulatory</w:t>
            </w:r>
          </w:p>
          <w:p w14:paraId="1260CBBF" w14:textId="77777777" w:rsidR="00930779" w:rsidRPr="008F106A" w:rsidRDefault="00930779" w:rsidP="00930779">
            <w:pPr>
              <w:spacing w:after="120"/>
              <w:rPr>
                <w:rFonts w:asciiTheme="minorHAnsi" w:hAnsiTheme="minorHAnsi"/>
              </w:rPr>
            </w:pPr>
          </w:p>
        </w:tc>
      </w:tr>
      <w:tr w:rsidR="00930779" w:rsidRPr="008F106A" w14:paraId="71FA31AC" w14:textId="77777777" w:rsidTr="00134F2E">
        <w:tc>
          <w:tcPr>
            <w:tcW w:w="0" w:type="auto"/>
            <w:hideMark/>
          </w:tcPr>
          <w:p w14:paraId="75604FC3" w14:textId="77777777" w:rsidR="00930779" w:rsidRPr="008F106A" w:rsidRDefault="00930779" w:rsidP="00930779">
            <w:pPr>
              <w:spacing w:after="240"/>
              <w:contextualSpacing/>
              <w:jc w:val="left"/>
              <w:rPr>
                <w:rFonts w:asciiTheme="minorHAnsi" w:hAnsiTheme="minorHAnsi"/>
              </w:rPr>
            </w:pPr>
            <w:r w:rsidRPr="008F106A">
              <w:rPr>
                <w:rFonts w:asciiTheme="minorHAnsi" w:hAnsiTheme="minorHAnsi"/>
              </w:rPr>
              <w:t>Knowledge Gaps and Capacity Building</w:t>
            </w:r>
          </w:p>
        </w:tc>
        <w:tc>
          <w:tcPr>
            <w:tcW w:w="0" w:type="auto"/>
            <w:hideMark/>
          </w:tcPr>
          <w:p w14:paraId="0AE0ED3F" w14:textId="77777777" w:rsidR="00930779" w:rsidRPr="008F106A" w:rsidRDefault="00930779" w:rsidP="00930779">
            <w:pPr>
              <w:spacing w:after="240"/>
              <w:contextualSpacing/>
              <w:rPr>
                <w:rFonts w:asciiTheme="minorHAnsi" w:hAnsiTheme="minorHAnsi"/>
              </w:rPr>
            </w:pPr>
            <w:r w:rsidRPr="008F106A">
              <w:rPr>
                <w:rFonts w:asciiTheme="minorHAnsi" w:hAnsiTheme="minorHAnsi"/>
              </w:rPr>
              <w:t>silos, interdisciplinary, exclusion, cross-disciplinary, synergy, multi-disciplinary, monitoring, dynamic outcomes, learning, learning processes, adaptive learning, feedback loops, knowledge sharing, creative solutions, dynamic outcomes, iterative relationship, intentional learning, regenerative properties, transformative, innovation, novel approaches</w:t>
            </w:r>
          </w:p>
        </w:tc>
      </w:tr>
    </w:tbl>
    <w:p w14:paraId="26507EA2" w14:textId="77777777" w:rsidR="00930779" w:rsidRDefault="00930779" w:rsidP="00930779">
      <w:pPr>
        <w:spacing w:after="160" w:line="278" w:lineRule="auto"/>
        <w:jc w:val="left"/>
        <w:rPr>
          <w:b/>
          <w:bCs/>
          <w:lang w:val="en-US"/>
        </w:rPr>
      </w:pPr>
    </w:p>
    <w:p w14:paraId="7916DCF2" w14:textId="77777777" w:rsidR="00930779" w:rsidRPr="001B5C51" w:rsidRDefault="00930779" w:rsidP="00930779">
      <w:pPr>
        <w:rPr>
          <w:lang w:val="en-US"/>
        </w:rPr>
      </w:pPr>
    </w:p>
    <w:p w14:paraId="102014E5" w14:textId="0278DFB6" w:rsidR="00930779" w:rsidRDefault="00930779">
      <w:pPr>
        <w:spacing w:after="160" w:line="278" w:lineRule="auto"/>
        <w:jc w:val="left"/>
      </w:pPr>
      <w:r>
        <w:br w:type="page"/>
      </w:r>
    </w:p>
    <w:p w14:paraId="722AEF54" w14:textId="39961564" w:rsidR="003A4D2F" w:rsidRPr="00930779" w:rsidRDefault="00930779" w:rsidP="00930779">
      <w:pPr>
        <w:spacing w:line="360" w:lineRule="auto"/>
        <w:rPr>
          <w:b/>
          <w:bCs/>
        </w:rPr>
      </w:pPr>
      <w:r w:rsidRPr="00930779">
        <w:rPr>
          <w:b/>
          <w:bCs/>
        </w:rPr>
        <w:lastRenderedPageBreak/>
        <w:t>Reference</w:t>
      </w:r>
      <w:r w:rsidR="00FE0CC8">
        <w:rPr>
          <w:b/>
          <w:bCs/>
        </w:rPr>
        <w:t xml:space="preserve"> of Supplementary Material</w:t>
      </w:r>
    </w:p>
    <w:p w14:paraId="55280EA9" w14:textId="234DA67A" w:rsidR="00930779" w:rsidRDefault="00930779" w:rsidP="00D268F5">
      <w:pPr>
        <w:spacing w:after="120"/>
        <w:ind w:left="567" w:hanging="567"/>
      </w:pPr>
      <w:proofErr w:type="spellStart"/>
      <w:r>
        <w:t>Aghaloo</w:t>
      </w:r>
      <w:proofErr w:type="spellEnd"/>
      <w:r>
        <w:t xml:space="preserve">, K., Sharifi, A., Habibzadeh, N., Ali, T., &amp; Chiu, Y.-R. (2024). How nature-based solutions can enhance urban resilience to flooding and climate change and provide other co-benefits: A systematic review and taxonomy. Urban Forestry &amp; Urban Greening, 95, 128320. </w:t>
      </w:r>
      <w:hyperlink r:id="rId4" w:history="1">
        <w:r w:rsidRPr="00816686">
          <w:rPr>
            <w:rStyle w:val="ab"/>
          </w:rPr>
          <w:t>https://doi.org/10.1016/j.ufug.2024.128320</w:t>
        </w:r>
      </w:hyperlink>
      <w:r>
        <w:t xml:space="preserve"> </w:t>
      </w:r>
    </w:p>
    <w:p w14:paraId="4ECF7663" w14:textId="346E31A3" w:rsidR="00EA3CF1" w:rsidRDefault="00EA3CF1" w:rsidP="00D268F5">
      <w:pPr>
        <w:spacing w:after="120"/>
        <w:ind w:left="567" w:hanging="567"/>
      </w:pPr>
      <w:r w:rsidRPr="00EA3CF1">
        <w:t xml:space="preserve">Anupam, B. R., Sahoo, U. C., </w:t>
      </w:r>
      <w:proofErr w:type="spellStart"/>
      <w:r w:rsidRPr="00EA3CF1">
        <w:t>Chandrappa</w:t>
      </w:r>
      <w:proofErr w:type="spellEnd"/>
      <w:r w:rsidRPr="00EA3CF1">
        <w:t xml:space="preserve">, A. K., &amp; Rath, P. (2021). Emerging technologies in cool pavements: A review. Construction and Building Materials, 299, 123892. </w:t>
      </w:r>
      <w:hyperlink r:id="rId5" w:history="1">
        <w:r w:rsidRPr="00816686">
          <w:rPr>
            <w:rStyle w:val="ab"/>
          </w:rPr>
          <w:t>https://doi.org/https://doi.org/10.1016/j.conbuildmat.2021.123892</w:t>
        </w:r>
      </w:hyperlink>
      <w:r>
        <w:t xml:space="preserve"> </w:t>
      </w:r>
    </w:p>
    <w:p w14:paraId="7CC75956" w14:textId="6B6CA8AA" w:rsidR="00930779" w:rsidRDefault="00930779" w:rsidP="00D268F5">
      <w:pPr>
        <w:spacing w:after="120"/>
        <w:ind w:left="567" w:hanging="567"/>
      </w:pPr>
      <w:r>
        <w:t xml:space="preserve">Debele, S. E., Leo, L. S., Kumar, P., Sahani, J., </w:t>
      </w:r>
      <w:proofErr w:type="spellStart"/>
      <w:r>
        <w:t>Ommer</w:t>
      </w:r>
      <w:proofErr w:type="spellEnd"/>
      <w:r>
        <w:t xml:space="preserve">, J., </w:t>
      </w:r>
      <w:proofErr w:type="spellStart"/>
      <w:r>
        <w:t>Bucchignani</w:t>
      </w:r>
      <w:proofErr w:type="spellEnd"/>
      <w:r>
        <w:t xml:space="preserve">, E., Vranić, S., Kalas, M., </w:t>
      </w:r>
      <w:proofErr w:type="spellStart"/>
      <w:r>
        <w:t>Amirzada</w:t>
      </w:r>
      <w:proofErr w:type="spellEnd"/>
      <w:r>
        <w:t>, Z., Pavlova, I., Shah, M. A. R., Gonzalez-</w:t>
      </w:r>
      <w:proofErr w:type="spellStart"/>
      <w:r>
        <w:t>Ollauri</w:t>
      </w:r>
      <w:proofErr w:type="spellEnd"/>
      <w:r>
        <w:t xml:space="preserve">, A., &amp; Di Sabatino, S. (2023). Nature-based solutions can help reduce the impact of natural hazards: A global analysis of NBS case studies. Science of The Total Environment, 902, 165824. </w:t>
      </w:r>
      <w:hyperlink r:id="rId6" w:history="1">
        <w:r w:rsidRPr="00816686">
          <w:rPr>
            <w:rStyle w:val="ab"/>
          </w:rPr>
          <w:t>https://doi.org/10.1016/j.scitotenv.2023.165824</w:t>
        </w:r>
      </w:hyperlink>
      <w:r>
        <w:t xml:space="preserve">   </w:t>
      </w:r>
    </w:p>
    <w:p w14:paraId="06BB2052" w14:textId="77777777" w:rsidR="00930779" w:rsidRDefault="00930779" w:rsidP="00D268F5">
      <w:pPr>
        <w:spacing w:after="120"/>
        <w:ind w:left="567" w:hanging="567"/>
      </w:pPr>
      <w:r>
        <w:t>FAO. (2018). Grassland ecosystems: Status and trends. Rome: FAO.</w:t>
      </w:r>
    </w:p>
    <w:p w14:paraId="53D3A8CE" w14:textId="77777777" w:rsidR="00930779" w:rsidRDefault="00930779" w:rsidP="00D268F5">
      <w:pPr>
        <w:spacing w:after="120"/>
        <w:ind w:left="567" w:hanging="567"/>
      </w:pPr>
      <w:r>
        <w:t>FAO. (2019). Urban gardening: A guide to sustainable practices. Rome: FAO.</w:t>
      </w:r>
    </w:p>
    <w:p w14:paraId="79FFB775" w14:textId="77777777" w:rsidR="00930779" w:rsidRDefault="00930779" w:rsidP="00D268F5">
      <w:pPr>
        <w:spacing w:after="120"/>
        <w:ind w:left="567" w:hanging="567"/>
      </w:pPr>
      <w:r>
        <w:t>FAO. (2020). Community gardens: Promoting food security and social cohesion. Rome: FAO.</w:t>
      </w:r>
    </w:p>
    <w:p w14:paraId="622DEE6D" w14:textId="77777777" w:rsidR="00930779" w:rsidRDefault="00930779" w:rsidP="00D268F5">
      <w:pPr>
        <w:spacing w:after="120"/>
        <w:ind w:left="567" w:hanging="567"/>
      </w:pPr>
      <w:r>
        <w:t>FAO. (2020). Global farming: Trends and challenges. Rome: FAO.</w:t>
      </w:r>
    </w:p>
    <w:p w14:paraId="1720AD3B" w14:textId="77777777" w:rsidR="00930779" w:rsidRDefault="00930779" w:rsidP="00D268F5">
      <w:pPr>
        <w:spacing w:after="120"/>
        <w:ind w:left="567" w:hanging="567"/>
      </w:pPr>
      <w:r>
        <w:t>FAO. (2020). Global forest resources assessment. Rome: FAO.</w:t>
      </w:r>
    </w:p>
    <w:p w14:paraId="5BA27DE8" w14:textId="77777777" w:rsidR="00930779" w:rsidRDefault="00930779" w:rsidP="00D268F5">
      <w:pPr>
        <w:spacing w:after="120"/>
        <w:ind w:left="567" w:hanging="567"/>
      </w:pPr>
      <w:r>
        <w:t>FAO. (2021). State of agriculture: Global perspectives. Rome: FAO.</w:t>
      </w:r>
    </w:p>
    <w:p w14:paraId="03C52672" w14:textId="77777777" w:rsidR="00930779" w:rsidRDefault="00930779" w:rsidP="00D268F5">
      <w:pPr>
        <w:spacing w:after="120"/>
        <w:ind w:left="567" w:hanging="567"/>
      </w:pPr>
      <w:r>
        <w:t>FAO. (2022). Urban agriculture: Feeding cities sustainably. Rome: FAO.</w:t>
      </w:r>
    </w:p>
    <w:p w14:paraId="76B270C5" w14:textId="6002A799" w:rsidR="002E7A6D" w:rsidRDefault="002E7A6D" w:rsidP="00D268F5">
      <w:pPr>
        <w:spacing w:after="120"/>
        <w:ind w:left="567" w:hanging="567"/>
      </w:pPr>
      <w:r w:rsidRPr="002E7A6D">
        <w:t>Horte, O. S., &amp; Eisenman, T. S. (2020). Urban Greenways: A Systematic Review and Typology. Land, 9(2).</w:t>
      </w:r>
    </w:p>
    <w:p w14:paraId="203CFA8D" w14:textId="15D52DA3" w:rsidR="00116AE9" w:rsidRDefault="00116AE9" w:rsidP="00D268F5">
      <w:pPr>
        <w:spacing w:after="120"/>
        <w:ind w:left="567" w:hanging="567"/>
      </w:pPr>
      <w:proofErr w:type="spellStart"/>
      <w:r w:rsidRPr="00116AE9">
        <w:t>Ishimatsu</w:t>
      </w:r>
      <w:proofErr w:type="spellEnd"/>
      <w:r w:rsidRPr="00116AE9">
        <w:t xml:space="preserve">, K., Ito, K., Mitani, Y., Tanaka, Y., Sugahara, T., &amp; Naka, Y. (2017). Use of rain gardens for stormwater management in urban design and planning. Landscape and Ecological Engineering, 13(1), 205-212. </w:t>
      </w:r>
      <w:hyperlink r:id="rId7" w:history="1">
        <w:r w:rsidRPr="00816686">
          <w:rPr>
            <w:rStyle w:val="ab"/>
          </w:rPr>
          <w:t>https://doi.org/10.1007/s11355-016-0309-3</w:t>
        </w:r>
      </w:hyperlink>
      <w:r>
        <w:t xml:space="preserve"> </w:t>
      </w:r>
    </w:p>
    <w:p w14:paraId="3D608BE0" w14:textId="77777777" w:rsidR="00930779" w:rsidRDefault="00930779" w:rsidP="00D268F5">
      <w:pPr>
        <w:spacing w:after="120"/>
        <w:ind w:left="567" w:hanging="567"/>
      </w:pPr>
      <w:r>
        <w:t>IUCN. (2020). Alpine ecosystems: Challenges and conservation. Retrieved from </w:t>
      </w:r>
      <w:hyperlink r:id="rId8" w:history="1">
        <w:r w:rsidRPr="00816686">
          <w:rPr>
            <w:rStyle w:val="ab"/>
          </w:rPr>
          <w:t>https://www.iucn.org</w:t>
        </w:r>
      </w:hyperlink>
      <w:r>
        <w:t xml:space="preserve"> (Accessed on March 10</w:t>
      </w:r>
      <w:r w:rsidRPr="00FF06F7">
        <w:rPr>
          <w:vertAlign w:val="superscript"/>
        </w:rPr>
        <w:t>th</w:t>
      </w:r>
      <w:r>
        <w:t>, 2025)</w:t>
      </w:r>
    </w:p>
    <w:p w14:paraId="3BE2ED83" w14:textId="77777777" w:rsidR="00930779" w:rsidRDefault="00930779" w:rsidP="00D268F5">
      <w:pPr>
        <w:spacing w:after="120"/>
        <w:ind w:left="567" w:hanging="567"/>
      </w:pPr>
      <w:r>
        <w:t>IUCN. (2021). Green corridors: Enhancing habitat connectivity. Retrieved from </w:t>
      </w:r>
      <w:hyperlink r:id="rId9" w:history="1">
        <w:r w:rsidRPr="00816686">
          <w:rPr>
            <w:rStyle w:val="ab"/>
          </w:rPr>
          <w:t>https://www.iucn.org</w:t>
        </w:r>
      </w:hyperlink>
      <w:r>
        <w:t xml:space="preserve"> (Accessed on March 10</w:t>
      </w:r>
      <w:r w:rsidRPr="00FF06F7">
        <w:rPr>
          <w:vertAlign w:val="superscript"/>
        </w:rPr>
        <w:t>th</w:t>
      </w:r>
      <w:r>
        <w:t>, 2025)</w:t>
      </w:r>
    </w:p>
    <w:p w14:paraId="0BBE8BF7" w14:textId="77777777" w:rsidR="00930779" w:rsidRDefault="00930779" w:rsidP="00D268F5">
      <w:pPr>
        <w:spacing w:after="120"/>
        <w:ind w:left="567" w:hanging="567"/>
      </w:pPr>
      <w:r>
        <w:t>IUCN. (2021). Urban biodiversity: Integrating nature into cities. Retrieved from </w:t>
      </w:r>
      <w:hyperlink r:id="rId10" w:history="1">
        <w:r w:rsidRPr="00816686">
          <w:rPr>
            <w:rStyle w:val="ab"/>
          </w:rPr>
          <w:t>https://www.iucn.org</w:t>
        </w:r>
      </w:hyperlink>
      <w:r>
        <w:t xml:space="preserve"> (Accessed on March 10</w:t>
      </w:r>
      <w:r w:rsidRPr="00FF06F7">
        <w:rPr>
          <w:vertAlign w:val="superscript"/>
        </w:rPr>
        <w:t>th</w:t>
      </w:r>
      <w:r>
        <w:t>, 2025)</w:t>
      </w:r>
    </w:p>
    <w:p w14:paraId="29DD59FF" w14:textId="67463846" w:rsidR="00D268F5" w:rsidRDefault="00D268F5" w:rsidP="00D268F5">
      <w:pPr>
        <w:spacing w:after="120"/>
        <w:ind w:left="567" w:hanging="567"/>
      </w:pPr>
      <w:r w:rsidRPr="00D268F5">
        <w:t xml:space="preserve">Livesley, S. J., McPherson, E. G., &amp; </w:t>
      </w:r>
      <w:proofErr w:type="spellStart"/>
      <w:r w:rsidRPr="00D268F5">
        <w:t>Calfapietra</w:t>
      </w:r>
      <w:proofErr w:type="spellEnd"/>
      <w:r w:rsidRPr="00D268F5">
        <w:t xml:space="preserve">, C. (2016). The Urban Forest and Ecosystem Services: Impacts on Urban Water, Heat, and Pollution Cycles at the Tree, Street, and City Scale [https://doi.org/10.2134/jeq2015.11.0567]. Journal of Environmental Quality, 45(1), 119-124. </w:t>
      </w:r>
      <w:hyperlink r:id="rId11" w:history="1">
        <w:r w:rsidRPr="00816686">
          <w:rPr>
            <w:rStyle w:val="ab"/>
          </w:rPr>
          <w:t>https://doi.org/https://doi.org/10.2134/jeq2015.11.0567</w:t>
        </w:r>
      </w:hyperlink>
      <w:r>
        <w:t xml:space="preserve"> </w:t>
      </w:r>
    </w:p>
    <w:p w14:paraId="2D3C86EA" w14:textId="38CC1A56" w:rsidR="004830A4" w:rsidRDefault="004830A4" w:rsidP="00D268F5">
      <w:pPr>
        <w:spacing w:after="120"/>
        <w:ind w:left="567" w:hanging="567"/>
      </w:pPr>
      <w:r w:rsidRPr="004830A4">
        <w:t xml:space="preserve">Mullaney, J., &amp; Lucke, T. (2014). Practical Review of Pervious Pavement Designs [https://doi.org/10.1002/clen.201300118]. CLEAN – Soil, Air, Water, 42(2), 111-124. </w:t>
      </w:r>
      <w:hyperlink r:id="rId12" w:history="1">
        <w:r w:rsidRPr="00816686">
          <w:rPr>
            <w:rStyle w:val="ab"/>
          </w:rPr>
          <w:t>https://doi.org/https://doi.org/10.1002/clen.201300118</w:t>
        </w:r>
      </w:hyperlink>
      <w:r>
        <w:t xml:space="preserve"> </w:t>
      </w:r>
    </w:p>
    <w:p w14:paraId="280C4040" w14:textId="77777777" w:rsidR="00930779" w:rsidRDefault="00930779" w:rsidP="00D268F5">
      <w:pPr>
        <w:spacing w:after="120"/>
        <w:ind w:left="567" w:hanging="567"/>
      </w:pPr>
      <w:r>
        <w:t>National Geographic. (2018). Alpine meadows: Biodiversity hotspots. Retrieved from </w:t>
      </w:r>
      <w:hyperlink r:id="rId13" w:history="1">
        <w:r w:rsidRPr="00816686">
          <w:rPr>
            <w:rStyle w:val="ab"/>
          </w:rPr>
          <w:t>https://www.nationalgeographic.com</w:t>
        </w:r>
      </w:hyperlink>
      <w:r>
        <w:t xml:space="preserve"> (Accessed on March 10</w:t>
      </w:r>
      <w:r w:rsidRPr="00FF06F7">
        <w:rPr>
          <w:vertAlign w:val="superscript"/>
        </w:rPr>
        <w:t>th</w:t>
      </w:r>
      <w:r>
        <w:t>, 2025)</w:t>
      </w:r>
    </w:p>
    <w:p w14:paraId="79098F98" w14:textId="77777777" w:rsidR="00930779" w:rsidRDefault="00930779" w:rsidP="00D268F5">
      <w:pPr>
        <w:spacing w:after="120"/>
        <w:ind w:left="567" w:hanging="567"/>
      </w:pPr>
      <w:r>
        <w:t>NOAA. (2021). Coral reef conservation program. Retrieved from </w:t>
      </w:r>
      <w:hyperlink r:id="rId14" w:history="1">
        <w:r w:rsidRPr="00816686">
          <w:rPr>
            <w:rStyle w:val="ab"/>
          </w:rPr>
          <w:t>https://www.noaa.gov</w:t>
        </w:r>
      </w:hyperlink>
      <w:r>
        <w:t xml:space="preserve"> (Accessed on March 10</w:t>
      </w:r>
      <w:r w:rsidRPr="00FF06F7">
        <w:rPr>
          <w:vertAlign w:val="superscript"/>
        </w:rPr>
        <w:t>th</w:t>
      </w:r>
      <w:r>
        <w:t>, 2025)</w:t>
      </w:r>
    </w:p>
    <w:p w14:paraId="0274BA6C" w14:textId="1EB3A4C4" w:rsidR="0076238D" w:rsidRDefault="0076238D" w:rsidP="00D268F5">
      <w:pPr>
        <w:spacing w:after="120"/>
        <w:ind w:left="567" w:hanging="567"/>
      </w:pPr>
      <w:r w:rsidRPr="0076238D">
        <w:lastRenderedPageBreak/>
        <w:t xml:space="preserve">Ponte, S., Sonti, N. F., Phillips, T. H., &amp; Pavao-Zuckerman, M. A. (2021). Transpiration rates of red maple (Acer rubrum L.) differ between management contexts in urban forests of Maryland, USA. Scientific Reports, 11(1), 22538. </w:t>
      </w:r>
      <w:hyperlink r:id="rId15" w:history="1">
        <w:r w:rsidRPr="00816686">
          <w:rPr>
            <w:rStyle w:val="ab"/>
          </w:rPr>
          <w:t>https://doi.org/10.1038/s41598-021-01804-3</w:t>
        </w:r>
      </w:hyperlink>
      <w:r>
        <w:t xml:space="preserve"> </w:t>
      </w:r>
    </w:p>
    <w:p w14:paraId="7ED6AAD5" w14:textId="77777777" w:rsidR="00930779" w:rsidRDefault="00930779" w:rsidP="00D268F5">
      <w:pPr>
        <w:spacing w:after="120"/>
        <w:ind w:left="567" w:hanging="567"/>
      </w:pPr>
      <w:r>
        <w:t>Ramsar Convention. (2019). Peat bog ecosystems. Retrieved from </w:t>
      </w:r>
      <w:hyperlink r:id="rId16" w:history="1">
        <w:r w:rsidRPr="00816686">
          <w:rPr>
            <w:rStyle w:val="ab"/>
          </w:rPr>
          <w:t>https://www.ramsar.org</w:t>
        </w:r>
      </w:hyperlink>
      <w:r>
        <w:t xml:space="preserve"> (Accessed on March 10</w:t>
      </w:r>
      <w:r w:rsidRPr="00FF06F7">
        <w:rPr>
          <w:vertAlign w:val="superscript"/>
        </w:rPr>
        <w:t>th</w:t>
      </w:r>
      <w:r>
        <w:t>, 2025)</w:t>
      </w:r>
    </w:p>
    <w:p w14:paraId="3F7C09F3" w14:textId="0CB3DEE6" w:rsidR="00E219F2" w:rsidRDefault="00E219F2" w:rsidP="00D268F5">
      <w:pPr>
        <w:spacing w:after="120"/>
        <w:ind w:left="567" w:hanging="567"/>
      </w:pPr>
      <w:r w:rsidRPr="00E219F2">
        <w:t xml:space="preserve">Sharma, A. (2015). Urban greenways: Operationalizing design syntax and integrating mathematics and science in design. Frontiers of Architectural Research, 4(1), 24-34. </w:t>
      </w:r>
      <w:hyperlink r:id="rId17" w:history="1">
        <w:r w:rsidRPr="00816686">
          <w:rPr>
            <w:rStyle w:val="ab"/>
          </w:rPr>
          <w:t>https://doi.org/https://doi.org/10.1016/j.foar.2014.11.002</w:t>
        </w:r>
      </w:hyperlink>
      <w:r>
        <w:t xml:space="preserve"> </w:t>
      </w:r>
    </w:p>
    <w:p w14:paraId="0C64ADE2" w14:textId="77777777" w:rsidR="00930779" w:rsidRDefault="00930779" w:rsidP="00D268F5">
      <w:pPr>
        <w:spacing w:after="120"/>
        <w:ind w:left="567" w:hanging="567"/>
      </w:pPr>
      <w:r>
        <w:t>Sustainable Urban Drainage Systems (SUDS). (2018). SUDS handbook. Retrieved from </w:t>
      </w:r>
      <w:hyperlink r:id="rId18" w:history="1">
        <w:r w:rsidRPr="00816686">
          <w:rPr>
            <w:rStyle w:val="ab"/>
          </w:rPr>
          <w:t>https://www.susdrain.org</w:t>
        </w:r>
      </w:hyperlink>
      <w:r>
        <w:t xml:space="preserve"> (Accessed on March 10</w:t>
      </w:r>
      <w:r w:rsidRPr="00FF06F7">
        <w:rPr>
          <w:vertAlign w:val="superscript"/>
        </w:rPr>
        <w:t>th</w:t>
      </w:r>
      <w:r>
        <w:t>, 2025)</w:t>
      </w:r>
    </w:p>
    <w:p w14:paraId="0D6F7E5D" w14:textId="77777777" w:rsidR="00930779" w:rsidRDefault="00930779" w:rsidP="00D268F5">
      <w:pPr>
        <w:spacing w:after="120"/>
        <w:ind w:left="567" w:hanging="567"/>
      </w:pPr>
      <w:r>
        <w:t>UK Allotment Society. (2019). Allotment gardening: A community approach. London: UK Allotment Society.</w:t>
      </w:r>
    </w:p>
    <w:p w14:paraId="094F5F4D" w14:textId="77777777" w:rsidR="00930779" w:rsidRDefault="00930779" w:rsidP="00D268F5">
      <w:pPr>
        <w:spacing w:after="120"/>
        <w:ind w:left="567" w:hanging="567"/>
      </w:pPr>
      <w:r>
        <w:t>UK Government. (2020). Green belt policy framework. London: UK Government.</w:t>
      </w:r>
    </w:p>
    <w:p w14:paraId="4507B236" w14:textId="77777777" w:rsidR="00930779" w:rsidRDefault="00930779" w:rsidP="00D268F5">
      <w:pPr>
        <w:spacing w:after="120"/>
        <w:ind w:left="567" w:hanging="567"/>
      </w:pPr>
      <w:r>
        <w:t>UN-Habitat. (2021). Eco-cities: Building sustainable urban futures. Nairobi: UN-Habitat.</w:t>
      </w:r>
    </w:p>
    <w:p w14:paraId="534CA605" w14:textId="77777777" w:rsidR="00930779" w:rsidRDefault="00930779" w:rsidP="00D268F5">
      <w:pPr>
        <w:spacing w:after="120"/>
        <w:ind w:left="567" w:hanging="567"/>
      </w:pPr>
      <w:r>
        <w:t>UN-Habitat. (2021). Urban green spaces: Enhancing city resilience. Nairobi: UN-Habitat.</w:t>
      </w:r>
    </w:p>
    <w:p w14:paraId="3E89F6F1" w14:textId="77777777" w:rsidR="00930779" w:rsidRDefault="00930779" w:rsidP="00D268F5">
      <w:pPr>
        <w:spacing w:after="120"/>
        <w:ind w:left="567" w:hanging="567"/>
      </w:pPr>
      <w:r>
        <w:t>UNESCO. (2021). Karst ecosystems: Global significance. Paris: UNESCO.</w:t>
      </w:r>
    </w:p>
    <w:p w14:paraId="4DD34F52" w14:textId="77777777" w:rsidR="00930779" w:rsidRDefault="00930779" w:rsidP="00D268F5">
      <w:pPr>
        <w:spacing w:after="120"/>
        <w:ind w:left="567" w:hanging="567"/>
      </w:pPr>
      <w:r>
        <w:t>US EPA. (2019). Stream restoration guidelines. Washington, DC: US EPA.</w:t>
      </w:r>
    </w:p>
    <w:p w14:paraId="3E96D97A" w14:textId="77777777" w:rsidR="00930779" w:rsidRDefault="00930779" w:rsidP="00D268F5">
      <w:pPr>
        <w:spacing w:after="120"/>
        <w:ind w:left="567" w:hanging="567"/>
      </w:pPr>
      <w:r>
        <w:t>WWF. (2017). Savanna ecosystems: Biodiversity and conservation. Gland, Switzerland: WWF.</w:t>
      </w:r>
    </w:p>
    <w:p w14:paraId="3C21EB3F" w14:textId="77777777" w:rsidR="00930779" w:rsidRDefault="00930779" w:rsidP="00D268F5">
      <w:pPr>
        <w:spacing w:after="120"/>
        <w:ind w:left="567" w:hanging="567"/>
      </w:pPr>
      <w:r>
        <w:t>WWF. (2022). Rainforest conservation: Challenges and solutions. Gland, Switzerland: WWF.</w:t>
      </w:r>
    </w:p>
    <w:p w14:paraId="466828C4" w14:textId="6B466496" w:rsidR="00EA1903" w:rsidRDefault="00EA1903" w:rsidP="00D268F5">
      <w:pPr>
        <w:spacing w:after="120"/>
        <w:ind w:left="567" w:hanging="567"/>
      </w:pPr>
      <w:r w:rsidRPr="00EA1903">
        <w:t>Zhang, Y., Zhao, W., Chen, X., Jun, C., Hao, J., Tang, X., &amp; Zhai, J. (2021). Assessment on the Effectiveness of Urban Stormwater Management. Water, 13(1).</w:t>
      </w:r>
    </w:p>
    <w:p w14:paraId="1965101E" w14:textId="77777777" w:rsidR="00930779" w:rsidRDefault="00930779" w:rsidP="00D268F5">
      <w:pPr>
        <w:spacing w:after="120"/>
      </w:pPr>
    </w:p>
    <w:sectPr w:rsidR="00930779" w:rsidSect="00930779">
      <w:pgSz w:w="11901" w:h="16817"/>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79"/>
    <w:rsid w:val="000B0F9C"/>
    <w:rsid w:val="00116AE9"/>
    <w:rsid w:val="002100D1"/>
    <w:rsid w:val="002E42F7"/>
    <w:rsid w:val="002E7A6D"/>
    <w:rsid w:val="003127F8"/>
    <w:rsid w:val="003A4D2F"/>
    <w:rsid w:val="004830A4"/>
    <w:rsid w:val="004F3A77"/>
    <w:rsid w:val="00647D57"/>
    <w:rsid w:val="0071150F"/>
    <w:rsid w:val="0076238D"/>
    <w:rsid w:val="00777EC4"/>
    <w:rsid w:val="007A0D44"/>
    <w:rsid w:val="00827836"/>
    <w:rsid w:val="008D2FC0"/>
    <w:rsid w:val="00930779"/>
    <w:rsid w:val="0099536F"/>
    <w:rsid w:val="00D268F5"/>
    <w:rsid w:val="00E219F2"/>
    <w:rsid w:val="00E3291F"/>
    <w:rsid w:val="00EA1903"/>
    <w:rsid w:val="00EA3CF1"/>
    <w:rsid w:val="00F11F2A"/>
    <w:rsid w:val="00F447AE"/>
    <w:rsid w:val="00FE0CC8"/>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75DA84"/>
  <w15:chartTrackingRefBased/>
  <w15:docId w15:val="{4B81DB37-A462-F84A-AAA9-DA2EDA21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779"/>
    <w:pPr>
      <w:spacing w:after="0" w:line="240" w:lineRule="auto"/>
      <w:jc w:val="both"/>
    </w:pPr>
    <w:rPr>
      <w:sz w:val="22"/>
    </w:rPr>
  </w:style>
  <w:style w:type="paragraph" w:styleId="1">
    <w:name w:val="heading 1"/>
    <w:basedOn w:val="a"/>
    <w:next w:val="a"/>
    <w:link w:val="10"/>
    <w:uiPriority w:val="9"/>
    <w:qFormat/>
    <w:rsid w:val="00930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30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3077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3077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3077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3077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3077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3077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3077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077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93077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930779"/>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930779"/>
    <w:rPr>
      <w:rFonts w:eastAsiaTheme="majorEastAsia" w:cstheme="majorBidi"/>
      <w:i/>
      <w:iCs/>
      <w:color w:val="0F4761" w:themeColor="accent1" w:themeShade="BF"/>
    </w:rPr>
  </w:style>
  <w:style w:type="character" w:customStyle="1" w:styleId="50">
    <w:name w:val="見出し 5 (文字)"/>
    <w:basedOn w:val="a0"/>
    <w:link w:val="5"/>
    <w:uiPriority w:val="9"/>
    <w:semiHidden/>
    <w:rsid w:val="00930779"/>
    <w:rPr>
      <w:rFonts w:eastAsiaTheme="majorEastAsia" w:cstheme="majorBidi"/>
      <w:color w:val="0F4761" w:themeColor="accent1" w:themeShade="BF"/>
    </w:rPr>
  </w:style>
  <w:style w:type="character" w:customStyle="1" w:styleId="60">
    <w:name w:val="見出し 6 (文字)"/>
    <w:basedOn w:val="a0"/>
    <w:link w:val="6"/>
    <w:uiPriority w:val="9"/>
    <w:semiHidden/>
    <w:rsid w:val="00930779"/>
    <w:rPr>
      <w:rFonts w:eastAsiaTheme="majorEastAsia" w:cstheme="majorBidi"/>
      <w:i/>
      <w:iCs/>
      <w:color w:val="595959" w:themeColor="text1" w:themeTint="A6"/>
    </w:rPr>
  </w:style>
  <w:style w:type="character" w:customStyle="1" w:styleId="70">
    <w:name w:val="見出し 7 (文字)"/>
    <w:basedOn w:val="a0"/>
    <w:link w:val="7"/>
    <w:uiPriority w:val="9"/>
    <w:semiHidden/>
    <w:rsid w:val="00930779"/>
    <w:rPr>
      <w:rFonts w:eastAsiaTheme="majorEastAsia" w:cstheme="majorBidi"/>
      <w:color w:val="595959" w:themeColor="text1" w:themeTint="A6"/>
    </w:rPr>
  </w:style>
  <w:style w:type="character" w:customStyle="1" w:styleId="80">
    <w:name w:val="見出し 8 (文字)"/>
    <w:basedOn w:val="a0"/>
    <w:link w:val="8"/>
    <w:uiPriority w:val="9"/>
    <w:semiHidden/>
    <w:rsid w:val="00930779"/>
    <w:rPr>
      <w:rFonts w:eastAsiaTheme="majorEastAsia" w:cstheme="majorBidi"/>
      <w:i/>
      <w:iCs/>
      <w:color w:val="272727" w:themeColor="text1" w:themeTint="D8"/>
    </w:rPr>
  </w:style>
  <w:style w:type="character" w:customStyle="1" w:styleId="90">
    <w:name w:val="見出し 9 (文字)"/>
    <w:basedOn w:val="a0"/>
    <w:link w:val="9"/>
    <w:uiPriority w:val="9"/>
    <w:semiHidden/>
    <w:rsid w:val="00930779"/>
    <w:rPr>
      <w:rFonts w:eastAsiaTheme="majorEastAsia" w:cstheme="majorBidi"/>
      <w:color w:val="272727" w:themeColor="text1" w:themeTint="D8"/>
    </w:rPr>
  </w:style>
  <w:style w:type="paragraph" w:styleId="a3">
    <w:name w:val="Title"/>
    <w:basedOn w:val="a"/>
    <w:next w:val="a"/>
    <w:link w:val="a4"/>
    <w:uiPriority w:val="10"/>
    <w:qFormat/>
    <w:rsid w:val="00930779"/>
    <w:pPr>
      <w:spacing w:after="80"/>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07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0779"/>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93077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30779"/>
    <w:pPr>
      <w:spacing w:before="160"/>
      <w:jc w:val="center"/>
    </w:pPr>
    <w:rPr>
      <w:i/>
      <w:iCs/>
      <w:color w:val="404040" w:themeColor="text1" w:themeTint="BF"/>
    </w:rPr>
  </w:style>
  <w:style w:type="character" w:customStyle="1" w:styleId="a8">
    <w:name w:val="引用文 (文字)"/>
    <w:basedOn w:val="a0"/>
    <w:link w:val="a7"/>
    <w:uiPriority w:val="29"/>
    <w:rsid w:val="00930779"/>
    <w:rPr>
      <w:i/>
      <w:iCs/>
      <w:color w:val="404040" w:themeColor="text1" w:themeTint="BF"/>
    </w:rPr>
  </w:style>
  <w:style w:type="paragraph" w:styleId="a9">
    <w:name w:val="List Paragraph"/>
    <w:basedOn w:val="a"/>
    <w:uiPriority w:val="34"/>
    <w:qFormat/>
    <w:rsid w:val="00930779"/>
    <w:pPr>
      <w:ind w:left="720"/>
      <w:contextualSpacing/>
    </w:pPr>
  </w:style>
  <w:style w:type="character" w:styleId="21">
    <w:name w:val="Intense Emphasis"/>
    <w:basedOn w:val="a0"/>
    <w:uiPriority w:val="21"/>
    <w:qFormat/>
    <w:rsid w:val="00930779"/>
    <w:rPr>
      <w:i/>
      <w:iCs/>
      <w:color w:val="0F4761" w:themeColor="accent1" w:themeShade="BF"/>
    </w:rPr>
  </w:style>
  <w:style w:type="paragraph" w:styleId="22">
    <w:name w:val="Intense Quote"/>
    <w:basedOn w:val="a"/>
    <w:next w:val="a"/>
    <w:link w:val="23"/>
    <w:uiPriority w:val="30"/>
    <w:qFormat/>
    <w:rsid w:val="00930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30779"/>
    <w:rPr>
      <w:i/>
      <w:iCs/>
      <w:color w:val="0F4761" w:themeColor="accent1" w:themeShade="BF"/>
    </w:rPr>
  </w:style>
  <w:style w:type="character" w:styleId="24">
    <w:name w:val="Intense Reference"/>
    <w:basedOn w:val="a0"/>
    <w:uiPriority w:val="32"/>
    <w:qFormat/>
    <w:rsid w:val="00930779"/>
    <w:rPr>
      <w:b/>
      <w:bCs/>
      <w:smallCaps/>
      <w:color w:val="0F4761" w:themeColor="accent1" w:themeShade="BF"/>
      <w:spacing w:val="5"/>
    </w:rPr>
  </w:style>
  <w:style w:type="character" w:styleId="aa">
    <w:name w:val="annotation reference"/>
    <w:rsid w:val="00930779"/>
    <w:rPr>
      <w:sz w:val="21"/>
      <w:szCs w:val="21"/>
    </w:rPr>
  </w:style>
  <w:style w:type="character" w:styleId="ab">
    <w:name w:val="Hyperlink"/>
    <w:uiPriority w:val="99"/>
    <w:rsid w:val="00930779"/>
    <w:rPr>
      <w:color w:val="0000FF"/>
      <w:u w:val="single"/>
    </w:rPr>
  </w:style>
  <w:style w:type="paragraph" w:styleId="ac">
    <w:name w:val="annotation text"/>
    <w:basedOn w:val="a"/>
    <w:link w:val="ad"/>
    <w:uiPriority w:val="99"/>
    <w:unhideWhenUsed/>
    <w:rsid w:val="00930779"/>
    <w:rPr>
      <w:sz w:val="20"/>
      <w:szCs w:val="20"/>
    </w:rPr>
  </w:style>
  <w:style w:type="character" w:customStyle="1" w:styleId="ad">
    <w:name w:val="コメント文字列 (文字)"/>
    <w:basedOn w:val="a0"/>
    <w:link w:val="ac"/>
    <w:uiPriority w:val="99"/>
    <w:rsid w:val="00930779"/>
    <w:rPr>
      <w:sz w:val="20"/>
      <w:szCs w:val="20"/>
    </w:rPr>
  </w:style>
  <w:style w:type="table" w:styleId="ae">
    <w:name w:val="Table Grid"/>
    <w:basedOn w:val="a1"/>
    <w:uiPriority w:val="39"/>
    <w:rsid w:val="00930779"/>
    <w:pPr>
      <w:spacing w:after="0" w:line="260" w:lineRule="atLeast"/>
      <w:jc w:val="both"/>
    </w:pPr>
    <w:rPr>
      <w:rFonts w:ascii="Palatino Linotype" w:eastAsia="SimSun" w:hAnsi="Palatino Linotype" w:cs="Times New Roman"/>
      <w:color w:val="000000"/>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0"/>
    <w:uiPriority w:val="99"/>
    <w:semiHidden/>
    <w:unhideWhenUsed/>
    <w:rsid w:val="00930779"/>
  </w:style>
  <w:style w:type="character" w:styleId="af0">
    <w:name w:val="Unresolved Mention"/>
    <w:basedOn w:val="a0"/>
    <w:uiPriority w:val="99"/>
    <w:semiHidden/>
    <w:unhideWhenUsed/>
    <w:rsid w:val="00930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187209">
      <w:bodyDiv w:val="1"/>
      <w:marLeft w:val="0"/>
      <w:marRight w:val="0"/>
      <w:marTop w:val="0"/>
      <w:marBottom w:val="0"/>
      <w:divBdr>
        <w:top w:val="none" w:sz="0" w:space="0" w:color="auto"/>
        <w:left w:val="none" w:sz="0" w:space="0" w:color="auto"/>
        <w:bottom w:val="none" w:sz="0" w:space="0" w:color="auto"/>
        <w:right w:val="none" w:sz="0" w:space="0" w:color="auto"/>
      </w:divBdr>
    </w:div>
    <w:div w:id="193975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cn.org" TargetMode="External"/><Relationship Id="rId13" Type="http://schemas.openxmlformats.org/officeDocument/2006/relationships/hyperlink" Target="https://www.nationalgeographic.com" TargetMode="External"/><Relationship Id="rId18" Type="http://schemas.openxmlformats.org/officeDocument/2006/relationships/hyperlink" Target="https://www.susdrain.org" TargetMode="External"/><Relationship Id="rId3" Type="http://schemas.openxmlformats.org/officeDocument/2006/relationships/webSettings" Target="webSettings.xml"/><Relationship Id="rId7" Type="http://schemas.openxmlformats.org/officeDocument/2006/relationships/hyperlink" Target="https://doi.org/10.1007/s11355-016-0309-3" TargetMode="External"/><Relationship Id="rId12" Type="http://schemas.openxmlformats.org/officeDocument/2006/relationships/hyperlink" Target="https://doi.org/https://doi.org/10.1002/clen.201300118" TargetMode="External"/><Relationship Id="rId17" Type="http://schemas.openxmlformats.org/officeDocument/2006/relationships/hyperlink" Target="https://doi.org/https://doi.org/10.1016/j.foar.2014.11.002" TargetMode="External"/><Relationship Id="rId2" Type="http://schemas.openxmlformats.org/officeDocument/2006/relationships/settings" Target="settings.xml"/><Relationship Id="rId16" Type="http://schemas.openxmlformats.org/officeDocument/2006/relationships/hyperlink" Target="https://www.ramsar.or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016/j.scitotenv.2023.165824" TargetMode="External"/><Relationship Id="rId11" Type="http://schemas.openxmlformats.org/officeDocument/2006/relationships/hyperlink" Target="https://doi.org/https://doi.org/10.2134/jeq2015.11.0567" TargetMode="External"/><Relationship Id="rId5" Type="http://schemas.openxmlformats.org/officeDocument/2006/relationships/hyperlink" Target="https://doi.org/https://doi.org/10.1016/j.conbuildmat.2021.123892" TargetMode="External"/><Relationship Id="rId15" Type="http://schemas.openxmlformats.org/officeDocument/2006/relationships/hyperlink" Target="https://doi.org/10.1038/s41598-021-01804-3" TargetMode="External"/><Relationship Id="rId10" Type="http://schemas.openxmlformats.org/officeDocument/2006/relationships/hyperlink" Target="https://www.iucn.org" TargetMode="External"/><Relationship Id="rId19" Type="http://schemas.openxmlformats.org/officeDocument/2006/relationships/fontTable" Target="fontTable.xml"/><Relationship Id="rId4" Type="http://schemas.openxmlformats.org/officeDocument/2006/relationships/hyperlink" Target="https://doi.org/10.1016/j.ufug.2024.128320" TargetMode="External"/><Relationship Id="rId9" Type="http://schemas.openxmlformats.org/officeDocument/2006/relationships/hyperlink" Target="https://www.iucn.org" TargetMode="External"/><Relationship Id="rId14" Type="http://schemas.openxmlformats.org/officeDocument/2006/relationships/hyperlink" Target="https://www.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2818</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ATMAJA Tri</dc:creator>
  <cp:keywords/>
  <dc:description/>
  <cp:lastModifiedBy>Noriko Akita</cp:lastModifiedBy>
  <cp:revision>2</cp:revision>
  <dcterms:created xsi:type="dcterms:W3CDTF">2025-09-29T04:20:00Z</dcterms:created>
  <dcterms:modified xsi:type="dcterms:W3CDTF">2025-09-29T04:20:00Z</dcterms:modified>
</cp:coreProperties>
</file>