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BCF0B" w14:textId="77777777" w:rsidR="00C91DE8" w:rsidRDefault="00C91DE8">
      <w:pPr>
        <w:rPr>
          <w:rFonts w:ascii="Calibri" w:hAnsi="Calibri" w:cs="Calibri"/>
          <w:sz w:val="22"/>
          <w:szCs w:val="22"/>
        </w:rPr>
      </w:pPr>
    </w:p>
    <w:p w14:paraId="7DDC3D71" w14:textId="77777777" w:rsidR="00C91DE8" w:rsidRDefault="00C91DE8">
      <w:pPr>
        <w:rPr>
          <w:rFonts w:ascii="Calibri" w:hAnsi="Calibri" w:cs="Calibri"/>
          <w:sz w:val="22"/>
          <w:szCs w:val="22"/>
        </w:rPr>
      </w:pPr>
    </w:p>
    <w:p w14:paraId="128121EC" w14:textId="77777777" w:rsidR="00FE185B" w:rsidRPr="004A3BCB" w:rsidRDefault="00FE185B" w:rsidP="00FE185B">
      <w:pPr>
        <w:rPr>
          <w:rFonts w:ascii="Calibri" w:hAnsi="Calibri" w:cs="Calibri"/>
          <w:sz w:val="22"/>
          <w:szCs w:val="22"/>
        </w:rPr>
      </w:pPr>
      <w:r>
        <w:rPr>
          <w:rFonts w:ascii="Calibri" w:hAnsi="Calibri" w:cs="Calibri"/>
          <w:noProof/>
          <w:sz w:val="22"/>
          <w:szCs w:val="22"/>
        </w:rPr>
        <w:drawing>
          <wp:inline distT="0" distB="0" distL="0" distR="0" wp14:anchorId="1BE1E77F" wp14:editId="447AAF28">
            <wp:extent cx="5009322" cy="3707320"/>
            <wp:effectExtent l="12700" t="12700" r="7620" b="13970"/>
            <wp:docPr id="2075277388" name="Picture 1" descr="A diagram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277388" name="Picture 1" descr="A diagram of different colored squares&#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042883" cy="3732158"/>
                    </a:xfrm>
                    <a:prstGeom prst="rect">
                      <a:avLst/>
                    </a:prstGeom>
                    <a:ln>
                      <a:solidFill>
                        <a:schemeClr val="tx1"/>
                      </a:solidFill>
                    </a:ln>
                  </pic:spPr>
                </pic:pic>
              </a:graphicData>
            </a:graphic>
          </wp:inline>
        </w:drawing>
      </w:r>
    </w:p>
    <w:p w14:paraId="7EFF1BFE" w14:textId="77777777" w:rsidR="00FE185B" w:rsidRPr="004A3BCB" w:rsidRDefault="00FE185B" w:rsidP="00FE185B">
      <w:pPr>
        <w:rPr>
          <w:rFonts w:ascii="Calibri" w:hAnsi="Calibri" w:cs="Calibri"/>
          <w:i/>
          <w:iCs/>
          <w:sz w:val="22"/>
          <w:szCs w:val="22"/>
        </w:rPr>
      </w:pPr>
      <w:r w:rsidRPr="005A149D">
        <w:rPr>
          <w:rFonts w:ascii="Calibri" w:hAnsi="Calibri" w:cs="Calibri"/>
          <w:b/>
          <w:bCs/>
          <w:sz w:val="22"/>
          <w:szCs w:val="22"/>
        </w:rPr>
        <w:t>Figure S1. Distribution of key soil physicochemical parameters across the study dataset, presented on a logarithmic scale.</w:t>
      </w:r>
      <w:r w:rsidRPr="004A3BCB">
        <w:rPr>
          <w:rFonts w:ascii="Calibri" w:hAnsi="Calibri" w:cs="Calibri"/>
          <w:sz w:val="22"/>
          <w:szCs w:val="22"/>
        </w:rPr>
        <w:br/>
      </w:r>
      <w:r w:rsidRPr="004A3BCB">
        <w:rPr>
          <w:rFonts w:ascii="Calibri" w:hAnsi="Calibri" w:cs="Calibri"/>
          <w:i/>
          <w:iCs/>
          <w:sz w:val="22"/>
          <w:szCs w:val="22"/>
        </w:rPr>
        <w:t xml:space="preserve">Boxplots depict the variability in cation exchange capacity (CEC), clay content, organic carbon (OC), pH, and total </w:t>
      </w:r>
      <w:r>
        <w:rPr>
          <w:rFonts w:ascii="Calibri" w:hAnsi="Calibri" w:cs="Calibri"/>
          <w:i/>
          <w:iCs/>
          <w:sz w:val="22"/>
          <w:szCs w:val="22"/>
        </w:rPr>
        <w:t>arsenic</w:t>
      </w:r>
      <w:r w:rsidRPr="004A3BCB">
        <w:rPr>
          <w:rFonts w:ascii="Calibri" w:hAnsi="Calibri" w:cs="Calibri"/>
          <w:i/>
          <w:iCs/>
          <w:sz w:val="22"/>
          <w:szCs w:val="22"/>
        </w:rPr>
        <w:t xml:space="preserve"> concentration (T</w:t>
      </w:r>
      <w:r>
        <w:rPr>
          <w:rFonts w:ascii="Calibri" w:hAnsi="Calibri" w:cs="Calibri"/>
          <w:i/>
          <w:iCs/>
          <w:sz w:val="22"/>
          <w:szCs w:val="22"/>
        </w:rPr>
        <w:t>As</w:t>
      </w:r>
      <w:r w:rsidRPr="004A3BCB">
        <w:rPr>
          <w:rFonts w:ascii="Calibri" w:hAnsi="Calibri" w:cs="Calibri"/>
          <w:i/>
          <w:iCs/>
          <w:sz w:val="22"/>
          <w:szCs w:val="22"/>
        </w:rPr>
        <w:t xml:space="preserve">) across all samples. Individual points represent raw observations, while box boundaries indicate the interquartile range (IQR), the central line denotes the median, and whiskers extend to 1.5×IQR. The y-axis is presented on a log₁₀ scale to accommodate the wide dynamic range of parameter values, particularly for </w:t>
      </w:r>
      <w:proofErr w:type="spellStart"/>
      <w:r w:rsidRPr="004A3BCB">
        <w:rPr>
          <w:rFonts w:ascii="Calibri" w:hAnsi="Calibri" w:cs="Calibri"/>
          <w:i/>
          <w:iCs/>
          <w:sz w:val="22"/>
          <w:szCs w:val="22"/>
        </w:rPr>
        <w:t>T</w:t>
      </w:r>
      <w:r>
        <w:rPr>
          <w:rFonts w:ascii="Calibri" w:hAnsi="Calibri" w:cs="Calibri"/>
          <w:i/>
          <w:iCs/>
          <w:sz w:val="22"/>
          <w:szCs w:val="22"/>
        </w:rPr>
        <w:t>As</w:t>
      </w:r>
      <w:r w:rsidRPr="004A3BCB">
        <w:rPr>
          <w:rFonts w:ascii="Calibri" w:hAnsi="Calibri" w:cs="Calibri"/>
          <w:i/>
          <w:iCs/>
          <w:sz w:val="22"/>
          <w:szCs w:val="22"/>
        </w:rPr>
        <w:t>.</w:t>
      </w:r>
      <w:proofErr w:type="spellEnd"/>
      <w:r w:rsidRPr="004A3BCB">
        <w:rPr>
          <w:rFonts w:ascii="Calibri" w:hAnsi="Calibri" w:cs="Calibri"/>
          <w:i/>
          <w:iCs/>
          <w:sz w:val="22"/>
          <w:szCs w:val="22"/>
        </w:rPr>
        <w:t xml:space="preserve"> Among the variables, T</w:t>
      </w:r>
      <w:r>
        <w:rPr>
          <w:rFonts w:ascii="Calibri" w:hAnsi="Calibri" w:cs="Calibri"/>
          <w:i/>
          <w:iCs/>
          <w:sz w:val="22"/>
          <w:szCs w:val="22"/>
        </w:rPr>
        <w:t>As</w:t>
      </w:r>
      <w:r w:rsidRPr="004A3BCB">
        <w:rPr>
          <w:rFonts w:ascii="Calibri" w:hAnsi="Calibri" w:cs="Calibri"/>
          <w:i/>
          <w:iCs/>
          <w:sz w:val="22"/>
          <w:szCs w:val="22"/>
        </w:rPr>
        <w:t xml:space="preserve"> exhibited the greatest variability, spanning over four orders of magnitude, whereas soil pH values were narrowly distributed. This visualization highlights the heterogeneity of soil properties, which may influence arsenic mobility and model performance.</w:t>
      </w:r>
    </w:p>
    <w:p w14:paraId="491700A9" w14:textId="77777777" w:rsidR="00FE185B" w:rsidRPr="004B2CF9" w:rsidRDefault="00FE185B">
      <w:pPr>
        <w:rPr>
          <w:rFonts w:ascii="Calibri" w:hAnsi="Calibri" w:cs="Calibri"/>
          <w:sz w:val="22"/>
          <w:szCs w:val="22"/>
        </w:rPr>
      </w:pPr>
    </w:p>
    <w:p w14:paraId="7C8893E0" w14:textId="768DF13F" w:rsidR="006016E0" w:rsidRPr="004B2CF9" w:rsidRDefault="00D33B38">
      <w:pPr>
        <w:rPr>
          <w:rFonts w:ascii="Calibri" w:hAnsi="Calibri" w:cs="Calibri"/>
          <w:sz w:val="22"/>
          <w:szCs w:val="22"/>
        </w:rPr>
      </w:pPr>
      <w:r w:rsidRPr="004B2CF9">
        <w:rPr>
          <w:rFonts w:ascii="Calibri" w:hAnsi="Calibri" w:cs="Calibri"/>
          <w:noProof/>
          <w:sz w:val="22"/>
          <w:szCs w:val="22"/>
        </w:rPr>
        <w:drawing>
          <wp:inline distT="0" distB="0" distL="0" distR="0" wp14:anchorId="66B8F1B1" wp14:editId="0F862AC9">
            <wp:extent cx="5731510" cy="4090366"/>
            <wp:effectExtent l="12700" t="12700" r="8890" b="12065"/>
            <wp:docPr id="187830615"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30615" name="Picture 1" descr="A screenshot of a graph&#10;&#10;Description automatically generated"/>
                    <pic:cNvPicPr/>
                  </pic:nvPicPr>
                  <pic:blipFill rotWithShape="1">
                    <a:blip r:embed="rId6">
                      <a:extLst>
                        <a:ext uri="{28A0092B-C50C-407E-A947-70E740481C1C}">
                          <a14:useLocalDpi xmlns:a14="http://schemas.microsoft.com/office/drawing/2010/main" val="0"/>
                        </a:ext>
                      </a:extLst>
                    </a:blip>
                    <a:srcRect t="4101"/>
                    <a:stretch/>
                  </pic:blipFill>
                  <pic:spPr bwMode="auto">
                    <a:xfrm>
                      <a:off x="0" y="0"/>
                      <a:ext cx="5731510" cy="4090366"/>
                    </a:xfrm>
                    <a:prstGeom prst="rect">
                      <a:avLst/>
                    </a:prstGeom>
                    <a:solidFill>
                      <a:schemeClr val="tx1"/>
                    </a:solidFill>
                    <a:ln>
                      <a:solidFill>
                        <a:schemeClr val="tx1"/>
                      </a:solidFill>
                    </a:ln>
                    <a:extLst>
                      <a:ext uri="{53640926-AAD7-44D8-BBD7-CCE9431645EC}">
                        <a14:shadowObscured xmlns:a14="http://schemas.microsoft.com/office/drawing/2010/main"/>
                      </a:ext>
                    </a:extLst>
                  </pic:spPr>
                </pic:pic>
              </a:graphicData>
            </a:graphic>
          </wp:inline>
        </w:drawing>
      </w:r>
    </w:p>
    <w:p w14:paraId="7280359E" w14:textId="1119E265" w:rsidR="0032283F" w:rsidRPr="005A149D" w:rsidRDefault="004B2CF9" w:rsidP="0032283F">
      <w:pPr>
        <w:rPr>
          <w:rFonts w:ascii="Calibri" w:hAnsi="Calibri" w:cs="Calibri"/>
          <w:b/>
          <w:bCs/>
          <w:sz w:val="22"/>
          <w:szCs w:val="22"/>
        </w:rPr>
      </w:pPr>
      <w:r w:rsidRPr="005A149D">
        <w:rPr>
          <w:rFonts w:ascii="Calibri" w:hAnsi="Calibri" w:cs="Calibri"/>
          <w:b/>
          <w:bCs/>
          <w:sz w:val="22"/>
          <w:szCs w:val="22"/>
        </w:rPr>
        <w:t>Figure S</w:t>
      </w:r>
      <w:r w:rsidR="00FE185B" w:rsidRPr="005A149D">
        <w:rPr>
          <w:rFonts w:ascii="Calibri" w:hAnsi="Calibri" w:cs="Calibri"/>
          <w:b/>
          <w:bCs/>
          <w:sz w:val="22"/>
          <w:szCs w:val="22"/>
        </w:rPr>
        <w:t>2</w:t>
      </w:r>
      <w:r w:rsidRPr="005A149D">
        <w:rPr>
          <w:rFonts w:ascii="Calibri" w:hAnsi="Calibri" w:cs="Calibri"/>
          <w:b/>
          <w:bCs/>
          <w:sz w:val="22"/>
          <w:szCs w:val="22"/>
        </w:rPr>
        <w:t xml:space="preserve">. </w:t>
      </w:r>
      <w:r w:rsidR="0032283F" w:rsidRPr="005A149D">
        <w:rPr>
          <w:rFonts w:ascii="Calibri" w:hAnsi="Calibri" w:cs="Calibri"/>
          <w:b/>
          <w:bCs/>
          <w:sz w:val="22"/>
          <w:szCs w:val="22"/>
        </w:rPr>
        <w:t>Simulated response surfaces showing predicted arsenic mobility (PF1, %) as a function of organic carbon (OC, %</w:t>
      </w:r>
      <w:r w:rsidR="00CA512D">
        <w:rPr>
          <w:rFonts w:ascii="Calibri" w:hAnsi="Calibri" w:cs="Calibri"/>
          <w:b/>
          <w:bCs/>
          <w:sz w:val="22"/>
          <w:szCs w:val="22"/>
        </w:rPr>
        <w:t>, y-axis</w:t>
      </w:r>
      <w:r w:rsidR="0032283F" w:rsidRPr="005A149D">
        <w:rPr>
          <w:rFonts w:ascii="Calibri" w:hAnsi="Calibri" w:cs="Calibri"/>
          <w:b/>
          <w:bCs/>
          <w:sz w:val="22"/>
          <w:szCs w:val="22"/>
        </w:rPr>
        <w:t>) and pH</w:t>
      </w:r>
      <w:r w:rsidR="00231456">
        <w:rPr>
          <w:rFonts w:ascii="Calibri" w:hAnsi="Calibri" w:cs="Calibri"/>
          <w:b/>
          <w:bCs/>
          <w:sz w:val="22"/>
          <w:szCs w:val="22"/>
        </w:rPr>
        <w:t xml:space="preserve"> (x-axis)</w:t>
      </w:r>
      <w:r w:rsidR="0032283F" w:rsidRPr="005A149D">
        <w:rPr>
          <w:rFonts w:ascii="Calibri" w:hAnsi="Calibri" w:cs="Calibri"/>
          <w:b/>
          <w:bCs/>
          <w:sz w:val="22"/>
          <w:szCs w:val="22"/>
        </w:rPr>
        <w:t xml:space="preserve"> for 12 USDA soil textural classes using the </w:t>
      </w:r>
      <w:r w:rsidR="001E4C9B" w:rsidRPr="005A149D">
        <w:rPr>
          <w:rFonts w:ascii="Calibri" w:hAnsi="Calibri" w:cs="Calibri"/>
          <w:b/>
          <w:bCs/>
          <w:sz w:val="22"/>
          <w:szCs w:val="22"/>
        </w:rPr>
        <w:t>Generalized Additive Model (GAM)</w:t>
      </w:r>
      <w:r w:rsidR="0032283F" w:rsidRPr="005A149D">
        <w:rPr>
          <w:rFonts w:ascii="Calibri" w:hAnsi="Calibri" w:cs="Calibri"/>
          <w:b/>
          <w:bCs/>
          <w:sz w:val="22"/>
          <w:szCs w:val="22"/>
        </w:rPr>
        <w:t xml:space="preserve">. </w:t>
      </w:r>
    </w:p>
    <w:p w14:paraId="45EAE640" w14:textId="33311BE8" w:rsidR="00D33B38" w:rsidRPr="004B2CF9" w:rsidRDefault="00D33B38">
      <w:pPr>
        <w:rPr>
          <w:rFonts w:ascii="Calibri" w:hAnsi="Calibri" w:cs="Calibri"/>
          <w:sz w:val="22"/>
          <w:szCs w:val="22"/>
        </w:rPr>
      </w:pPr>
      <w:r w:rsidRPr="004B2CF9">
        <w:rPr>
          <w:rFonts w:ascii="Calibri" w:hAnsi="Calibri" w:cs="Calibri"/>
          <w:noProof/>
          <w:sz w:val="22"/>
          <w:szCs w:val="22"/>
        </w:rPr>
        <w:drawing>
          <wp:inline distT="0" distB="0" distL="0" distR="0" wp14:anchorId="7E086387" wp14:editId="68193EF8">
            <wp:extent cx="5731510" cy="4098318"/>
            <wp:effectExtent l="12700" t="12700" r="8890" b="16510"/>
            <wp:docPr id="759059501"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059501" name="Picture 2" descr="A screenshot of a graph&#10;&#10;Description automatically generated"/>
                    <pic:cNvPicPr/>
                  </pic:nvPicPr>
                  <pic:blipFill rotWithShape="1">
                    <a:blip r:embed="rId7">
                      <a:extLst>
                        <a:ext uri="{28A0092B-C50C-407E-A947-70E740481C1C}">
                          <a14:useLocalDpi xmlns:a14="http://schemas.microsoft.com/office/drawing/2010/main" val="0"/>
                        </a:ext>
                      </a:extLst>
                    </a:blip>
                    <a:srcRect t="3915"/>
                    <a:stretch/>
                  </pic:blipFill>
                  <pic:spPr bwMode="auto">
                    <a:xfrm>
                      <a:off x="0" y="0"/>
                      <a:ext cx="5731510" cy="409831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7757E4E" w14:textId="29DE1D3E" w:rsidR="0032283F" w:rsidRPr="005A149D" w:rsidRDefault="004B2CF9">
      <w:pPr>
        <w:rPr>
          <w:rFonts w:ascii="Calibri" w:hAnsi="Calibri" w:cs="Calibri"/>
          <w:b/>
          <w:bCs/>
          <w:sz w:val="22"/>
          <w:szCs w:val="22"/>
        </w:rPr>
      </w:pPr>
      <w:r w:rsidRPr="005A149D">
        <w:rPr>
          <w:rFonts w:ascii="Calibri" w:hAnsi="Calibri" w:cs="Calibri"/>
          <w:b/>
          <w:bCs/>
          <w:sz w:val="22"/>
          <w:szCs w:val="22"/>
        </w:rPr>
        <w:t>Figure S</w:t>
      </w:r>
      <w:r w:rsidR="00CF51A6" w:rsidRPr="005A149D">
        <w:rPr>
          <w:rFonts w:ascii="Calibri" w:hAnsi="Calibri" w:cs="Calibri"/>
          <w:b/>
          <w:bCs/>
          <w:sz w:val="22"/>
          <w:szCs w:val="22"/>
        </w:rPr>
        <w:t>3</w:t>
      </w:r>
      <w:r w:rsidRPr="005A149D">
        <w:rPr>
          <w:rFonts w:ascii="Calibri" w:hAnsi="Calibri" w:cs="Calibri"/>
          <w:b/>
          <w:bCs/>
          <w:sz w:val="22"/>
          <w:szCs w:val="22"/>
        </w:rPr>
        <w:t xml:space="preserve">. </w:t>
      </w:r>
      <w:r w:rsidR="009A1435" w:rsidRPr="005A149D">
        <w:rPr>
          <w:rFonts w:ascii="Calibri" w:hAnsi="Calibri" w:cs="Calibri"/>
          <w:b/>
          <w:bCs/>
          <w:sz w:val="22"/>
          <w:szCs w:val="22"/>
        </w:rPr>
        <w:t xml:space="preserve">Simulated response surfaces showing predicted arsenic mobility (PF1, %) as a function of organic carbon </w:t>
      </w:r>
      <w:r w:rsidR="00231456" w:rsidRPr="005A149D">
        <w:rPr>
          <w:rFonts w:ascii="Calibri" w:hAnsi="Calibri" w:cs="Calibri"/>
          <w:b/>
          <w:bCs/>
          <w:sz w:val="22"/>
          <w:szCs w:val="22"/>
        </w:rPr>
        <w:t>(OC, %</w:t>
      </w:r>
      <w:r w:rsidR="00231456">
        <w:rPr>
          <w:rFonts w:ascii="Calibri" w:hAnsi="Calibri" w:cs="Calibri"/>
          <w:b/>
          <w:bCs/>
          <w:sz w:val="22"/>
          <w:szCs w:val="22"/>
        </w:rPr>
        <w:t>, y-axis</w:t>
      </w:r>
      <w:r w:rsidR="00231456" w:rsidRPr="005A149D">
        <w:rPr>
          <w:rFonts w:ascii="Calibri" w:hAnsi="Calibri" w:cs="Calibri"/>
          <w:b/>
          <w:bCs/>
          <w:sz w:val="22"/>
          <w:szCs w:val="22"/>
        </w:rPr>
        <w:t>) and pH</w:t>
      </w:r>
      <w:r w:rsidR="00231456">
        <w:rPr>
          <w:rFonts w:ascii="Calibri" w:hAnsi="Calibri" w:cs="Calibri"/>
          <w:b/>
          <w:bCs/>
          <w:sz w:val="22"/>
          <w:szCs w:val="22"/>
        </w:rPr>
        <w:t xml:space="preserve"> (x-axis) </w:t>
      </w:r>
      <w:r w:rsidR="009A1435" w:rsidRPr="005A149D">
        <w:rPr>
          <w:rFonts w:ascii="Calibri" w:hAnsi="Calibri" w:cs="Calibri"/>
          <w:b/>
          <w:bCs/>
          <w:sz w:val="22"/>
          <w:szCs w:val="22"/>
        </w:rPr>
        <w:t xml:space="preserve">for 12 USDA soil textural classes using the Random Forest (RF) model. </w:t>
      </w:r>
    </w:p>
    <w:p w14:paraId="76B29EC9" w14:textId="77777777" w:rsidR="007A104C" w:rsidRDefault="007A104C">
      <w:pPr>
        <w:rPr>
          <w:rFonts w:ascii="Calibri" w:hAnsi="Calibri" w:cs="Calibri"/>
          <w:sz w:val="22"/>
          <w:szCs w:val="22"/>
        </w:rPr>
      </w:pPr>
    </w:p>
    <w:p w14:paraId="39B4C7F6" w14:textId="5C9DF32A" w:rsidR="00D33B38" w:rsidRPr="004B2CF9" w:rsidRDefault="000D7B16">
      <w:pPr>
        <w:rPr>
          <w:rFonts w:ascii="Calibri" w:hAnsi="Calibri" w:cs="Calibri"/>
          <w:sz w:val="22"/>
          <w:szCs w:val="22"/>
        </w:rPr>
      </w:pPr>
      <w:r w:rsidRPr="004B2CF9">
        <w:rPr>
          <w:rFonts w:ascii="Calibri" w:hAnsi="Calibri" w:cs="Calibri"/>
          <w:noProof/>
          <w:sz w:val="22"/>
          <w:szCs w:val="22"/>
        </w:rPr>
        <w:drawing>
          <wp:inline distT="0" distB="0" distL="0" distR="0" wp14:anchorId="3286698D" wp14:editId="0EE30842">
            <wp:extent cx="5731510" cy="4090366"/>
            <wp:effectExtent l="12700" t="12700" r="8890" b="12065"/>
            <wp:docPr id="416056984"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056984" name="Picture 4" descr="A screenshot of a graph&#10;&#10;Description automatically generated"/>
                    <pic:cNvPicPr/>
                  </pic:nvPicPr>
                  <pic:blipFill rotWithShape="1">
                    <a:blip r:embed="rId8">
                      <a:extLst>
                        <a:ext uri="{28A0092B-C50C-407E-A947-70E740481C1C}">
                          <a14:useLocalDpi xmlns:a14="http://schemas.microsoft.com/office/drawing/2010/main" val="0"/>
                        </a:ext>
                      </a:extLst>
                    </a:blip>
                    <a:srcRect t="4101"/>
                    <a:stretch/>
                  </pic:blipFill>
                  <pic:spPr bwMode="auto">
                    <a:xfrm>
                      <a:off x="0" y="0"/>
                      <a:ext cx="5731510" cy="409036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0F329BE" w14:textId="7FEA577A" w:rsidR="000E78E5" w:rsidRPr="005A149D" w:rsidRDefault="004B2CF9">
      <w:pPr>
        <w:rPr>
          <w:rFonts w:ascii="Calibri" w:hAnsi="Calibri" w:cs="Calibri"/>
          <w:b/>
          <w:bCs/>
          <w:sz w:val="22"/>
          <w:szCs w:val="22"/>
        </w:rPr>
      </w:pPr>
      <w:r w:rsidRPr="005A149D">
        <w:rPr>
          <w:rFonts w:ascii="Calibri" w:hAnsi="Calibri" w:cs="Calibri"/>
          <w:b/>
          <w:bCs/>
          <w:sz w:val="22"/>
          <w:szCs w:val="22"/>
        </w:rPr>
        <w:t>Figure S</w:t>
      </w:r>
      <w:r w:rsidR="00CF51A6" w:rsidRPr="005A149D">
        <w:rPr>
          <w:rFonts w:ascii="Calibri" w:hAnsi="Calibri" w:cs="Calibri"/>
          <w:b/>
          <w:bCs/>
          <w:sz w:val="22"/>
          <w:szCs w:val="22"/>
        </w:rPr>
        <w:t>4</w:t>
      </w:r>
      <w:r w:rsidRPr="005A149D">
        <w:rPr>
          <w:rFonts w:ascii="Calibri" w:hAnsi="Calibri" w:cs="Calibri"/>
          <w:b/>
          <w:bCs/>
          <w:sz w:val="22"/>
          <w:szCs w:val="22"/>
        </w:rPr>
        <w:t xml:space="preserve">. </w:t>
      </w:r>
      <w:r w:rsidR="000E78E5" w:rsidRPr="005A149D">
        <w:rPr>
          <w:rFonts w:ascii="Calibri" w:hAnsi="Calibri" w:cs="Calibri"/>
          <w:b/>
          <w:bCs/>
          <w:sz w:val="22"/>
          <w:szCs w:val="22"/>
        </w:rPr>
        <w:t xml:space="preserve">Simulated response surfaces showing predicted arsenic mobility (PF1, %) as a function of organic carbon </w:t>
      </w:r>
      <w:r w:rsidR="00231456" w:rsidRPr="005A149D">
        <w:rPr>
          <w:rFonts w:ascii="Calibri" w:hAnsi="Calibri" w:cs="Calibri"/>
          <w:b/>
          <w:bCs/>
          <w:sz w:val="22"/>
          <w:szCs w:val="22"/>
        </w:rPr>
        <w:t>(OC, %</w:t>
      </w:r>
      <w:r w:rsidR="00231456">
        <w:rPr>
          <w:rFonts w:ascii="Calibri" w:hAnsi="Calibri" w:cs="Calibri"/>
          <w:b/>
          <w:bCs/>
          <w:sz w:val="22"/>
          <w:szCs w:val="22"/>
        </w:rPr>
        <w:t>, y-axis</w:t>
      </w:r>
      <w:r w:rsidR="00231456" w:rsidRPr="005A149D">
        <w:rPr>
          <w:rFonts w:ascii="Calibri" w:hAnsi="Calibri" w:cs="Calibri"/>
          <w:b/>
          <w:bCs/>
          <w:sz w:val="22"/>
          <w:szCs w:val="22"/>
        </w:rPr>
        <w:t>) and pH</w:t>
      </w:r>
      <w:r w:rsidR="00231456">
        <w:rPr>
          <w:rFonts w:ascii="Calibri" w:hAnsi="Calibri" w:cs="Calibri"/>
          <w:b/>
          <w:bCs/>
          <w:sz w:val="22"/>
          <w:szCs w:val="22"/>
        </w:rPr>
        <w:t xml:space="preserve"> (x-axis) </w:t>
      </w:r>
      <w:r w:rsidR="000E78E5" w:rsidRPr="005A149D">
        <w:rPr>
          <w:rFonts w:ascii="Calibri" w:hAnsi="Calibri" w:cs="Calibri"/>
          <w:b/>
          <w:bCs/>
          <w:sz w:val="22"/>
          <w:szCs w:val="22"/>
        </w:rPr>
        <w:t>for 12 USDA soil textural classes using the Extreme Gradient Boosting (</w:t>
      </w:r>
      <w:proofErr w:type="spellStart"/>
      <w:r w:rsidR="000E78E5" w:rsidRPr="005A149D">
        <w:rPr>
          <w:rFonts w:ascii="Calibri" w:hAnsi="Calibri" w:cs="Calibri"/>
          <w:b/>
          <w:bCs/>
          <w:sz w:val="22"/>
          <w:szCs w:val="22"/>
        </w:rPr>
        <w:t>XGBoost</w:t>
      </w:r>
      <w:proofErr w:type="spellEnd"/>
      <w:r w:rsidR="000E78E5" w:rsidRPr="005A149D">
        <w:rPr>
          <w:rFonts w:ascii="Calibri" w:hAnsi="Calibri" w:cs="Calibri"/>
          <w:b/>
          <w:bCs/>
          <w:sz w:val="22"/>
          <w:szCs w:val="22"/>
        </w:rPr>
        <w:t>) model.</w:t>
      </w:r>
    </w:p>
    <w:p w14:paraId="46DA1B1C" w14:textId="39C9FAEA" w:rsidR="007577C2" w:rsidRPr="004B2CF9" w:rsidRDefault="007577C2">
      <w:pPr>
        <w:rPr>
          <w:rFonts w:ascii="Calibri" w:hAnsi="Calibri" w:cs="Calibri"/>
          <w:sz w:val="22"/>
          <w:szCs w:val="22"/>
        </w:rPr>
      </w:pPr>
    </w:p>
    <w:sectPr w:rsidR="007577C2" w:rsidRPr="004B2C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31C13"/>
    <w:multiLevelType w:val="multilevel"/>
    <w:tmpl w:val="98C2F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6420A"/>
    <w:multiLevelType w:val="multilevel"/>
    <w:tmpl w:val="9A1ED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906082"/>
    <w:multiLevelType w:val="multilevel"/>
    <w:tmpl w:val="65CE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A75E14"/>
    <w:multiLevelType w:val="multilevel"/>
    <w:tmpl w:val="FF806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2E4E72"/>
    <w:multiLevelType w:val="multilevel"/>
    <w:tmpl w:val="7F24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9660753">
    <w:abstractNumId w:val="1"/>
  </w:num>
  <w:num w:numId="2" w16cid:durableId="1084298607">
    <w:abstractNumId w:val="3"/>
  </w:num>
  <w:num w:numId="3" w16cid:durableId="687486265">
    <w:abstractNumId w:val="4"/>
  </w:num>
  <w:num w:numId="4" w16cid:durableId="828718561">
    <w:abstractNumId w:val="0"/>
  </w:num>
  <w:num w:numId="5" w16cid:durableId="12847260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7AE"/>
    <w:rsid w:val="0002779A"/>
    <w:rsid w:val="000A60E3"/>
    <w:rsid w:val="000D0D07"/>
    <w:rsid w:val="000D7B16"/>
    <w:rsid w:val="000E78E5"/>
    <w:rsid w:val="001B1BCD"/>
    <w:rsid w:val="001E4C9B"/>
    <w:rsid w:val="001F0E6A"/>
    <w:rsid w:val="00231456"/>
    <w:rsid w:val="00242DE0"/>
    <w:rsid w:val="002760A2"/>
    <w:rsid w:val="0032283F"/>
    <w:rsid w:val="00343E5E"/>
    <w:rsid w:val="004B2CF9"/>
    <w:rsid w:val="005A149D"/>
    <w:rsid w:val="005C53C1"/>
    <w:rsid w:val="006016E0"/>
    <w:rsid w:val="006D7B0E"/>
    <w:rsid w:val="0073338C"/>
    <w:rsid w:val="00754B5A"/>
    <w:rsid w:val="007577C2"/>
    <w:rsid w:val="007820F7"/>
    <w:rsid w:val="007A104C"/>
    <w:rsid w:val="007C03D6"/>
    <w:rsid w:val="007E17AE"/>
    <w:rsid w:val="008232DF"/>
    <w:rsid w:val="00871BB5"/>
    <w:rsid w:val="008B1A09"/>
    <w:rsid w:val="00912036"/>
    <w:rsid w:val="00964914"/>
    <w:rsid w:val="009A1435"/>
    <w:rsid w:val="00A0563E"/>
    <w:rsid w:val="00AA2182"/>
    <w:rsid w:val="00B109FE"/>
    <w:rsid w:val="00BB6FEE"/>
    <w:rsid w:val="00C91DE8"/>
    <w:rsid w:val="00C92D8A"/>
    <w:rsid w:val="00CA512D"/>
    <w:rsid w:val="00CF51A6"/>
    <w:rsid w:val="00D16A2E"/>
    <w:rsid w:val="00D33B38"/>
    <w:rsid w:val="00D8183B"/>
    <w:rsid w:val="00DC3CA0"/>
    <w:rsid w:val="00FD06DC"/>
    <w:rsid w:val="00FD7664"/>
    <w:rsid w:val="00FE18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7CA60"/>
  <w15:chartTrackingRefBased/>
  <w15:docId w15:val="{14828772-3CC2-47BC-A34C-ED8E1BB44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7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7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7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7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7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7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7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7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7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7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7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7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7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7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7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7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7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7AE"/>
    <w:rPr>
      <w:rFonts w:eastAsiaTheme="majorEastAsia" w:cstheme="majorBidi"/>
      <w:color w:val="272727" w:themeColor="text1" w:themeTint="D8"/>
    </w:rPr>
  </w:style>
  <w:style w:type="paragraph" w:styleId="Title">
    <w:name w:val="Title"/>
    <w:basedOn w:val="Normal"/>
    <w:next w:val="Normal"/>
    <w:link w:val="TitleChar"/>
    <w:uiPriority w:val="10"/>
    <w:qFormat/>
    <w:rsid w:val="007E17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7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7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7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7AE"/>
    <w:pPr>
      <w:spacing w:before="160"/>
      <w:jc w:val="center"/>
    </w:pPr>
    <w:rPr>
      <w:i/>
      <w:iCs/>
      <w:color w:val="404040" w:themeColor="text1" w:themeTint="BF"/>
    </w:rPr>
  </w:style>
  <w:style w:type="character" w:customStyle="1" w:styleId="QuoteChar">
    <w:name w:val="Quote Char"/>
    <w:basedOn w:val="DefaultParagraphFont"/>
    <w:link w:val="Quote"/>
    <w:uiPriority w:val="29"/>
    <w:rsid w:val="007E17AE"/>
    <w:rPr>
      <w:i/>
      <w:iCs/>
      <w:color w:val="404040" w:themeColor="text1" w:themeTint="BF"/>
    </w:rPr>
  </w:style>
  <w:style w:type="paragraph" w:styleId="ListParagraph">
    <w:name w:val="List Paragraph"/>
    <w:basedOn w:val="Normal"/>
    <w:uiPriority w:val="34"/>
    <w:qFormat/>
    <w:rsid w:val="007E17AE"/>
    <w:pPr>
      <w:ind w:left="720"/>
      <w:contextualSpacing/>
    </w:pPr>
  </w:style>
  <w:style w:type="character" w:styleId="IntenseEmphasis">
    <w:name w:val="Intense Emphasis"/>
    <w:basedOn w:val="DefaultParagraphFont"/>
    <w:uiPriority w:val="21"/>
    <w:qFormat/>
    <w:rsid w:val="007E17AE"/>
    <w:rPr>
      <w:i/>
      <w:iCs/>
      <w:color w:val="0F4761" w:themeColor="accent1" w:themeShade="BF"/>
    </w:rPr>
  </w:style>
  <w:style w:type="paragraph" w:styleId="IntenseQuote">
    <w:name w:val="Intense Quote"/>
    <w:basedOn w:val="Normal"/>
    <w:next w:val="Normal"/>
    <w:link w:val="IntenseQuoteChar"/>
    <w:uiPriority w:val="30"/>
    <w:qFormat/>
    <w:rsid w:val="007E17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7AE"/>
    <w:rPr>
      <w:i/>
      <w:iCs/>
      <w:color w:val="0F4761" w:themeColor="accent1" w:themeShade="BF"/>
    </w:rPr>
  </w:style>
  <w:style w:type="character" w:styleId="IntenseReference">
    <w:name w:val="Intense Reference"/>
    <w:basedOn w:val="DefaultParagraphFont"/>
    <w:uiPriority w:val="32"/>
    <w:qFormat/>
    <w:rsid w:val="007E17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701745">
      <w:bodyDiv w:val="1"/>
      <w:marLeft w:val="0"/>
      <w:marRight w:val="0"/>
      <w:marTop w:val="0"/>
      <w:marBottom w:val="0"/>
      <w:divBdr>
        <w:top w:val="none" w:sz="0" w:space="0" w:color="auto"/>
        <w:left w:val="none" w:sz="0" w:space="0" w:color="auto"/>
        <w:bottom w:val="none" w:sz="0" w:space="0" w:color="auto"/>
        <w:right w:val="none" w:sz="0" w:space="0" w:color="auto"/>
      </w:divBdr>
    </w:div>
    <w:div w:id="772287476">
      <w:bodyDiv w:val="1"/>
      <w:marLeft w:val="0"/>
      <w:marRight w:val="0"/>
      <w:marTop w:val="0"/>
      <w:marBottom w:val="0"/>
      <w:divBdr>
        <w:top w:val="none" w:sz="0" w:space="0" w:color="auto"/>
        <w:left w:val="none" w:sz="0" w:space="0" w:color="auto"/>
        <w:bottom w:val="none" w:sz="0" w:space="0" w:color="auto"/>
        <w:right w:val="none" w:sz="0" w:space="0" w:color="auto"/>
      </w:divBdr>
    </w:div>
    <w:div w:id="813913700">
      <w:bodyDiv w:val="1"/>
      <w:marLeft w:val="0"/>
      <w:marRight w:val="0"/>
      <w:marTop w:val="0"/>
      <w:marBottom w:val="0"/>
      <w:divBdr>
        <w:top w:val="none" w:sz="0" w:space="0" w:color="auto"/>
        <w:left w:val="none" w:sz="0" w:space="0" w:color="auto"/>
        <w:bottom w:val="none" w:sz="0" w:space="0" w:color="auto"/>
        <w:right w:val="none" w:sz="0" w:space="0" w:color="auto"/>
      </w:divBdr>
    </w:div>
    <w:div w:id="210287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232</Words>
  <Characters>1323</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Jajati Mandal</dc:creator>
  <cp:keywords/>
  <dc:description/>
  <cp:lastModifiedBy>Jajati Mandal</cp:lastModifiedBy>
  <cp:revision>16</cp:revision>
  <dcterms:created xsi:type="dcterms:W3CDTF">2025-04-22T03:05:00Z</dcterms:created>
  <dcterms:modified xsi:type="dcterms:W3CDTF">2025-06-25T16:09:00Z</dcterms:modified>
</cp:coreProperties>
</file>