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E09" w:rsidRDefault="00911E09" w:rsidP="00911E09">
      <w:pPr>
        <w:rPr>
          <w:rFonts w:eastAsia="Calibri"/>
          <w:b/>
        </w:rPr>
      </w:pPr>
      <w:bookmarkStart w:id="0" w:name="_GoBack"/>
      <w:bookmarkEnd w:id="0"/>
      <w:r>
        <w:rPr>
          <w:rFonts w:eastAsia="Calibri"/>
          <w:b/>
        </w:rPr>
        <w:t>Supplementary materials.</w:t>
      </w:r>
    </w:p>
    <w:p w:rsidR="00911E09" w:rsidRDefault="00911E09" w:rsidP="00911E09">
      <w:pPr>
        <w:rPr>
          <w:rFonts w:eastAsia="Calibri"/>
        </w:rPr>
      </w:pPr>
      <w:r>
        <w:t xml:space="preserve">Although, a meta-analysis could not be conducted, effect sizes might be useful </w:t>
      </w:r>
      <w:r>
        <w:rPr>
          <w:lang w:eastAsia="de-DE"/>
        </w:rPr>
        <w:t xml:space="preserve">in understanding the results. Therefore, </w:t>
      </w:r>
      <w:r>
        <w:rPr>
          <w:rFonts w:eastAsia="Calibri"/>
        </w:rPr>
        <w:t xml:space="preserve">effect sizes of the significant results were calculated as following: </w:t>
      </w:r>
      <m:oMath>
        <m:r>
          <w:rPr>
            <w:rFonts w:ascii="Cambria Math" w:eastAsia="Calibri" w:hAnsi="Cambria Math"/>
          </w:rPr>
          <m:t>d</m:t>
        </m:r>
        <m:r>
          <m:rPr>
            <m:sty m:val="p"/>
          </m:rPr>
          <w:rPr>
            <w:rFonts w:ascii="Cambria Math" w:eastAsia="Calibri" w:hAnsi="Cambria Math"/>
          </w:rPr>
          <m:t>=</m:t>
        </m:r>
        <m:f>
          <m:fPr>
            <m:ctrlPr>
              <w:rPr>
                <w:rFonts w:ascii="Cambria Math" w:eastAsia="Calibri" w:hAnsi="Cambria Math"/>
              </w:rPr>
            </m:ctrlPr>
          </m:fPr>
          <m:num>
            <m:sSub>
              <m:sSubPr>
                <m:ctrlPr>
                  <w:rPr>
                    <w:rFonts w:ascii="Cambria Math" w:eastAsia="Calibri" w:hAnsi="Cambria Math"/>
                  </w:rPr>
                </m:ctrlPr>
              </m:sSubPr>
              <m:e>
                <m:r>
                  <m:rPr>
                    <m:sty m:val="p"/>
                  </m:rPr>
                  <w:rPr>
                    <w:rFonts w:ascii="Cambria Math" w:eastAsia="Calibri" w:hAnsi="Cambria Math"/>
                  </w:rPr>
                  <m:t>M</m:t>
                </m:r>
              </m:e>
              <m:sub>
                <m:r>
                  <m:rPr>
                    <m:sty m:val="p"/>
                  </m:rPr>
                  <w:rPr>
                    <w:rFonts w:ascii="Cambria Math" w:eastAsia="Calibri" w:hAnsi="Cambria Math"/>
                  </w:rPr>
                  <m:t>1</m:t>
                </m:r>
              </m:sub>
            </m:sSub>
            <m:r>
              <m:rPr>
                <m:sty m:val="p"/>
              </m:rPr>
              <w:rPr>
                <w:rFonts w:ascii="Cambria Math" w:eastAsia="Calibri" w:hAnsi="Cambria Math"/>
              </w:rPr>
              <m:t xml:space="preserve">- </m:t>
            </m:r>
            <m:sSub>
              <m:sSubPr>
                <m:ctrlPr>
                  <w:rPr>
                    <w:rFonts w:ascii="Cambria Math" w:eastAsia="Calibri" w:hAnsi="Cambria Math"/>
                  </w:rPr>
                </m:ctrlPr>
              </m:sSubPr>
              <m:e>
                <m:r>
                  <m:rPr>
                    <m:sty m:val="p"/>
                  </m:rPr>
                  <w:rPr>
                    <w:rFonts w:ascii="Cambria Math" w:eastAsia="Calibri" w:hAnsi="Cambria Math"/>
                  </w:rPr>
                  <m:t>M</m:t>
                </m:r>
              </m:e>
              <m:sub>
                <m:r>
                  <m:rPr>
                    <m:sty m:val="p"/>
                  </m:rPr>
                  <w:rPr>
                    <w:rFonts w:ascii="Cambria Math" w:eastAsia="Calibri" w:hAnsi="Cambria Math"/>
                  </w:rPr>
                  <m:t>2</m:t>
                </m:r>
              </m:sub>
            </m:sSub>
          </m:num>
          <m:den>
            <m:rad>
              <m:radPr>
                <m:degHide m:val="1"/>
                <m:ctrlPr>
                  <w:rPr>
                    <w:rFonts w:ascii="Cambria Math" w:eastAsia="Calibri" w:hAnsi="Cambria Math"/>
                  </w:rPr>
                </m:ctrlPr>
              </m:radPr>
              <m:deg/>
              <m:e>
                <m:f>
                  <m:fPr>
                    <m:ctrlPr>
                      <w:rPr>
                        <w:rFonts w:ascii="Cambria Math" w:eastAsia="Calibri" w:hAnsi="Cambria Math"/>
                      </w:rPr>
                    </m:ctrlPr>
                  </m:fPr>
                  <m:num>
                    <m:sSub>
                      <m:sSubPr>
                        <m:ctrlPr>
                          <w:rPr>
                            <w:rFonts w:ascii="Cambria Math" w:eastAsia="Calibri" w:hAnsi="Cambria Math"/>
                          </w:rPr>
                        </m:ctrlPr>
                      </m:sSubPr>
                      <m:e>
                        <m:r>
                          <m:rPr>
                            <m:sty m:val="p"/>
                          </m:rPr>
                          <w:rPr>
                            <w:rFonts w:ascii="Cambria Math" w:eastAsia="Calibri" w:hAnsi="Cambria Math"/>
                          </w:rPr>
                          <m:t>(n</m:t>
                        </m:r>
                      </m:e>
                      <m:sub>
                        <m:r>
                          <m:rPr>
                            <m:sty m:val="p"/>
                          </m:rPr>
                          <w:rPr>
                            <w:rFonts w:ascii="Cambria Math" w:eastAsia="Calibri" w:hAnsi="Cambria Math"/>
                          </w:rPr>
                          <m:t>1</m:t>
                        </m:r>
                      </m:sub>
                    </m:sSub>
                    <m:r>
                      <m:rPr>
                        <m:sty m:val="p"/>
                      </m:rPr>
                      <w:rPr>
                        <w:rFonts w:ascii="Cambria Math" w:eastAsia="Calibri" w:hAnsi="Cambria Math"/>
                      </w:rPr>
                      <m:t>-1)*</m:t>
                    </m:r>
                    <m:sSubSup>
                      <m:sSubSupPr>
                        <m:ctrlPr>
                          <w:rPr>
                            <w:rFonts w:ascii="Cambria Math" w:eastAsia="Calibri" w:hAnsi="Cambria Math"/>
                          </w:rPr>
                        </m:ctrlPr>
                      </m:sSubSupPr>
                      <m:e>
                        <m:r>
                          <m:rPr>
                            <m:sty m:val="p"/>
                          </m:rPr>
                          <w:rPr>
                            <w:rFonts w:ascii="Cambria Math" w:eastAsia="Calibri" w:hAnsi="Cambria Math"/>
                          </w:rPr>
                          <m:t>SD</m:t>
                        </m:r>
                      </m:e>
                      <m:sub>
                        <m:r>
                          <m:rPr>
                            <m:sty m:val="p"/>
                          </m:rPr>
                          <w:rPr>
                            <w:rFonts w:ascii="Cambria Math" w:eastAsia="Calibri" w:hAnsi="Cambria Math"/>
                          </w:rPr>
                          <m:t>1</m:t>
                        </m:r>
                      </m:sub>
                      <m:sup>
                        <m:r>
                          <m:rPr>
                            <m:sty m:val="p"/>
                          </m:rPr>
                          <w:rPr>
                            <w:rFonts w:ascii="Cambria Math" w:eastAsia="Calibri" w:hAnsi="Cambria Math"/>
                          </w:rPr>
                          <m:t>2</m:t>
                        </m:r>
                      </m:sup>
                    </m:sSubSup>
                    <m:r>
                      <m:rPr>
                        <m:sty m:val="p"/>
                      </m:rPr>
                      <w:rPr>
                        <w:rFonts w:ascii="Cambria Math" w:eastAsia="Calibri" w:hAnsi="Cambria Math"/>
                      </w:rPr>
                      <m:t>+</m:t>
                    </m:r>
                    <m:sSub>
                      <m:sSubPr>
                        <m:ctrlPr>
                          <w:rPr>
                            <w:rFonts w:ascii="Cambria Math" w:eastAsia="Calibri" w:hAnsi="Cambria Math"/>
                          </w:rPr>
                        </m:ctrlPr>
                      </m:sSubPr>
                      <m:e>
                        <m:r>
                          <m:rPr>
                            <m:sty m:val="p"/>
                          </m:rPr>
                          <w:rPr>
                            <w:rFonts w:ascii="Cambria Math" w:eastAsia="Calibri" w:hAnsi="Cambria Math"/>
                          </w:rPr>
                          <m:t>(n</m:t>
                        </m:r>
                      </m:e>
                      <m:sub>
                        <m:r>
                          <m:rPr>
                            <m:sty m:val="p"/>
                          </m:rPr>
                          <w:rPr>
                            <w:rFonts w:ascii="Cambria Math" w:eastAsia="Calibri" w:hAnsi="Cambria Math"/>
                          </w:rPr>
                          <m:t>2</m:t>
                        </m:r>
                      </m:sub>
                    </m:sSub>
                    <m:r>
                      <m:rPr>
                        <m:sty m:val="p"/>
                      </m:rPr>
                      <w:rPr>
                        <w:rFonts w:ascii="Cambria Math" w:eastAsia="Calibri" w:hAnsi="Cambria Math"/>
                      </w:rPr>
                      <m:t>-1)*</m:t>
                    </m:r>
                    <m:sSubSup>
                      <m:sSubSupPr>
                        <m:ctrlPr>
                          <w:rPr>
                            <w:rFonts w:ascii="Cambria Math" w:eastAsia="Calibri" w:hAnsi="Cambria Math"/>
                          </w:rPr>
                        </m:ctrlPr>
                      </m:sSubSupPr>
                      <m:e>
                        <m:r>
                          <m:rPr>
                            <m:sty m:val="p"/>
                          </m:rPr>
                          <w:rPr>
                            <w:rFonts w:ascii="Cambria Math" w:eastAsia="Calibri" w:hAnsi="Cambria Math"/>
                          </w:rPr>
                          <m:t>SD</m:t>
                        </m:r>
                      </m:e>
                      <m:sub>
                        <m:r>
                          <m:rPr>
                            <m:sty m:val="p"/>
                          </m:rPr>
                          <w:rPr>
                            <w:rFonts w:ascii="Cambria Math" w:eastAsia="Calibri" w:hAnsi="Cambria Math"/>
                          </w:rPr>
                          <m:t>2</m:t>
                        </m:r>
                      </m:sub>
                      <m:sup>
                        <m:r>
                          <m:rPr>
                            <m:sty m:val="p"/>
                          </m:rPr>
                          <w:rPr>
                            <w:rFonts w:ascii="Cambria Math" w:eastAsia="Calibri" w:hAnsi="Cambria Math"/>
                          </w:rPr>
                          <m:t>2</m:t>
                        </m:r>
                      </m:sup>
                    </m:sSubSup>
                  </m:num>
                  <m:den>
                    <m:sSub>
                      <m:sSubPr>
                        <m:ctrlPr>
                          <w:rPr>
                            <w:rFonts w:ascii="Cambria Math" w:eastAsia="Calibri" w:hAnsi="Cambria Math"/>
                          </w:rPr>
                        </m:ctrlPr>
                      </m:sSubPr>
                      <m:e>
                        <m:r>
                          <m:rPr>
                            <m:sty m:val="p"/>
                          </m:rPr>
                          <w:rPr>
                            <w:rFonts w:ascii="Cambria Math" w:eastAsia="Calibri" w:hAnsi="Cambria Math"/>
                          </w:rPr>
                          <m:t>(n</m:t>
                        </m:r>
                      </m:e>
                      <m:sub>
                        <m:r>
                          <m:rPr>
                            <m:sty m:val="p"/>
                          </m:rPr>
                          <w:rPr>
                            <w:rFonts w:ascii="Cambria Math" w:eastAsia="Calibri" w:hAnsi="Cambria Math"/>
                          </w:rPr>
                          <m:t>1</m:t>
                        </m:r>
                      </m:sub>
                    </m:sSub>
                    <m:r>
                      <m:rPr>
                        <m:sty m:val="p"/>
                      </m:rPr>
                      <w:rPr>
                        <w:rFonts w:ascii="Cambria Math" w:eastAsia="Calibri" w:hAnsi="Cambria Math"/>
                      </w:rPr>
                      <m:t>-1)+</m:t>
                    </m:r>
                    <m:sSub>
                      <m:sSubPr>
                        <m:ctrlPr>
                          <w:rPr>
                            <w:rFonts w:ascii="Cambria Math" w:eastAsia="Calibri" w:hAnsi="Cambria Math"/>
                          </w:rPr>
                        </m:ctrlPr>
                      </m:sSubPr>
                      <m:e>
                        <m:r>
                          <m:rPr>
                            <m:sty m:val="p"/>
                          </m:rPr>
                          <w:rPr>
                            <w:rFonts w:ascii="Cambria Math" w:eastAsia="Calibri" w:hAnsi="Cambria Math"/>
                          </w:rPr>
                          <m:t>(n</m:t>
                        </m:r>
                      </m:e>
                      <m:sub>
                        <m:r>
                          <m:rPr>
                            <m:sty m:val="p"/>
                          </m:rPr>
                          <w:rPr>
                            <w:rFonts w:ascii="Cambria Math" w:eastAsia="Calibri" w:hAnsi="Cambria Math"/>
                          </w:rPr>
                          <m:t>1</m:t>
                        </m:r>
                      </m:sub>
                    </m:sSub>
                    <m:r>
                      <m:rPr>
                        <m:sty m:val="p"/>
                      </m:rPr>
                      <w:rPr>
                        <w:rFonts w:ascii="Cambria Math" w:eastAsia="Calibri" w:hAnsi="Cambria Math"/>
                      </w:rPr>
                      <m:t>-1)</m:t>
                    </m:r>
                  </m:den>
                </m:f>
              </m:e>
            </m:rad>
          </m:den>
        </m:f>
      </m:oMath>
      <w:r>
        <w:rPr>
          <w:rFonts w:eastAsia="Calibri"/>
        </w:rPr>
        <w:t>, where</w:t>
      </w:r>
      <w:r>
        <w:rPr>
          <w:rFonts w:eastAsia="Calibri"/>
          <w:i/>
        </w:rPr>
        <w:t xml:space="preserve"> M</w:t>
      </w:r>
      <w:r>
        <w:rPr>
          <w:rFonts w:eastAsia="Calibri"/>
        </w:rPr>
        <w:t xml:space="preserve"> refers to the mean performance of the groups, </w:t>
      </w:r>
      <w:r>
        <w:rPr>
          <w:rFonts w:eastAsia="Calibri"/>
          <w:i/>
        </w:rPr>
        <w:t>SD</w:t>
      </w:r>
      <w:r>
        <w:rPr>
          <w:rFonts w:eastAsia="Calibri"/>
        </w:rPr>
        <w:t xml:space="preserve"> refers to the standard deviations from the means, and </w:t>
      </w:r>
      <w:r>
        <w:rPr>
          <w:rFonts w:eastAsia="Calibri"/>
          <w:i/>
        </w:rPr>
        <w:t>n</w:t>
      </w:r>
      <w:r>
        <w:rPr>
          <w:rFonts w:eastAsia="Calibri"/>
        </w:rPr>
        <w:t xml:space="preserve"> refers to the sample sizes.</w:t>
      </w: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p>
    <w:p w:rsidR="00911E09" w:rsidRDefault="00911E09" w:rsidP="00911E09">
      <w:pPr>
        <w:rPr>
          <w:rFonts w:eastAsia="Calibri"/>
          <w:b/>
        </w:rPr>
      </w:pPr>
      <w:r>
        <w:rPr>
          <w:rFonts w:eastAsia="Calibri"/>
          <w:b/>
        </w:rPr>
        <w:lastRenderedPageBreak/>
        <w:t>Supplementary Table 1</w:t>
      </w:r>
    </w:p>
    <w:p w:rsidR="00911E09" w:rsidRDefault="00911E09" w:rsidP="00911E09">
      <w:pPr>
        <w:rPr>
          <w:rFonts w:eastAsia="Calibri"/>
          <w:i/>
        </w:rPr>
      </w:pPr>
      <w:r>
        <w:rPr>
          <w:rFonts w:eastAsia="Calibri"/>
          <w:i/>
        </w:rPr>
        <w:t>Means, standard deviations and calculated effect sizes of the significant results of Rüsseler et al. (2011)</w:t>
      </w:r>
    </w:p>
    <w:tbl>
      <w:tblPr>
        <w:tblStyle w:val="Tabellenraster4"/>
        <w:tblW w:w="12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4"/>
        <w:gridCol w:w="782"/>
        <w:gridCol w:w="783"/>
        <w:gridCol w:w="783"/>
        <w:gridCol w:w="783"/>
        <w:gridCol w:w="783"/>
        <w:gridCol w:w="783"/>
        <w:gridCol w:w="783"/>
        <w:gridCol w:w="783"/>
        <w:gridCol w:w="783"/>
        <w:gridCol w:w="783"/>
        <w:gridCol w:w="783"/>
        <w:gridCol w:w="783"/>
        <w:gridCol w:w="783"/>
        <w:gridCol w:w="783"/>
      </w:tblGrid>
      <w:tr w:rsidR="00911E09" w:rsidTr="009B010E">
        <w:trPr>
          <w:trHeight w:val="269"/>
        </w:trPr>
        <w:tc>
          <w:tcPr>
            <w:tcW w:w="2147" w:type="dxa"/>
            <w:vMerge w:val="restart"/>
            <w:tcBorders>
              <w:top w:val="single" w:sz="4" w:space="0" w:color="auto"/>
            </w:tcBorders>
          </w:tcPr>
          <w:p w:rsidR="00911E09" w:rsidRDefault="00911E09" w:rsidP="009B010E">
            <w:pPr>
              <w:jc w:val="center"/>
              <w:rPr>
                <w:rFonts w:ascii="Arial Narrow" w:hAnsi="Arial Narrow"/>
                <w:lang w:val="en-US"/>
              </w:rPr>
            </w:pPr>
          </w:p>
        </w:tc>
        <w:tc>
          <w:tcPr>
            <w:tcW w:w="851"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(1) Functional illiterate adults</w:t>
            </w:r>
          </w:p>
        </w:tc>
        <w:tc>
          <w:tcPr>
            <w:tcW w:w="851"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(2) Functional illiterate adults</w:t>
            </w:r>
          </w:p>
        </w:tc>
        <w:tc>
          <w:tcPr>
            <w:tcW w:w="851"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(3) Children with dyslexia</w:t>
            </w:r>
          </w:p>
        </w:tc>
        <w:tc>
          <w:tcPr>
            <w:tcW w:w="851"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(4) Literate adults matched in age and IQ</w:t>
            </w:r>
          </w:p>
        </w:tc>
        <w:tc>
          <w:tcPr>
            <w:tcW w:w="851"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(5) Literate adults matched in age</w:t>
            </w:r>
          </w:p>
        </w:tc>
        <w:tc>
          <w:tcPr>
            <w:tcW w:w="851" w:type="dxa"/>
            <w:gridSpan w:val="4"/>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Cohen’s d</w:t>
            </w:r>
          </w:p>
        </w:tc>
      </w:tr>
      <w:tr w:rsidR="00911E09" w:rsidTr="009B010E">
        <w:trPr>
          <w:trHeight w:val="269"/>
        </w:trPr>
        <w:tc>
          <w:tcPr>
            <w:tcW w:w="2147" w:type="dxa"/>
            <w:vMerge/>
            <w:tcBorders>
              <w:bottom w:val="single" w:sz="4" w:space="0" w:color="auto"/>
            </w:tcBorders>
          </w:tcPr>
          <w:p w:rsidR="00911E09" w:rsidRDefault="00911E09" w:rsidP="009B010E">
            <w:pPr>
              <w:jc w:val="center"/>
              <w:rPr>
                <w:rFonts w:ascii="Arial Narrow" w:hAnsi="Arial Narrow"/>
                <w:lang w:val="en-US"/>
              </w:rPr>
            </w:pP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lang w:val="en-US"/>
              </w:rPr>
              <w:t>(1) vs (4)</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lang w:val="en-US"/>
              </w:rPr>
              <w:t>(2) vs (5)</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lang w:val="en-US"/>
              </w:rPr>
              <w:t>(3) vs (4)</w:t>
            </w:r>
          </w:p>
        </w:tc>
        <w:tc>
          <w:tcPr>
            <w:tcW w:w="8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lang w:val="en-US"/>
              </w:rPr>
              <w:t>(3) vs (5)</w:t>
            </w:r>
          </w:p>
        </w:tc>
      </w:tr>
      <w:tr w:rsidR="00911E09" w:rsidTr="009B010E">
        <w:trPr>
          <w:trHeight w:val="269"/>
        </w:trPr>
        <w:tc>
          <w:tcPr>
            <w:tcW w:w="2147" w:type="dxa"/>
            <w:tcBorders>
              <w:top w:val="single" w:sz="4" w:space="0" w:color="auto"/>
            </w:tcBorders>
          </w:tcPr>
          <w:p w:rsidR="00911E09" w:rsidRDefault="00911E09" w:rsidP="009B010E">
            <w:pPr>
              <w:rPr>
                <w:rFonts w:ascii="Arial Narrow" w:hAnsi="Arial Narrow"/>
                <w:lang w:val="en-US"/>
              </w:rPr>
            </w:pPr>
            <w:r>
              <w:rPr>
                <w:rFonts w:ascii="Arial Narrow" w:hAnsi="Arial Narrow"/>
                <w:lang w:val="en-US"/>
              </w:rPr>
              <w:t>Temporal order judgment, visual (ms)</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91.9</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13.1</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85.2</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12.8</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82.9</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12.2</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41.2</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3.2</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46.4</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3.4</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5.32</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4.14</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4.68</w:t>
            </w:r>
          </w:p>
        </w:tc>
        <w:tc>
          <w:tcPr>
            <w:tcW w:w="851"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4.08</w:t>
            </w:r>
          </w:p>
        </w:tc>
      </w:tr>
      <w:tr w:rsidR="00911E09" w:rsidTr="009B010E">
        <w:trPr>
          <w:trHeight w:val="269"/>
        </w:trPr>
        <w:tc>
          <w:tcPr>
            <w:tcW w:w="2147" w:type="dxa"/>
          </w:tcPr>
          <w:p w:rsidR="00911E09" w:rsidRDefault="00911E09" w:rsidP="009B010E">
            <w:pPr>
              <w:rPr>
                <w:rFonts w:ascii="Arial Narrow" w:hAnsi="Arial Narrow"/>
                <w:lang w:val="en-US"/>
              </w:rPr>
            </w:pPr>
            <w:r>
              <w:rPr>
                <w:rFonts w:ascii="Arial Narrow" w:hAnsi="Arial Narrow" w:cs="Calibri"/>
                <w:color w:val="000000"/>
                <w:lang w:val="en-US"/>
              </w:rPr>
              <w:t xml:space="preserve">Temporal order judgment, auditory </w:t>
            </w:r>
            <w:r>
              <w:rPr>
                <w:rFonts w:ascii="Arial Narrow" w:hAnsi="Arial Narrow"/>
                <w:lang w:val="en-US"/>
              </w:rPr>
              <w:t>(ms)</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105.7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15.6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97.6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12.3</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120.3</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24.9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58.5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60.8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4.15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3.98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3.47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3.33</w:t>
            </w:r>
          </w:p>
        </w:tc>
      </w:tr>
      <w:tr w:rsidR="00911E09" w:rsidTr="009B010E">
        <w:trPr>
          <w:trHeight w:val="269"/>
        </w:trPr>
        <w:tc>
          <w:tcPr>
            <w:tcW w:w="2147" w:type="dxa"/>
          </w:tcPr>
          <w:p w:rsidR="00911E09" w:rsidRDefault="00911E09" w:rsidP="009B010E">
            <w:pPr>
              <w:rPr>
                <w:rFonts w:ascii="Arial Narrow" w:hAnsi="Arial Narrow"/>
                <w:lang w:val="en-US"/>
              </w:rPr>
            </w:pPr>
            <w:r>
              <w:rPr>
                <w:rFonts w:ascii="Arial Narrow" w:hAnsi="Arial Narrow" w:cs="Calibri"/>
                <w:color w:val="000000"/>
              </w:rPr>
              <w:t>Auditory direction judgment (</w:t>
            </w:r>
            <w:r>
              <w:rPr>
                <w:rFonts w:ascii="Arial Narrow" w:hAnsi="Arial Narrow" w:cs="Calibri" w:hint="eastAsia"/>
                <w:color w:val="000000"/>
              </w:rPr>
              <w:t>μ</w:t>
            </w:r>
            <w:r>
              <w:rPr>
                <w:rFonts w:ascii="Arial Narrow" w:hAnsi="Arial Narrow" w:cs="Calibri"/>
                <w:color w:val="000000"/>
              </w:rPr>
              <w:t>s)</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86.8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13.1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98.7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18.1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125.1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44.2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5.2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4.27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4.52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4.02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4.29</w:t>
            </w:r>
          </w:p>
        </w:tc>
      </w:tr>
      <w:tr w:rsidR="00911E09" w:rsidTr="009B010E">
        <w:trPr>
          <w:trHeight w:val="269"/>
        </w:trPr>
        <w:tc>
          <w:tcPr>
            <w:tcW w:w="2147" w:type="dxa"/>
          </w:tcPr>
          <w:p w:rsidR="00911E09" w:rsidRDefault="00911E09" w:rsidP="009B010E">
            <w:pPr>
              <w:rPr>
                <w:rFonts w:ascii="Arial Narrow" w:hAnsi="Arial Narrow"/>
                <w:lang w:val="en-US"/>
              </w:rPr>
            </w:pPr>
            <w:r>
              <w:rPr>
                <w:rFonts w:ascii="Arial Narrow" w:hAnsi="Arial Narrow" w:cs="Calibri"/>
                <w:color w:val="000000"/>
              </w:rPr>
              <w:t>Pitch discrimination (%)</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35.9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1.3</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35.9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35.1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15.1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11.2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10.12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18.51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7.40</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10.48</w:t>
            </w:r>
          </w:p>
        </w:tc>
      </w:tr>
      <w:tr w:rsidR="00911E09" w:rsidTr="009B010E">
        <w:trPr>
          <w:trHeight w:val="269"/>
        </w:trPr>
        <w:tc>
          <w:tcPr>
            <w:tcW w:w="2147" w:type="dxa"/>
          </w:tcPr>
          <w:p w:rsidR="00911E09" w:rsidRDefault="00911E09" w:rsidP="009B010E">
            <w:pPr>
              <w:rPr>
                <w:rFonts w:ascii="Arial Narrow" w:hAnsi="Arial Narrow"/>
                <w:lang w:val="en-US"/>
              </w:rPr>
            </w:pPr>
            <w:r>
              <w:rPr>
                <w:rFonts w:ascii="Arial Narrow" w:hAnsi="Arial Narrow" w:cs="Calibri"/>
                <w:color w:val="000000"/>
              </w:rPr>
              <w:t xml:space="preserve">Auditory-motor coordination </w:t>
            </w:r>
            <w:r>
              <w:rPr>
                <w:rFonts w:ascii="Arial Narrow" w:hAnsi="Arial Narrow"/>
                <w:lang w:val="en-US"/>
              </w:rPr>
              <w:t>(ms)</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457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20.8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409.4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21.5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407.4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32.8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330.4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21.2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318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25.5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6.03</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3.88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2.79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3.04</w:t>
            </w:r>
          </w:p>
        </w:tc>
      </w:tr>
      <w:tr w:rsidR="00911E09" w:rsidTr="009B010E">
        <w:trPr>
          <w:trHeight w:val="269"/>
        </w:trPr>
        <w:tc>
          <w:tcPr>
            <w:tcW w:w="2147" w:type="dxa"/>
          </w:tcPr>
          <w:p w:rsidR="00911E09" w:rsidRDefault="00911E09" w:rsidP="009B010E">
            <w:pPr>
              <w:rPr>
                <w:rFonts w:ascii="Arial Narrow" w:hAnsi="Arial Narrow"/>
                <w:lang w:val="en-US"/>
              </w:rPr>
            </w:pPr>
            <w:r>
              <w:rPr>
                <w:rFonts w:ascii="Arial Narrow" w:hAnsi="Arial Narrow" w:cs="Calibri"/>
                <w:color w:val="000000"/>
              </w:rPr>
              <w:t xml:space="preserve">Choice reaction task </w:t>
            </w:r>
            <w:r>
              <w:rPr>
                <w:rFonts w:ascii="Arial Narrow" w:hAnsi="Arial Narrow"/>
                <w:lang w:val="en-US"/>
              </w:rPr>
              <w:t>(ms)</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938.5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138.7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791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55.6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687.8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64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582.7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38.5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485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22.2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3.50</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7.23</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1.99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4.23</w:t>
            </w:r>
          </w:p>
        </w:tc>
      </w:tr>
      <w:tr w:rsidR="00911E09" w:rsidTr="009B010E">
        <w:trPr>
          <w:trHeight w:val="269"/>
        </w:trPr>
        <w:tc>
          <w:tcPr>
            <w:tcW w:w="2147" w:type="dxa"/>
          </w:tcPr>
          <w:p w:rsidR="00911E09" w:rsidRDefault="00911E09" w:rsidP="009B010E">
            <w:pPr>
              <w:rPr>
                <w:rFonts w:ascii="Arial Narrow" w:hAnsi="Arial Narrow"/>
                <w:lang w:val="en-US"/>
              </w:rPr>
            </w:pPr>
            <w:r>
              <w:rPr>
                <w:rFonts w:ascii="Arial Narrow" w:hAnsi="Arial Narrow" w:cs="Calibri"/>
                <w:color w:val="000000"/>
                <w:lang w:val="en-US"/>
              </w:rPr>
              <w:t xml:space="preserve">Auditory frequency-pattern discrimination </w:t>
            </w:r>
            <w:r>
              <w:rPr>
                <w:rFonts w:ascii="Arial Narrow" w:hAnsi="Arial Narrow"/>
                <w:lang w:val="en-US"/>
              </w:rPr>
              <w:t>(ms)</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242.1</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22.65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267.7</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17.5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243.2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33.2</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79</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8.4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54.6</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3.4</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9.55</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16.90</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6.78</w:t>
            </w:r>
          </w:p>
        </w:tc>
        <w:tc>
          <w:tcPr>
            <w:tcW w:w="851" w:type="dxa"/>
            <w:vAlign w:val="center"/>
          </w:tcPr>
          <w:p w:rsidR="00911E09" w:rsidRDefault="00911E09" w:rsidP="009B010E">
            <w:pPr>
              <w:jc w:val="center"/>
              <w:rPr>
                <w:rFonts w:ascii="Arial Narrow" w:hAnsi="Arial Narrow"/>
                <w:lang w:val="en-US"/>
              </w:rPr>
            </w:pPr>
            <w:r>
              <w:rPr>
                <w:rFonts w:ascii="Arial Narrow" w:hAnsi="Arial Narrow" w:cs="Calibri"/>
                <w:color w:val="000000"/>
              </w:rPr>
              <w:t>7.99</w:t>
            </w:r>
          </w:p>
        </w:tc>
      </w:tr>
      <w:tr w:rsidR="00911E09" w:rsidTr="009B010E">
        <w:trPr>
          <w:trHeight w:val="269"/>
        </w:trPr>
        <w:tc>
          <w:tcPr>
            <w:tcW w:w="2147" w:type="dxa"/>
            <w:tcBorders>
              <w:bottom w:val="single" w:sz="4" w:space="0" w:color="auto"/>
            </w:tcBorders>
          </w:tcPr>
          <w:p w:rsidR="00911E09" w:rsidRDefault="00911E09" w:rsidP="009B010E">
            <w:pPr>
              <w:rPr>
                <w:rFonts w:ascii="Arial Narrow" w:hAnsi="Arial Narrow"/>
                <w:lang w:val="en-US"/>
              </w:rPr>
            </w:pPr>
            <w:r>
              <w:rPr>
                <w:rFonts w:ascii="Arial Narrow" w:hAnsi="Arial Narrow" w:cs="Calibri"/>
                <w:color w:val="000000"/>
                <w:lang w:val="en-US"/>
              </w:rPr>
              <w:t xml:space="preserve">Auditory duration-pattern discrimination </w:t>
            </w:r>
            <w:r>
              <w:rPr>
                <w:rFonts w:ascii="Arial Narrow" w:hAnsi="Arial Narrow"/>
                <w:lang w:val="en-US"/>
              </w:rPr>
              <w:t>(ms)</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207.3</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22.1</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183.2</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18.7</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203.8</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26.7</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87.8</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8.8</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74.7</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6.8</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7.10</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7.71</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5.84</w:t>
            </w:r>
          </w:p>
        </w:tc>
        <w:tc>
          <w:tcPr>
            <w:tcW w:w="851" w:type="dxa"/>
            <w:tcBorders>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6.63</w:t>
            </w:r>
          </w:p>
        </w:tc>
      </w:tr>
    </w:tbl>
    <w:p w:rsidR="00911E09" w:rsidRDefault="00911E09" w:rsidP="00911E09">
      <w:pPr>
        <w:rPr>
          <w:rFonts w:eastAsia="Calibri"/>
        </w:rPr>
      </w:pPr>
      <w:r>
        <w:rPr>
          <w:rFonts w:eastAsia="Calibri"/>
          <w:i/>
        </w:rPr>
        <w:t>Note</w:t>
      </w:r>
      <w:r>
        <w:rPr>
          <w:rFonts w:eastAsia="Calibri"/>
        </w:rPr>
        <w:t>. In the study, (1) were not compared to (5) and (2) were not compared to (4), therefore, these effect sizes are not calculated. (1) and (3), as well as (2) and (3) did not differ from each other in any of the tasks, therefore, they the effect sizes were not calculated.</w:t>
      </w: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b/>
        </w:rPr>
      </w:pPr>
      <w:r>
        <w:rPr>
          <w:rFonts w:eastAsia="Calibri"/>
          <w:b/>
        </w:rPr>
        <w:br w:type="page"/>
      </w:r>
    </w:p>
    <w:p w:rsidR="00911E09" w:rsidRDefault="00911E09" w:rsidP="00911E09">
      <w:pPr>
        <w:rPr>
          <w:rFonts w:eastAsia="Calibri"/>
          <w:b/>
        </w:rPr>
      </w:pPr>
      <w:r>
        <w:rPr>
          <w:rFonts w:eastAsia="Calibri"/>
          <w:b/>
        </w:rPr>
        <w:lastRenderedPageBreak/>
        <w:t>Supplementary Table 2</w:t>
      </w:r>
    </w:p>
    <w:p w:rsidR="00911E09" w:rsidRDefault="00911E09" w:rsidP="00911E09">
      <w:pPr>
        <w:rPr>
          <w:rFonts w:eastAsia="Calibri"/>
          <w:i/>
        </w:rPr>
      </w:pPr>
      <w:r>
        <w:rPr>
          <w:rFonts w:eastAsia="Calibri"/>
          <w:i/>
        </w:rPr>
        <w:t>Means, standard deviations and calculated effect sizes of the significant results of Flint and Pammer (2018)</w:t>
      </w:r>
    </w:p>
    <w:tbl>
      <w:tblPr>
        <w:tblStyle w:val="Tabellenraster4"/>
        <w:tblW w:w="12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5"/>
        <w:gridCol w:w="1198"/>
        <w:gridCol w:w="1199"/>
        <w:gridCol w:w="1199"/>
        <w:gridCol w:w="1199"/>
        <w:gridCol w:w="1199"/>
        <w:gridCol w:w="1199"/>
        <w:gridCol w:w="1199"/>
        <w:gridCol w:w="1199"/>
        <w:gridCol w:w="1199"/>
      </w:tblGrid>
      <w:tr w:rsidR="00911E09" w:rsidTr="009B010E">
        <w:trPr>
          <w:trHeight w:val="269"/>
        </w:trPr>
        <w:tc>
          <w:tcPr>
            <w:tcW w:w="2105" w:type="dxa"/>
            <w:vMerge w:val="restart"/>
            <w:tcBorders>
              <w:top w:val="single" w:sz="4" w:space="0" w:color="auto"/>
            </w:tcBorders>
          </w:tcPr>
          <w:p w:rsidR="00911E09" w:rsidRDefault="00911E09" w:rsidP="009B010E">
            <w:pPr>
              <w:jc w:val="center"/>
              <w:rPr>
                <w:rFonts w:ascii="Arial Narrow" w:hAnsi="Arial Narrow"/>
                <w:lang w:val="en-US"/>
              </w:rPr>
            </w:pPr>
          </w:p>
        </w:tc>
        <w:tc>
          <w:tcPr>
            <w:tcW w:w="2397"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(1) Semi-literate readers</w:t>
            </w:r>
          </w:p>
        </w:tc>
        <w:tc>
          <w:tcPr>
            <w:tcW w:w="2398"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(2) Dyslexic readers</w:t>
            </w:r>
          </w:p>
        </w:tc>
        <w:tc>
          <w:tcPr>
            <w:tcW w:w="2398"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(3) Normal readers</w:t>
            </w:r>
          </w:p>
        </w:tc>
        <w:tc>
          <w:tcPr>
            <w:tcW w:w="3597" w:type="dxa"/>
            <w:gridSpan w:val="3"/>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Cohen’s d</w:t>
            </w:r>
          </w:p>
        </w:tc>
      </w:tr>
      <w:tr w:rsidR="00911E09" w:rsidTr="009B010E">
        <w:trPr>
          <w:trHeight w:val="269"/>
        </w:trPr>
        <w:tc>
          <w:tcPr>
            <w:tcW w:w="2105" w:type="dxa"/>
            <w:vMerge/>
            <w:tcBorders>
              <w:bottom w:val="single" w:sz="4" w:space="0" w:color="auto"/>
            </w:tcBorders>
          </w:tcPr>
          <w:p w:rsidR="00911E09" w:rsidRDefault="00911E09" w:rsidP="009B010E">
            <w:pPr>
              <w:rPr>
                <w:rFonts w:ascii="Arial Narrow" w:hAnsi="Arial Narrow"/>
                <w:lang w:val="en-US"/>
              </w:rPr>
            </w:pPr>
          </w:p>
        </w:tc>
        <w:tc>
          <w:tcPr>
            <w:tcW w:w="1198"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1199"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1199"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1199"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1199"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1199"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1199" w:type="dxa"/>
            <w:tcBorders>
              <w:top w:val="single" w:sz="4" w:space="0" w:color="auto"/>
              <w:bottom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rPr>
              <w:t>(1) vs (2)</w:t>
            </w:r>
          </w:p>
        </w:tc>
        <w:tc>
          <w:tcPr>
            <w:tcW w:w="1199" w:type="dxa"/>
            <w:tcBorders>
              <w:top w:val="single" w:sz="4" w:space="0" w:color="auto"/>
              <w:bottom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rPr>
              <w:t>(1) vs (3)</w:t>
            </w:r>
          </w:p>
        </w:tc>
        <w:tc>
          <w:tcPr>
            <w:tcW w:w="1199" w:type="dxa"/>
            <w:tcBorders>
              <w:top w:val="single" w:sz="4" w:space="0" w:color="auto"/>
              <w:bottom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rPr>
              <w:t>(2) vs (3)</w:t>
            </w:r>
          </w:p>
        </w:tc>
      </w:tr>
      <w:tr w:rsidR="00911E09" w:rsidTr="009B010E">
        <w:trPr>
          <w:trHeight w:val="269"/>
        </w:trPr>
        <w:tc>
          <w:tcPr>
            <w:tcW w:w="2105" w:type="dxa"/>
            <w:tcBorders>
              <w:top w:val="single" w:sz="4" w:space="0" w:color="auto"/>
            </w:tcBorders>
          </w:tcPr>
          <w:p w:rsidR="00911E09" w:rsidRDefault="00911E09" w:rsidP="009B010E">
            <w:pPr>
              <w:rPr>
                <w:rFonts w:ascii="Arial Narrow" w:hAnsi="Arial Narrow"/>
                <w:lang w:val="en-US"/>
              </w:rPr>
            </w:pPr>
            <w:r>
              <w:rPr>
                <w:rFonts w:ascii="Arial Narrow" w:hAnsi="Arial Narrow"/>
              </w:rPr>
              <w:t>Coherent motion stimuli (score)</w:t>
            </w:r>
          </w:p>
        </w:tc>
        <w:tc>
          <w:tcPr>
            <w:tcW w:w="1198"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44.3</w:t>
            </w:r>
          </w:p>
        </w:tc>
        <w:tc>
          <w:tcPr>
            <w:tcW w:w="1199"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5.41</w:t>
            </w:r>
          </w:p>
        </w:tc>
        <w:tc>
          <w:tcPr>
            <w:tcW w:w="1199"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68.9</w:t>
            </w:r>
          </w:p>
        </w:tc>
        <w:tc>
          <w:tcPr>
            <w:tcW w:w="1199"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4.84</w:t>
            </w:r>
          </w:p>
        </w:tc>
        <w:tc>
          <w:tcPr>
            <w:tcW w:w="1199"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42.8</w:t>
            </w:r>
          </w:p>
        </w:tc>
        <w:tc>
          <w:tcPr>
            <w:tcW w:w="1199"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5.37</w:t>
            </w:r>
          </w:p>
        </w:tc>
        <w:tc>
          <w:tcPr>
            <w:tcW w:w="1199"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rPr>
              <w:t>-4.79</w:t>
            </w:r>
          </w:p>
        </w:tc>
        <w:tc>
          <w:tcPr>
            <w:tcW w:w="1199"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rPr>
              <w:t>0.28</w:t>
            </w:r>
          </w:p>
        </w:tc>
        <w:tc>
          <w:tcPr>
            <w:tcW w:w="1199"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rPr>
              <w:t>5.11</w:t>
            </w:r>
          </w:p>
        </w:tc>
      </w:tr>
      <w:tr w:rsidR="00911E09" w:rsidTr="009B010E">
        <w:trPr>
          <w:trHeight w:val="269"/>
        </w:trPr>
        <w:tc>
          <w:tcPr>
            <w:tcW w:w="2105" w:type="dxa"/>
            <w:tcBorders>
              <w:bottom w:val="single" w:sz="4" w:space="0" w:color="auto"/>
            </w:tcBorders>
            <w:shd w:val="clear" w:color="auto" w:fill="auto"/>
          </w:tcPr>
          <w:p w:rsidR="00911E09" w:rsidRDefault="00911E09" w:rsidP="009B010E">
            <w:pPr>
              <w:rPr>
                <w:rFonts w:ascii="Arial Narrow" w:hAnsi="Arial Narrow"/>
                <w:lang w:val="en-US"/>
              </w:rPr>
            </w:pPr>
            <w:r>
              <w:rPr>
                <w:rFonts w:ascii="Arial Narrow" w:hAnsi="Arial Narrow"/>
              </w:rPr>
              <w:t>Frequency doubled illusion (score)</w:t>
            </w:r>
          </w:p>
        </w:tc>
        <w:tc>
          <w:tcPr>
            <w:tcW w:w="1198"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1199" w:type="dxa"/>
            <w:tcBorders>
              <w:bottom w:val="single" w:sz="4" w:space="0" w:color="auto"/>
            </w:tcBorders>
            <w:shd w:val="clear" w:color="auto" w:fill="auto"/>
            <w:vAlign w:val="center"/>
          </w:tcPr>
          <w:p w:rsidR="00911E09" w:rsidRDefault="00911E09" w:rsidP="009B010E">
            <w:pPr>
              <w:jc w:val="center"/>
              <w:rPr>
                <w:rFonts w:ascii="Arial Narrow" w:hAnsi="Arial Narrow"/>
                <w:lang w:val="en-US"/>
              </w:rPr>
            </w:pPr>
          </w:p>
        </w:tc>
      </w:tr>
    </w:tbl>
    <w:p w:rsidR="00911E09" w:rsidRDefault="00911E09" w:rsidP="00911E09">
      <w:pPr>
        <w:rPr>
          <w:rFonts w:eastAsia="Calibri"/>
        </w:rPr>
      </w:pPr>
      <w:r>
        <w:rPr>
          <w:rFonts w:eastAsia="Calibri"/>
          <w:i/>
        </w:rPr>
        <w:t>Note.</w:t>
      </w:r>
      <w:r>
        <w:rPr>
          <w:rFonts w:eastAsia="Calibri"/>
        </w:rPr>
        <w:t xml:space="preserve"> * The authors have been contacted to provide us the missing values for the effect size calculation.</w:t>
      </w: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b/>
        </w:rPr>
      </w:pPr>
      <w:r>
        <w:rPr>
          <w:rFonts w:eastAsia="Calibri"/>
          <w:b/>
        </w:rPr>
        <w:t>Supplementary Table 3</w:t>
      </w:r>
    </w:p>
    <w:p w:rsidR="00911E09" w:rsidRDefault="00911E09" w:rsidP="00911E09">
      <w:pPr>
        <w:rPr>
          <w:rFonts w:eastAsia="Calibri"/>
          <w:i/>
        </w:rPr>
      </w:pPr>
      <w:r>
        <w:rPr>
          <w:rFonts w:eastAsia="Calibri"/>
          <w:i/>
        </w:rPr>
        <w:t>Means, standard deviations and calculated effect sizes of the significant behavioral results of Mahé et al. (2013)</w:t>
      </w:r>
    </w:p>
    <w:tbl>
      <w:tblPr>
        <w:tblStyle w:val="Tabellenraster4"/>
        <w:tblW w:w="12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8"/>
        <w:gridCol w:w="1076"/>
        <w:gridCol w:w="1076"/>
        <w:gridCol w:w="1075"/>
        <w:gridCol w:w="1075"/>
        <w:gridCol w:w="1075"/>
        <w:gridCol w:w="1075"/>
        <w:gridCol w:w="1075"/>
        <w:gridCol w:w="1075"/>
        <w:gridCol w:w="1075"/>
      </w:tblGrid>
      <w:tr w:rsidR="00911E09" w:rsidTr="009B010E">
        <w:trPr>
          <w:trHeight w:val="269"/>
        </w:trPr>
        <w:tc>
          <w:tcPr>
            <w:tcW w:w="3218" w:type="dxa"/>
            <w:vMerge w:val="restart"/>
            <w:tcBorders>
              <w:top w:val="single" w:sz="4" w:space="0" w:color="auto"/>
            </w:tcBorders>
          </w:tcPr>
          <w:p w:rsidR="00911E09" w:rsidRDefault="00911E09" w:rsidP="009B010E">
            <w:pPr>
              <w:jc w:val="center"/>
              <w:rPr>
                <w:rFonts w:ascii="Arial Narrow" w:hAnsi="Arial Narrow"/>
                <w:lang w:val="en-US"/>
              </w:rPr>
            </w:pPr>
          </w:p>
        </w:tc>
        <w:tc>
          <w:tcPr>
            <w:tcW w:w="2152"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(1) Adult poor readers</w:t>
            </w:r>
          </w:p>
        </w:tc>
        <w:tc>
          <w:tcPr>
            <w:tcW w:w="2150"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(2) Adults with developmental dyslexia</w:t>
            </w:r>
          </w:p>
        </w:tc>
        <w:tc>
          <w:tcPr>
            <w:tcW w:w="2150"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(3) (Literate) controls matched in age</w:t>
            </w:r>
          </w:p>
        </w:tc>
        <w:tc>
          <w:tcPr>
            <w:tcW w:w="3225" w:type="dxa"/>
            <w:gridSpan w:val="3"/>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Cohen’s d</w:t>
            </w:r>
          </w:p>
        </w:tc>
      </w:tr>
      <w:tr w:rsidR="00911E09" w:rsidTr="009B010E">
        <w:trPr>
          <w:trHeight w:val="269"/>
        </w:trPr>
        <w:tc>
          <w:tcPr>
            <w:tcW w:w="3218" w:type="dxa"/>
            <w:vMerge/>
            <w:tcBorders>
              <w:bottom w:val="single" w:sz="4" w:space="0" w:color="auto"/>
            </w:tcBorders>
          </w:tcPr>
          <w:p w:rsidR="00911E09" w:rsidRDefault="00911E09" w:rsidP="009B010E">
            <w:pPr>
              <w:jc w:val="center"/>
              <w:rPr>
                <w:rFonts w:ascii="Arial Narrow" w:hAnsi="Arial Narrow"/>
                <w:i/>
                <w:lang w:val="en-US"/>
              </w:rPr>
            </w:pPr>
          </w:p>
        </w:tc>
        <w:tc>
          <w:tcPr>
            <w:tcW w:w="1076" w:type="dxa"/>
            <w:tcBorders>
              <w:top w:val="single" w:sz="4" w:space="0" w:color="auto"/>
              <w:bottom w:val="single" w:sz="4" w:space="0" w:color="auto"/>
            </w:tcBorders>
          </w:tcPr>
          <w:p w:rsidR="00911E09" w:rsidRDefault="00911E09" w:rsidP="009B010E">
            <w:pPr>
              <w:jc w:val="center"/>
              <w:rPr>
                <w:rFonts w:ascii="Arial Narrow" w:hAnsi="Arial Narrow"/>
                <w:i/>
                <w:lang w:val="en-US"/>
              </w:rPr>
            </w:pPr>
            <w:r>
              <w:rPr>
                <w:rFonts w:ascii="Arial Narrow" w:hAnsi="Arial Narrow"/>
                <w:i/>
              </w:rPr>
              <w:t>M</w:t>
            </w:r>
          </w:p>
        </w:tc>
        <w:tc>
          <w:tcPr>
            <w:tcW w:w="1076" w:type="dxa"/>
            <w:tcBorders>
              <w:top w:val="single" w:sz="4" w:space="0" w:color="auto"/>
              <w:bottom w:val="single" w:sz="4" w:space="0" w:color="auto"/>
            </w:tcBorders>
          </w:tcPr>
          <w:p w:rsidR="00911E09" w:rsidRDefault="00911E09" w:rsidP="009B010E">
            <w:pPr>
              <w:jc w:val="center"/>
              <w:rPr>
                <w:rFonts w:ascii="Arial Narrow" w:hAnsi="Arial Narrow"/>
                <w:i/>
                <w:lang w:val="en-US"/>
              </w:rPr>
            </w:pPr>
            <w:r>
              <w:rPr>
                <w:rFonts w:ascii="Arial Narrow" w:hAnsi="Arial Narrow"/>
                <w:i/>
              </w:rPr>
              <w:t>SD</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i/>
                <w:lang w:val="en-US"/>
              </w:rPr>
            </w:pPr>
            <w:r>
              <w:rPr>
                <w:rFonts w:ascii="Arial Narrow" w:hAnsi="Arial Narrow"/>
                <w:i/>
              </w:rPr>
              <w:t>M</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i/>
                <w:lang w:val="en-US"/>
              </w:rPr>
            </w:pPr>
            <w:r>
              <w:rPr>
                <w:rFonts w:ascii="Arial Narrow" w:hAnsi="Arial Narrow"/>
                <w:i/>
              </w:rPr>
              <w:t>SD</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i/>
                <w:lang w:val="en-US"/>
              </w:rPr>
            </w:pPr>
            <w:r>
              <w:rPr>
                <w:rFonts w:ascii="Arial Narrow" w:hAnsi="Arial Narrow"/>
                <w:i/>
              </w:rPr>
              <w:t>M</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i/>
                <w:lang w:val="en-US"/>
              </w:rPr>
            </w:pPr>
            <w:r>
              <w:rPr>
                <w:rFonts w:ascii="Arial Narrow" w:hAnsi="Arial Narrow"/>
                <w:i/>
              </w:rPr>
              <w:t>SD</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(1) vs (2)</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(1) vs (3)</w:t>
            </w:r>
          </w:p>
        </w:tc>
        <w:tc>
          <w:tcPr>
            <w:tcW w:w="1075" w:type="dxa"/>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(2) vs (3)</w:t>
            </w:r>
          </w:p>
        </w:tc>
      </w:tr>
      <w:tr w:rsidR="00911E09" w:rsidTr="009B010E">
        <w:trPr>
          <w:trHeight w:val="269"/>
        </w:trPr>
        <w:tc>
          <w:tcPr>
            <w:tcW w:w="3218" w:type="dxa"/>
            <w:tcBorders>
              <w:top w:val="single" w:sz="4" w:space="0" w:color="auto"/>
              <w:bottom w:val="single" w:sz="4" w:space="0" w:color="auto"/>
            </w:tcBorders>
          </w:tcPr>
          <w:p w:rsidR="00911E09" w:rsidRDefault="00911E09" w:rsidP="009B010E">
            <w:pPr>
              <w:rPr>
                <w:rFonts w:ascii="Arial Narrow" w:hAnsi="Arial Narrow"/>
                <w:lang w:val="en-US"/>
              </w:rPr>
            </w:pPr>
            <w:r>
              <w:rPr>
                <w:rFonts w:ascii="Arial Narrow" w:hAnsi="Arial Narrow"/>
              </w:rPr>
              <w:t xml:space="preserve">Lexical decision – </w:t>
            </w:r>
            <w:r>
              <w:rPr>
                <w:rFonts w:ascii="Arial Narrow" w:hAnsi="Arial Narrow"/>
                <w:i/>
              </w:rPr>
              <w:t xml:space="preserve">RT </w:t>
            </w:r>
            <w:r>
              <w:rPr>
                <w:rFonts w:ascii="Arial Narrow" w:hAnsi="Arial Narrow"/>
              </w:rPr>
              <w:t>(ms)</w:t>
            </w:r>
          </w:p>
        </w:tc>
        <w:tc>
          <w:tcPr>
            <w:tcW w:w="1076" w:type="dxa"/>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641</w:t>
            </w:r>
          </w:p>
        </w:tc>
        <w:tc>
          <w:tcPr>
            <w:tcW w:w="1076"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88</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756</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198</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609</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76</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-0.75</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0.39</w:t>
            </w:r>
          </w:p>
        </w:tc>
        <w:tc>
          <w:tcPr>
            <w:tcW w:w="1075" w:type="dxa"/>
            <w:tcBorders>
              <w:top w:val="single" w:sz="4" w:space="0" w:color="auto"/>
              <w:bottom w:val="single" w:sz="4" w:space="0" w:color="auto"/>
            </w:tcBorders>
            <w:shd w:val="clear" w:color="auto" w:fill="auto"/>
          </w:tcPr>
          <w:p w:rsidR="00911E09" w:rsidRDefault="00911E09" w:rsidP="009B010E">
            <w:pPr>
              <w:jc w:val="center"/>
              <w:rPr>
                <w:rFonts w:ascii="Arial Narrow" w:hAnsi="Arial Narrow"/>
                <w:lang w:val="en-US"/>
              </w:rPr>
            </w:pPr>
            <w:r>
              <w:rPr>
                <w:rFonts w:ascii="Arial Narrow" w:hAnsi="Arial Narrow"/>
              </w:rPr>
              <w:t>-1.01</w:t>
            </w:r>
          </w:p>
        </w:tc>
      </w:tr>
    </w:tbl>
    <w:p w:rsidR="00911E09" w:rsidRDefault="00911E09" w:rsidP="00911E09">
      <w:pPr>
        <w:rPr>
          <w:rFonts w:eastAsia="Calibri"/>
        </w:rPr>
      </w:pPr>
      <w:r>
        <w:rPr>
          <w:rFonts w:eastAsia="Calibri"/>
          <w:i/>
        </w:rPr>
        <w:t>Note</w:t>
      </w:r>
      <w:r>
        <w:rPr>
          <w:rFonts w:eastAsia="Calibri"/>
        </w:rPr>
        <w:t xml:space="preserve">. </w:t>
      </w:r>
      <w:r>
        <w:rPr>
          <w:rFonts w:eastAsia="Calibri"/>
          <w:i/>
        </w:rPr>
        <w:t>RT</w:t>
      </w:r>
      <w:r>
        <w:rPr>
          <w:rFonts w:eastAsia="Calibri"/>
        </w:rPr>
        <w:t xml:space="preserve"> refers to mean reaction time.</w:t>
      </w: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b/>
        </w:rPr>
      </w:pPr>
      <w:r>
        <w:rPr>
          <w:rFonts w:eastAsia="Calibri"/>
          <w:b/>
        </w:rPr>
        <w:t>Supplementary Table 4</w:t>
      </w:r>
    </w:p>
    <w:p w:rsidR="00911E09" w:rsidRDefault="00911E09" w:rsidP="00911E09">
      <w:pPr>
        <w:rPr>
          <w:rFonts w:eastAsia="Calibri"/>
          <w:i/>
        </w:rPr>
      </w:pPr>
      <w:r>
        <w:rPr>
          <w:rFonts w:eastAsia="Calibri"/>
          <w:i/>
        </w:rPr>
        <w:lastRenderedPageBreak/>
        <w:t>Means, standard deviations and calculated effect sizes of the significant electrophysiological results (N170 mean amplitudes) of Mahé et al. (2013)</w:t>
      </w:r>
    </w:p>
    <w:tbl>
      <w:tblPr>
        <w:tblStyle w:val="TableGrid"/>
        <w:tblW w:w="0" w:type="auto"/>
        <w:tblLook w:val="04A0" w:firstRow="1" w:lastRow="0" w:firstColumn="1" w:lastColumn="0" w:noHBand="0" w:noVBand="1"/>
      </w:tblPr>
      <w:tblGrid>
        <w:gridCol w:w="1395"/>
        <w:gridCol w:w="1719"/>
        <w:gridCol w:w="1077"/>
        <w:gridCol w:w="1077"/>
        <w:gridCol w:w="1077"/>
        <w:gridCol w:w="1077"/>
        <w:gridCol w:w="1077"/>
        <w:gridCol w:w="1077"/>
        <w:gridCol w:w="1077"/>
        <w:gridCol w:w="1077"/>
        <w:gridCol w:w="1077"/>
      </w:tblGrid>
      <w:tr w:rsidR="00911E09" w:rsidTr="009B010E">
        <w:tc>
          <w:tcPr>
            <w:tcW w:w="3114" w:type="dxa"/>
            <w:gridSpan w:val="2"/>
            <w:vMerge w:val="restart"/>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p>
        </w:tc>
        <w:tc>
          <w:tcPr>
            <w:tcW w:w="3231" w:type="dxa"/>
            <w:gridSpan w:val="3"/>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Adult poor readers</w:t>
            </w:r>
          </w:p>
        </w:tc>
        <w:tc>
          <w:tcPr>
            <w:tcW w:w="3231" w:type="dxa"/>
            <w:gridSpan w:val="3"/>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Adults with developmental dyslexia</w:t>
            </w:r>
          </w:p>
        </w:tc>
        <w:tc>
          <w:tcPr>
            <w:tcW w:w="3231" w:type="dxa"/>
            <w:gridSpan w:val="3"/>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(Literate) controls matched in age</w:t>
            </w:r>
          </w:p>
        </w:tc>
      </w:tr>
      <w:tr w:rsidR="00911E09" w:rsidTr="009B010E">
        <w:tc>
          <w:tcPr>
            <w:tcW w:w="3114" w:type="dxa"/>
            <w:gridSpan w:val="2"/>
            <w:vMerge/>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i/>
                <w:sz w:val="22"/>
                <w:szCs w:val="22"/>
              </w:rPr>
              <w:t>M</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i/>
                <w:sz w:val="22"/>
                <w:szCs w:val="22"/>
              </w:rPr>
              <w:t>SD</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Cohen’s d</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i/>
                <w:sz w:val="22"/>
                <w:szCs w:val="22"/>
              </w:rPr>
              <w:t>M</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i/>
                <w:sz w:val="22"/>
                <w:szCs w:val="22"/>
              </w:rPr>
              <w:t>SD</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Cohen’s d</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i/>
                <w:sz w:val="22"/>
                <w:szCs w:val="22"/>
              </w:rPr>
              <w:t>M</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i/>
                <w:sz w:val="22"/>
                <w:szCs w:val="22"/>
              </w:rPr>
              <w:t>SD</w:t>
            </w:r>
          </w:p>
        </w:tc>
        <w:tc>
          <w:tcPr>
            <w:tcW w:w="1077" w:type="dxa"/>
            <w:tcBorders>
              <w:top w:val="single" w:sz="4" w:space="0" w:color="auto"/>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Cohen’s d</w:t>
            </w:r>
          </w:p>
        </w:tc>
      </w:tr>
      <w:tr w:rsidR="00911E09" w:rsidTr="009B010E">
        <w:trPr>
          <w:trHeight w:val="393"/>
        </w:trPr>
        <w:tc>
          <w:tcPr>
            <w:tcW w:w="1395" w:type="dxa"/>
            <w:vMerge w:val="restart"/>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Between stimuli on the left side</w:t>
            </w:r>
          </w:p>
        </w:tc>
        <w:tc>
          <w:tcPr>
            <w:tcW w:w="1719"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Word-like stimuli</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-7.39</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1.81</w:t>
            </w:r>
          </w:p>
        </w:tc>
        <w:tc>
          <w:tcPr>
            <w:tcW w:w="1077" w:type="dxa"/>
            <w:vMerge w:val="restart"/>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0.90</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-6.8</w:t>
            </w:r>
          </w:p>
        </w:tc>
        <w:tc>
          <w:tcPr>
            <w:tcW w:w="1077" w:type="dxa"/>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3,85</w:t>
            </w:r>
          </w:p>
        </w:tc>
        <w:tc>
          <w:tcPr>
            <w:tcW w:w="1077" w:type="dxa"/>
            <w:vMerge w:val="restart"/>
            <w:tcBorders>
              <w:top w:val="single" w:sz="4" w:space="0" w:color="auto"/>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0.56</w:t>
            </w:r>
          </w:p>
        </w:tc>
      </w:tr>
      <w:tr w:rsidR="00911E09" w:rsidTr="009B010E">
        <w:tc>
          <w:tcPr>
            <w:tcW w:w="1395"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p>
        </w:tc>
        <w:tc>
          <w:tcPr>
            <w:tcW w:w="1719"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Symbol strings</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-5.77</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1.78</w:t>
            </w:r>
          </w:p>
        </w:tc>
        <w:tc>
          <w:tcPr>
            <w:tcW w:w="1077"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-4.69</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3,73</w:t>
            </w:r>
          </w:p>
        </w:tc>
        <w:tc>
          <w:tcPr>
            <w:tcW w:w="1077"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p>
        </w:tc>
      </w:tr>
      <w:tr w:rsidR="00911E09" w:rsidTr="009B010E">
        <w:tc>
          <w:tcPr>
            <w:tcW w:w="1395" w:type="dxa"/>
            <w:vMerge w:val="restart"/>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Word frequency effect on the left side</w:t>
            </w:r>
          </w:p>
        </w:tc>
        <w:tc>
          <w:tcPr>
            <w:tcW w:w="1719"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Low frequency words</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-7.47</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4.03</w:t>
            </w:r>
          </w:p>
        </w:tc>
        <w:tc>
          <w:tcPr>
            <w:tcW w:w="1077" w:type="dxa"/>
            <w:vMerge w:val="restart"/>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0.16</w:t>
            </w:r>
          </w:p>
        </w:tc>
      </w:tr>
      <w:tr w:rsidR="00911E09" w:rsidTr="009B010E">
        <w:tc>
          <w:tcPr>
            <w:tcW w:w="1395"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p>
        </w:tc>
        <w:tc>
          <w:tcPr>
            <w:tcW w:w="1719"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High frequency words</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-6.84</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4.00</w:t>
            </w:r>
          </w:p>
        </w:tc>
        <w:tc>
          <w:tcPr>
            <w:tcW w:w="1077"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p>
        </w:tc>
      </w:tr>
      <w:tr w:rsidR="00911E09" w:rsidTr="009B010E">
        <w:tc>
          <w:tcPr>
            <w:tcW w:w="1395" w:type="dxa"/>
            <w:vMerge w:val="restart"/>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Word frequency effect on the right side</w:t>
            </w:r>
          </w:p>
        </w:tc>
        <w:tc>
          <w:tcPr>
            <w:tcW w:w="1719"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Low frequency words</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-6.75</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2.68</w:t>
            </w:r>
          </w:p>
        </w:tc>
        <w:tc>
          <w:tcPr>
            <w:tcW w:w="1077" w:type="dxa"/>
            <w:vMerge w:val="restart"/>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0.31</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r>
      <w:tr w:rsidR="00911E09" w:rsidTr="009B010E">
        <w:tc>
          <w:tcPr>
            <w:tcW w:w="1395"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p>
        </w:tc>
        <w:tc>
          <w:tcPr>
            <w:tcW w:w="1719"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High frequency words</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-5.98</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2.32</w:t>
            </w:r>
          </w:p>
        </w:tc>
        <w:tc>
          <w:tcPr>
            <w:tcW w:w="1077" w:type="dxa"/>
            <w:vMerge/>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r>
      <w:tr w:rsidR="00911E09" w:rsidTr="009B010E">
        <w:tc>
          <w:tcPr>
            <w:tcW w:w="1395" w:type="dxa"/>
            <w:vMerge w:val="restart"/>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Lexicality effect on the left side</w:t>
            </w:r>
          </w:p>
        </w:tc>
        <w:tc>
          <w:tcPr>
            <w:tcW w:w="1719"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High and low frequency words</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-7.16</w:t>
            </w:r>
          </w:p>
        </w:tc>
        <w:tc>
          <w:tcPr>
            <w:tcW w:w="1077" w:type="dxa"/>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4.04</w:t>
            </w:r>
          </w:p>
        </w:tc>
        <w:tc>
          <w:tcPr>
            <w:tcW w:w="1077" w:type="dxa"/>
            <w:vMerge w:val="restart"/>
            <w:tcBorders>
              <w:top w:val="none" w:sz="4" w:space="0" w:color="000000"/>
              <w:left w:val="none" w:sz="4" w:space="0" w:color="000000"/>
              <w:bottom w:val="none" w:sz="4" w:space="0" w:color="000000"/>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0.18</w:t>
            </w:r>
          </w:p>
        </w:tc>
      </w:tr>
      <w:tr w:rsidR="00911E09" w:rsidTr="009B010E">
        <w:tc>
          <w:tcPr>
            <w:tcW w:w="1395" w:type="dxa"/>
            <w:vMerge/>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p>
        </w:tc>
        <w:tc>
          <w:tcPr>
            <w:tcW w:w="1719"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rPr>
                <w:rFonts w:ascii="Arial Narrow" w:eastAsia="Calibri" w:hAnsi="Arial Narrow"/>
                <w:sz w:val="22"/>
                <w:szCs w:val="22"/>
                <w:lang w:eastAsia="en-US"/>
              </w:rPr>
            </w:pPr>
            <w:r>
              <w:rPr>
                <w:rFonts w:ascii="Arial Narrow" w:hAnsi="Arial Narrow"/>
                <w:sz w:val="22"/>
                <w:szCs w:val="22"/>
              </w:rPr>
              <w:t>Pseudowords and consonant strings</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eastAsia="Calibri" w:hAnsi="Arial Narrow"/>
                <w:sz w:val="22"/>
                <w:szCs w:val="22"/>
                <w:lang w:eastAsia="en-US"/>
              </w:rPr>
              <w:t>-</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-6.45</w:t>
            </w:r>
          </w:p>
        </w:tc>
        <w:tc>
          <w:tcPr>
            <w:tcW w:w="1077" w:type="dxa"/>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r>
              <w:rPr>
                <w:rFonts w:ascii="Arial Narrow" w:hAnsi="Arial Narrow"/>
                <w:sz w:val="22"/>
                <w:szCs w:val="22"/>
              </w:rPr>
              <w:t>3.69</w:t>
            </w:r>
          </w:p>
        </w:tc>
        <w:tc>
          <w:tcPr>
            <w:tcW w:w="1077" w:type="dxa"/>
            <w:vMerge/>
            <w:tcBorders>
              <w:top w:val="none" w:sz="4" w:space="0" w:color="000000"/>
              <w:left w:val="none" w:sz="4" w:space="0" w:color="000000"/>
              <w:bottom w:val="single" w:sz="4" w:space="0" w:color="auto"/>
              <w:right w:val="none" w:sz="4" w:space="0" w:color="000000"/>
            </w:tcBorders>
            <w:vAlign w:val="center"/>
          </w:tcPr>
          <w:p w:rsidR="00911E09" w:rsidRDefault="00911E09" w:rsidP="009B010E">
            <w:pPr>
              <w:pBdr>
                <w:top w:val="none" w:sz="0" w:space="0" w:color="auto"/>
                <w:left w:val="none" w:sz="0" w:space="0" w:color="auto"/>
                <w:bottom w:val="none" w:sz="0" w:space="0" w:color="auto"/>
                <w:right w:val="none" w:sz="0" w:space="0" w:color="auto"/>
                <w:between w:val="none" w:sz="0" w:space="0" w:color="auto"/>
              </w:pBdr>
              <w:ind w:firstLine="0"/>
              <w:jc w:val="center"/>
              <w:rPr>
                <w:rFonts w:ascii="Arial Narrow" w:eastAsia="Calibri" w:hAnsi="Arial Narrow"/>
                <w:sz w:val="22"/>
                <w:szCs w:val="22"/>
                <w:lang w:eastAsia="en-US"/>
              </w:rPr>
            </w:pPr>
          </w:p>
        </w:tc>
      </w:tr>
    </w:tbl>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rPr>
      </w:pPr>
    </w:p>
    <w:p w:rsidR="00911E09" w:rsidRDefault="00911E09" w:rsidP="00911E09">
      <w:pPr>
        <w:rPr>
          <w:rFonts w:eastAsia="Calibri"/>
          <w:b/>
        </w:rPr>
      </w:pPr>
      <w:r>
        <w:rPr>
          <w:rFonts w:eastAsia="Calibri"/>
          <w:b/>
        </w:rPr>
        <w:t>Supplementary Table 5</w:t>
      </w:r>
    </w:p>
    <w:p w:rsidR="00911E09" w:rsidRDefault="00911E09" w:rsidP="00911E09">
      <w:pPr>
        <w:rPr>
          <w:rFonts w:eastAsia="Calibri"/>
          <w:i/>
        </w:rPr>
      </w:pPr>
      <w:r>
        <w:rPr>
          <w:rFonts w:eastAsia="Calibri"/>
          <w:i/>
        </w:rPr>
        <w:lastRenderedPageBreak/>
        <w:t>Means, standard deviations and calculated effect sizes of the significant results of Jiménez et al. (2010)</w:t>
      </w:r>
    </w:p>
    <w:tbl>
      <w:tblPr>
        <w:tblStyle w:val="Tabellenraster4"/>
        <w:tblW w:w="1289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1"/>
        <w:gridCol w:w="822"/>
        <w:gridCol w:w="821"/>
        <w:gridCol w:w="821"/>
        <w:gridCol w:w="821"/>
        <w:gridCol w:w="821"/>
        <w:gridCol w:w="821"/>
        <w:gridCol w:w="821"/>
        <w:gridCol w:w="821"/>
        <w:gridCol w:w="821"/>
        <w:gridCol w:w="821"/>
        <w:gridCol w:w="821"/>
        <w:gridCol w:w="821"/>
        <w:gridCol w:w="821"/>
      </w:tblGrid>
      <w:tr w:rsidR="00911E09" w:rsidTr="009B010E">
        <w:trPr>
          <w:trHeight w:val="269"/>
        </w:trPr>
        <w:tc>
          <w:tcPr>
            <w:tcW w:w="1838" w:type="dxa"/>
            <w:tcBorders>
              <w:top w:val="single" w:sz="4" w:space="0" w:color="auto"/>
              <w:bottom w:val="none" w:sz="4" w:space="0" w:color="000000"/>
            </w:tcBorders>
          </w:tcPr>
          <w:p w:rsidR="00911E09" w:rsidRDefault="00911E09" w:rsidP="009B010E">
            <w:pPr>
              <w:rPr>
                <w:rFonts w:ascii="Arial Narrow" w:hAnsi="Arial Narrow"/>
                <w:lang w:val="en-US"/>
              </w:rPr>
            </w:pPr>
          </w:p>
        </w:tc>
        <w:tc>
          <w:tcPr>
            <w:tcW w:w="680"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(1) Low literacy adults</w:t>
            </w:r>
          </w:p>
        </w:tc>
        <w:tc>
          <w:tcPr>
            <w:tcW w:w="680"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(2) Reading disabled children</w:t>
            </w:r>
          </w:p>
        </w:tc>
        <w:tc>
          <w:tcPr>
            <w:tcW w:w="680"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(3) Normal reading children matched in age with the reading disabled readers</w:t>
            </w:r>
          </w:p>
        </w:tc>
        <w:tc>
          <w:tcPr>
            <w:tcW w:w="680" w:type="dxa"/>
            <w:gridSpan w:val="2"/>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(4) Normal reading children matched in reading level with low literacy adults and reading disabled readers</w:t>
            </w:r>
          </w:p>
        </w:tc>
        <w:tc>
          <w:tcPr>
            <w:tcW w:w="680" w:type="dxa"/>
            <w:gridSpan w:val="5"/>
            <w:tcBorders>
              <w:top w:val="single" w:sz="4" w:space="0" w:color="auto"/>
              <w:bottom w:val="single" w:sz="4" w:space="0" w:color="auto"/>
            </w:tcBorders>
          </w:tcPr>
          <w:p w:rsidR="00911E09" w:rsidRDefault="00911E09" w:rsidP="009B010E">
            <w:pPr>
              <w:jc w:val="center"/>
              <w:rPr>
                <w:rFonts w:ascii="Arial Narrow" w:hAnsi="Arial Narrow"/>
                <w:lang w:val="en-US"/>
              </w:rPr>
            </w:pPr>
            <w:r>
              <w:rPr>
                <w:rFonts w:ascii="Arial Narrow" w:hAnsi="Arial Narrow"/>
              </w:rPr>
              <w:t>Cohen’s d</w:t>
            </w:r>
          </w:p>
        </w:tc>
      </w:tr>
      <w:tr w:rsidR="00911E09" w:rsidTr="009B010E">
        <w:trPr>
          <w:trHeight w:val="269"/>
        </w:trPr>
        <w:tc>
          <w:tcPr>
            <w:tcW w:w="1838" w:type="dxa"/>
            <w:tcBorders>
              <w:top w:val="none" w:sz="4" w:space="0" w:color="000000"/>
              <w:bottom w:val="single" w:sz="4" w:space="0" w:color="auto"/>
            </w:tcBorders>
          </w:tcPr>
          <w:p w:rsidR="00911E09" w:rsidRDefault="00911E09" w:rsidP="009B010E">
            <w:pPr>
              <w:rPr>
                <w:rFonts w:ascii="Arial Narrow" w:hAnsi="Arial Narrow"/>
                <w:lang w:val="en-US"/>
              </w:rPr>
            </w:pP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(2)</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(3)</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(4)</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 vs (3)</w:t>
            </w:r>
          </w:p>
        </w:tc>
        <w:tc>
          <w:tcPr>
            <w:tcW w:w="680"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 vs (4)</w:t>
            </w:r>
          </w:p>
        </w:tc>
      </w:tr>
      <w:tr w:rsidR="00911E09" w:rsidTr="009B010E">
        <w:trPr>
          <w:trHeight w:val="269"/>
        </w:trPr>
        <w:tc>
          <w:tcPr>
            <w:tcW w:w="1838" w:type="dxa"/>
            <w:tcBorders>
              <w:top w:val="single" w:sz="4" w:space="0" w:color="auto"/>
              <w:bottom w:val="single" w:sz="4" w:space="0" w:color="auto"/>
            </w:tcBorders>
          </w:tcPr>
          <w:p w:rsidR="00911E09" w:rsidRDefault="00911E09" w:rsidP="009B010E">
            <w:pPr>
              <w:rPr>
                <w:rFonts w:ascii="Arial Narrow" w:hAnsi="Arial Narrow"/>
                <w:lang w:val="en-US"/>
              </w:rPr>
            </w:pPr>
            <w:r>
              <w:rPr>
                <w:rFonts w:ascii="Arial Narrow" w:hAnsi="Arial Narrow"/>
                <w:lang w:val="en-US"/>
              </w:rPr>
              <w:t>Test of Phonological awareness (number of correct)</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0.51</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0.16</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0.61</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0.15</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0.85</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0.06</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0.77</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0.1</w:t>
            </w:r>
          </w:p>
        </w:tc>
        <w:tc>
          <w:tcPr>
            <w:tcW w:w="680" w:type="dxa"/>
            <w:tcBorders>
              <w:top w:val="single" w:sz="4" w:space="0" w:color="auto"/>
            </w:tcBorders>
            <w:vAlign w:val="center"/>
          </w:tcPr>
          <w:p w:rsidR="00911E09" w:rsidRDefault="00911E09" w:rsidP="009B010E">
            <w:pPr>
              <w:rPr>
                <w:rFonts w:ascii="Arial Narrow" w:hAnsi="Arial Narrow"/>
                <w:lang w:val="en-US"/>
              </w:rPr>
            </w:pPr>
            <w:r>
              <w:rPr>
                <w:rFonts w:ascii="Arial Narrow" w:hAnsi="Arial Narrow"/>
              </w:rPr>
              <w:t>-0.64</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-2.69</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-1.82</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-2.25</w:t>
            </w:r>
          </w:p>
        </w:tc>
        <w:tc>
          <w:tcPr>
            <w:tcW w:w="680"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-1.25</w:t>
            </w:r>
          </w:p>
        </w:tc>
      </w:tr>
    </w:tbl>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ascii="Calibri" w:eastAsia="Calibri" w:hAnsi="Calibri"/>
        </w:rPr>
      </w:pPr>
    </w:p>
    <w:p w:rsidR="00911E09" w:rsidRDefault="00911E09" w:rsidP="00911E09">
      <w:pPr>
        <w:rPr>
          <w:rFonts w:eastAsia="Calibri"/>
          <w:b/>
        </w:rPr>
      </w:pPr>
      <w:r>
        <w:rPr>
          <w:rFonts w:eastAsia="Calibri"/>
          <w:b/>
        </w:rPr>
        <w:t>Supplementary Table 6</w:t>
      </w:r>
    </w:p>
    <w:p w:rsidR="00911E09" w:rsidRDefault="00911E09" w:rsidP="00911E09">
      <w:pPr>
        <w:rPr>
          <w:rFonts w:eastAsia="Calibri"/>
          <w:i/>
        </w:rPr>
      </w:pPr>
      <w:r>
        <w:rPr>
          <w:rFonts w:eastAsia="Calibri"/>
          <w:i/>
        </w:rPr>
        <w:lastRenderedPageBreak/>
        <w:t>Means, standard deviations and calculated effect sizes of the significant results of Fernandes et al. (2014)</w:t>
      </w:r>
    </w:p>
    <w:tbl>
      <w:tblPr>
        <w:tblStyle w:val="Tabellenraster4"/>
        <w:tblW w:w="128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4"/>
        <w:gridCol w:w="652"/>
        <w:gridCol w:w="652"/>
        <w:gridCol w:w="652"/>
        <w:gridCol w:w="652"/>
        <w:gridCol w:w="651"/>
        <w:gridCol w:w="651"/>
        <w:gridCol w:w="651"/>
        <w:gridCol w:w="651"/>
        <w:gridCol w:w="651"/>
        <w:gridCol w:w="651"/>
        <w:gridCol w:w="651"/>
        <w:gridCol w:w="651"/>
        <w:gridCol w:w="651"/>
        <w:gridCol w:w="651"/>
        <w:gridCol w:w="651"/>
        <w:gridCol w:w="651"/>
        <w:gridCol w:w="651"/>
      </w:tblGrid>
      <w:tr w:rsidR="00911E09" w:rsidTr="009B010E">
        <w:trPr>
          <w:trHeight w:val="269"/>
        </w:trPr>
        <w:tc>
          <w:tcPr>
            <w:tcW w:w="1824" w:type="dxa"/>
            <w:vMerge w:val="restart"/>
          </w:tcPr>
          <w:p w:rsidR="00911E09" w:rsidRDefault="00911E09" w:rsidP="009B010E">
            <w:pPr>
              <w:jc w:val="center"/>
              <w:rPr>
                <w:rFonts w:ascii="Arial Narrow" w:hAnsi="Arial Narrow"/>
                <w:lang w:val="en-US"/>
              </w:rPr>
            </w:pPr>
          </w:p>
        </w:tc>
        <w:tc>
          <w:tcPr>
            <w:tcW w:w="1304" w:type="dxa"/>
            <w:gridSpan w:val="2"/>
            <w:tcBorders>
              <w:bottom w:val="single" w:sz="4" w:space="0" w:color="auto"/>
            </w:tcBorders>
          </w:tcPr>
          <w:p w:rsidR="00911E09" w:rsidRDefault="00911E09" w:rsidP="009B010E">
            <w:pPr>
              <w:jc w:val="center"/>
              <w:rPr>
                <w:rFonts w:ascii="Arial Narrow" w:hAnsi="Arial Narrow"/>
                <w:lang w:val="en-US"/>
              </w:rPr>
            </w:pPr>
            <w:r>
              <w:rPr>
                <w:rFonts w:ascii="Arial Narrow" w:hAnsi="Arial Narrow"/>
              </w:rPr>
              <w:t>(1) Ex-illiterates</w:t>
            </w:r>
          </w:p>
        </w:tc>
        <w:tc>
          <w:tcPr>
            <w:tcW w:w="1304" w:type="dxa"/>
            <w:gridSpan w:val="2"/>
            <w:tcBorders>
              <w:bottom w:val="single" w:sz="4" w:space="0" w:color="auto"/>
            </w:tcBorders>
          </w:tcPr>
          <w:p w:rsidR="00911E09" w:rsidRDefault="00911E09" w:rsidP="009B010E">
            <w:pPr>
              <w:jc w:val="center"/>
              <w:rPr>
                <w:rFonts w:ascii="Arial Narrow" w:hAnsi="Arial Narrow"/>
                <w:lang w:val="en-US"/>
              </w:rPr>
            </w:pPr>
            <w:r>
              <w:rPr>
                <w:rFonts w:ascii="Arial Narrow" w:hAnsi="Arial Narrow"/>
              </w:rPr>
              <w:t>(2) Children with dyslexia</w:t>
            </w:r>
          </w:p>
        </w:tc>
        <w:tc>
          <w:tcPr>
            <w:tcW w:w="1302" w:type="dxa"/>
            <w:gridSpan w:val="2"/>
            <w:tcBorders>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(3) Children matched in age and IQ</w:t>
            </w:r>
          </w:p>
        </w:tc>
        <w:tc>
          <w:tcPr>
            <w:tcW w:w="1302" w:type="dxa"/>
            <w:gridSpan w:val="2"/>
            <w:tcBorders>
              <w:bottom w:val="single" w:sz="4" w:space="0" w:color="auto"/>
            </w:tcBorders>
          </w:tcPr>
          <w:p w:rsidR="00911E09" w:rsidRDefault="00911E09" w:rsidP="009B010E">
            <w:pPr>
              <w:jc w:val="center"/>
              <w:rPr>
                <w:rFonts w:ascii="Arial Narrow" w:hAnsi="Arial Narrow"/>
                <w:lang w:val="en-US"/>
              </w:rPr>
            </w:pPr>
            <w:r>
              <w:rPr>
                <w:rFonts w:ascii="Arial Narrow" w:hAnsi="Arial Narrow"/>
                <w:lang w:val="en-US"/>
              </w:rPr>
              <w:t>(4) Children matched in reading-level</w:t>
            </w:r>
          </w:p>
        </w:tc>
        <w:tc>
          <w:tcPr>
            <w:tcW w:w="1302" w:type="dxa"/>
            <w:gridSpan w:val="2"/>
            <w:tcBorders>
              <w:bottom w:val="single" w:sz="4" w:space="0" w:color="auto"/>
            </w:tcBorders>
          </w:tcPr>
          <w:p w:rsidR="00911E09" w:rsidRDefault="00911E09" w:rsidP="009B010E">
            <w:pPr>
              <w:jc w:val="center"/>
              <w:rPr>
                <w:rFonts w:ascii="Arial Narrow" w:hAnsi="Arial Narrow"/>
                <w:lang w:val="en-US"/>
              </w:rPr>
            </w:pPr>
            <w:r>
              <w:rPr>
                <w:rFonts w:ascii="Arial Narrow" w:hAnsi="Arial Narrow"/>
              </w:rPr>
              <w:t>(5) Literates</w:t>
            </w:r>
          </w:p>
        </w:tc>
        <w:tc>
          <w:tcPr>
            <w:tcW w:w="4557" w:type="dxa"/>
            <w:gridSpan w:val="7"/>
            <w:tcBorders>
              <w:bottom w:val="single" w:sz="4" w:space="0" w:color="auto"/>
            </w:tcBorders>
          </w:tcPr>
          <w:p w:rsidR="00911E09" w:rsidRDefault="00911E09" w:rsidP="009B010E">
            <w:pPr>
              <w:jc w:val="center"/>
              <w:rPr>
                <w:rFonts w:ascii="Arial Narrow" w:hAnsi="Arial Narrow"/>
                <w:lang w:val="en-US"/>
              </w:rPr>
            </w:pPr>
            <w:r>
              <w:rPr>
                <w:rFonts w:ascii="Arial Narrow" w:hAnsi="Arial Narrow"/>
              </w:rPr>
              <w:t>Cohen’s d</w:t>
            </w:r>
          </w:p>
        </w:tc>
      </w:tr>
      <w:tr w:rsidR="00911E09" w:rsidTr="009B010E">
        <w:trPr>
          <w:trHeight w:val="269"/>
        </w:trPr>
        <w:tc>
          <w:tcPr>
            <w:tcW w:w="1824" w:type="dxa"/>
            <w:vMerge/>
            <w:tcBorders>
              <w:bottom w:val="single" w:sz="4" w:space="0" w:color="auto"/>
            </w:tcBorders>
          </w:tcPr>
          <w:p w:rsidR="00911E09" w:rsidRDefault="00911E09" w:rsidP="009B010E">
            <w:pPr>
              <w:jc w:val="center"/>
              <w:rPr>
                <w:rFonts w:ascii="Arial Narrow" w:hAnsi="Arial Narrow"/>
                <w:lang w:val="en-US"/>
              </w:rPr>
            </w:pPr>
          </w:p>
        </w:tc>
        <w:tc>
          <w:tcPr>
            <w:tcW w:w="652"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52"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52"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52"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M</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i/>
                <w:lang w:val="en-US"/>
              </w:rPr>
            </w:pPr>
            <w:r>
              <w:rPr>
                <w:rFonts w:ascii="Arial Narrow" w:hAnsi="Arial Narrow"/>
                <w:i/>
              </w:rPr>
              <w:t>SD</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(2)</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(3)</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(4)</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(1) vs (5)</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 vs (3)</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 vs (4)</w:t>
            </w:r>
          </w:p>
        </w:tc>
        <w:tc>
          <w:tcPr>
            <w:tcW w:w="651" w:type="dxa"/>
            <w:tcBorders>
              <w:top w:val="single" w:sz="4" w:space="0" w:color="auto"/>
              <w:bottom w:val="single" w:sz="4" w:space="0" w:color="auto"/>
            </w:tcBorders>
            <w:vAlign w:val="center"/>
          </w:tcPr>
          <w:p w:rsidR="00911E09" w:rsidRDefault="00911E09" w:rsidP="009B010E">
            <w:pPr>
              <w:jc w:val="center"/>
              <w:rPr>
                <w:rFonts w:ascii="Arial Narrow" w:hAnsi="Arial Narrow"/>
                <w:lang w:val="en-US"/>
              </w:rPr>
            </w:pPr>
            <w:r>
              <w:rPr>
                <w:rFonts w:ascii="Arial Narrow" w:hAnsi="Arial Narrow"/>
              </w:rPr>
              <w:t>(2) vs (5)</w:t>
            </w:r>
          </w:p>
        </w:tc>
      </w:tr>
      <w:tr w:rsidR="00911E09" w:rsidTr="009B010E">
        <w:trPr>
          <w:trHeight w:val="269"/>
        </w:trPr>
        <w:tc>
          <w:tcPr>
            <w:tcW w:w="1824" w:type="dxa"/>
            <w:tcBorders>
              <w:top w:val="single" w:sz="4" w:space="0" w:color="auto"/>
              <w:bottom w:val="none" w:sz="4" w:space="0" w:color="000000"/>
            </w:tcBorders>
          </w:tcPr>
          <w:p w:rsidR="00911E09" w:rsidRDefault="00911E09" w:rsidP="009B010E">
            <w:pPr>
              <w:rPr>
                <w:rFonts w:ascii="Arial Narrow" w:hAnsi="Arial Narrow"/>
                <w:lang w:val="en-US"/>
              </w:rPr>
            </w:pPr>
            <w:r>
              <w:rPr>
                <w:rFonts w:ascii="Arial Narrow" w:hAnsi="Arial Narrow"/>
                <w:lang w:val="en-US"/>
              </w:rPr>
              <w:t xml:space="preserve">Congruency effect for letters - </w:t>
            </w:r>
            <w:r>
              <w:rPr>
                <w:rFonts w:ascii="Arial Narrow" w:hAnsi="Arial Narrow"/>
                <w:i/>
                <w:lang w:val="en-US"/>
              </w:rPr>
              <w:t>RT</w:t>
            </w:r>
          </w:p>
        </w:tc>
        <w:tc>
          <w:tcPr>
            <w:tcW w:w="652" w:type="dxa"/>
            <w:tcBorders>
              <w:top w:val="single" w:sz="4" w:space="0" w:color="auto"/>
            </w:tcBorders>
            <w:vAlign w:val="center"/>
          </w:tcPr>
          <w:p w:rsidR="00911E09" w:rsidRDefault="00911E09" w:rsidP="009B010E">
            <w:pPr>
              <w:jc w:val="center"/>
              <w:rPr>
                <w:rFonts w:ascii="Arial Narrow" w:hAnsi="Arial Narrow"/>
                <w:lang w:val="en-US"/>
              </w:rPr>
            </w:pPr>
            <w:r>
              <w:rPr>
                <w:rFonts w:ascii="Arial Narrow" w:hAnsi="Arial Narrow" w:cs="Calibri"/>
                <w:color w:val="000000"/>
              </w:rPr>
              <w:t>5</w:t>
            </w:r>
          </w:p>
        </w:tc>
        <w:tc>
          <w:tcPr>
            <w:tcW w:w="652"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652"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16</w:t>
            </w:r>
          </w:p>
        </w:tc>
        <w:tc>
          <w:tcPr>
            <w:tcW w:w="652"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7</w:t>
            </w: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10</w:t>
            </w: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t>*</w:t>
            </w: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6</w:t>
            </w: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c>
          <w:tcPr>
            <w:tcW w:w="651" w:type="dxa"/>
            <w:tcBorders>
              <w:top w:val="single" w:sz="4" w:space="0" w:color="auto"/>
            </w:tcBorders>
            <w:shd w:val="clear" w:color="auto" w:fill="auto"/>
            <w:vAlign w:val="center"/>
          </w:tcPr>
          <w:p w:rsidR="00911E09" w:rsidRDefault="00911E09" w:rsidP="009B010E">
            <w:pPr>
              <w:jc w:val="center"/>
              <w:rPr>
                <w:rFonts w:ascii="Arial Narrow" w:hAnsi="Arial Narrow"/>
                <w:lang w:val="en-US"/>
              </w:rPr>
            </w:pPr>
          </w:p>
        </w:tc>
      </w:tr>
      <w:tr w:rsidR="00911E09" w:rsidTr="009B010E">
        <w:trPr>
          <w:trHeight w:val="269"/>
        </w:trPr>
        <w:tc>
          <w:tcPr>
            <w:tcW w:w="1824" w:type="dxa"/>
            <w:tcBorders>
              <w:top w:val="none" w:sz="4" w:space="0" w:color="000000"/>
            </w:tcBorders>
          </w:tcPr>
          <w:p w:rsidR="00911E09" w:rsidRDefault="00911E09" w:rsidP="009B010E">
            <w:pPr>
              <w:rPr>
                <w:rFonts w:ascii="Arial Narrow" w:hAnsi="Arial Narrow"/>
                <w:lang w:val="en-US"/>
              </w:rPr>
            </w:pPr>
            <w:r>
              <w:rPr>
                <w:rFonts w:ascii="Arial Narrow" w:hAnsi="Arial Narrow"/>
                <w:lang w:val="en-US"/>
              </w:rPr>
              <w:t>Congruency effect for letters - accuracy</w:t>
            </w:r>
          </w:p>
        </w:tc>
        <w:tc>
          <w:tcPr>
            <w:tcW w:w="652" w:type="dxa"/>
            <w:vAlign w:val="center"/>
          </w:tcPr>
          <w:p w:rsidR="00911E09" w:rsidRDefault="00911E09" w:rsidP="009B010E">
            <w:pPr>
              <w:jc w:val="center"/>
              <w:rPr>
                <w:rFonts w:ascii="Arial Narrow" w:hAnsi="Arial Narrow"/>
                <w:lang w:val="en-US"/>
              </w:rPr>
            </w:pPr>
            <w:r>
              <w:rPr>
                <w:rFonts w:ascii="Arial Narrow" w:hAnsi="Arial Narrow" w:cs="Calibri"/>
                <w:color w:val="000000"/>
              </w:rPr>
              <w:t>-0.3</w:t>
            </w:r>
          </w:p>
        </w:tc>
        <w:tc>
          <w:tcPr>
            <w:tcW w:w="652" w:type="dxa"/>
            <w:shd w:val="clear" w:color="auto" w:fill="auto"/>
            <w:vAlign w:val="center"/>
          </w:tcPr>
          <w:p w:rsidR="00911E09" w:rsidRDefault="00911E09" w:rsidP="009B010E">
            <w:pPr>
              <w:jc w:val="center"/>
              <w:rPr>
                <w:rFonts w:ascii="Arial Narrow" w:hAnsi="Arial Narrow"/>
                <w:lang w:val="en-US"/>
              </w:rPr>
            </w:pPr>
            <w:r>
              <w:t>*</w:t>
            </w:r>
          </w:p>
        </w:tc>
        <w:tc>
          <w:tcPr>
            <w:tcW w:w="652"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-4.2</w:t>
            </w:r>
          </w:p>
        </w:tc>
        <w:tc>
          <w:tcPr>
            <w:tcW w:w="652" w:type="dxa"/>
            <w:shd w:val="clear" w:color="auto" w:fill="auto"/>
            <w:vAlign w:val="center"/>
          </w:tcPr>
          <w:p w:rsidR="00911E09" w:rsidRDefault="00911E09" w:rsidP="009B010E">
            <w:pPr>
              <w:jc w:val="center"/>
              <w:rPr>
                <w:rFonts w:ascii="Arial Narrow" w:hAnsi="Arial Narrow"/>
                <w:lang w:val="en-US"/>
              </w:rPr>
            </w:pPr>
            <w:r>
              <w:t>*</w:t>
            </w:r>
          </w:p>
        </w:tc>
        <w:tc>
          <w:tcPr>
            <w:tcW w:w="651"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1.1</w:t>
            </w:r>
          </w:p>
        </w:tc>
        <w:tc>
          <w:tcPr>
            <w:tcW w:w="651" w:type="dxa"/>
            <w:shd w:val="clear" w:color="auto" w:fill="auto"/>
            <w:vAlign w:val="center"/>
          </w:tcPr>
          <w:p w:rsidR="00911E09" w:rsidRDefault="00911E09" w:rsidP="009B010E">
            <w:pPr>
              <w:jc w:val="center"/>
              <w:rPr>
                <w:rFonts w:ascii="Arial Narrow" w:hAnsi="Arial Narrow"/>
                <w:lang w:val="en-US"/>
              </w:rPr>
            </w:pPr>
            <w:r>
              <w:t>*</w:t>
            </w:r>
          </w:p>
        </w:tc>
        <w:tc>
          <w:tcPr>
            <w:tcW w:w="651"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1.2</w:t>
            </w:r>
          </w:p>
        </w:tc>
        <w:tc>
          <w:tcPr>
            <w:tcW w:w="651" w:type="dxa"/>
            <w:shd w:val="clear" w:color="auto" w:fill="auto"/>
            <w:vAlign w:val="center"/>
          </w:tcPr>
          <w:p w:rsidR="00911E09" w:rsidRDefault="00911E09" w:rsidP="009B010E">
            <w:pPr>
              <w:jc w:val="center"/>
              <w:rPr>
                <w:rFonts w:ascii="Arial Narrow" w:hAnsi="Arial Narrow"/>
                <w:lang w:val="en-US"/>
              </w:rPr>
            </w:pPr>
            <w:r>
              <w:t>*</w:t>
            </w:r>
          </w:p>
        </w:tc>
        <w:tc>
          <w:tcPr>
            <w:tcW w:w="651"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0.4</w:t>
            </w: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r>
      <w:tr w:rsidR="00911E09" w:rsidTr="009B010E">
        <w:trPr>
          <w:trHeight w:val="269"/>
        </w:trPr>
        <w:tc>
          <w:tcPr>
            <w:tcW w:w="1824" w:type="dxa"/>
          </w:tcPr>
          <w:p w:rsidR="00911E09" w:rsidRDefault="00911E09" w:rsidP="009B010E">
            <w:pPr>
              <w:rPr>
                <w:rFonts w:ascii="Arial Narrow" w:hAnsi="Arial Narrow"/>
                <w:lang w:val="en-US"/>
              </w:rPr>
            </w:pPr>
            <w:r>
              <w:rPr>
                <w:rFonts w:ascii="Arial Narrow" w:hAnsi="Arial Narrow"/>
                <w:lang w:val="en-US"/>
              </w:rPr>
              <w:t>Congruency effect for letters - d′</w:t>
            </w:r>
          </w:p>
        </w:tc>
        <w:tc>
          <w:tcPr>
            <w:tcW w:w="652" w:type="dxa"/>
            <w:vAlign w:val="center"/>
          </w:tcPr>
          <w:p w:rsidR="00911E09" w:rsidRDefault="00911E09" w:rsidP="009B010E">
            <w:pPr>
              <w:jc w:val="center"/>
              <w:rPr>
                <w:rFonts w:ascii="Arial Narrow" w:hAnsi="Arial Narrow"/>
                <w:lang w:val="en-US"/>
              </w:rPr>
            </w:pPr>
            <w:r>
              <w:rPr>
                <w:rFonts w:ascii="Arial Narrow" w:hAnsi="Arial Narrow" w:cs="Calibri"/>
                <w:color w:val="000000"/>
              </w:rPr>
              <w:t>0.01</w:t>
            </w:r>
          </w:p>
        </w:tc>
        <w:tc>
          <w:tcPr>
            <w:tcW w:w="652" w:type="dxa"/>
            <w:shd w:val="clear" w:color="auto" w:fill="auto"/>
            <w:vAlign w:val="center"/>
          </w:tcPr>
          <w:p w:rsidR="00911E09" w:rsidRDefault="00911E09" w:rsidP="009B010E">
            <w:pPr>
              <w:jc w:val="center"/>
              <w:rPr>
                <w:rFonts w:ascii="Arial Narrow" w:hAnsi="Arial Narrow"/>
                <w:lang w:val="en-US"/>
              </w:rPr>
            </w:pPr>
            <w:r>
              <w:t>*</w:t>
            </w:r>
          </w:p>
        </w:tc>
        <w:tc>
          <w:tcPr>
            <w:tcW w:w="652"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-0.44</w:t>
            </w:r>
          </w:p>
        </w:tc>
        <w:tc>
          <w:tcPr>
            <w:tcW w:w="652" w:type="dxa"/>
            <w:shd w:val="clear" w:color="auto" w:fill="auto"/>
            <w:vAlign w:val="center"/>
          </w:tcPr>
          <w:p w:rsidR="00911E09" w:rsidRDefault="00911E09" w:rsidP="009B010E">
            <w:pPr>
              <w:jc w:val="center"/>
              <w:rPr>
                <w:rFonts w:ascii="Arial Narrow" w:hAnsi="Arial Narrow"/>
                <w:lang w:val="en-US"/>
              </w:rPr>
            </w:pPr>
            <w:r>
              <w:t>*</w:t>
            </w:r>
          </w:p>
        </w:tc>
        <w:tc>
          <w:tcPr>
            <w:tcW w:w="651"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-0.09</w:t>
            </w:r>
          </w:p>
        </w:tc>
        <w:tc>
          <w:tcPr>
            <w:tcW w:w="651" w:type="dxa"/>
            <w:shd w:val="clear" w:color="auto" w:fill="auto"/>
            <w:vAlign w:val="center"/>
          </w:tcPr>
          <w:p w:rsidR="00911E09" w:rsidRDefault="00911E09" w:rsidP="009B010E">
            <w:pPr>
              <w:jc w:val="center"/>
              <w:rPr>
                <w:rFonts w:ascii="Arial Narrow" w:hAnsi="Arial Narrow"/>
                <w:lang w:val="en-US"/>
              </w:rPr>
            </w:pPr>
            <w:r>
              <w:t>*</w:t>
            </w:r>
          </w:p>
        </w:tc>
        <w:tc>
          <w:tcPr>
            <w:tcW w:w="651"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0.25</w:t>
            </w:r>
          </w:p>
        </w:tc>
        <w:tc>
          <w:tcPr>
            <w:tcW w:w="651" w:type="dxa"/>
            <w:shd w:val="clear" w:color="auto" w:fill="auto"/>
            <w:vAlign w:val="center"/>
          </w:tcPr>
          <w:p w:rsidR="00911E09" w:rsidRDefault="00911E09" w:rsidP="009B010E">
            <w:pPr>
              <w:jc w:val="center"/>
              <w:rPr>
                <w:rFonts w:ascii="Arial Narrow" w:hAnsi="Arial Narrow"/>
                <w:lang w:val="en-US"/>
              </w:rPr>
            </w:pPr>
            <w:r>
              <w:t>*</w:t>
            </w:r>
          </w:p>
        </w:tc>
        <w:tc>
          <w:tcPr>
            <w:tcW w:w="651" w:type="dxa"/>
            <w:shd w:val="clear" w:color="auto" w:fill="auto"/>
            <w:vAlign w:val="center"/>
          </w:tcPr>
          <w:p w:rsidR="00911E09" w:rsidRDefault="00911E09" w:rsidP="009B010E">
            <w:pPr>
              <w:jc w:val="center"/>
              <w:rPr>
                <w:rFonts w:ascii="Arial Narrow" w:hAnsi="Arial Narrow"/>
                <w:lang w:val="en-US"/>
              </w:rPr>
            </w:pPr>
            <w:r>
              <w:rPr>
                <w:rFonts w:ascii="Arial Narrow" w:hAnsi="Arial Narrow" w:cs="Calibri"/>
                <w:color w:val="000000"/>
              </w:rPr>
              <w:t>0.02</w:t>
            </w: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c>
          <w:tcPr>
            <w:tcW w:w="651" w:type="dxa"/>
            <w:shd w:val="clear" w:color="auto" w:fill="auto"/>
            <w:vAlign w:val="center"/>
          </w:tcPr>
          <w:p w:rsidR="00911E09" w:rsidRDefault="00911E09" w:rsidP="009B010E">
            <w:pPr>
              <w:jc w:val="center"/>
              <w:rPr>
                <w:rFonts w:ascii="Arial Narrow" w:hAnsi="Arial Narrow"/>
                <w:lang w:val="en-US"/>
              </w:rPr>
            </w:pPr>
          </w:p>
        </w:tc>
      </w:tr>
    </w:tbl>
    <w:p w:rsidR="00911E09" w:rsidRDefault="00911E09" w:rsidP="00911E09">
      <w:pPr>
        <w:rPr>
          <w:rFonts w:eastAsia="Calibri"/>
        </w:rPr>
      </w:pPr>
      <w:r>
        <w:rPr>
          <w:rFonts w:eastAsia="Calibri"/>
          <w:i/>
        </w:rPr>
        <w:t>Note</w:t>
      </w:r>
      <w:r>
        <w:rPr>
          <w:rFonts w:eastAsia="Calibri"/>
        </w:rPr>
        <w:t xml:space="preserve">. </w:t>
      </w:r>
      <w:r>
        <w:rPr>
          <w:rFonts w:eastAsia="Calibri"/>
          <w:i/>
        </w:rPr>
        <w:t>RT</w:t>
      </w:r>
      <w:r>
        <w:rPr>
          <w:rFonts w:eastAsia="Calibri"/>
        </w:rPr>
        <w:t xml:space="preserve"> refers to mean reaction time, d′ refers to the Signal Detection Theory d′ scores, indicating the difference between </w:t>
      </w:r>
      <w:r>
        <w:rPr>
          <w:rFonts w:eastAsia="Calibri"/>
          <w:i/>
        </w:rPr>
        <w:t>hits</w:t>
      </w:r>
      <w:r>
        <w:rPr>
          <w:rFonts w:eastAsia="Calibri"/>
        </w:rPr>
        <w:t xml:space="preserve"> and </w:t>
      </w:r>
      <w:r>
        <w:rPr>
          <w:rFonts w:eastAsia="Calibri"/>
          <w:i/>
        </w:rPr>
        <w:t>false alarms</w:t>
      </w:r>
      <w:r>
        <w:rPr>
          <w:rFonts w:eastAsia="Calibri"/>
        </w:rPr>
        <w:t>.</w:t>
      </w:r>
    </w:p>
    <w:p w:rsidR="00911E09" w:rsidRDefault="00911E09" w:rsidP="00911E09">
      <w:pPr>
        <w:rPr>
          <w:rFonts w:eastAsia="Calibri"/>
        </w:rPr>
      </w:pPr>
      <w:r>
        <w:rPr>
          <w:rFonts w:eastAsia="Calibri"/>
        </w:rPr>
        <w:t>* The authors have been contacted to provide us the missing values for the effect size calculation.</w:t>
      </w:r>
    </w:p>
    <w:p w:rsidR="00371A27" w:rsidRDefault="00371A27"/>
    <w:sectPr w:rsidR="00371A27" w:rsidSect="00602D3A">
      <w:footnotePr>
        <w:pos w:val="beneathText"/>
      </w:footnotePr>
      <w:pgSz w:w="15840" w:h="12240" w:orient="landscape"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E09"/>
    <w:rsid w:val="00000934"/>
    <w:rsid w:val="00000A94"/>
    <w:rsid w:val="00001923"/>
    <w:rsid w:val="0000385A"/>
    <w:rsid w:val="00005684"/>
    <w:rsid w:val="00007BFC"/>
    <w:rsid w:val="00012107"/>
    <w:rsid w:val="000132A1"/>
    <w:rsid w:val="00014744"/>
    <w:rsid w:val="000155AD"/>
    <w:rsid w:val="0001786A"/>
    <w:rsid w:val="00020BA5"/>
    <w:rsid w:val="00021E91"/>
    <w:rsid w:val="00024594"/>
    <w:rsid w:val="00026062"/>
    <w:rsid w:val="000268C1"/>
    <w:rsid w:val="00031153"/>
    <w:rsid w:val="00032370"/>
    <w:rsid w:val="00034E3A"/>
    <w:rsid w:val="0003654E"/>
    <w:rsid w:val="000371AC"/>
    <w:rsid w:val="0004146E"/>
    <w:rsid w:val="0004356A"/>
    <w:rsid w:val="00043BD6"/>
    <w:rsid w:val="00051AC2"/>
    <w:rsid w:val="0005400E"/>
    <w:rsid w:val="0005481E"/>
    <w:rsid w:val="00055C3C"/>
    <w:rsid w:val="00055DFA"/>
    <w:rsid w:val="00060D17"/>
    <w:rsid w:val="00062B90"/>
    <w:rsid w:val="0007179B"/>
    <w:rsid w:val="00071B67"/>
    <w:rsid w:val="00074C12"/>
    <w:rsid w:val="00075F71"/>
    <w:rsid w:val="00077706"/>
    <w:rsid w:val="00080B67"/>
    <w:rsid w:val="00082BFC"/>
    <w:rsid w:val="00083509"/>
    <w:rsid w:val="0009261E"/>
    <w:rsid w:val="00093C30"/>
    <w:rsid w:val="000948B3"/>
    <w:rsid w:val="00095F47"/>
    <w:rsid w:val="000A0679"/>
    <w:rsid w:val="000A11B3"/>
    <w:rsid w:val="000A2414"/>
    <w:rsid w:val="000A2DA9"/>
    <w:rsid w:val="000A2DD5"/>
    <w:rsid w:val="000A363D"/>
    <w:rsid w:val="000A5002"/>
    <w:rsid w:val="000A5BF8"/>
    <w:rsid w:val="000A7844"/>
    <w:rsid w:val="000A7ADB"/>
    <w:rsid w:val="000B033C"/>
    <w:rsid w:val="000B1B7A"/>
    <w:rsid w:val="000B4E58"/>
    <w:rsid w:val="000B4EE9"/>
    <w:rsid w:val="000B5FF7"/>
    <w:rsid w:val="000B621D"/>
    <w:rsid w:val="000B6788"/>
    <w:rsid w:val="000B6872"/>
    <w:rsid w:val="000C0FA2"/>
    <w:rsid w:val="000C158E"/>
    <w:rsid w:val="000C48F6"/>
    <w:rsid w:val="000C4C9B"/>
    <w:rsid w:val="000D054F"/>
    <w:rsid w:val="000D0953"/>
    <w:rsid w:val="000D0C84"/>
    <w:rsid w:val="000D0F98"/>
    <w:rsid w:val="000D3BB4"/>
    <w:rsid w:val="000D4B15"/>
    <w:rsid w:val="000E043D"/>
    <w:rsid w:val="000E1AAA"/>
    <w:rsid w:val="000E7F51"/>
    <w:rsid w:val="000F1DB7"/>
    <w:rsid w:val="000F31A2"/>
    <w:rsid w:val="000F5E76"/>
    <w:rsid w:val="000F5FAB"/>
    <w:rsid w:val="00103DDD"/>
    <w:rsid w:val="00103F60"/>
    <w:rsid w:val="00107E1F"/>
    <w:rsid w:val="00110F90"/>
    <w:rsid w:val="00116434"/>
    <w:rsid w:val="001228EC"/>
    <w:rsid w:val="00122905"/>
    <w:rsid w:val="00123AF1"/>
    <w:rsid w:val="0013057F"/>
    <w:rsid w:val="00135A6C"/>
    <w:rsid w:val="00136B7E"/>
    <w:rsid w:val="0014453F"/>
    <w:rsid w:val="00146810"/>
    <w:rsid w:val="001523F1"/>
    <w:rsid w:val="00155629"/>
    <w:rsid w:val="00155DAF"/>
    <w:rsid w:val="00156984"/>
    <w:rsid w:val="00160927"/>
    <w:rsid w:val="001620F2"/>
    <w:rsid w:val="00162740"/>
    <w:rsid w:val="00167D8F"/>
    <w:rsid w:val="0017073F"/>
    <w:rsid w:val="0017258D"/>
    <w:rsid w:val="00172648"/>
    <w:rsid w:val="0017393C"/>
    <w:rsid w:val="00174F31"/>
    <w:rsid w:val="00176CB7"/>
    <w:rsid w:val="00180B5C"/>
    <w:rsid w:val="00181CD2"/>
    <w:rsid w:val="001823B0"/>
    <w:rsid w:val="00185FBE"/>
    <w:rsid w:val="00186813"/>
    <w:rsid w:val="0019198A"/>
    <w:rsid w:val="00197515"/>
    <w:rsid w:val="00197750"/>
    <w:rsid w:val="001A7B58"/>
    <w:rsid w:val="001B03D9"/>
    <w:rsid w:val="001B634C"/>
    <w:rsid w:val="001B722A"/>
    <w:rsid w:val="001B784A"/>
    <w:rsid w:val="001C0A09"/>
    <w:rsid w:val="001C2428"/>
    <w:rsid w:val="001C2EBD"/>
    <w:rsid w:val="001C50EC"/>
    <w:rsid w:val="001C635E"/>
    <w:rsid w:val="001C7E79"/>
    <w:rsid w:val="001D048B"/>
    <w:rsid w:val="001D0F1F"/>
    <w:rsid w:val="001D1191"/>
    <w:rsid w:val="001D1366"/>
    <w:rsid w:val="001D385D"/>
    <w:rsid w:val="001D5131"/>
    <w:rsid w:val="001E09B5"/>
    <w:rsid w:val="001E630F"/>
    <w:rsid w:val="001E6D9F"/>
    <w:rsid w:val="001E70A4"/>
    <w:rsid w:val="001F1512"/>
    <w:rsid w:val="001F2BD0"/>
    <w:rsid w:val="001F3762"/>
    <w:rsid w:val="00200D4A"/>
    <w:rsid w:val="00203881"/>
    <w:rsid w:val="002049E3"/>
    <w:rsid w:val="00207116"/>
    <w:rsid w:val="00210F01"/>
    <w:rsid w:val="00215E01"/>
    <w:rsid w:val="00220993"/>
    <w:rsid w:val="00230135"/>
    <w:rsid w:val="00231217"/>
    <w:rsid w:val="00232B18"/>
    <w:rsid w:val="00233C3A"/>
    <w:rsid w:val="0023516B"/>
    <w:rsid w:val="002415A2"/>
    <w:rsid w:val="00244DC1"/>
    <w:rsid w:val="00247EF5"/>
    <w:rsid w:val="00253CAA"/>
    <w:rsid w:val="00261E9A"/>
    <w:rsid w:val="00261ED1"/>
    <w:rsid w:val="002629F4"/>
    <w:rsid w:val="00262C86"/>
    <w:rsid w:val="00262D3C"/>
    <w:rsid w:val="002638D1"/>
    <w:rsid w:val="00264ECB"/>
    <w:rsid w:val="002709E6"/>
    <w:rsid w:val="002722A6"/>
    <w:rsid w:val="0027514A"/>
    <w:rsid w:val="00276F6E"/>
    <w:rsid w:val="00277A9B"/>
    <w:rsid w:val="00287BBA"/>
    <w:rsid w:val="002910B4"/>
    <w:rsid w:val="002926AA"/>
    <w:rsid w:val="0029382D"/>
    <w:rsid w:val="002960F0"/>
    <w:rsid w:val="00296F06"/>
    <w:rsid w:val="002A226F"/>
    <w:rsid w:val="002A3238"/>
    <w:rsid w:val="002A4466"/>
    <w:rsid w:val="002A46E6"/>
    <w:rsid w:val="002A4B3F"/>
    <w:rsid w:val="002A7444"/>
    <w:rsid w:val="002A778C"/>
    <w:rsid w:val="002B0385"/>
    <w:rsid w:val="002B056F"/>
    <w:rsid w:val="002B182A"/>
    <w:rsid w:val="002B4A75"/>
    <w:rsid w:val="002B5F3D"/>
    <w:rsid w:val="002B6EAB"/>
    <w:rsid w:val="002C173D"/>
    <w:rsid w:val="002C1F26"/>
    <w:rsid w:val="002C242B"/>
    <w:rsid w:val="002C337C"/>
    <w:rsid w:val="002C3988"/>
    <w:rsid w:val="002C3B5E"/>
    <w:rsid w:val="002C6380"/>
    <w:rsid w:val="002D1BCA"/>
    <w:rsid w:val="002D59BD"/>
    <w:rsid w:val="002D672E"/>
    <w:rsid w:val="002D7051"/>
    <w:rsid w:val="002D7750"/>
    <w:rsid w:val="002E18D4"/>
    <w:rsid w:val="002E38E5"/>
    <w:rsid w:val="002E4D07"/>
    <w:rsid w:val="002E61A1"/>
    <w:rsid w:val="002F0C93"/>
    <w:rsid w:val="002F2BEF"/>
    <w:rsid w:val="002F3704"/>
    <w:rsid w:val="002F532F"/>
    <w:rsid w:val="002F59AC"/>
    <w:rsid w:val="002F6FCE"/>
    <w:rsid w:val="00300231"/>
    <w:rsid w:val="00300B57"/>
    <w:rsid w:val="003027A2"/>
    <w:rsid w:val="00307D0C"/>
    <w:rsid w:val="00307FD1"/>
    <w:rsid w:val="003118F7"/>
    <w:rsid w:val="00315B93"/>
    <w:rsid w:val="003160AD"/>
    <w:rsid w:val="003211BD"/>
    <w:rsid w:val="003259C1"/>
    <w:rsid w:val="0032647D"/>
    <w:rsid w:val="0032771F"/>
    <w:rsid w:val="003277D3"/>
    <w:rsid w:val="003312E6"/>
    <w:rsid w:val="00331316"/>
    <w:rsid w:val="0033221A"/>
    <w:rsid w:val="0033509C"/>
    <w:rsid w:val="00335165"/>
    <w:rsid w:val="00335359"/>
    <w:rsid w:val="00341738"/>
    <w:rsid w:val="00342A07"/>
    <w:rsid w:val="003441E3"/>
    <w:rsid w:val="00353A9C"/>
    <w:rsid w:val="00354B71"/>
    <w:rsid w:val="003568DC"/>
    <w:rsid w:val="00357F5E"/>
    <w:rsid w:val="00361B28"/>
    <w:rsid w:val="00364D38"/>
    <w:rsid w:val="003664DC"/>
    <w:rsid w:val="003666C5"/>
    <w:rsid w:val="00366DAD"/>
    <w:rsid w:val="0037105F"/>
    <w:rsid w:val="003710EB"/>
    <w:rsid w:val="00371A27"/>
    <w:rsid w:val="003727F6"/>
    <w:rsid w:val="00374438"/>
    <w:rsid w:val="00374FEF"/>
    <w:rsid w:val="0037527C"/>
    <w:rsid w:val="0038105A"/>
    <w:rsid w:val="003810C7"/>
    <w:rsid w:val="00382744"/>
    <w:rsid w:val="00383132"/>
    <w:rsid w:val="00383FEA"/>
    <w:rsid w:val="00384A9A"/>
    <w:rsid w:val="00385C3D"/>
    <w:rsid w:val="00385E57"/>
    <w:rsid w:val="00386B01"/>
    <w:rsid w:val="00387A81"/>
    <w:rsid w:val="00391563"/>
    <w:rsid w:val="00394135"/>
    <w:rsid w:val="003970CD"/>
    <w:rsid w:val="003A6C41"/>
    <w:rsid w:val="003B02C8"/>
    <w:rsid w:val="003B0519"/>
    <w:rsid w:val="003B521D"/>
    <w:rsid w:val="003B5A4B"/>
    <w:rsid w:val="003B780B"/>
    <w:rsid w:val="003C21FE"/>
    <w:rsid w:val="003C4E77"/>
    <w:rsid w:val="003C4EEF"/>
    <w:rsid w:val="003C55CB"/>
    <w:rsid w:val="003C5E1D"/>
    <w:rsid w:val="003C74A3"/>
    <w:rsid w:val="003D146D"/>
    <w:rsid w:val="003D261C"/>
    <w:rsid w:val="003D2EDD"/>
    <w:rsid w:val="003D4B4A"/>
    <w:rsid w:val="003D540E"/>
    <w:rsid w:val="003E2195"/>
    <w:rsid w:val="003E3547"/>
    <w:rsid w:val="003F068E"/>
    <w:rsid w:val="003F22F9"/>
    <w:rsid w:val="003F2DC6"/>
    <w:rsid w:val="003F3E19"/>
    <w:rsid w:val="003F61D1"/>
    <w:rsid w:val="004000F0"/>
    <w:rsid w:val="00403BD3"/>
    <w:rsid w:val="00403D63"/>
    <w:rsid w:val="00404FFA"/>
    <w:rsid w:val="00405249"/>
    <w:rsid w:val="00410B91"/>
    <w:rsid w:val="00410E56"/>
    <w:rsid w:val="00411B38"/>
    <w:rsid w:val="00414F91"/>
    <w:rsid w:val="00415334"/>
    <w:rsid w:val="00416C74"/>
    <w:rsid w:val="00421702"/>
    <w:rsid w:val="004217BD"/>
    <w:rsid w:val="0042409A"/>
    <w:rsid w:val="004273DD"/>
    <w:rsid w:val="00427D82"/>
    <w:rsid w:val="004327C0"/>
    <w:rsid w:val="004329D7"/>
    <w:rsid w:val="00432E05"/>
    <w:rsid w:val="00434961"/>
    <w:rsid w:val="00435FA8"/>
    <w:rsid w:val="004371B1"/>
    <w:rsid w:val="0044587C"/>
    <w:rsid w:val="00446E96"/>
    <w:rsid w:val="00446EC9"/>
    <w:rsid w:val="0044712E"/>
    <w:rsid w:val="004535E0"/>
    <w:rsid w:val="00454608"/>
    <w:rsid w:val="0045500D"/>
    <w:rsid w:val="00455652"/>
    <w:rsid w:val="00456A76"/>
    <w:rsid w:val="004578CB"/>
    <w:rsid w:val="00457D60"/>
    <w:rsid w:val="0046008D"/>
    <w:rsid w:val="00460A79"/>
    <w:rsid w:val="00464EC0"/>
    <w:rsid w:val="00465BE8"/>
    <w:rsid w:val="004665E0"/>
    <w:rsid w:val="00467DA9"/>
    <w:rsid w:val="00470765"/>
    <w:rsid w:val="004758BF"/>
    <w:rsid w:val="00475929"/>
    <w:rsid w:val="00475FBD"/>
    <w:rsid w:val="0047648F"/>
    <w:rsid w:val="0048237B"/>
    <w:rsid w:val="00483677"/>
    <w:rsid w:val="00485145"/>
    <w:rsid w:val="00485B70"/>
    <w:rsid w:val="00485EDA"/>
    <w:rsid w:val="00486216"/>
    <w:rsid w:val="004868DD"/>
    <w:rsid w:val="00486F23"/>
    <w:rsid w:val="00491926"/>
    <w:rsid w:val="00494D58"/>
    <w:rsid w:val="00496F23"/>
    <w:rsid w:val="004A0448"/>
    <w:rsid w:val="004A10CC"/>
    <w:rsid w:val="004B3029"/>
    <w:rsid w:val="004B4992"/>
    <w:rsid w:val="004B610B"/>
    <w:rsid w:val="004B70B5"/>
    <w:rsid w:val="004C0D8C"/>
    <w:rsid w:val="004C0F21"/>
    <w:rsid w:val="004C15F6"/>
    <w:rsid w:val="004C1C75"/>
    <w:rsid w:val="004C4274"/>
    <w:rsid w:val="004C5917"/>
    <w:rsid w:val="004C65C5"/>
    <w:rsid w:val="004D161E"/>
    <w:rsid w:val="004D4562"/>
    <w:rsid w:val="004D535D"/>
    <w:rsid w:val="004D6F17"/>
    <w:rsid w:val="004D7E46"/>
    <w:rsid w:val="004E0ECB"/>
    <w:rsid w:val="004E1510"/>
    <w:rsid w:val="004E244C"/>
    <w:rsid w:val="004E29EE"/>
    <w:rsid w:val="004E682F"/>
    <w:rsid w:val="004F0509"/>
    <w:rsid w:val="004F623C"/>
    <w:rsid w:val="004F65DF"/>
    <w:rsid w:val="004F6862"/>
    <w:rsid w:val="004F6F44"/>
    <w:rsid w:val="00501F17"/>
    <w:rsid w:val="00505BC7"/>
    <w:rsid w:val="00506BDF"/>
    <w:rsid w:val="00511538"/>
    <w:rsid w:val="00512BAD"/>
    <w:rsid w:val="00513596"/>
    <w:rsid w:val="00522908"/>
    <w:rsid w:val="00524944"/>
    <w:rsid w:val="005305BF"/>
    <w:rsid w:val="00530BB7"/>
    <w:rsid w:val="00532C83"/>
    <w:rsid w:val="00537F37"/>
    <w:rsid w:val="00544A88"/>
    <w:rsid w:val="00546B9B"/>
    <w:rsid w:val="00547C14"/>
    <w:rsid w:val="00553D77"/>
    <w:rsid w:val="005552BF"/>
    <w:rsid w:val="0055561F"/>
    <w:rsid w:val="00556625"/>
    <w:rsid w:val="00561805"/>
    <w:rsid w:val="00562961"/>
    <w:rsid w:val="005647C9"/>
    <w:rsid w:val="00565132"/>
    <w:rsid w:val="0056590D"/>
    <w:rsid w:val="00573A6C"/>
    <w:rsid w:val="00574146"/>
    <w:rsid w:val="00576770"/>
    <w:rsid w:val="0058638C"/>
    <w:rsid w:val="005863F5"/>
    <w:rsid w:val="005864C4"/>
    <w:rsid w:val="0059034B"/>
    <w:rsid w:val="005909A1"/>
    <w:rsid w:val="005916C1"/>
    <w:rsid w:val="00592165"/>
    <w:rsid w:val="005932D3"/>
    <w:rsid w:val="00593907"/>
    <w:rsid w:val="0059398B"/>
    <w:rsid w:val="00595D1F"/>
    <w:rsid w:val="005968F0"/>
    <w:rsid w:val="005972F6"/>
    <w:rsid w:val="005A5707"/>
    <w:rsid w:val="005A5956"/>
    <w:rsid w:val="005A6450"/>
    <w:rsid w:val="005A6B62"/>
    <w:rsid w:val="005B1B15"/>
    <w:rsid w:val="005B3209"/>
    <w:rsid w:val="005B3964"/>
    <w:rsid w:val="005B42E1"/>
    <w:rsid w:val="005C0F57"/>
    <w:rsid w:val="005C197B"/>
    <w:rsid w:val="005C2E85"/>
    <w:rsid w:val="005C41A7"/>
    <w:rsid w:val="005C58C0"/>
    <w:rsid w:val="005C7DD7"/>
    <w:rsid w:val="005D1681"/>
    <w:rsid w:val="005D4863"/>
    <w:rsid w:val="005D7C0C"/>
    <w:rsid w:val="005E6853"/>
    <w:rsid w:val="005F03F0"/>
    <w:rsid w:val="005F144E"/>
    <w:rsid w:val="005F5FE5"/>
    <w:rsid w:val="005F6042"/>
    <w:rsid w:val="005F6968"/>
    <w:rsid w:val="005F6B56"/>
    <w:rsid w:val="006002A7"/>
    <w:rsid w:val="00600454"/>
    <w:rsid w:val="00601994"/>
    <w:rsid w:val="0060258E"/>
    <w:rsid w:val="00602C18"/>
    <w:rsid w:val="00607D5B"/>
    <w:rsid w:val="0061041A"/>
    <w:rsid w:val="00610981"/>
    <w:rsid w:val="006109C8"/>
    <w:rsid w:val="00610AAC"/>
    <w:rsid w:val="006125D0"/>
    <w:rsid w:val="00612822"/>
    <w:rsid w:val="00612B13"/>
    <w:rsid w:val="00612DAB"/>
    <w:rsid w:val="0062083C"/>
    <w:rsid w:val="00621716"/>
    <w:rsid w:val="00622F19"/>
    <w:rsid w:val="00626993"/>
    <w:rsid w:val="00630A4F"/>
    <w:rsid w:val="006340FF"/>
    <w:rsid w:val="006362E9"/>
    <w:rsid w:val="00637575"/>
    <w:rsid w:val="00637E0C"/>
    <w:rsid w:val="006404E5"/>
    <w:rsid w:val="00642FCC"/>
    <w:rsid w:val="00644046"/>
    <w:rsid w:val="00646475"/>
    <w:rsid w:val="00646AFC"/>
    <w:rsid w:val="00646DEA"/>
    <w:rsid w:val="00647F21"/>
    <w:rsid w:val="0065170B"/>
    <w:rsid w:val="00651F9A"/>
    <w:rsid w:val="0065216C"/>
    <w:rsid w:val="00657E77"/>
    <w:rsid w:val="006629FC"/>
    <w:rsid w:val="0066525A"/>
    <w:rsid w:val="00665AA5"/>
    <w:rsid w:val="0066711B"/>
    <w:rsid w:val="006678A0"/>
    <w:rsid w:val="00671955"/>
    <w:rsid w:val="00672FCF"/>
    <w:rsid w:val="0067569F"/>
    <w:rsid w:val="006769BF"/>
    <w:rsid w:val="00676CCB"/>
    <w:rsid w:val="00677427"/>
    <w:rsid w:val="0068301B"/>
    <w:rsid w:val="0068393F"/>
    <w:rsid w:val="00685D60"/>
    <w:rsid w:val="00691CBE"/>
    <w:rsid w:val="006925A2"/>
    <w:rsid w:val="0069334C"/>
    <w:rsid w:val="00693B38"/>
    <w:rsid w:val="00694608"/>
    <w:rsid w:val="00694A7A"/>
    <w:rsid w:val="006965F9"/>
    <w:rsid w:val="00696A8D"/>
    <w:rsid w:val="006971CC"/>
    <w:rsid w:val="006A0778"/>
    <w:rsid w:val="006A1AED"/>
    <w:rsid w:val="006A57AA"/>
    <w:rsid w:val="006B0630"/>
    <w:rsid w:val="006B18C5"/>
    <w:rsid w:val="006B3AD3"/>
    <w:rsid w:val="006C16DF"/>
    <w:rsid w:val="006C364D"/>
    <w:rsid w:val="006C5F68"/>
    <w:rsid w:val="006D07BB"/>
    <w:rsid w:val="006E1490"/>
    <w:rsid w:val="006E263E"/>
    <w:rsid w:val="006E4E61"/>
    <w:rsid w:val="006E7037"/>
    <w:rsid w:val="006F019F"/>
    <w:rsid w:val="006F06D1"/>
    <w:rsid w:val="006F2E59"/>
    <w:rsid w:val="006F6145"/>
    <w:rsid w:val="006F6E86"/>
    <w:rsid w:val="007007AB"/>
    <w:rsid w:val="00700AE7"/>
    <w:rsid w:val="007019A9"/>
    <w:rsid w:val="007021FF"/>
    <w:rsid w:val="007047D9"/>
    <w:rsid w:val="00704FE5"/>
    <w:rsid w:val="00705065"/>
    <w:rsid w:val="00710887"/>
    <w:rsid w:val="0071128B"/>
    <w:rsid w:val="00712A4D"/>
    <w:rsid w:val="00714538"/>
    <w:rsid w:val="00715568"/>
    <w:rsid w:val="00715D58"/>
    <w:rsid w:val="00715F98"/>
    <w:rsid w:val="00720C21"/>
    <w:rsid w:val="00721277"/>
    <w:rsid w:val="00721653"/>
    <w:rsid w:val="007227CA"/>
    <w:rsid w:val="007321AC"/>
    <w:rsid w:val="00734157"/>
    <w:rsid w:val="00734CE0"/>
    <w:rsid w:val="00735253"/>
    <w:rsid w:val="00735B6E"/>
    <w:rsid w:val="007372BC"/>
    <w:rsid w:val="0073740F"/>
    <w:rsid w:val="007401F9"/>
    <w:rsid w:val="007446BF"/>
    <w:rsid w:val="0074489D"/>
    <w:rsid w:val="00744946"/>
    <w:rsid w:val="007468DF"/>
    <w:rsid w:val="00746EAA"/>
    <w:rsid w:val="00750015"/>
    <w:rsid w:val="00750E2F"/>
    <w:rsid w:val="00762E5E"/>
    <w:rsid w:val="00762FBE"/>
    <w:rsid w:val="00763D3B"/>
    <w:rsid w:val="00764700"/>
    <w:rsid w:val="00771F86"/>
    <w:rsid w:val="0077268D"/>
    <w:rsid w:val="00772FC2"/>
    <w:rsid w:val="007745F8"/>
    <w:rsid w:val="00775BDE"/>
    <w:rsid w:val="00777453"/>
    <w:rsid w:val="0078016B"/>
    <w:rsid w:val="0079023D"/>
    <w:rsid w:val="00792993"/>
    <w:rsid w:val="007970F7"/>
    <w:rsid w:val="007A25D4"/>
    <w:rsid w:val="007A2847"/>
    <w:rsid w:val="007A59D4"/>
    <w:rsid w:val="007A69F1"/>
    <w:rsid w:val="007A704E"/>
    <w:rsid w:val="007A7C26"/>
    <w:rsid w:val="007B4E93"/>
    <w:rsid w:val="007B5232"/>
    <w:rsid w:val="007C1A09"/>
    <w:rsid w:val="007C2005"/>
    <w:rsid w:val="007C2695"/>
    <w:rsid w:val="007C7B59"/>
    <w:rsid w:val="007D26CB"/>
    <w:rsid w:val="007D2C91"/>
    <w:rsid w:val="007D2D5C"/>
    <w:rsid w:val="007D52FF"/>
    <w:rsid w:val="007E0424"/>
    <w:rsid w:val="007E4620"/>
    <w:rsid w:val="007E60F2"/>
    <w:rsid w:val="007F01C7"/>
    <w:rsid w:val="007F028E"/>
    <w:rsid w:val="007F17F2"/>
    <w:rsid w:val="007F30D0"/>
    <w:rsid w:val="007F3B2C"/>
    <w:rsid w:val="007F638B"/>
    <w:rsid w:val="007F71AD"/>
    <w:rsid w:val="008016D2"/>
    <w:rsid w:val="00802C12"/>
    <w:rsid w:val="00802EBC"/>
    <w:rsid w:val="00804B6B"/>
    <w:rsid w:val="00806A0D"/>
    <w:rsid w:val="00806CF2"/>
    <w:rsid w:val="00806F35"/>
    <w:rsid w:val="0081343C"/>
    <w:rsid w:val="00813F5C"/>
    <w:rsid w:val="00814D77"/>
    <w:rsid w:val="00815E08"/>
    <w:rsid w:val="008211BC"/>
    <w:rsid w:val="008220FA"/>
    <w:rsid w:val="00826B5E"/>
    <w:rsid w:val="00831121"/>
    <w:rsid w:val="0083127D"/>
    <w:rsid w:val="0083424B"/>
    <w:rsid w:val="00835C34"/>
    <w:rsid w:val="00835E14"/>
    <w:rsid w:val="008428B7"/>
    <w:rsid w:val="008527C1"/>
    <w:rsid w:val="00856362"/>
    <w:rsid w:val="00856F17"/>
    <w:rsid w:val="00862A17"/>
    <w:rsid w:val="00864503"/>
    <w:rsid w:val="00864DCB"/>
    <w:rsid w:val="008657BA"/>
    <w:rsid w:val="0087268B"/>
    <w:rsid w:val="00877696"/>
    <w:rsid w:val="008821DF"/>
    <w:rsid w:val="00882A3C"/>
    <w:rsid w:val="00883FDA"/>
    <w:rsid w:val="00884202"/>
    <w:rsid w:val="008847CE"/>
    <w:rsid w:val="008873F7"/>
    <w:rsid w:val="008876AB"/>
    <w:rsid w:val="008901E1"/>
    <w:rsid w:val="008935A6"/>
    <w:rsid w:val="00893AFF"/>
    <w:rsid w:val="00896AEE"/>
    <w:rsid w:val="008A47D9"/>
    <w:rsid w:val="008A597D"/>
    <w:rsid w:val="008A7219"/>
    <w:rsid w:val="008A7C78"/>
    <w:rsid w:val="008B0B26"/>
    <w:rsid w:val="008B10F9"/>
    <w:rsid w:val="008B1F1A"/>
    <w:rsid w:val="008B20DF"/>
    <w:rsid w:val="008B4AE6"/>
    <w:rsid w:val="008B57B1"/>
    <w:rsid w:val="008B6C49"/>
    <w:rsid w:val="008C5967"/>
    <w:rsid w:val="008D275F"/>
    <w:rsid w:val="008D2832"/>
    <w:rsid w:val="008D7B82"/>
    <w:rsid w:val="008E00CD"/>
    <w:rsid w:val="008E01C0"/>
    <w:rsid w:val="008E4AA0"/>
    <w:rsid w:val="008E5382"/>
    <w:rsid w:val="008E5F2D"/>
    <w:rsid w:val="008E6124"/>
    <w:rsid w:val="008E74D4"/>
    <w:rsid w:val="008F129D"/>
    <w:rsid w:val="008F494A"/>
    <w:rsid w:val="008F4EAA"/>
    <w:rsid w:val="008F5475"/>
    <w:rsid w:val="009005E9"/>
    <w:rsid w:val="00900EDA"/>
    <w:rsid w:val="00902FB1"/>
    <w:rsid w:val="00903239"/>
    <w:rsid w:val="0090440D"/>
    <w:rsid w:val="00904A07"/>
    <w:rsid w:val="00905550"/>
    <w:rsid w:val="00910D3C"/>
    <w:rsid w:val="00911E09"/>
    <w:rsid w:val="00913333"/>
    <w:rsid w:val="00914864"/>
    <w:rsid w:val="00920783"/>
    <w:rsid w:val="00920A28"/>
    <w:rsid w:val="009233FC"/>
    <w:rsid w:val="00925A8C"/>
    <w:rsid w:val="00925F4B"/>
    <w:rsid w:val="009301F3"/>
    <w:rsid w:val="009317ED"/>
    <w:rsid w:val="00931B3A"/>
    <w:rsid w:val="009320F2"/>
    <w:rsid w:val="00933746"/>
    <w:rsid w:val="00934FEC"/>
    <w:rsid w:val="009367F3"/>
    <w:rsid w:val="00936DE5"/>
    <w:rsid w:val="00936E3E"/>
    <w:rsid w:val="00941FD2"/>
    <w:rsid w:val="00943FCF"/>
    <w:rsid w:val="0095073C"/>
    <w:rsid w:val="009514B1"/>
    <w:rsid w:val="00951D2B"/>
    <w:rsid w:val="00952CD7"/>
    <w:rsid w:val="009549B6"/>
    <w:rsid w:val="00955B19"/>
    <w:rsid w:val="00966111"/>
    <w:rsid w:val="00972398"/>
    <w:rsid w:val="00974D9C"/>
    <w:rsid w:val="009752AD"/>
    <w:rsid w:val="00975AA2"/>
    <w:rsid w:val="00977A0B"/>
    <w:rsid w:val="00977C89"/>
    <w:rsid w:val="00982342"/>
    <w:rsid w:val="009837D3"/>
    <w:rsid w:val="00985866"/>
    <w:rsid w:val="00985EDA"/>
    <w:rsid w:val="00986734"/>
    <w:rsid w:val="0099133B"/>
    <w:rsid w:val="00994F6A"/>
    <w:rsid w:val="009A04FA"/>
    <w:rsid w:val="009A0B83"/>
    <w:rsid w:val="009A247E"/>
    <w:rsid w:val="009A3819"/>
    <w:rsid w:val="009A60FC"/>
    <w:rsid w:val="009A636D"/>
    <w:rsid w:val="009A78BD"/>
    <w:rsid w:val="009B55FA"/>
    <w:rsid w:val="009B67AD"/>
    <w:rsid w:val="009B6FFB"/>
    <w:rsid w:val="009C3964"/>
    <w:rsid w:val="009C3F81"/>
    <w:rsid w:val="009C5BCB"/>
    <w:rsid w:val="009D0363"/>
    <w:rsid w:val="009D088A"/>
    <w:rsid w:val="009D1227"/>
    <w:rsid w:val="009D1FBB"/>
    <w:rsid w:val="009D2C23"/>
    <w:rsid w:val="009D5F0B"/>
    <w:rsid w:val="009D652B"/>
    <w:rsid w:val="009D6D25"/>
    <w:rsid w:val="009E0F9D"/>
    <w:rsid w:val="009E28E5"/>
    <w:rsid w:val="009E4B73"/>
    <w:rsid w:val="009E4C64"/>
    <w:rsid w:val="009E61C0"/>
    <w:rsid w:val="009F3870"/>
    <w:rsid w:val="009F3D17"/>
    <w:rsid w:val="009F66BD"/>
    <w:rsid w:val="009F773D"/>
    <w:rsid w:val="00A0516E"/>
    <w:rsid w:val="00A0718D"/>
    <w:rsid w:val="00A133C0"/>
    <w:rsid w:val="00A14047"/>
    <w:rsid w:val="00A17BD2"/>
    <w:rsid w:val="00A200CF"/>
    <w:rsid w:val="00A22ACD"/>
    <w:rsid w:val="00A25A3B"/>
    <w:rsid w:val="00A25B29"/>
    <w:rsid w:val="00A335BD"/>
    <w:rsid w:val="00A41AB3"/>
    <w:rsid w:val="00A42C92"/>
    <w:rsid w:val="00A446C9"/>
    <w:rsid w:val="00A45C95"/>
    <w:rsid w:val="00A505BE"/>
    <w:rsid w:val="00A50B5E"/>
    <w:rsid w:val="00A51D48"/>
    <w:rsid w:val="00A52641"/>
    <w:rsid w:val="00A539E1"/>
    <w:rsid w:val="00A54881"/>
    <w:rsid w:val="00A57C3F"/>
    <w:rsid w:val="00A605CC"/>
    <w:rsid w:val="00A64983"/>
    <w:rsid w:val="00A65459"/>
    <w:rsid w:val="00A731CD"/>
    <w:rsid w:val="00A753E5"/>
    <w:rsid w:val="00A75510"/>
    <w:rsid w:val="00A7703C"/>
    <w:rsid w:val="00A80151"/>
    <w:rsid w:val="00A815E8"/>
    <w:rsid w:val="00A838FA"/>
    <w:rsid w:val="00A87AD7"/>
    <w:rsid w:val="00A938BC"/>
    <w:rsid w:val="00A93C5B"/>
    <w:rsid w:val="00A95795"/>
    <w:rsid w:val="00A97A6F"/>
    <w:rsid w:val="00AA00F4"/>
    <w:rsid w:val="00AA05FE"/>
    <w:rsid w:val="00AA375B"/>
    <w:rsid w:val="00AA62A8"/>
    <w:rsid w:val="00AB2FBC"/>
    <w:rsid w:val="00AB3F3A"/>
    <w:rsid w:val="00AB4FD1"/>
    <w:rsid w:val="00AB792E"/>
    <w:rsid w:val="00AB7D39"/>
    <w:rsid w:val="00AC4E62"/>
    <w:rsid w:val="00AC54EB"/>
    <w:rsid w:val="00AC62B5"/>
    <w:rsid w:val="00AC7DDF"/>
    <w:rsid w:val="00AD37E6"/>
    <w:rsid w:val="00AD3E8D"/>
    <w:rsid w:val="00AD66FE"/>
    <w:rsid w:val="00AD68C8"/>
    <w:rsid w:val="00AE31E1"/>
    <w:rsid w:val="00AE5814"/>
    <w:rsid w:val="00AE7B10"/>
    <w:rsid w:val="00AF06EB"/>
    <w:rsid w:val="00AF2C10"/>
    <w:rsid w:val="00AF4A01"/>
    <w:rsid w:val="00AF57E0"/>
    <w:rsid w:val="00B0440F"/>
    <w:rsid w:val="00B1043B"/>
    <w:rsid w:val="00B12C57"/>
    <w:rsid w:val="00B13C23"/>
    <w:rsid w:val="00B174A7"/>
    <w:rsid w:val="00B17DA6"/>
    <w:rsid w:val="00B217FD"/>
    <w:rsid w:val="00B226D9"/>
    <w:rsid w:val="00B23B10"/>
    <w:rsid w:val="00B26C6C"/>
    <w:rsid w:val="00B276E8"/>
    <w:rsid w:val="00B3602D"/>
    <w:rsid w:val="00B371BA"/>
    <w:rsid w:val="00B40BA5"/>
    <w:rsid w:val="00B43AE8"/>
    <w:rsid w:val="00B465D5"/>
    <w:rsid w:val="00B47718"/>
    <w:rsid w:val="00B47CE6"/>
    <w:rsid w:val="00B508C8"/>
    <w:rsid w:val="00B546D1"/>
    <w:rsid w:val="00B56996"/>
    <w:rsid w:val="00B56B70"/>
    <w:rsid w:val="00B5759C"/>
    <w:rsid w:val="00B61728"/>
    <w:rsid w:val="00B630DD"/>
    <w:rsid w:val="00B65BDD"/>
    <w:rsid w:val="00B65CF8"/>
    <w:rsid w:val="00B70604"/>
    <w:rsid w:val="00B708C2"/>
    <w:rsid w:val="00B70A5E"/>
    <w:rsid w:val="00B72C37"/>
    <w:rsid w:val="00B72DFB"/>
    <w:rsid w:val="00B7330A"/>
    <w:rsid w:val="00B7331E"/>
    <w:rsid w:val="00B74179"/>
    <w:rsid w:val="00B757E3"/>
    <w:rsid w:val="00B759E6"/>
    <w:rsid w:val="00B76B53"/>
    <w:rsid w:val="00B81A04"/>
    <w:rsid w:val="00B830CD"/>
    <w:rsid w:val="00B91986"/>
    <w:rsid w:val="00B94C6F"/>
    <w:rsid w:val="00B951FA"/>
    <w:rsid w:val="00B974DC"/>
    <w:rsid w:val="00BA28F7"/>
    <w:rsid w:val="00BA2CB9"/>
    <w:rsid w:val="00BA3D97"/>
    <w:rsid w:val="00BA4E02"/>
    <w:rsid w:val="00BA617D"/>
    <w:rsid w:val="00BA7787"/>
    <w:rsid w:val="00BB007B"/>
    <w:rsid w:val="00BC0E5D"/>
    <w:rsid w:val="00BC1B86"/>
    <w:rsid w:val="00BC267D"/>
    <w:rsid w:val="00BC35EA"/>
    <w:rsid w:val="00BC4F03"/>
    <w:rsid w:val="00BC5844"/>
    <w:rsid w:val="00BC6923"/>
    <w:rsid w:val="00BC7C56"/>
    <w:rsid w:val="00BD05A4"/>
    <w:rsid w:val="00BD0A8C"/>
    <w:rsid w:val="00BD4CED"/>
    <w:rsid w:val="00BD5B6C"/>
    <w:rsid w:val="00BD6112"/>
    <w:rsid w:val="00BD6AA2"/>
    <w:rsid w:val="00BD7619"/>
    <w:rsid w:val="00BE4A78"/>
    <w:rsid w:val="00BE60FC"/>
    <w:rsid w:val="00BE6E64"/>
    <w:rsid w:val="00BE7D96"/>
    <w:rsid w:val="00BF086E"/>
    <w:rsid w:val="00BF4341"/>
    <w:rsid w:val="00BF4CF0"/>
    <w:rsid w:val="00C000F6"/>
    <w:rsid w:val="00C01BFE"/>
    <w:rsid w:val="00C10C35"/>
    <w:rsid w:val="00C12056"/>
    <w:rsid w:val="00C127AD"/>
    <w:rsid w:val="00C169E9"/>
    <w:rsid w:val="00C201DB"/>
    <w:rsid w:val="00C2778D"/>
    <w:rsid w:val="00C33F2C"/>
    <w:rsid w:val="00C3471E"/>
    <w:rsid w:val="00C3637A"/>
    <w:rsid w:val="00C36E2D"/>
    <w:rsid w:val="00C40DF0"/>
    <w:rsid w:val="00C412A9"/>
    <w:rsid w:val="00C41EDD"/>
    <w:rsid w:val="00C438B6"/>
    <w:rsid w:val="00C4485B"/>
    <w:rsid w:val="00C44D20"/>
    <w:rsid w:val="00C46E50"/>
    <w:rsid w:val="00C46FA9"/>
    <w:rsid w:val="00C53063"/>
    <w:rsid w:val="00C55E54"/>
    <w:rsid w:val="00C5607E"/>
    <w:rsid w:val="00C57391"/>
    <w:rsid w:val="00C62938"/>
    <w:rsid w:val="00C62AFB"/>
    <w:rsid w:val="00C62B14"/>
    <w:rsid w:val="00C6572B"/>
    <w:rsid w:val="00C7375B"/>
    <w:rsid w:val="00C742C4"/>
    <w:rsid w:val="00C75245"/>
    <w:rsid w:val="00C754F7"/>
    <w:rsid w:val="00C77BEE"/>
    <w:rsid w:val="00C855AE"/>
    <w:rsid w:val="00C85E50"/>
    <w:rsid w:val="00C87475"/>
    <w:rsid w:val="00C87CA9"/>
    <w:rsid w:val="00C87EB5"/>
    <w:rsid w:val="00C9297C"/>
    <w:rsid w:val="00C93509"/>
    <w:rsid w:val="00C96433"/>
    <w:rsid w:val="00CA119B"/>
    <w:rsid w:val="00CA1BF7"/>
    <w:rsid w:val="00CA2470"/>
    <w:rsid w:val="00CA5282"/>
    <w:rsid w:val="00CA7C05"/>
    <w:rsid w:val="00CB39E9"/>
    <w:rsid w:val="00CB3B7A"/>
    <w:rsid w:val="00CC12A4"/>
    <w:rsid w:val="00CC3091"/>
    <w:rsid w:val="00CC3BBB"/>
    <w:rsid w:val="00CD0849"/>
    <w:rsid w:val="00CD3E64"/>
    <w:rsid w:val="00CE0015"/>
    <w:rsid w:val="00CE2212"/>
    <w:rsid w:val="00CE3F3D"/>
    <w:rsid w:val="00CE6F78"/>
    <w:rsid w:val="00CF00D9"/>
    <w:rsid w:val="00CF0976"/>
    <w:rsid w:val="00CF1364"/>
    <w:rsid w:val="00CF4BD0"/>
    <w:rsid w:val="00CF6D77"/>
    <w:rsid w:val="00CF7726"/>
    <w:rsid w:val="00CF78FE"/>
    <w:rsid w:val="00D01CAA"/>
    <w:rsid w:val="00D04718"/>
    <w:rsid w:val="00D067FA"/>
    <w:rsid w:val="00D10E22"/>
    <w:rsid w:val="00D1186B"/>
    <w:rsid w:val="00D147D1"/>
    <w:rsid w:val="00D17AD6"/>
    <w:rsid w:val="00D17DD4"/>
    <w:rsid w:val="00D21C46"/>
    <w:rsid w:val="00D22930"/>
    <w:rsid w:val="00D36DC9"/>
    <w:rsid w:val="00D42689"/>
    <w:rsid w:val="00D46EA7"/>
    <w:rsid w:val="00D47AA8"/>
    <w:rsid w:val="00D50B07"/>
    <w:rsid w:val="00D51106"/>
    <w:rsid w:val="00D529AB"/>
    <w:rsid w:val="00D53051"/>
    <w:rsid w:val="00D55965"/>
    <w:rsid w:val="00D56092"/>
    <w:rsid w:val="00D56E20"/>
    <w:rsid w:val="00D60311"/>
    <w:rsid w:val="00D607ED"/>
    <w:rsid w:val="00D624CD"/>
    <w:rsid w:val="00D632BC"/>
    <w:rsid w:val="00D64587"/>
    <w:rsid w:val="00D65509"/>
    <w:rsid w:val="00D71B8D"/>
    <w:rsid w:val="00D737EF"/>
    <w:rsid w:val="00D74339"/>
    <w:rsid w:val="00D801E6"/>
    <w:rsid w:val="00D811FA"/>
    <w:rsid w:val="00D82A55"/>
    <w:rsid w:val="00D842F2"/>
    <w:rsid w:val="00D84687"/>
    <w:rsid w:val="00D865BD"/>
    <w:rsid w:val="00D86CAE"/>
    <w:rsid w:val="00D86EC2"/>
    <w:rsid w:val="00D879EC"/>
    <w:rsid w:val="00D934D1"/>
    <w:rsid w:val="00D9675D"/>
    <w:rsid w:val="00DA10E7"/>
    <w:rsid w:val="00DA3B3A"/>
    <w:rsid w:val="00DB1AE5"/>
    <w:rsid w:val="00DB3022"/>
    <w:rsid w:val="00DB3466"/>
    <w:rsid w:val="00DB4220"/>
    <w:rsid w:val="00DB51D2"/>
    <w:rsid w:val="00DB6D52"/>
    <w:rsid w:val="00DB7335"/>
    <w:rsid w:val="00DC3108"/>
    <w:rsid w:val="00DC4EBB"/>
    <w:rsid w:val="00DC5154"/>
    <w:rsid w:val="00DD4143"/>
    <w:rsid w:val="00DD41D4"/>
    <w:rsid w:val="00DD65F6"/>
    <w:rsid w:val="00DE043A"/>
    <w:rsid w:val="00DE0E7C"/>
    <w:rsid w:val="00DE2745"/>
    <w:rsid w:val="00DE2D0F"/>
    <w:rsid w:val="00DE3272"/>
    <w:rsid w:val="00DE342A"/>
    <w:rsid w:val="00DE6A5F"/>
    <w:rsid w:val="00DE70C9"/>
    <w:rsid w:val="00DF1C9C"/>
    <w:rsid w:val="00DF1D52"/>
    <w:rsid w:val="00DF2EB3"/>
    <w:rsid w:val="00DF53A9"/>
    <w:rsid w:val="00E006DD"/>
    <w:rsid w:val="00E015F2"/>
    <w:rsid w:val="00E064BE"/>
    <w:rsid w:val="00E10C71"/>
    <w:rsid w:val="00E2072F"/>
    <w:rsid w:val="00E2437C"/>
    <w:rsid w:val="00E24AFB"/>
    <w:rsid w:val="00E24D47"/>
    <w:rsid w:val="00E26068"/>
    <w:rsid w:val="00E27412"/>
    <w:rsid w:val="00E32211"/>
    <w:rsid w:val="00E337A5"/>
    <w:rsid w:val="00E34295"/>
    <w:rsid w:val="00E35674"/>
    <w:rsid w:val="00E443E5"/>
    <w:rsid w:val="00E44799"/>
    <w:rsid w:val="00E44A3C"/>
    <w:rsid w:val="00E45424"/>
    <w:rsid w:val="00E47DF9"/>
    <w:rsid w:val="00E51838"/>
    <w:rsid w:val="00E52A02"/>
    <w:rsid w:val="00E52F1F"/>
    <w:rsid w:val="00E537C0"/>
    <w:rsid w:val="00E57830"/>
    <w:rsid w:val="00E60129"/>
    <w:rsid w:val="00E61C50"/>
    <w:rsid w:val="00E6200D"/>
    <w:rsid w:val="00E62A73"/>
    <w:rsid w:val="00E63A15"/>
    <w:rsid w:val="00E64748"/>
    <w:rsid w:val="00E67563"/>
    <w:rsid w:val="00E719E1"/>
    <w:rsid w:val="00E72A9D"/>
    <w:rsid w:val="00E731CE"/>
    <w:rsid w:val="00E742B9"/>
    <w:rsid w:val="00E8577E"/>
    <w:rsid w:val="00E8587F"/>
    <w:rsid w:val="00E87395"/>
    <w:rsid w:val="00E87789"/>
    <w:rsid w:val="00E87DD2"/>
    <w:rsid w:val="00E93155"/>
    <w:rsid w:val="00E936A0"/>
    <w:rsid w:val="00E93893"/>
    <w:rsid w:val="00E9389A"/>
    <w:rsid w:val="00E94007"/>
    <w:rsid w:val="00E94247"/>
    <w:rsid w:val="00E945F9"/>
    <w:rsid w:val="00E949CF"/>
    <w:rsid w:val="00E9537D"/>
    <w:rsid w:val="00EA056E"/>
    <w:rsid w:val="00EA3615"/>
    <w:rsid w:val="00EB2602"/>
    <w:rsid w:val="00EB3424"/>
    <w:rsid w:val="00EB4A78"/>
    <w:rsid w:val="00EB68DA"/>
    <w:rsid w:val="00EB69EF"/>
    <w:rsid w:val="00EC0950"/>
    <w:rsid w:val="00EC098B"/>
    <w:rsid w:val="00ED155A"/>
    <w:rsid w:val="00ED2EB2"/>
    <w:rsid w:val="00ED6289"/>
    <w:rsid w:val="00ED74AF"/>
    <w:rsid w:val="00EE18F2"/>
    <w:rsid w:val="00EE1A42"/>
    <w:rsid w:val="00EE2B0F"/>
    <w:rsid w:val="00EE30BD"/>
    <w:rsid w:val="00EE572B"/>
    <w:rsid w:val="00EE5DB0"/>
    <w:rsid w:val="00EE5FFB"/>
    <w:rsid w:val="00EE6BBC"/>
    <w:rsid w:val="00EF2307"/>
    <w:rsid w:val="00EF2AFB"/>
    <w:rsid w:val="00EF34C1"/>
    <w:rsid w:val="00EF441B"/>
    <w:rsid w:val="00EF7C1E"/>
    <w:rsid w:val="00F056F4"/>
    <w:rsid w:val="00F06DAD"/>
    <w:rsid w:val="00F1051E"/>
    <w:rsid w:val="00F1534A"/>
    <w:rsid w:val="00F15606"/>
    <w:rsid w:val="00F1597C"/>
    <w:rsid w:val="00F2057A"/>
    <w:rsid w:val="00F24779"/>
    <w:rsid w:val="00F27334"/>
    <w:rsid w:val="00F276E7"/>
    <w:rsid w:val="00F27A21"/>
    <w:rsid w:val="00F30CA0"/>
    <w:rsid w:val="00F32CBA"/>
    <w:rsid w:val="00F371CA"/>
    <w:rsid w:val="00F4027E"/>
    <w:rsid w:val="00F406A3"/>
    <w:rsid w:val="00F41FD1"/>
    <w:rsid w:val="00F45E3C"/>
    <w:rsid w:val="00F466EE"/>
    <w:rsid w:val="00F46E2C"/>
    <w:rsid w:val="00F51BBE"/>
    <w:rsid w:val="00F52C57"/>
    <w:rsid w:val="00F52FCE"/>
    <w:rsid w:val="00F537FC"/>
    <w:rsid w:val="00F55D76"/>
    <w:rsid w:val="00F61B43"/>
    <w:rsid w:val="00F64126"/>
    <w:rsid w:val="00F6475D"/>
    <w:rsid w:val="00F658D5"/>
    <w:rsid w:val="00F66396"/>
    <w:rsid w:val="00F67115"/>
    <w:rsid w:val="00F70486"/>
    <w:rsid w:val="00F72C15"/>
    <w:rsid w:val="00F8153F"/>
    <w:rsid w:val="00F81A94"/>
    <w:rsid w:val="00F84E19"/>
    <w:rsid w:val="00F93C30"/>
    <w:rsid w:val="00F9469D"/>
    <w:rsid w:val="00F9795A"/>
    <w:rsid w:val="00FA0DEF"/>
    <w:rsid w:val="00FA32AE"/>
    <w:rsid w:val="00FA382C"/>
    <w:rsid w:val="00FB5F93"/>
    <w:rsid w:val="00FB6F51"/>
    <w:rsid w:val="00FB79C1"/>
    <w:rsid w:val="00FB7DD2"/>
    <w:rsid w:val="00FC7150"/>
    <w:rsid w:val="00FC7195"/>
    <w:rsid w:val="00FD20F2"/>
    <w:rsid w:val="00FD5175"/>
    <w:rsid w:val="00FD5FEF"/>
    <w:rsid w:val="00FE057C"/>
    <w:rsid w:val="00FE06B9"/>
    <w:rsid w:val="00FE5491"/>
    <w:rsid w:val="00FE7321"/>
    <w:rsid w:val="00FE7F9C"/>
    <w:rsid w:val="00FF0580"/>
    <w:rsid w:val="00FF1496"/>
    <w:rsid w:val="00FF20A9"/>
    <w:rsid w:val="00FF3236"/>
    <w:rsid w:val="00FF6BE8"/>
    <w:rsid w:val="00FF795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BA853-791F-40B6-A1E4-C4D8BA29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1E0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pPr>
    <w:rPr>
      <w:rFonts w:ascii="Times New Roman" w:eastAsia="Times New Roman" w:hAnsi="Times New Roman" w:cs="Times New Roman"/>
      <w:sz w:val="24"/>
      <w:szCs w:val="24"/>
      <w:lang w:val="en-US"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4">
    <w:name w:val="Tabellenraster4"/>
    <w:basedOn w:val="TableNormal"/>
    <w:next w:val="TableGrid"/>
    <w:uiPriority w:val="39"/>
    <w:rsid w:val="00911E09"/>
    <w:pPr>
      <w:spacing w:after="0" w:line="240" w:lineRule="auto"/>
    </w:pPr>
    <w:rPr>
      <w:rFonts w:ascii="Calibri" w:eastAsia="Calibri" w:hAnsi="Calibri" w:cs="Times New Roman"/>
      <w:lang w:val="de-D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Dhanalakshmi G.</dc:creator>
  <cp:keywords/>
  <dc:description/>
  <cp:lastModifiedBy>Dhanalakshmi G.</cp:lastModifiedBy>
  <cp:revision>1</cp:revision>
  <dcterms:created xsi:type="dcterms:W3CDTF">2020-12-30T04:21:00Z</dcterms:created>
  <dcterms:modified xsi:type="dcterms:W3CDTF">2020-12-30T04:22:00Z</dcterms:modified>
</cp:coreProperties>
</file>