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lineRule="auto" w:line="360" w:before="0" w:after="0"/>
        <w:jc w:val="center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Skala reaktywności emocjonalnej Perth (polska wers</w:t>
      </w:r>
      <w:r>
        <w:rPr>
          <w:rFonts w:ascii="Calibri" w:hAnsi="Calibri"/>
          <w:sz w:val="22"/>
          <w:szCs w:val="22"/>
          <w:shd w:fill="auto" w:val="clear"/>
        </w:rPr>
        <w:t>ja: Larionow i in., 2023)</w:t>
      </w:r>
    </w:p>
    <w:p>
      <w:pPr>
        <w:pStyle w:val="Style15"/>
        <w:spacing w:lineRule="auto" w:line="360" w:before="0" w:after="0"/>
        <w:jc w:val="center"/>
        <w:rPr>
          <w:rFonts w:ascii="Calibri" w:hAnsi="Calibri"/>
        </w:rPr>
      </w:pPr>
      <w:r>
        <w:rPr>
          <w:rFonts w:ascii="Calibri" w:hAnsi="Calibri"/>
          <w:sz w:val="22"/>
          <w:szCs w:val="22"/>
          <w:lang w:val="en-US"/>
        </w:rPr>
        <w:t>Perth Emotional Reactivity Scale (PERS; Preece et al., 2019)</w:t>
      </w:r>
    </w:p>
    <w:p>
      <w:pPr>
        <w:pStyle w:val="Style15"/>
        <w:spacing w:lineRule="auto" w:line="360" w:before="0" w:after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</w:p>
    <w:p>
      <w:pPr>
        <w:pStyle w:val="Normal"/>
        <w:widowControl w:val="false"/>
        <w:spacing w:lineRule="auto" w:line="360"/>
        <w:ind w:firstLine="567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Ten kwestionariusz został stworzony, aby zmierzyć różne aspekty tego, w jaki sposób zwykle reagujesz na wydarzenia wywołujące w Tobie emocje. Oceń proszę poniższe stwierdzenia na podstawie tego, w jakim stopniu poprawnie opisują Twoje zachowania w typowym dla Ciebie dniu. Otocz kółkiem jedną cyfrę dla każdego zdania.</w:t>
      </w:r>
    </w:p>
    <w:tbl>
      <w:tblPr>
        <w:tblW w:w="1054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18"/>
        <w:gridCol w:w="5367"/>
        <w:gridCol w:w="951"/>
        <w:gridCol w:w="951"/>
        <w:gridCol w:w="951"/>
        <w:gridCol w:w="953"/>
        <w:gridCol w:w="948"/>
      </w:tblGrid>
      <w:tr>
        <w:trPr/>
        <w:tc>
          <w:tcPr>
            <w:tcW w:w="5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Stwierdzenia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Bardzo do mnie nie pasuje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Raczej do mnie nie pasuje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Ani pasuje, ani nie pasuje do mnie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</w:rPr>
              <w:t>Raczej do mnie pasuje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Bardzo</w:t>
            </w:r>
            <w:r>
              <w:rPr>
                <w:rFonts w:ascii="Calibri" w:hAnsi="Calibri"/>
                <w:sz w:val="20"/>
                <w:szCs w:val="20"/>
              </w:rPr>
              <w:t xml:space="preserve"> do mnie pasuje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Mam tendencję do tego, że bardzo łatwo staj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ę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się radosny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Mam tendencję do tego, że bardzo łatwo staję się zmartwiony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Kiedy jestem szczęśliwy, to uczucie pozostaje ze mną na długo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Kiedy jestem smutny, zajmuje mi sporo czasu, zanim się od tego uwolnię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Myślę, że doświadczam szczęścia o wiele intensywniej niż moi znajomi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Jeśli jestem smutny, odczuwam to intensywniej niż inni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Moje emocje automatycznie przechodzą od neutralnych do pozytywnych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Mam tendencję do tego, że bardzo łatwo się rozczarowuję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Kiedy czuję się pozytywnie, mogę utrzymać taki stan przez dłuższą część dnia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Dłużej niż innym ludziom, zajmuje mi dojście do siebie po napadzie złości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Kiedy jestem radosny, mam tendencję do tego, by przeżywać to bardzo intensywnie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Bardzo głęboko odczuwam frustrację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Mam tendencję do bardzo szybkiego ekscytowania się różnymi rzeczami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Mam tendencję do bardzo łatwego frustrowania się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Mogę pozostać entuzjastyczny przez długi czas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Trudno mi otrząsnąć się z frustracji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Bardzo silnie odczuwam pozytywny nastrój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Zwykle, kiedy jestem nieszczęśliwy, odczuwam to bardzo silnie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19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Momentalnie dobrze się czuję, gdy dzieje się coś pozytywnego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Moje emocje bardzo szybko przechodzą od neutralnych do negatywnych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 usłyszeniu dobrych wiadomości, pozostaję radosny przez dłuższą chwilę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Gdy wpadnę w negatywny nastrój, trudno mi się z niego uwolnić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Kiedy z jakiegoś powodu czuję entuzjazm, odczuwam go bardzo silnie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Kiedy jestem zły, odczuwam to bardzo silnie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Bardzo szybko reaguję na dobre wiadomości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Mam tendencję do tego, że bardzo szybko staję się pesymistyczny w obliczu negatywnych wydarzeń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Jeśli ktoś mnie skomplementuje, to na długo poprawia mi humor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Kiedy coś mnie zdenerwuje, rujnuje mi cały dzień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Doświadczam pozytywnych emocji intensywniej niż moi bliscy i znajomi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>
        <w:trPr>
          <w:trHeight w:val="706" w:hRule="atLeast"/>
        </w:trPr>
        <w:tc>
          <w:tcPr>
            <w:tcW w:w="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53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Moje negatywne uczucia są bardzo intensywne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</w:tbl>
    <w:p>
      <w:pPr>
        <w:pStyle w:val="Normal"/>
        <w:ind w:firstLine="56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</w:r>
      <w:r>
        <w:br w:type="page"/>
      </w:r>
    </w:p>
    <w:p>
      <w:pPr>
        <w:pStyle w:val="Normal"/>
        <w:spacing w:lineRule="auto" w:line="360"/>
        <w:ind w:firstLine="567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2"/>
          <w:szCs w:val="22"/>
        </w:rPr>
        <w:t>Obliczanie wyników w Skali reaktywności emocjonalnej Perth</w:t>
      </w:r>
    </w:p>
    <w:p>
      <w:pPr>
        <w:pStyle w:val="Normal"/>
        <w:spacing w:lineRule="auto" w:line="360"/>
        <w:ind w:firstLine="567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Skala Reaktywności Emocjonalnej Perth to 30-pozycyjny kwestionariusz samoopisowy służący do oceny cech (wymiarów) reaktywności emocjonalnej. PERS bada reaktywność emocjonalną zgodnie z definicją Davidsona (1998) oraz Becerry i Campitellego (2013); oznacza to, że mierzy typową </w:t>
      </w:r>
      <w:r>
        <w:rPr>
          <w:rFonts w:ascii="Calibri" w:hAnsi="Calibri"/>
          <w:i/>
          <w:iCs/>
          <w:sz w:val="22"/>
          <w:szCs w:val="22"/>
        </w:rPr>
        <w:t>łatwość/szybkość aktywacji</w:t>
      </w:r>
      <w:r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i/>
          <w:iCs/>
          <w:sz w:val="22"/>
          <w:szCs w:val="22"/>
        </w:rPr>
        <w:t>intensywność</w:t>
      </w:r>
      <w:r>
        <w:rPr>
          <w:rFonts w:ascii="Calibri" w:hAnsi="Calibri"/>
          <w:sz w:val="22"/>
          <w:szCs w:val="22"/>
        </w:rPr>
        <w:t xml:space="preserve"> i </w:t>
      </w:r>
      <w:r>
        <w:rPr>
          <w:rFonts w:ascii="Calibri" w:hAnsi="Calibri"/>
          <w:i/>
          <w:iCs/>
          <w:sz w:val="22"/>
          <w:szCs w:val="22"/>
        </w:rPr>
        <w:t>czas trwania</w:t>
      </w:r>
      <w:r>
        <w:rPr>
          <w:rFonts w:ascii="Calibri" w:hAnsi="Calibri"/>
          <w:sz w:val="22"/>
          <w:szCs w:val="22"/>
        </w:rPr>
        <w:t xml:space="preserve"> reakcji emocjonalnych, i pozwala na ocenę reaktywności emocjonalnej w stosunku do </w:t>
      </w:r>
      <w:r>
        <w:rPr>
          <w:rFonts w:ascii="Calibri" w:hAnsi="Calibri"/>
          <w:i/>
          <w:iCs/>
          <w:sz w:val="22"/>
          <w:szCs w:val="22"/>
        </w:rPr>
        <w:t>pozytywnych</w:t>
      </w:r>
      <w:r>
        <w:rPr>
          <w:rFonts w:ascii="Calibri" w:hAnsi="Calibri"/>
          <w:sz w:val="22"/>
          <w:szCs w:val="22"/>
        </w:rPr>
        <w:t xml:space="preserve"> (np. radości) i </w:t>
      </w:r>
      <w:r>
        <w:rPr>
          <w:rFonts w:ascii="Calibri" w:hAnsi="Calibri"/>
          <w:i/>
          <w:iCs/>
          <w:sz w:val="22"/>
          <w:szCs w:val="22"/>
        </w:rPr>
        <w:t>negatywnych</w:t>
      </w:r>
      <w:r>
        <w:rPr>
          <w:rFonts w:ascii="Calibri" w:hAnsi="Calibri"/>
          <w:sz w:val="22"/>
          <w:szCs w:val="22"/>
        </w:rPr>
        <w:t xml:space="preserve"> (np. smutku) emocji oddzielnie.</w:t>
      </w:r>
    </w:p>
    <w:p>
      <w:pPr>
        <w:pStyle w:val="Normal"/>
        <w:spacing w:lineRule="auto" w:line="360"/>
        <w:ind w:firstLine="567"/>
        <w:jc w:val="both"/>
        <w:rPr>
          <w:rFonts w:ascii="Calibri" w:hAnsi="Calibri"/>
        </w:rPr>
      </w:pPr>
      <w:r>
        <w:rPr>
          <w:rFonts w:eastAsia="Times New Roman" w:cs="Calibri" w:ascii="Calibri" w:hAnsi="Calibri"/>
          <w:sz w:val="22"/>
          <w:szCs w:val="22"/>
        </w:rPr>
        <w:t>Wyniki dla sześciu podskal oraz dwóch podskal złożonych można uzyskać, sumując odpowiedzi osoby badanej (czyli cyfry, które zostaną zakreślone w 5-stopniowej skali odpowiedzi) dla odpowiednich pozycji. Im wyższy wynik dla poszczególnych podskal i dwóch podskal złożonych tym wyższy poziom wymiarów reaktywności emocjonalnej; innymi słowy oznacza to, że dane emocje mogą być łatwiej/szybciej aktywowane, bardziej intensywne i dłużej trwają. Poniższa tabela obrazuje wszystkie podskale, a także wskazuje, jak je obliczyć.</w:t>
      </w:r>
    </w:p>
    <w:p>
      <w:pPr>
        <w:pStyle w:val="Normal"/>
        <w:spacing w:lineRule="auto" w:line="360"/>
        <w:ind w:firstLine="567"/>
        <w:rPr>
          <w:rFonts w:ascii="Calibri" w:hAnsi="Calibri"/>
        </w:rPr>
      </w:pPr>
      <w:r>
        <w:rPr>
          <w:rFonts w:ascii="Calibri" w:hAnsi="Calibri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3315"/>
        <w:gridCol w:w="3763"/>
        <w:gridCol w:w="3462"/>
      </w:tblGrid>
      <w:tr>
        <w:trPr/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000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shd w:fill="auto" w:val="clear"/>
              </w:rPr>
              <w:t>Podskale/podskale złożone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000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shd w:fill="auto" w:val="clear"/>
              </w:rPr>
              <w:t>Co jest mierzone?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0000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shd w:fill="auto" w:val="clear"/>
              </w:rPr>
              <w:t>W jaki sposób to obliczyć?</w:t>
            </w:r>
          </w:p>
        </w:tc>
      </w:tr>
      <w:tr>
        <w:trPr/>
        <w:tc>
          <w:tcPr>
            <w:tcW w:w="10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DDD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Podskale</w:t>
            </w:r>
          </w:p>
        </w:tc>
      </w:tr>
      <w:tr>
        <w:trPr>
          <w:trHeight w:val="626" w:hRule="atLeast"/>
        </w:trPr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eastAsia="Times New Roman"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>ktywacja negatywnych emocji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Łatwość/szybkość aktywacji negatywnych emocji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pozycji 2, 8, 14, 20, 26</w:t>
            </w:r>
          </w:p>
        </w:tc>
      </w:tr>
      <w:tr>
        <w:trPr>
          <w:trHeight w:val="626" w:hRule="atLeast"/>
        </w:trPr>
        <w:tc>
          <w:tcPr>
            <w:tcW w:w="33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Intensywność negatywnych emocji</w:t>
            </w:r>
          </w:p>
        </w:tc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Intensywność negatywnych emocji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pozycji 6, 12, 18, 24, 30</w:t>
            </w:r>
          </w:p>
        </w:tc>
      </w:tr>
      <w:tr>
        <w:trPr>
          <w:trHeight w:val="626" w:hRule="atLeast"/>
        </w:trPr>
        <w:tc>
          <w:tcPr>
            <w:tcW w:w="33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Trwanie negatywnych emocji</w:t>
            </w:r>
          </w:p>
        </w:tc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Czas trwania negatywnych emocji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pozycji 4, 10, 16, 22, 28</w:t>
            </w:r>
          </w:p>
        </w:tc>
      </w:tr>
      <w:tr>
        <w:trPr>
          <w:trHeight w:val="626" w:hRule="atLeast"/>
        </w:trPr>
        <w:tc>
          <w:tcPr>
            <w:tcW w:w="33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Aktywacja pozytywnych emocji</w:t>
            </w:r>
          </w:p>
        </w:tc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eastAsia="Arial" w:ascii="Calibri" w:hAnsi="Calibri"/>
                <w:sz w:val="22"/>
                <w:szCs w:val="22"/>
              </w:rPr>
              <w:t>Łatwość/szybkość aktywacji pozytywnych emocji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pozycji 1, 7, 13, 19, 25</w:t>
            </w:r>
          </w:p>
        </w:tc>
      </w:tr>
      <w:tr>
        <w:trPr>
          <w:trHeight w:val="626" w:hRule="atLeast"/>
        </w:trPr>
        <w:tc>
          <w:tcPr>
            <w:tcW w:w="33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Intensywność pozytywnych emocji</w:t>
            </w:r>
          </w:p>
        </w:tc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Intensywność pozytywnych emocji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pozycji 5, 11, 17, 23, 29</w:t>
            </w:r>
          </w:p>
        </w:tc>
      </w:tr>
      <w:tr>
        <w:trPr>
          <w:trHeight w:val="626" w:hRule="atLeast"/>
        </w:trPr>
        <w:tc>
          <w:tcPr>
            <w:tcW w:w="33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Trwanie pozytywnych emocji</w:t>
            </w:r>
          </w:p>
        </w:tc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Czas trwania pozytywnych emocji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pozycji 3, 9, 15, 21, 27</w:t>
            </w:r>
          </w:p>
        </w:tc>
      </w:tr>
      <w:tr>
        <w:trPr/>
        <w:tc>
          <w:tcPr>
            <w:tcW w:w="1054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DDDDD" w:val="clear"/>
            <w:vAlign w:val="center"/>
          </w:tcPr>
          <w:p>
            <w:pPr>
              <w:pStyle w:val="Style19"/>
              <w:widowControl w:val="false"/>
              <w:spacing w:lineRule="auto" w:line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Podskale złożone</w:t>
            </w:r>
          </w:p>
        </w:tc>
      </w:tr>
      <w:tr>
        <w:trPr>
          <w:trHeight w:val="879" w:hRule="atLeast"/>
        </w:trPr>
        <w:tc>
          <w:tcPr>
            <w:tcW w:w="33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Ogólna reaktywność negatywnych emocji</w:t>
            </w:r>
          </w:p>
        </w:tc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Ogólny poziom reaktywności negatywnych emocji (łatwość aktywacji, intensywność i czas trwania)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wszystkich pozycji parzystych</w:t>
            </w:r>
          </w:p>
        </w:tc>
      </w:tr>
      <w:tr>
        <w:trPr>
          <w:trHeight w:val="879" w:hRule="atLeast"/>
        </w:trPr>
        <w:tc>
          <w:tcPr>
            <w:tcW w:w="33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Ogólna reaktywność pozytywnych emocji</w:t>
            </w:r>
          </w:p>
        </w:tc>
        <w:tc>
          <w:tcPr>
            <w:tcW w:w="3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Ogólny poziom reaktywności pozytywnych emocji (łatwość aktywacji, intensywność i czas trwania)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3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Suma wszystkich pozycji nieparzystych</w:t>
            </w:r>
          </w:p>
        </w:tc>
      </w:tr>
    </w:tbl>
    <w:p>
      <w:pPr>
        <w:pStyle w:val="Normal"/>
        <w:spacing w:lineRule="auto" w:line="360"/>
        <w:rPr>
          <w:rFonts w:ascii="Calibri" w:hAnsi="Calibri"/>
        </w:rPr>
      </w:pPr>
      <w:r>
        <w:rPr/>
      </w:r>
    </w:p>
    <w:sectPr>
      <w:type w:val="nextPage"/>
      <w:pgSz w:w="12240" w:h="15840"/>
      <w:pgMar w:left="850" w:right="850" w:gutter="0" w:header="0" w:top="850" w:footer="0" w:bottom="85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alibr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SimSun" w:cs="Mangal"/>
      <w:color w:val="auto"/>
      <w:kern w:val="2"/>
      <w:sz w:val="28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Style18" w:customStyle="1">
    <w:name w:val="Указатель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LibreOffice/7.5.2.2$Windows_X86_64 LibreOffice_project/53bb9681a964705cf672590721dbc85eb4d0c3a2</Application>
  <AppVersion>15.0000</AppVersion>
  <Pages>3</Pages>
  <Words>806</Words>
  <Characters>4057</Characters>
  <CharactersWithSpaces>4612</CharactersWithSpaces>
  <Paragraphs>251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2020-10-10T18:54:00Z</dcterms:created>
  <dc:creator/>
  <dc:description/>
  <dc:language>pl-PL</dc:language>
  <cp:lastModifiedBy>Paweł  Larionow</cp:lastModifiedBy>
  <dcterms:modified xsi:type="dcterms:W3CDTF">2023-05-09T07:45:21Z</dcterms:modified>
  <cp:revision>32</cp:revision>
  <dc:subject/>
  <dc:title>Шаблон Times New Roman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