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7F1EC" w14:textId="683FE8FD" w:rsidR="00E312B4" w:rsidRPr="007668F0" w:rsidRDefault="00E312B4" w:rsidP="00A333DF">
      <w:pPr>
        <w:keepNext/>
        <w:spacing w:line="276" w:lineRule="auto"/>
        <w:jc w:val="center"/>
        <w:rPr>
          <w:rFonts w:eastAsia="Times New Roman" w:cs="Times New Roman"/>
          <w:b/>
          <w:bCs/>
          <w:sz w:val="28"/>
          <w:szCs w:val="28"/>
          <w:lang w:val="en-GB"/>
        </w:rPr>
      </w:pPr>
      <w:r w:rsidRPr="007668F0">
        <w:rPr>
          <w:rFonts w:eastAsia="Times New Roman" w:cs="Times New Roman"/>
          <w:b/>
          <w:bCs/>
          <w:sz w:val="28"/>
          <w:szCs w:val="28"/>
          <w:lang w:val="en-GB"/>
        </w:rPr>
        <w:t>Supplementary Information</w:t>
      </w:r>
      <w:r w:rsidR="00700C08">
        <w:rPr>
          <w:rFonts w:eastAsia="Times New Roman" w:cs="Times New Roman"/>
          <w:b/>
          <w:bCs/>
          <w:sz w:val="28"/>
          <w:szCs w:val="28"/>
          <w:lang w:val="en-GB"/>
        </w:rPr>
        <w:t xml:space="preserve"> for </w:t>
      </w:r>
      <w:r w:rsidR="005106ED">
        <w:rPr>
          <w:rFonts w:eastAsia="Times New Roman" w:cs="Times New Roman"/>
          <w:b/>
          <w:bCs/>
          <w:sz w:val="28"/>
          <w:szCs w:val="28"/>
          <w:lang w:val="en-GB"/>
        </w:rPr>
        <w:t>“</w:t>
      </w:r>
      <w:r w:rsidR="005106ED" w:rsidRPr="005106ED">
        <w:rPr>
          <w:rFonts w:eastAsia="Times New Roman" w:cs="Times New Roman"/>
          <w:b/>
          <w:bCs/>
          <w:sz w:val="28"/>
          <w:szCs w:val="28"/>
          <w:lang w:val="en-GB"/>
        </w:rPr>
        <w:t>Towards Comprehensive Economic Assessments of Climate Change Impacts</w:t>
      </w:r>
      <w:r w:rsidR="005106ED">
        <w:rPr>
          <w:rFonts w:eastAsia="Times New Roman" w:cs="Times New Roman"/>
          <w:b/>
          <w:bCs/>
          <w:sz w:val="28"/>
          <w:szCs w:val="28"/>
          <w:lang w:val="en-GB"/>
        </w:rPr>
        <w:t>”</w:t>
      </w:r>
    </w:p>
    <w:p w14:paraId="74C14C5A" w14:textId="139F1ADE" w:rsidR="00E312B4" w:rsidRPr="00E04AD0" w:rsidRDefault="00E312B4" w:rsidP="00A333DF">
      <w:pPr>
        <w:keepNext/>
        <w:spacing w:line="276" w:lineRule="auto"/>
        <w:rPr>
          <w:rFonts w:eastAsia="Times New Roman" w:cs="Times New Roman"/>
          <w:b/>
          <w:bCs/>
          <w:lang w:val="en-GB"/>
        </w:rPr>
      </w:pPr>
      <w:r w:rsidRPr="00E04AD0">
        <w:rPr>
          <w:rFonts w:eastAsia="Times New Roman" w:cs="Times New Roman"/>
          <w:b/>
          <w:bCs/>
          <w:lang w:val="en-GB"/>
        </w:rPr>
        <w:t>Content</w:t>
      </w:r>
      <w:r w:rsidR="00E15D49">
        <w:rPr>
          <w:rFonts w:eastAsia="Times New Roman" w:cs="Times New Roman"/>
          <w:b/>
          <w:bCs/>
          <w:lang w:val="en-GB"/>
        </w:rPr>
        <w:t>:</w:t>
      </w:r>
    </w:p>
    <w:p w14:paraId="786614AD" w14:textId="666F3675" w:rsidR="00E312B4" w:rsidRPr="007168FF" w:rsidRDefault="007168FF" w:rsidP="00A333DF">
      <w:pPr>
        <w:pStyle w:val="ListParagraph"/>
        <w:keepNext/>
        <w:numPr>
          <w:ilvl w:val="0"/>
          <w:numId w:val="3"/>
        </w:numPr>
        <w:spacing w:line="276" w:lineRule="auto"/>
        <w:rPr>
          <w:rFonts w:eastAsia="Times New Roman" w:cs="Times New Roman"/>
          <w:b/>
          <w:bCs/>
          <w:lang w:val="en-GB"/>
        </w:rPr>
      </w:pPr>
      <w:r w:rsidRPr="007168FF">
        <w:rPr>
          <w:rFonts w:eastAsia="Times New Roman" w:cs="Times New Roman"/>
          <w:b/>
          <w:bCs/>
          <w:lang w:val="en-GB"/>
        </w:rPr>
        <w:t xml:space="preserve">Glossary </w:t>
      </w:r>
      <w:r w:rsidR="00E312B4" w:rsidRPr="007168FF">
        <w:rPr>
          <w:rFonts w:eastAsia="Times New Roman" w:cs="Times New Roman"/>
          <w:b/>
          <w:bCs/>
          <w:lang w:val="en-GB"/>
        </w:rPr>
        <w:t>Box</w:t>
      </w:r>
    </w:p>
    <w:p w14:paraId="6D9DC659" w14:textId="34BAA69D" w:rsidR="00E312B4" w:rsidRPr="007168FF" w:rsidRDefault="00040E2F" w:rsidP="00A333DF">
      <w:pPr>
        <w:pStyle w:val="ListParagraph"/>
        <w:keepNext/>
        <w:numPr>
          <w:ilvl w:val="0"/>
          <w:numId w:val="3"/>
        </w:numPr>
        <w:spacing w:line="276" w:lineRule="auto"/>
        <w:rPr>
          <w:rFonts w:eastAsia="Times New Roman" w:cs="Times New Roman"/>
          <w:b/>
          <w:bCs/>
          <w:lang w:val="en-GB"/>
        </w:rPr>
      </w:pPr>
      <w:r w:rsidRPr="007168FF">
        <w:rPr>
          <w:rFonts w:eastAsia="Times New Roman" w:cs="Times New Roman"/>
          <w:b/>
          <w:bCs/>
          <w:lang w:val="en-GB"/>
        </w:rPr>
        <w:t>Ranking of Modelling Features</w:t>
      </w:r>
    </w:p>
    <w:p w14:paraId="6DF62F8B" w14:textId="0CD00D4F" w:rsidR="00E312B4" w:rsidRPr="00E04AD0" w:rsidRDefault="00CA3843" w:rsidP="00A333DF">
      <w:pPr>
        <w:pStyle w:val="Heading1"/>
        <w:spacing w:line="276" w:lineRule="auto"/>
        <w:rPr>
          <w:rFonts w:eastAsia="Times New Roman"/>
          <w:lang w:val="en-GB"/>
        </w:rPr>
      </w:pPr>
      <w:r>
        <w:rPr>
          <w:rFonts w:eastAsia="Times New Roman"/>
          <w:lang w:val="en-GB"/>
        </w:rPr>
        <w:t xml:space="preserve">1. </w:t>
      </w:r>
      <w:r w:rsidR="00292B2C" w:rsidRPr="00E04AD0">
        <w:rPr>
          <w:rFonts w:eastAsia="Times New Roman"/>
          <w:lang w:val="en-GB"/>
        </w:rPr>
        <w:t>Glossary Box</w:t>
      </w:r>
    </w:p>
    <w:p w14:paraId="09BE71E0" w14:textId="3888D788" w:rsidR="00201492" w:rsidRPr="00E04AD0" w:rsidRDefault="00201492" w:rsidP="00A333DF">
      <w:pPr>
        <w:keepNext/>
        <w:spacing w:line="276" w:lineRule="auto"/>
        <w:rPr>
          <w:rFonts w:eastAsia="Times New Roman" w:cs="Times New Roman"/>
          <w:b/>
          <w:bCs/>
          <w:lang w:val="en-GB"/>
        </w:rPr>
      </w:pPr>
      <w:r w:rsidRPr="00E04AD0">
        <w:rPr>
          <w:rFonts w:eastAsia="Times New Roman" w:cs="Times New Roman"/>
          <w:b/>
          <w:bCs/>
          <w:lang w:val="en-GB"/>
        </w:rPr>
        <w:t xml:space="preserve">Box 1: Glossary </w:t>
      </w:r>
    </w:p>
    <w:p w14:paraId="6A23566B" w14:textId="77777777" w:rsidR="00201492" w:rsidRPr="00E04AD0" w:rsidRDefault="00201492" w:rsidP="00A333DF">
      <w:pPr>
        <w:keepNext/>
        <w:pBdr>
          <w:top w:val="single" w:sz="4" w:space="1" w:color="000000"/>
          <w:left w:val="single" w:sz="4" w:space="4" w:color="000000"/>
          <w:bottom w:val="single" w:sz="4" w:space="1" w:color="000000"/>
          <w:right w:val="single" w:sz="4" w:space="4" w:color="000000"/>
        </w:pBdr>
        <w:shd w:val="clear" w:color="auto" w:fill="E2EFD9" w:themeFill="accent6" w:themeFillTint="33"/>
        <w:spacing w:line="276" w:lineRule="auto"/>
        <w:rPr>
          <w:rFonts w:eastAsia="Times New Roman" w:cs="Times New Roman"/>
          <w:b/>
          <w:bCs/>
          <w:sz w:val="20"/>
          <w:szCs w:val="20"/>
          <w:lang w:val="en-GB"/>
        </w:rPr>
      </w:pPr>
      <w:r w:rsidRPr="00E04AD0">
        <w:rPr>
          <w:rFonts w:eastAsia="Times New Roman" w:cs="Times New Roman"/>
          <w:b/>
          <w:bCs/>
          <w:sz w:val="20"/>
          <w:szCs w:val="20"/>
          <w:lang w:val="en-GB"/>
        </w:rPr>
        <w:t xml:space="preserve">Climate-economic models:  </w:t>
      </w:r>
    </w:p>
    <w:p w14:paraId="68B741FA" w14:textId="77777777" w:rsidR="00201492" w:rsidRPr="00E04AD0" w:rsidRDefault="00201492" w:rsidP="00A333DF">
      <w:pPr>
        <w:keepNext/>
        <w:pBdr>
          <w:top w:val="single" w:sz="4" w:space="1" w:color="000000"/>
          <w:left w:val="single" w:sz="4" w:space="4" w:color="000000"/>
          <w:bottom w:val="single" w:sz="4" w:space="1" w:color="000000"/>
          <w:right w:val="single" w:sz="4" w:space="4" w:color="000000"/>
        </w:pBdr>
        <w:shd w:val="clear" w:color="auto" w:fill="E2EFD9" w:themeFill="accent6" w:themeFillTint="33"/>
        <w:spacing w:before="120" w:line="276" w:lineRule="auto"/>
        <w:rPr>
          <w:rFonts w:eastAsia="Times New Roman" w:cs="Times New Roman"/>
          <w:b/>
          <w:bCs/>
          <w:sz w:val="20"/>
          <w:szCs w:val="20"/>
          <w:lang w:val="en-GB"/>
        </w:rPr>
      </w:pPr>
      <w:r w:rsidRPr="00E04AD0">
        <w:rPr>
          <w:rFonts w:eastAsia="Times New Roman" w:cs="Times New Roman"/>
          <w:b/>
          <w:bCs/>
          <w:sz w:val="20"/>
          <w:szCs w:val="20"/>
          <w:lang w:val="en-GB"/>
        </w:rPr>
        <w:t>Macro-econometric models (MEMs)</w:t>
      </w:r>
      <w:r w:rsidRPr="00E04AD0">
        <w:rPr>
          <w:rFonts w:eastAsia="Times New Roman" w:cs="Times New Roman"/>
          <w:sz w:val="20"/>
          <w:szCs w:val="20"/>
          <w:lang w:val="en-GB"/>
        </w:rPr>
        <w:t xml:space="preserve"> are regression models that estimate the past causal links between climate change (e.g., expressed by temperature and precipitation) and economic growth measured by the gross domestic product (GDP) using historical climate and economic records. MEMs are used to make future projections of climate-induced impacts on GDP using future climate projections without explicitly modelling the economy.</w:t>
      </w:r>
    </w:p>
    <w:p w14:paraId="596AFE5E" w14:textId="56412FFA" w:rsidR="00201492" w:rsidRPr="00E04AD0" w:rsidRDefault="00201492" w:rsidP="00A333DF">
      <w:pPr>
        <w:keepNext/>
        <w:pBdr>
          <w:top w:val="single" w:sz="4" w:space="1" w:color="000000"/>
          <w:left w:val="single" w:sz="4" w:space="4" w:color="000000"/>
          <w:bottom w:val="single" w:sz="4" w:space="1" w:color="000000"/>
          <w:right w:val="single" w:sz="4" w:space="4" w:color="000000"/>
        </w:pBdr>
        <w:shd w:val="clear" w:color="auto" w:fill="E2EFD9" w:themeFill="accent6" w:themeFillTint="33"/>
        <w:spacing w:before="120" w:line="276" w:lineRule="auto"/>
        <w:rPr>
          <w:rFonts w:eastAsia="Times New Roman" w:cs="Times New Roman"/>
          <w:sz w:val="20"/>
          <w:szCs w:val="20"/>
          <w:lang w:val="en-GB"/>
        </w:rPr>
      </w:pPr>
      <w:r w:rsidRPr="00E04AD0">
        <w:rPr>
          <w:rFonts w:eastAsia="Times New Roman" w:cs="Times New Roman"/>
          <w:b/>
          <w:bCs/>
          <w:sz w:val="20"/>
          <w:szCs w:val="20"/>
          <w:lang w:val="en-GB"/>
        </w:rPr>
        <w:t>Partial Equilibrium (PE) models</w:t>
      </w:r>
      <w:r w:rsidRPr="00E04AD0">
        <w:rPr>
          <w:rFonts w:eastAsia="Times New Roman" w:cs="Times New Roman"/>
          <w:sz w:val="20"/>
          <w:szCs w:val="20"/>
          <w:lang w:val="en-GB"/>
        </w:rPr>
        <w:t xml:space="preserve"> are </w:t>
      </w:r>
      <w:r w:rsidR="00B74A60" w:rsidRPr="00E04AD0">
        <w:rPr>
          <w:rFonts w:eastAsia="Times New Roman" w:cs="Times New Roman"/>
          <w:sz w:val="20"/>
          <w:szCs w:val="20"/>
          <w:lang w:val="en-GB"/>
        </w:rPr>
        <w:t>numerical</w:t>
      </w:r>
      <w:r w:rsidRPr="00E04AD0">
        <w:rPr>
          <w:rFonts w:eastAsia="Times New Roman" w:cs="Times New Roman"/>
          <w:sz w:val="20"/>
          <w:szCs w:val="20"/>
          <w:lang w:val="en-GB"/>
        </w:rPr>
        <w:t xml:space="preserve"> optimisation models</w:t>
      </w:r>
      <w:r w:rsidR="00D17110" w:rsidRPr="00E04AD0">
        <w:rPr>
          <w:rFonts w:eastAsia="Times New Roman" w:cs="Times New Roman"/>
          <w:sz w:val="20"/>
          <w:szCs w:val="20"/>
          <w:lang w:val="en-GB"/>
        </w:rPr>
        <w:t xml:space="preserve"> that </w:t>
      </w:r>
      <w:r w:rsidRPr="00E04AD0">
        <w:rPr>
          <w:rFonts w:eastAsia="Times New Roman" w:cs="Times New Roman"/>
          <w:sz w:val="20"/>
          <w:szCs w:val="20"/>
          <w:lang w:val="en-GB"/>
        </w:rPr>
        <w:t xml:space="preserve">describe the behaviour of demand and supply and price formation in a single sector, with exogenous input from the rest of economy. </w:t>
      </w:r>
      <w:proofErr w:type="gramStart"/>
      <w:r w:rsidRPr="00E04AD0">
        <w:rPr>
          <w:rFonts w:eastAsia="Times New Roman" w:cs="Times New Roman"/>
          <w:sz w:val="20"/>
          <w:szCs w:val="20"/>
          <w:lang w:val="en-GB"/>
        </w:rPr>
        <w:t>Similar to</w:t>
      </w:r>
      <w:proofErr w:type="gramEnd"/>
      <w:r w:rsidRPr="00E04AD0">
        <w:rPr>
          <w:rFonts w:eastAsia="Times New Roman" w:cs="Times New Roman"/>
          <w:sz w:val="20"/>
          <w:szCs w:val="20"/>
          <w:lang w:val="en-GB"/>
        </w:rPr>
        <w:t xml:space="preserve"> CGE models, PE models rely on equilibrium conditions and assume that consumers maximize their </w:t>
      </w:r>
      <w:proofErr w:type="gramStart"/>
      <w:r w:rsidRPr="00E04AD0">
        <w:rPr>
          <w:rFonts w:eastAsia="Times New Roman" w:cs="Times New Roman"/>
          <w:sz w:val="20"/>
          <w:szCs w:val="20"/>
          <w:lang w:val="en-GB"/>
        </w:rPr>
        <w:t>utility</w:t>
      </w:r>
      <w:proofErr w:type="gramEnd"/>
      <w:r w:rsidRPr="00E04AD0">
        <w:rPr>
          <w:rFonts w:eastAsia="Times New Roman" w:cs="Times New Roman"/>
          <w:sz w:val="20"/>
          <w:szCs w:val="20"/>
          <w:lang w:val="en-GB"/>
        </w:rPr>
        <w:t xml:space="preserve"> and producers maximise their profit, given the budget, resource and technology constrains, respectively. Compared to CGE models, PE models usually provide a greater sectoral representation. PE models can also be single-country or multi-regional, as well as static or dynamic. PE models are used to quantify economic impacts induced by policy or climatic shocks within a single sector.</w:t>
      </w:r>
    </w:p>
    <w:p w14:paraId="78AD4139" w14:textId="57B71630" w:rsidR="00201492" w:rsidRPr="00E04AD0" w:rsidRDefault="00201492" w:rsidP="00A333DF">
      <w:pPr>
        <w:keepNext/>
        <w:pBdr>
          <w:top w:val="single" w:sz="4" w:space="1" w:color="000000"/>
          <w:left w:val="single" w:sz="4" w:space="4" w:color="000000"/>
          <w:bottom w:val="single" w:sz="4" w:space="1" w:color="000000"/>
          <w:right w:val="single" w:sz="4" w:space="4" w:color="000000"/>
        </w:pBdr>
        <w:shd w:val="clear" w:color="auto" w:fill="E2EFD9" w:themeFill="accent6" w:themeFillTint="33"/>
        <w:spacing w:before="120" w:line="276" w:lineRule="auto"/>
        <w:rPr>
          <w:rFonts w:eastAsia="Times New Roman" w:cs="Times New Roman"/>
          <w:sz w:val="20"/>
          <w:szCs w:val="20"/>
          <w:lang w:val="en-GB"/>
        </w:rPr>
      </w:pPr>
      <w:r w:rsidRPr="00E04AD0">
        <w:rPr>
          <w:rFonts w:eastAsia="Times New Roman" w:cs="Times New Roman"/>
          <w:b/>
          <w:bCs/>
          <w:sz w:val="20"/>
          <w:szCs w:val="20"/>
          <w:lang w:val="en-GB"/>
        </w:rPr>
        <w:t>Computable General Equilibrium (CGE) models</w:t>
      </w:r>
      <w:r w:rsidRPr="00E04AD0">
        <w:rPr>
          <w:rFonts w:eastAsia="Times New Roman" w:cs="Times New Roman"/>
          <w:sz w:val="20"/>
          <w:szCs w:val="20"/>
          <w:lang w:val="en-GB"/>
        </w:rPr>
        <w:t xml:space="preserve"> are numerical economic optimisation models that describe the price formation and interactions between demand and supply in a whole economy, given the equilibrium conditions, such as income balance (i.e., expenditures equal income), market clearing (i.e., demand equals supply), and zero profit (i.e., marginal cost equals marginal revenue). In CGE models, consumers are assumed to maximise their utility under budget constraints, and producers are assumed to maximise their profit under resource and technology constrains. CGE models can be of a single country or multi-regional, and static or dynamic (i.e., intertemporal and recursive dynamic). CGE models are used to quantify economy-wide responses to policy or climatic shocks. </w:t>
      </w:r>
    </w:p>
    <w:p w14:paraId="29AC292F" w14:textId="031CC1E8" w:rsidR="00201492" w:rsidRPr="00E04AD0" w:rsidRDefault="00201492" w:rsidP="00A333DF">
      <w:pPr>
        <w:keepNext/>
        <w:pBdr>
          <w:top w:val="single" w:sz="4" w:space="1" w:color="000000"/>
          <w:left w:val="single" w:sz="4" w:space="4" w:color="000000"/>
          <w:bottom w:val="single" w:sz="4" w:space="1" w:color="000000"/>
          <w:right w:val="single" w:sz="4" w:space="4" w:color="000000"/>
        </w:pBdr>
        <w:shd w:val="clear" w:color="auto" w:fill="E2EFD9" w:themeFill="accent6" w:themeFillTint="33"/>
        <w:spacing w:before="120" w:line="276" w:lineRule="auto"/>
        <w:rPr>
          <w:rFonts w:eastAsia="Times New Roman" w:cs="Times New Roman"/>
          <w:sz w:val="20"/>
          <w:szCs w:val="20"/>
          <w:lang w:val="en-GB"/>
        </w:rPr>
      </w:pPr>
      <w:r w:rsidRPr="00E04AD0">
        <w:rPr>
          <w:rFonts w:eastAsia="Times New Roman" w:cs="Times New Roman"/>
          <w:b/>
          <w:bCs/>
          <w:sz w:val="20"/>
          <w:szCs w:val="20"/>
          <w:lang w:val="en-GB"/>
        </w:rPr>
        <w:t>Agent-Based Models (ABMs)</w:t>
      </w:r>
      <w:r w:rsidRPr="00E04AD0">
        <w:rPr>
          <w:rFonts w:eastAsia="Times New Roman" w:cs="Times New Roman"/>
          <w:sz w:val="20"/>
          <w:szCs w:val="20"/>
          <w:lang w:val="en-GB"/>
        </w:rPr>
        <w:t xml:space="preserve"> are numerical models that simulate micro-level interactions between individual agents (e.g., people or firms) based on microeconomic theory or descriptive rules. In contrast to CGE and PE models, an ABM explicitly simulates the transitions from one equilibrium to another. The ABM framework allows </w:t>
      </w:r>
      <w:r w:rsidR="001361F8" w:rsidRPr="00E04AD0">
        <w:rPr>
          <w:rFonts w:eastAsia="Times New Roman" w:cs="Times New Roman"/>
          <w:sz w:val="20"/>
          <w:szCs w:val="20"/>
          <w:lang w:val="en-GB"/>
        </w:rPr>
        <w:t xml:space="preserve">to </w:t>
      </w:r>
      <w:r w:rsidRPr="00E04AD0">
        <w:rPr>
          <w:rFonts w:eastAsia="Times New Roman" w:cs="Times New Roman"/>
          <w:sz w:val="20"/>
          <w:szCs w:val="20"/>
          <w:lang w:val="en-GB"/>
        </w:rPr>
        <w:t xml:space="preserve">relax several idealised behavioural assumptions (e.g., perfectly rational optimising agents), enabling the representation of market inertia and heterogeneity across individual agents. ABMs </w:t>
      </w:r>
      <w:r w:rsidR="00AA14E5" w:rsidRPr="00E04AD0">
        <w:rPr>
          <w:rFonts w:eastAsia="Times New Roman" w:cs="Times New Roman"/>
          <w:sz w:val="20"/>
          <w:szCs w:val="20"/>
          <w:lang w:val="en-GB"/>
        </w:rPr>
        <w:t>can be</w:t>
      </w:r>
      <w:r w:rsidRPr="00E04AD0">
        <w:rPr>
          <w:rFonts w:eastAsia="Times New Roman" w:cs="Times New Roman"/>
          <w:sz w:val="20"/>
          <w:szCs w:val="20"/>
          <w:lang w:val="en-GB"/>
        </w:rPr>
        <w:t xml:space="preserve"> used to assess the economic consequences of climate policies or climate impacts.  </w:t>
      </w:r>
    </w:p>
    <w:p w14:paraId="31980428" w14:textId="70AE5D89" w:rsidR="0060494F" w:rsidRPr="00E04AD0" w:rsidRDefault="00CA43E8" w:rsidP="00A333DF">
      <w:pPr>
        <w:keepNext/>
        <w:pBdr>
          <w:top w:val="single" w:sz="4" w:space="1" w:color="000000"/>
          <w:left w:val="single" w:sz="4" w:space="4" w:color="000000"/>
          <w:bottom w:val="single" w:sz="4" w:space="1" w:color="000000"/>
          <w:right w:val="single" w:sz="4" w:space="4" w:color="000000"/>
        </w:pBdr>
        <w:shd w:val="clear" w:color="auto" w:fill="E2EFD9" w:themeFill="accent6" w:themeFillTint="33"/>
        <w:spacing w:before="120" w:line="276" w:lineRule="auto"/>
        <w:rPr>
          <w:rFonts w:eastAsia="Times New Roman" w:cs="Times New Roman"/>
          <w:sz w:val="20"/>
          <w:szCs w:val="20"/>
          <w:lang w:val="en-GB"/>
        </w:rPr>
      </w:pPr>
      <w:r w:rsidRPr="00E04AD0">
        <w:rPr>
          <w:rFonts w:eastAsia="Times New Roman" w:cs="Times New Roman"/>
          <w:b/>
          <w:bCs/>
          <w:sz w:val="20"/>
          <w:szCs w:val="20"/>
          <w:lang w:val="en-GB"/>
        </w:rPr>
        <w:t>Input-Output (IO) models</w:t>
      </w:r>
      <w:r w:rsidRPr="00E04AD0">
        <w:rPr>
          <w:rFonts w:eastAsia="Times New Roman" w:cs="Times New Roman"/>
          <w:sz w:val="20"/>
          <w:szCs w:val="20"/>
          <w:lang w:val="en-GB"/>
        </w:rPr>
        <w:t xml:space="preserve"> are numerical </w:t>
      </w:r>
      <w:r w:rsidR="002D0E27" w:rsidRPr="00E04AD0">
        <w:rPr>
          <w:rFonts w:eastAsia="Times New Roman" w:cs="Times New Roman"/>
          <w:sz w:val="20"/>
          <w:szCs w:val="20"/>
          <w:lang w:val="en-GB"/>
        </w:rPr>
        <w:t xml:space="preserve">economic models </w:t>
      </w:r>
      <w:r w:rsidRPr="00E04AD0">
        <w:rPr>
          <w:rFonts w:eastAsia="Times New Roman" w:cs="Times New Roman"/>
          <w:sz w:val="20"/>
          <w:szCs w:val="20"/>
          <w:lang w:val="en-GB"/>
        </w:rPr>
        <w:t xml:space="preserve">that </w:t>
      </w:r>
      <w:r w:rsidR="002D0E27" w:rsidRPr="00E04AD0">
        <w:rPr>
          <w:rFonts w:eastAsia="Times New Roman" w:cs="Times New Roman"/>
          <w:sz w:val="20"/>
          <w:szCs w:val="20"/>
          <w:lang w:val="en-GB"/>
        </w:rPr>
        <w:t>depicts</w:t>
      </w:r>
      <w:r w:rsidRPr="00E04AD0">
        <w:rPr>
          <w:rFonts w:eastAsia="Times New Roman" w:cs="Times New Roman"/>
          <w:sz w:val="20"/>
          <w:szCs w:val="20"/>
          <w:lang w:val="en-GB"/>
        </w:rPr>
        <w:t xml:space="preserve"> the interdependencies between various sectors of an economy using a matrix format. In these models, the outputs from one sector (represented by rows) serve as inputs to other sectors (represented by columns). IO models are designed to evaluate indirect economic impacts. Standard IO models are demand-driven and assume a fixed structure for production and consumption, meaning there is no substitution in production and consumption</w:t>
      </w:r>
      <w:r w:rsidR="000F67F1" w:rsidRPr="00E04AD0">
        <w:rPr>
          <w:rFonts w:eastAsia="Times New Roman" w:cs="Times New Roman"/>
          <w:sz w:val="20"/>
          <w:szCs w:val="20"/>
          <w:lang w:val="en-GB"/>
        </w:rPr>
        <w:t>.</w:t>
      </w:r>
    </w:p>
    <w:p w14:paraId="4CB4C51E" w14:textId="6B3794AA" w:rsidR="00201492" w:rsidRPr="00E04AD0" w:rsidRDefault="00413513" w:rsidP="00A333DF">
      <w:pPr>
        <w:keepNext/>
        <w:pBdr>
          <w:top w:val="single" w:sz="4" w:space="1" w:color="000000"/>
          <w:left w:val="single" w:sz="4" w:space="4" w:color="000000"/>
          <w:bottom w:val="single" w:sz="4" w:space="1" w:color="000000"/>
          <w:right w:val="single" w:sz="4" w:space="4" w:color="000000"/>
        </w:pBdr>
        <w:shd w:val="clear" w:color="auto" w:fill="E2EFD9" w:themeFill="accent6" w:themeFillTint="33"/>
        <w:spacing w:before="120" w:line="276" w:lineRule="auto"/>
        <w:rPr>
          <w:rFonts w:eastAsia="Times New Roman" w:cs="Times New Roman"/>
          <w:sz w:val="20"/>
          <w:szCs w:val="20"/>
          <w:lang w:val="en-GB"/>
        </w:rPr>
      </w:pPr>
      <w:r w:rsidRPr="00E04AD0">
        <w:rPr>
          <w:rFonts w:eastAsia="Times New Roman" w:cs="Times New Roman"/>
          <w:b/>
          <w:bCs/>
          <w:sz w:val="20"/>
          <w:szCs w:val="20"/>
          <w:lang w:val="en-GB"/>
        </w:rPr>
        <w:t xml:space="preserve">Cost-benefit </w:t>
      </w:r>
      <w:r w:rsidR="00201492" w:rsidRPr="00E04AD0">
        <w:rPr>
          <w:rFonts w:eastAsia="Times New Roman" w:cs="Times New Roman"/>
          <w:b/>
          <w:bCs/>
          <w:sz w:val="20"/>
          <w:szCs w:val="20"/>
          <w:lang w:val="en-GB"/>
        </w:rPr>
        <w:t>Integrated Assessment Models (IAMs)</w:t>
      </w:r>
      <w:r w:rsidR="00201492" w:rsidRPr="00E04AD0">
        <w:rPr>
          <w:rFonts w:eastAsia="Times New Roman" w:cs="Times New Roman"/>
          <w:sz w:val="20"/>
          <w:szCs w:val="20"/>
          <w:lang w:val="en-GB"/>
        </w:rPr>
        <w:t xml:space="preserve"> are </w:t>
      </w:r>
      <w:r w:rsidR="00C6476F" w:rsidRPr="00E04AD0">
        <w:rPr>
          <w:rFonts w:eastAsia="Times New Roman" w:cs="Times New Roman"/>
          <w:sz w:val="20"/>
          <w:szCs w:val="20"/>
          <w:lang w:val="en-GB"/>
        </w:rPr>
        <w:t xml:space="preserve">numerical </w:t>
      </w:r>
      <w:r w:rsidR="00201492" w:rsidRPr="00E04AD0">
        <w:rPr>
          <w:rFonts w:eastAsia="Times New Roman" w:cs="Times New Roman"/>
          <w:sz w:val="20"/>
          <w:szCs w:val="20"/>
          <w:lang w:val="en-GB"/>
        </w:rPr>
        <w:t xml:space="preserve">fully coupled (hard-linked) </w:t>
      </w:r>
      <w:r w:rsidR="00193815" w:rsidRPr="00E04AD0">
        <w:rPr>
          <w:rFonts w:eastAsia="Times New Roman" w:cs="Times New Roman"/>
          <w:sz w:val="20"/>
          <w:szCs w:val="20"/>
          <w:lang w:val="en-GB"/>
        </w:rPr>
        <w:t xml:space="preserve">climate-energy-economy </w:t>
      </w:r>
      <w:r w:rsidR="001344B6" w:rsidRPr="00E04AD0">
        <w:rPr>
          <w:rFonts w:eastAsia="Times New Roman" w:cs="Times New Roman"/>
          <w:sz w:val="20"/>
          <w:szCs w:val="20"/>
          <w:lang w:val="en-GB"/>
        </w:rPr>
        <w:t>models</w:t>
      </w:r>
      <w:r w:rsidR="00201492" w:rsidRPr="00E04AD0">
        <w:rPr>
          <w:rFonts w:eastAsia="Times New Roman" w:cs="Times New Roman"/>
          <w:sz w:val="20"/>
          <w:szCs w:val="20"/>
          <w:lang w:val="en-GB"/>
        </w:rPr>
        <w:t xml:space="preserve">, which </w:t>
      </w:r>
      <w:r w:rsidR="002A621D" w:rsidRPr="00E04AD0">
        <w:rPr>
          <w:rFonts w:eastAsia="Times New Roman" w:cs="Times New Roman"/>
          <w:sz w:val="20"/>
          <w:szCs w:val="20"/>
          <w:lang w:val="en-GB"/>
        </w:rPr>
        <w:t xml:space="preserve">can consistently </w:t>
      </w:r>
      <w:r w:rsidR="00201492" w:rsidRPr="00E04AD0">
        <w:rPr>
          <w:rFonts w:eastAsia="Times New Roman" w:cs="Times New Roman"/>
          <w:sz w:val="20"/>
          <w:szCs w:val="20"/>
          <w:lang w:val="en-GB"/>
        </w:rPr>
        <w:t>captur</w:t>
      </w:r>
      <w:r w:rsidR="001344B6" w:rsidRPr="00E04AD0">
        <w:rPr>
          <w:rFonts w:eastAsia="Times New Roman" w:cs="Times New Roman"/>
          <w:sz w:val="20"/>
          <w:szCs w:val="20"/>
          <w:lang w:val="en-GB"/>
        </w:rPr>
        <w:t>e</w:t>
      </w:r>
      <w:r w:rsidR="00201492" w:rsidRPr="00E04AD0">
        <w:rPr>
          <w:rFonts w:eastAsia="Times New Roman" w:cs="Times New Roman"/>
          <w:sz w:val="20"/>
          <w:szCs w:val="20"/>
          <w:lang w:val="en-GB"/>
        </w:rPr>
        <w:t xml:space="preserve"> climate dynamics (i.e., endogenous climate feedback effects). </w:t>
      </w:r>
      <w:r w:rsidR="00447F22" w:rsidRPr="00E04AD0">
        <w:rPr>
          <w:rFonts w:eastAsia="Times New Roman" w:cs="Times New Roman"/>
          <w:sz w:val="20"/>
          <w:szCs w:val="20"/>
          <w:lang w:val="en-GB"/>
        </w:rPr>
        <w:lastRenderedPageBreak/>
        <w:t xml:space="preserve">Cost-benefit </w:t>
      </w:r>
      <w:r w:rsidR="00201492" w:rsidRPr="00E04AD0">
        <w:rPr>
          <w:rFonts w:eastAsia="Times New Roman" w:cs="Times New Roman"/>
          <w:sz w:val="20"/>
          <w:szCs w:val="20"/>
          <w:lang w:val="en-GB"/>
        </w:rPr>
        <w:t>IAM</w:t>
      </w:r>
      <w:r w:rsidR="00C5426E" w:rsidRPr="00E04AD0">
        <w:rPr>
          <w:rFonts w:eastAsia="Times New Roman" w:cs="Times New Roman"/>
          <w:sz w:val="20"/>
          <w:szCs w:val="20"/>
          <w:lang w:val="en-GB"/>
        </w:rPr>
        <w:t>s</w:t>
      </w:r>
      <w:r w:rsidR="00201492" w:rsidRPr="00E04AD0">
        <w:rPr>
          <w:rFonts w:eastAsia="Times New Roman" w:cs="Times New Roman"/>
          <w:sz w:val="20"/>
          <w:szCs w:val="20"/>
          <w:lang w:val="en-GB"/>
        </w:rPr>
        <w:t xml:space="preserve"> </w:t>
      </w:r>
      <w:r w:rsidR="00620880" w:rsidRPr="00E04AD0">
        <w:rPr>
          <w:rFonts w:eastAsia="Times New Roman" w:cs="Times New Roman"/>
          <w:sz w:val="20"/>
          <w:szCs w:val="20"/>
          <w:lang w:val="en-GB"/>
        </w:rPr>
        <w:t xml:space="preserve">can be simulation </w:t>
      </w:r>
      <w:r w:rsidR="00EA3961" w:rsidRPr="00E04AD0">
        <w:rPr>
          <w:rFonts w:eastAsia="Times New Roman" w:cs="Times New Roman"/>
          <w:sz w:val="20"/>
          <w:szCs w:val="20"/>
          <w:lang w:val="en-GB"/>
        </w:rPr>
        <w:t>models (e.g., PAGE</w:t>
      </w:r>
      <w:r w:rsidR="00A8472A" w:rsidRPr="00E04AD0">
        <w:rPr>
          <w:rFonts w:eastAsia="Times New Roman" w:cs="Times New Roman"/>
          <w:sz w:val="20"/>
          <w:szCs w:val="20"/>
          <w:lang w:val="en-GB"/>
        </w:rPr>
        <w:fldChar w:fldCharType="begin"/>
      </w:r>
      <w:r w:rsidR="00A8472A" w:rsidRPr="00E04AD0">
        <w:rPr>
          <w:rFonts w:eastAsia="Times New Roman" w:cs="Times New Roman"/>
          <w:sz w:val="20"/>
          <w:szCs w:val="20"/>
          <w:lang w:val="en-GB"/>
        </w:rPr>
        <w:instrText xml:space="preserve"> ADDIN ZOTERO_ITEM CSL_CITATION {"citationID":"iSDOETl5","properties":{"formattedCitation":"\\super 1\\nosupersub{}","plainCitation":"1","noteIndex":0},"citationItems":[{"id":2897,"uris":["http://zotero.org/users/4065690/items/V2X37A4Z"],"itemData":{"id":2897,"type":"article-journal","abstract":"In this paper we introduce a comprehensive model for policy analysis of the greenhouse effect (PAGE). We apply the PAGE model to assess the merits of policies to prevent global warming (by controlling the emissions of greenhouse gases), and policies to adapt to any global warming that occurs. The results confirm that it is difficult to overcome the problem of global warming by taking preventive action alone. The argument for introducing an aggressive adaptive policy is very strong. We calculate the valuation that would have to be placed upon non-economic environmental and social impacts, for a combined strategy of preventive and adaptive policies to be considered a worthwhile option, both for individual regions and for the world as a whole. We also show that uncertainties in all four groups of inputs to the model (scientific, costs of control, costs of adaptation and valuation of impacts) have a great influence on the costs and impacts of the combined strategy.","collection-title":"Policy modelling for global climate change","container-title":"Energy Policy","DOI":"10.1016/0301-4215(93)90253-C","ISSN":"0301-4215","issue":"3","journalAbbreviation":"Energy Policy","language":"en","page":"327-338","source":"ScienceDirect","title":"Policy analysis of the greenhouse effect: An application of the PAGE model","title-short":"Policy analysis of the greenhouse effect","volume":"21","author":[{"family":"Hope","given":"Chris"},{"family":"Anderson","given":"John"},{"family":"Wenman","given":"Paul"}],"issued":{"date-parts":[["1993",3,1]]}}}],"schema":"https://github.com/citation-style-language/schema/raw/master/csl-citation.json"} </w:instrText>
      </w:r>
      <w:r w:rsidR="00A8472A" w:rsidRPr="00E04AD0">
        <w:rPr>
          <w:rFonts w:eastAsia="Times New Roman" w:cs="Times New Roman"/>
          <w:sz w:val="20"/>
          <w:szCs w:val="20"/>
          <w:lang w:val="en-GB"/>
        </w:rPr>
        <w:fldChar w:fldCharType="separate"/>
      </w:r>
      <w:r w:rsidR="00A8472A" w:rsidRPr="00E04AD0">
        <w:rPr>
          <w:rFonts w:cs="Times New Roman"/>
          <w:sz w:val="20"/>
          <w:vertAlign w:val="superscript"/>
          <w:lang w:val="en-GB"/>
        </w:rPr>
        <w:t>1</w:t>
      </w:r>
      <w:r w:rsidR="00A8472A" w:rsidRPr="00E04AD0">
        <w:rPr>
          <w:rFonts w:eastAsia="Times New Roman" w:cs="Times New Roman"/>
          <w:sz w:val="20"/>
          <w:szCs w:val="20"/>
          <w:lang w:val="en-GB"/>
        </w:rPr>
        <w:fldChar w:fldCharType="end"/>
      </w:r>
      <w:r w:rsidR="005673CD" w:rsidRPr="00E04AD0">
        <w:rPr>
          <w:rFonts w:eastAsia="Times New Roman" w:cs="Times New Roman"/>
          <w:sz w:val="20"/>
          <w:szCs w:val="20"/>
          <w:lang w:val="en-GB"/>
        </w:rPr>
        <w:t xml:space="preserve"> and FUND</w:t>
      </w:r>
      <w:r w:rsidR="00047CE6" w:rsidRPr="00E04AD0">
        <w:rPr>
          <w:rFonts w:eastAsia="Times New Roman" w:cs="Times New Roman"/>
          <w:sz w:val="20"/>
          <w:szCs w:val="20"/>
          <w:lang w:val="en-GB"/>
        </w:rPr>
        <w:fldChar w:fldCharType="begin"/>
      </w:r>
      <w:r w:rsidR="00047CE6" w:rsidRPr="00E04AD0">
        <w:rPr>
          <w:rFonts w:eastAsia="Times New Roman" w:cs="Times New Roman"/>
          <w:sz w:val="20"/>
          <w:szCs w:val="20"/>
          <w:lang w:val="en-GB"/>
        </w:rPr>
        <w:instrText xml:space="preserve"> ADDIN ZOTERO_ITEM CSL_CITATION {"citationID":"HBYL2FRT","properties":{"formattedCitation":"\\super 2\\nosupersub{}","plainCitation":"2","noteIndex":0},"citationItems":[{"id":2905,"uris":["http://zotero.org/users/4065690/items/PZRSG6KA"],"itemData":{"id":2905,"type":"document","title":"THE CLIMATE FRAMEWORK FOR UNCERTAINTY, NEGOTIATION AND  DISTRIBUTION (FUND), TECHNICAL DESCRIPTION, VERSION 3.9","URL":"https://www.fund-model.org/documentation/","author":[{"family":"Anthoff","given":"David"},{"family":"Tol","given":"Richard S. J."}],"issued":{"date-parts":[["2014"]]}}}],"schema":"https://github.com/citation-style-language/schema/raw/master/csl-citation.json"} </w:instrText>
      </w:r>
      <w:r w:rsidR="00047CE6" w:rsidRPr="00E04AD0">
        <w:rPr>
          <w:rFonts w:eastAsia="Times New Roman" w:cs="Times New Roman"/>
          <w:sz w:val="20"/>
          <w:szCs w:val="20"/>
          <w:lang w:val="en-GB"/>
        </w:rPr>
        <w:fldChar w:fldCharType="separate"/>
      </w:r>
      <w:r w:rsidR="00047CE6" w:rsidRPr="00E04AD0">
        <w:rPr>
          <w:rFonts w:cs="Times New Roman"/>
          <w:sz w:val="20"/>
          <w:vertAlign w:val="superscript"/>
          <w:lang w:val="en-GB"/>
        </w:rPr>
        <w:t>2</w:t>
      </w:r>
      <w:r w:rsidR="00047CE6" w:rsidRPr="00E04AD0">
        <w:rPr>
          <w:rFonts w:eastAsia="Times New Roman" w:cs="Times New Roman"/>
          <w:sz w:val="20"/>
          <w:szCs w:val="20"/>
          <w:lang w:val="en-GB"/>
        </w:rPr>
        <w:fldChar w:fldCharType="end"/>
      </w:r>
      <w:r w:rsidR="00EA3961" w:rsidRPr="00E04AD0">
        <w:rPr>
          <w:rFonts w:eastAsia="Times New Roman" w:cs="Times New Roman"/>
          <w:sz w:val="20"/>
          <w:szCs w:val="20"/>
          <w:lang w:val="en-GB"/>
        </w:rPr>
        <w:t xml:space="preserve">) </w:t>
      </w:r>
      <w:r w:rsidR="00620880" w:rsidRPr="00E04AD0">
        <w:rPr>
          <w:rFonts w:eastAsia="Times New Roman" w:cs="Times New Roman"/>
          <w:sz w:val="20"/>
          <w:szCs w:val="20"/>
          <w:lang w:val="en-GB"/>
        </w:rPr>
        <w:t xml:space="preserve">or </w:t>
      </w:r>
      <w:r w:rsidR="00BD5277" w:rsidRPr="00E04AD0">
        <w:rPr>
          <w:rFonts w:eastAsia="Times New Roman" w:cs="Times New Roman"/>
          <w:sz w:val="20"/>
          <w:szCs w:val="20"/>
          <w:lang w:val="en-GB"/>
        </w:rPr>
        <w:t xml:space="preserve">intertemporal </w:t>
      </w:r>
      <w:r w:rsidR="00201492" w:rsidRPr="00E04AD0">
        <w:rPr>
          <w:rFonts w:eastAsia="Times New Roman" w:cs="Times New Roman"/>
          <w:sz w:val="20"/>
          <w:szCs w:val="20"/>
          <w:lang w:val="en-GB"/>
        </w:rPr>
        <w:t>optimisation model</w:t>
      </w:r>
      <w:r w:rsidR="00646279" w:rsidRPr="00E04AD0">
        <w:rPr>
          <w:rFonts w:eastAsia="Times New Roman" w:cs="Times New Roman"/>
          <w:sz w:val="20"/>
          <w:szCs w:val="20"/>
          <w:lang w:val="en-GB"/>
        </w:rPr>
        <w:t>s</w:t>
      </w:r>
      <w:r w:rsidR="00EA3961" w:rsidRPr="00E04AD0">
        <w:rPr>
          <w:rFonts w:eastAsia="Times New Roman" w:cs="Times New Roman"/>
          <w:sz w:val="20"/>
          <w:szCs w:val="20"/>
          <w:lang w:val="en-GB"/>
        </w:rPr>
        <w:t xml:space="preserve"> (e.g., DICE)</w:t>
      </w:r>
      <w:r w:rsidR="00201492" w:rsidRPr="00E04AD0">
        <w:rPr>
          <w:rFonts w:eastAsia="Times New Roman" w:cs="Times New Roman"/>
          <w:sz w:val="20"/>
          <w:szCs w:val="20"/>
          <w:lang w:val="en-GB"/>
        </w:rPr>
        <w:t xml:space="preserve">, which </w:t>
      </w:r>
      <w:r w:rsidR="00DE387D" w:rsidRPr="00E04AD0">
        <w:rPr>
          <w:rFonts w:eastAsia="Times New Roman" w:cs="Times New Roman"/>
          <w:sz w:val="20"/>
          <w:szCs w:val="20"/>
          <w:lang w:val="en-GB"/>
        </w:rPr>
        <w:t xml:space="preserve">are </w:t>
      </w:r>
      <w:r w:rsidR="00201492" w:rsidRPr="00E04AD0">
        <w:rPr>
          <w:rFonts w:eastAsia="Times New Roman" w:cs="Times New Roman"/>
          <w:sz w:val="20"/>
          <w:szCs w:val="20"/>
          <w:lang w:val="en-GB"/>
        </w:rPr>
        <w:t>mainly used to derive optimal mitigation policies</w:t>
      </w:r>
      <w:r w:rsidR="000F7F2C" w:rsidRPr="00E04AD0">
        <w:rPr>
          <w:rFonts w:eastAsia="Times New Roman" w:cs="Times New Roman"/>
          <w:sz w:val="20"/>
          <w:szCs w:val="20"/>
          <w:lang w:val="en-GB"/>
        </w:rPr>
        <w:t xml:space="preserve"> or to </w:t>
      </w:r>
      <w:r w:rsidR="003B3B59" w:rsidRPr="00E04AD0">
        <w:rPr>
          <w:rFonts w:eastAsia="Times New Roman" w:cs="Times New Roman"/>
          <w:sz w:val="20"/>
          <w:szCs w:val="20"/>
          <w:lang w:val="en-GB"/>
        </w:rPr>
        <w:t>estimate the social cost of carbon</w:t>
      </w:r>
      <w:r w:rsidR="008B3D80" w:rsidRPr="00E04AD0">
        <w:rPr>
          <w:rFonts w:eastAsia="Times New Roman" w:cs="Times New Roman"/>
          <w:sz w:val="20"/>
          <w:szCs w:val="20"/>
          <w:lang w:val="en-GB"/>
        </w:rPr>
        <w:t xml:space="preserve"> </w:t>
      </w:r>
      <w:r w:rsidR="008B3D80" w:rsidRPr="00E04AD0">
        <w:rPr>
          <w:rFonts w:eastAsia="Times New Roman" w:cs="Times New Roman"/>
          <w:sz w:val="20"/>
          <w:szCs w:val="20"/>
          <w:lang w:val="en-GB"/>
        </w:rPr>
        <w:fldChar w:fldCharType="begin"/>
      </w:r>
      <w:r w:rsidR="008B3D80" w:rsidRPr="00E04AD0">
        <w:rPr>
          <w:rFonts w:eastAsia="Times New Roman" w:cs="Times New Roman"/>
          <w:sz w:val="20"/>
          <w:szCs w:val="20"/>
          <w:lang w:val="en-GB"/>
        </w:rPr>
        <w:instrText xml:space="preserve"> ADDIN ZOTERO_ITEM CSL_CITATION {"citationID":"rst7YMkI","properties":{"formattedCitation":"\\super 3\\nosupersub{}","plainCitation":"3","noteIndex":0},"citationItems":[{"id":2906,"uris":["http://zotero.org/users/4065690/items/RUUECXCK"],"itemData":{"id":2906,"type":"article-journal","abstract":"Integrated assessment models (IAM) and resulting scenarios have become increasingly institutionalised and relevant in the science-policy interface of climate policy. Despite their analytical strengths to conceive low-carbon futures, their co-evolution with the transnational science-policy interface of climate politics has also led to a focus on a specific set of techno-economic futures that are typically based on a relatively narrow set of assumptions. This deviates attention from alternatives that are hardly studied by IAMs, but might be more desirable from a societal perspective. We argue that research-based models and scenarios should support rather than narrow down deliberations on possible and desirable futures and provide an impetus to enact socially desirable change. Accordingly, we propose three future directions regarding the development and use of IAMs: 1) incorporate a plurality of perspectives on plausibility and desirability through iterative participatory engagement and worldview-based scenario exploration, 2) seek collaboration with the arts and humanities to expand the range of imagined futures beyond the status quo and 3) make projected futures more tangible and experiential so that diverse societal actor groups can understand and genuinely engage with them. By deploying the indisputable analytical strengths of IAMs optimally within these suggestions, we believe they can facilitate broader societal debates about transformative pathways to low-carbon futures.","container-title":"Energy Research &amp; Social Science","DOI":"10.1016/j.erss.2021.102220","ISSN":"2214-6296","journalAbbreviation":"Energy Research &amp; Social Science","page":"102220","source":"ScienceDirect","title":"Transformative pathways – Using integrated assessment models more effectively to open up plausible and desirable low-carbon futures","volume":"80","author":[{"family":"Braunreiter","given":"Lukas"},{"family":"Beek","given":"Lisette","non-dropping-particle":"van"},{"family":"Hajer","given":"Maarten"},{"family":"Vuuren","given":"Detlef","non-dropping-particle":"van"}],"issued":{"date-parts":[["2021",10,1]]}}}],"schema":"https://github.com/citation-style-language/schema/raw/master/csl-citation.json"} </w:instrText>
      </w:r>
      <w:r w:rsidR="008B3D80" w:rsidRPr="00E04AD0">
        <w:rPr>
          <w:rFonts w:eastAsia="Times New Roman" w:cs="Times New Roman"/>
          <w:sz w:val="20"/>
          <w:szCs w:val="20"/>
          <w:lang w:val="en-GB"/>
        </w:rPr>
        <w:fldChar w:fldCharType="separate"/>
      </w:r>
      <w:r w:rsidR="008B3D80" w:rsidRPr="00E04AD0">
        <w:rPr>
          <w:rFonts w:cs="Times New Roman"/>
          <w:sz w:val="20"/>
          <w:vertAlign w:val="superscript"/>
          <w:lang w:val="en-GB"/>
        </w:rPr>
        <w:t>3</w:t>
      </w:r>
      <w:r w:rsidR="008B3D80" w:rsidRPr="00E04AD0">
        <w:rPr>
          <w:rFonts w:eastAsia="Times New Roman" w:cs="Times New Roman"/>
          <w:sz w:val="20"/>
          <w:szCs w:val="20"/>
          <w:lang w:val="en-GB"/>
        </w:rPr>
        <w:fldChar w:fldCharType="end"/>
      </w:r>
      <w:r w:rsidR="00521F47" w:rsidRPr="00E04AD0">
        <w:rPr>
          <w:rFonts w:eastAsia="Times New Roman" w:cs="Times New Roman"/>
          <w:sz w:val="20"/>
          <w:szCs w:val="20"/>
          <w:lang w:val="en-GB"/>
        </w:rPr>
        <w:t>.</w:t>
      </w:r>
      <w:r w:rsidR="00201492" w:rsidRPr="00E04AD0">
        <w:rPr>
          <w:rFonts w:eastAsia="Times New Roman" w:cs="Times New Roman"/>
          <w:sz w:val="20"/>
          <w:szCs w:val="20"/>
          <w:lang w:val="en-GB"/>
        </w:rPr>
        <w:t xml:space="preserve"> </w:t>
      </w:r>
    </w:p>
    <w:p w14:paraId="4DFAEFF5" w14:textId="77777777" w:rsidR="00201492" w:rsidRPr="00E04AD0" w:rsidRDefault="00201492" w:rsidP="00A333DF">
      <w:pPr>
        <w:keepNext/>
        <w:pBdr>
          <w:top w:val="single" w:sz="4" w:space="1" w:color="000000"/>
          <w:left w:val="single" w:sz="4" w:space="4" w:color="000000"/>
          <w:bottom w:val="single" w:sz="4" w:space="1" w:color="000000"/>
          <w:right w:val="single" w:sz="4" w:space="4" w:color="000000"/>
        </w:pBdr>
        <w:shd w:val="clear" w:color="auto" w:fill="E2EFD9" w:themeFill="accent6" w:themeFillTint="33"/>
        <w:spacing w:before="120" w:line="276" w:lineRule="auto"/>
        <w:rPr>
          <w:rFonts w:eastAsia="Times New Roman" w:cs="Times New Roman"/>
          <w:sz w:val="20"/>
          <w:szCs w:val="20"/>
          <w:lang w:val="en-GB"/>
        </w:rPr>
      </w:pPr>
      <w:r w:rsidRPr="00E04AD0">
        <w:rPr>
          <w:rFonts w:eastAsia="Times New Roman" w:cs="Times New Roman"/>
          <w:b/>
          <w:sz w:val="20"/>
          <w:szCs w:val="20"/>
          <w:lang w:val="en-GB"/>
        </w:rPr>
        <w:t>Climate terminology:</w:t>
      </w:r>
    </w:p>
    <w:p w14:paraId="2ED45E99" w14:textId="77777777" w:rsidR="00201492" w:rsidRPr="00E04AD0" w:rsidRDefault="00201492" w:rsidP="00A333DF">
      <w:pPr>
        <w:keepNext/>
        <w:pBdr>
          <w:top w:val="single" w:sz="4" w:space="1" w:color="000000"/>
          <w:left w:val="single" w:sz="4" w:space="4" w:color="000000"/>
          <w:bottom w:val="single" w:sz="4" w:space="1" w:color="000000"/>
          <w:right w:val="single" w:sz="4" w:space="4" w:color="000000"/>
        </w:pBdr>
        <w:shd w:val="clear" w:color="auto" w:fill="E2EFD9" w:themeFill="accent6" w:themeFillTint="33"/>
        <w:spacing w:before="120" w:line="276" w:lineRule="auto"/>
        <w:rPr>
          <w:rFonts w:eastAsia="Times New Roman" w:cs="Times New Roman"/>
          <w:sz w:val="20"/>
          <w:szCs w:val="20"/>
          <w:lang w:val="en-GB"/>
        </w:rPr>
      </w:pPr>
      <w:r w:rsidRPr="00E04AD0">
        <w:rPr>
          <w:rFonts w:eastAsia="Times New Roman" w:cs="Times New Roman"/>
          <w:b/>
          <w:bCs/>
          <w:sz w:val="20"/>
          <w:szCs w:val="20"/>
          <w:lang w:val="en-GB"/>
        </w:rPr>
        <w:t>C</w:t>
      </w:r>
      <w:r w:rsidRPr="00E04AD0">
        <w:rPr>
          <w:rFonts w:eastAsia="Times New Roman" w:cs="Times New Roman"/>
          <w:b/>
          <w:sz w:val="20"/>
          <w:szCs w:val="20"/>
          <w:lang w:val="en-GB"/>
        </w:rPr>
        <w:t>limate extreme</w:t>
      </w:r>
      <w:r w:rsidRPr="00E04AD0">
        <w:rPr>
          <w:rFonts w:eastAsia="Times New Roman" w:cs="Times New Roman"/>
          <w:sz w:val="20"/>
          <w:szCs w:val="20"/>
          <w:lang w:val="en-GB"/>
        </w:rPr>
        <w:t xml:space="preserve"> is an extreme (i.e., rare and potentially impactful) manifestation of climatic variables such as a storm, a heat wave, a drought or extreme precipitation. Climate extremes may </w:t>
      </w:r>
      <w:r w:rsidRPr="00E04AD0">
        <w:rPr>
          <w:rFonts w:eastAsia="Times New Roman" w:cs="Times New Roman"/>
          <w:bCs/>
          <w:sz w:val="20"/>
          <w:szCs w:val="20"/>
          <w:lang w:val="en-GB"/>
        </w:rPr>
        <w:t>compound</w:t>
      </w:r>
      <w:r w:rsidRPr="00E04AD0">
        <w:rPr>
          <w:rFonts w:eastAsia="Times New Roman" w:cs="Times New Roman"/>
          <w:sz w:val="20"/>
          <w:szCs w:val="20"/>
          <w:lang w:val="en-GB"/>
        </w:rPr>
        <w:t xml:space="preserve"> in space, time and/or across variables (e.g., a heat wave and a drought occurring at the same time).</w:t>
      </w:r>
    </w:p>
    <w:p w14:paraId="243DF032" w14:textId="77777777" w:rsidR="00201492" w:rsidRPr="00E04AD0" w:rsidRDefault="00201492" w:rsidP="00A333DF">
      <w:pPr>
        <w:keepNext/>
        <w:pBdr>
          <w:top w:val="single" w:sz="4" w:space="1" w:color="000000"/>
          <w:left w:val="single" w:sz="4" w:space="4" w:color="000000"/>
          <w:bottom w:val="single" w:sz="4" w:space="1" w:color="000000"/>
          <w:right w:val="single" w:sz="4" w:space="4" w:color="000000"/>
        </w:pBdr>
        <w:shd w:val="clear" w:color="auto" w:fill="E2EFD9" w:themeFill="accent6" w:themeFillTint="33"/>
        <w:spacing w:before="120" w:line="276" w:lineRule="auto"/>
        <w:rPr>
          <w:rFonts w:eastAsia="Times New Roman" w:cs="Times New Roman"/>
          <w:sz w:val="20"/>
          <w:szCs w:val="20"/>
          <w:lang w:val="en-GB"/>
        </w:rPr>
      </w:pPr>
      <w:r w:rsidRPr="00E04AD0">
        <w:rPr>
          <w:rFonts w:eastAsia="Times New Roman" w:cs="Times New Roman"/>
          <w:b/>
          <w:bCs/>
          <w:sz w:val="20"/>
          <w:szCs w:val="20"/>
          <w:lang w:val="en-GB"/>
        </w:rPr>
        <w:t>Climate variability</w:t>
      </w:r>
      <w:r w:rsidRPr="00E04AD0">
        <w:rPr>
          <w:rFonts w:eastAsia="Times New Roman" w:cs="Times New Roman"/>
          <w:sz w:val="20"/>
          <w:szCs w:val="20"/>
          <w:lang w:val="en-GB"/>
        </w:rPr>
        <w:t>, also internal climate variability, refers to changes in the climate system that occur naturally due to complex interactions between the different spheres of the climate system. This variability is distinct from the mean climate change signal in the climate system but may change under climate change. It is also different from natural climate variability which includes climate variability as well as changes in the mean climate that arise from natural sources such as solar or volcanic forcing. Climate variability may temporarily reduce or increase the probability for a climate extreme to occur.</w:t>
      </w:r>
    </w:p>
    <w:p w14:paraId="7734751E" w14:textId="27890DF6" w:rsidR="00201492" w:rsidRPr="00E04AD0" w:rsidRDefault="00201492" w:rsidP="00A333DF">
      <w:pPr>
        <w:keepNext/>
        <w:pBdr>
          <w:top w:val="single" w:sz="4" w:space="1" w:color="000000"/>
          <w:left w:val="single" w:sz="4" w:space="4" w:color="000000"/>
          <w:bottom w:val="single" w:sz="4" w:space="1" w:color="000000"/>
          <w:right w:val="single" w:sz="4" w:space="4" w:color="000000"/>
        </w:pBdr>
        <w:shd w:val="clear" w:color="auto" w:fill="E2EFD9" w:themeFill="accent6" w:themeFillTint="33"/>
        <w:spacing w:before="120" w:line="276" w:lineRule="auto"/>
        <w:rPr>
          <w:rFonts w:eastAsia="Times New Roman" w:cs="Times New Roman"/>
          <w:sz w:val="20"/>
          <w:szCs w:val="20"/>
          <w:lang w:val="en-GB"/>
        </w:rPr>
      </w:pPr>
      <w:r w:rsidRPr="00E04AD0">
        <w:rPr>
          <w:rFonts w:eastAsia="Times New Roman" w:cs="Times New Roman"/>
          <w:b/>
          <w:sz w:val="20"/>
          <w:szCs w:val="20"/>
          <w:lang w:val="en-GB"/>
        </w:rPr>
        <w:t>Climatic impact-</w:t>
      </w:r>
      <w:r w:rsidRPr="00E04AD0">
        <w:rPr>
          <w:rFonts w:eastAsia="Times New Roman" w:cs="Times New Roman"/>
          <w:b/>
          <w:bCs/>
          <w:sz w:val="20"/>
          <w:szCs w:val="20"/>
          <w:lang w:val="en-GB"/>
        </w:rPr>
        <w:t>drivers</w:t>
      </w:r>
      <w:r w:rsidRPr="00E04AD0">
        <w:rPr>
          <w:rFonts w:eastAsia="Times New Roman" w:cs="Times New Roman"/>
          <w:sz w:val="20"/>
          <w:szCs w:val="20"/>
          <w:lang w:val="en-GB"/>
        </w:rPr>
        <w:t xml:space="preserve"> (CID) are physical climate system conditions (e.g., means, events, extremes) that affect an element of society or ecosystems. Depending on system tolerance, CIDs and their changes can be detrimental, beneficial, neutral or a mixture of each across interacting system elements and regions</w:t>
      </w:r>
      <w:r w:rsidR="00385D0A" w:rsidRPr="00E04AD0">
        <w:rPr>
          <w:rFonts w:eastAsia="Times New Roman" w:cs="Times New Roman"/>
          <w:sz w:val="20"/>
          <w:szCs w:val="20"/>
          <w:lang w:val="en-GB"/>
        </w:rPr>
        <w:t xml:space="preserve"> </w:t>
      </w:r>
      <w:r w:rsidR="00385D0A" w:rsidRPr="00E04AD0">
        <w:rPr>
          <w:rFonts w:eastAsia="Times New Roman" w:cs="Times New Roman"/>
          <w:sz w:val="20"/>
          <w:szCs w:val="20"/>
          <w:lang w:val="en-GB"/>
        </w:rPr>
        <w:fldChar w:fldCharType="begin"/>
      </w:r>
      <w:r w:rsidR="00385D0A" w:rsidRPr="00E04AD0">
        <w:rPr>
          <w:rFonts w:eastAsia="Times New Roman" w:cs="Times New Roman"/>
          <w:sz w:val="20"/>
          <w:szCs w:val="20"/>
          <w:lang w:val="en-GB"/>
        </w:rPr>
        <w:instrText xml:space="preserve"> ADDIN ZOTERO_ITEM CSL_CITATION {"citationID":"6yJBEYcJ","properties":{"formattedCitation":"\\super 4\\nosupersub{}","plainCitation":"4","noteIndex":0},"citationItems":[{"id":40,"uris":["http://zotero.org/users/4065690/items/86B55P8D"],"itemData":{"id":40,"type":"document","title":"Annex VII: Glossary [Matthews, J.B.R., V. Möller, R. van Diemen, J.S. Fuglestvedt, V. Masson-Delmotte, C. Méndez, S. Semenov, A. Reisinger (eds.)]. In Climate Change 2021: The Physical Science Basis. Contribution of Working Group I to the Sixth Assessment Report of the Intergovernmental Panel on Climate Change [Masson-Delmotte, V., P. Zhai, A. Pirani, S.L. Connors, C. Péan, S. Berger, N. Caud, Y. Chen, L. Goldfarb, M.I. Gomis, M. Huang, K. Leitzell, E. Lonnoy, J.B.R. Matthews, T.K. Maycock, T. Waterfield, O. Yelekçi, R. Yu, and B. Zhou (eds.)]. Cambridge University Press, Cambridge, United Kingdom and New York, NY, USA, pp. 2215–2256, doi:10.1017/9781009157896.022.","author":[{"family":"IPCC","given":""}],"issued":{"date-parts":[["2021"]]}}}],"schema":"https://github.com/citation-style-language/schema/raw/master/csl-citation.json"} </w:instrText>
      </w:r>
      <w:r w:rsidR="00385D0A" w:rsidRPr="00E04AD0">
        <w:rPr>
          <w:rFonts w:eastAsia="Times New Roman" w:cs="Times New Roman"/>
          <w:sz w:val="20"/>
          <w:szCs w:val="20"/>
          <w:lang w:val="en-GB"/>
        </w:rPr>
        <w:fldChar w:fldCharType="separate"/>
      </w:r>
      <w:r w:rsidR="00385D0A" w:rsidRPr="00E04AD0">
        <w:rPr>
          <w:rFonts w:cs="Times New Roman"/>
          <w:sz w:val="20"/>
          <w:vertAlign w:val="superscript"/>
          <w:lang w:val="en-GB"/>
        </w:rPr>
        <w:t>4</w:t>
      </w:r>
      <w:r w:rsidR="00385D0A" w:rsidRPr="00E04AD0">
        <w:rPr>
          <w:rFonts w:eastAsia="Times New Roman" w:cs="Times New Roman"/>
          <w:sz w:val="20"/>
          <w:szCs w:val="20"/>
          <w:lang w:val="en-GB"/>
        </w:rPr>
        <w:fldChar w:fldCharType="end"/>
      </w:r>
      <w:r w:rsidRPr="00E04AD0">
        <w:rPr>
          <w:rFonts w:eastAsia="Times New Roman" w:cs="Times New Roman"/>
          <w:sz w:val="20"/>
          <w:szCs w:val="20"/>
          <w:lang w:val="en-GB"/>
        </w:rPr>
        <w:t>.</w:t>
      </w:r>
    </w:p>
    <w:p w14:paraId="2A5A6433" w14:textId="74D00A52" w:rsidR="00002589" w:rsidRPr="00E04AD0" w:rsidRDefault="00365A1C" w:rsidP="00A333DF">
      <w:pPr>
        <w:pStyle w:val="Heading1"/>
        <w:spacing w:line="276" w:lineRule="auto"/>
        <w:rPr>
          <w:lang w:val="en-GB"/>
        </w:rPr>
      </w:pPr>
      <w:r>
        <w:rPr>
          <w:lang w:val="en-GB"/>
        </w:rPr>
        <w:t xml:space="preserve">2. </w:t>
      </w:r>
      <w:r w:rsidR="001A412B" w:rsidRPr="00E04AD0">
        <w:rPr>
          <w:lang w:val="en-GB"/>
        </w:rPr>
        <w:t>Ranking of Modelling Features</w:t>
      </w:r>
    </w:p>
    <w:p w14:paraId="04C0DC54" w14:textId="0E101FA0" w:rsidR="00102EB3" w:rsidRPr="00E04AD0" w:rsidRDefault="00102EB3" w:rsidP="00A333DF">
      <w:pPr>
        <w:spacing w:line="276" w:lineRule="auto"/>
        <w:rPr>
          <w:lang w:val="en-GB"/>
        </w:rPr>
      </w:pPr>
      <w:r w:rsidRPr="00E04AD0">
        <w:rPr>
          <w:lang w:val="en-GB"/>
        </w:rPr>
        <w:t xml:space="preserve">We identify eight key modelling features essential for </w:t>
      </w:r>
      <w:r w:rsidR="00B003DE">
        <w:rPr>
          <w:lang w:val="en-GB"/>
        </w:rPr>
        <w:t xml:space="preserve">a </w:t>
      </w:r>
      <w:r w:rsidRPr="00E04AD0">
        <w:rPr>
          <w:lang w:val="en-GB"/>
        </w:rPr>
        <w:t xml:space="preserve">robust </w:t>
      </w:r>
      <w:r w:rsidR="00B003DE">
        <w:rPr>
          <w:lang w:val="en-GB"/>
        </w:rPr>
        <w:t xml:space="preserve">assessment of </w:t>
      </w:r>
      <w:r w:rsidRPr="00E04AD0">
        <w:rPr>
          <w:lang w:val="en-GB"/>
        </w:rPr>
        <w:t xml:space="preserve">climate change costs, including impacts from climate extremes, in economic models: </w:t>
      </w:r>
    </w:p>
    <w:p w14:paraId="75D12FB2" w14:textId="77777777" w:rsidR="00102EB3" w:rsidRPr="00E04AD0" w:rsidRDefault="00102EB3" w:rsidP="00A333DF">
      <w:pPr>
        <w:pStyle w:val="ListParagraph"/>
        <w:numPr>
          <w:ilvl w:val="0"/>
          <w:numId w:val="1"/>
        </w:numPr>
        <w:shd w:val="clear" w:color="auto" w:fill="E2EFD9" w:themeFill="accent6" w:themeFillTint="33"/>
        <w:spacing w:line="276" w:lineRule="auto"/>
        <w:contextualSpacing w:val="0"/>
        <w:rPr>
          <w:lang w:val="en-GB"/>
        </w:rPr>
      </w:pPr>
      <w:r w:rsidRPr="00E04AD0">
        <w:rPr>
          <w:lang w:val="en-GB"/>
        </w:rPr>
        <w:t xml:space="preserve">Spatial Resolution </w:t>
      </w:r>
    </w:p>
    <w:p w14:paraId="751FADCE" w14:textId="77777777" w:rsidR="00102EB3" w:rsidRPr="00E04AD0" w:rsidRDefault="00102EB3" w:rsidP="00A333DF">
      <w:pPr>
        <w:pStyle w:val="ListParagraph"/>
        <w:numPr>
          <w:ilvl w:val="0"/>
          <w:numId w:val="1"/>
        </w:numPr>
        <w:shd w:val="clear" w:color="auto" w:fill="E2EFD9" w:themeFill="accent6" w:themeFillTint="33"/>
        <w:spacing w:before="0" w:line="276" w:lineRule="auto"/>
        <w:contextualSpacing w:val="0"/>
        <w:rPr>
          <w:lang w:val="en-GB"/>
        </w:rPr>
      </w:pPr>
      <w:r w:rsidRPr="00E04AD0">
        <w:rPr>
          <w:lang w:val="en-GB"/>
        </w:rPr>
        <w:t xml:space="preserve">Temporal Resolution </w:t>
      </w:r>
    </w:p>
    <w:p w14:paraId="5B5BB8A3" w14:textId="77777777" w:rsidR="00102EB3" w:rsidRPr="00E04AD0" w:rsidRDefault="00102EB3" w:rsidP="00A333DF">
      <w:pPr>
        <w:pStyle w:val="ListParagraph"/>
        <w:numPr>
          <w:ilvl w:val="0"/>
          <w:numId w:val="1"/>
        </w:numPr>
        <w:shd w:val="clear" w:color="auto" w:fill="E2EFD9" w:themeFill="accent6" w:themeFillTint="33"/>
        <w:spacing w:before="0" w:line="276" w:lineRule="auto"/>
        <w:contextualSpacing w:val="0"/>
        <w:rPr>
          <w:lang w:val="en-GB"/>
        </w:rPr>
      </w:pPr>
      <w:r w:rsidRPr="00E04AD0">
        <w:rPr>
          <w:lang w:val="en-GB"/>
        </w:rPr>
        <w:t>Sectoral Granularity</w:t>
      </w:r>
    </w:p>
    <w:p w14:paraId="68C72858" w14:textId="77777777" w:rsidR="00102EB3" w:rsidRPr="00E04AD0" w:rsidRDefault="00102EB3" w:rsidP="00A333DF">
      <w:pPr>
        <w:pStyle w:val="ListParagraph"/>
        <w:numPr>
          <w:ilvl w:val="0"/>
          <w:numId w:val="1"/>
        </w:numPr>
        <w:shd w:val="clear" w:color="auto" w:fill="E2EFD9" w:themeFill="accent6" w:themeFillTint="33"/>
        <w:spacing w:before="0" w:line="276" w:lineRule="auto"/>
        <w:contextualSpacing w:val="0"/>
        <w:rPr>
          <w:lang w:val="en-GB"/>
        </w:rPr>
      </w:pPr>
      <w:r w:rsidRPr="00E04AD0">
        <w:rPr>
          <w:lang w:val="en-GB"/>
        </w:rPr>
        <w:t xml:space="preserve">Regional Coverage </w:t>
      </w:r>
    </w:p>
    <w:p w14:paraId="3B639DB9" w14:textId="77777777" w:rsidR="00102EB3" w:rsidRPr="00E04AD0" w:rsidRDefault="00102EB3" w:rsidP="00A333DF">
      <w:pPr>
        <w:pStyle w:val="ListParagraph"/>
        <w:numPr>
          <w:ilvl w:val="0"/>
          <w:numId w:val="1"/>
        </w:numPr>
        <w:shd w:val="clear" w:color="auto" w:fill="E2EFD9" w:themeFill="accent6" w:themeFillTint="33"/>
        <w:spacing w:before="0" w:line="276" w:lineRule="auto"/>
        <w:contextualSpacing w:val="0"/>
        <w:rPr>
          <w:lang w:val="en-GB"/>
        </w:rPr>
      </w:pPr>
      <w:r w:rsidRPr="00E04AD0">
        <w:rPr>
          <w:lang w:val="en-GB"/>
        </w:rPr>
        <w:t xml:space="preserve">Time Horizon </w:t>
      </w:r>
    </w:p>
    <w:p w14:paraId="77A68F4E" w14:textId="77777777" w:rsidR="00102EB3" w:rsidRPr="00E04AD0" w:rsidRDefault="00102EB3" w:rsidP="00A333DF">
      <w:pPr>
        <w:pStyle w:val="ListParagraph"/>
        <w:numPr>
          <w:ilvl w:val="0"/>
          <w:numId w:val="1"/>
        </w:numPr>
        <w:shd w:val="clear" w:color="auto" w:fill="E2EFD9" w:themeFill="accent6" w:themeFillTint="33"/>
        <w:spacing w:before="0" w:line="276" w:lineRule="auto"/>
        <w:contextualSpacing w:val="0"/>
        <w:rPr>
          <w:lang w:val="en-GB"/>
        </w:rPr>
      </w:pPr>
      <w:r w:rsidRPr="00E04AD0">
        <w:rPr>
          <w:lang w:val="en-GB"/>
        </w:rPr>
        <w:t>Computational Ease</w:t>
      </w:r>
    </w:p>
    <w:p w14:paraId="4BD4A004" w14:textId="77777777" w:rsidR="00102EB3" w:rsidRPr="00E04AD0" w:rsidRDefault="00102EB3" w:rsidP="00A333DF">
      <w:pPr>
        <w:pStyle w:val="ListParagraph"/>
        <w:numPr>
          <w:ilvl w:val="0"/>
          <w:numId w:val="1"/>
        </w:numPr>
        <w:shd w:val="clear" w:color="auto" w:fill="E2EFD9" w:themeFill="accent6" w:themeFillTint="33"/>
        <w:spacing w:before="0" w:line="276" w:lineRule="auto"/>
        <w:contextualSpacing w:val="0"/>
        <w:rPr>
          <w:lang w:val="en-GB"/>
        </w:rPr>
      </w:pPr>
      <w:r w:rsidRPr="00E04AD0">
        <w:rPr>
          <w:lang w:val="en-GB"/>
        </w:rPr>
        <w:t xml:space="preserve">Uncertainty  </w:t>
      </w:r>
    </w:p>
    <w:p w14:paraId="370B9CE2" w14:textId="77777777" w:rsidR="00102EB3" w:rsidRPr="00E04AD0" w:rsidRDefault="00102EB3" w:rsidP="00A333DF">
      <w:pPr>
        <w:pStyle w:val="ListParagraph"/>
        <w:numPr>
          <w:ilvl w:val="0"/>
          <w:numId w:val="1"/>
        </w:numPr>
        <w:shd w:val="clear" w:color="auto" w:fill="E2EFD9" w:themeFill="accent6" w:themeFillTint="33"/>
        <w:spacing w:before="0" w:line="276" w:lineRule="auto"/>
        <w:contextualSpacing w:val="0"/>
        <w:rPr>
          <w:lang w:val="en-GB"/>
        </w:rPr>
      </w:pPr>
      <w:r w:rsidRPr="00E04AD0">
        <w:rPr>
          <w:lang w:val="en-GB"/>
        </w:rPr>
        <w:t xml:space="preserve">Heterogeneity  </w:t>
      </w:r>
    </w:p>
    <w:p w14:paraId="0B4715FB" w14:textId="77777777" w:rsidR="00A842CC" w:rsidRDefault="009C658C" w:rsidP="00A333DF">
      <w:pPr>
        <w:spacing w:line="276" w:lineRule="auto"/>
        <w:rPr>
          <w:lang w:val="en-GB"/>
        </w:rPr>
      </w:pPr>
      <w:r>
        <w:rPr>
          <w:lang w:val="en-GB"/>
        </w:rPr>
        <w:t xml:space="preserve">For our modelling feature review, we particularly focus on the </w:t>
      </w:r>
      <w:r w:rsidR="00B92AE2">
        <w:rPr>
          <w:lang w:val="en-GB"/>
        </w:rPr>
        <w:t xml:space="preserve">model specific </w:t>
      </w:r>
      <w:r>
        <w:rPr>
          <w:lang w:val="en-GB"/>
        </w:rPr>
        <w:t>documentation</w:t>
      </w:r>
      <w:r w:rsidR="00B92AE2">
        <w:rPr>
          <w:lang w:val="en-GB"/>
        </w:rPr>
        <w:t>s of models used to assess the cost of climate change, as well a</w:t>
      </w:r>
      <w:r w:rsidR="00044016">
        <w:rPr>
          <w:lang w:val="en-GB"/>
        </w:rPr>
        <w:t>s</w:t>
      </w:r>
      <w:r w:rsidR="00B92AE2">
        <w:rPr>
          <w:lang w:val="en-GB"/>
        </w:rPr>
        <w:t xml:space="preserve"> methodological review papers. </w:t>
      </w:r>
      <w:r w:rsidR="00D950FD">
        <w:rPr>
          <w:lang w:val="en-GB"/>
        </w:rPr>
        <w:t>For example</w:t>
      </w:r>
      <w:r w:rsidR="00A842CC">
        <w:rPr>
          <w:lang w:val="en-GB"/>
        </w:rPr>
        <w:t>:</w:t>
      </w:r>
    </w:p>
    <w:p w14:paraId="30DD8296" w14:textId="3C53BE56" w:rsidR="002D39A4" w:rsidRDefault="00D950FD" w:rsidP="001571AB">
      <w:pPr>
        <w:pStyle w:val="ListParagraph"/>
        <w:numPr>
          <w:ilvl w:val="0"/>
          <w:numId w:val="1"/>
        </w:numPr>
        <w:spacing w:line="276" w:lineRule="auto"/>
        <w:contextualSpacing w:val="0"/>
        <w:rPr>
          <w:lang w:val="en-GB"/>
        </w:rPr>
      </w:pPr>
      <w:r w:rsidRPr="001571AB">
        <w:rPr>
          <w:b/>
          <w:bCs/>
          <w:lang w:val="en-GB"/>
        </w:rPr>
        <w:t>CGE</w:t>
      </w:r>
      <w:r w:rsidR="001079A2" w:rsidRPr="002D39A4">
        <w:rPr>
          <w:lang w:val="en-GB"/>
        </w:rPr>
        <w:t xml:space="preserve"> models </w:t>
      </w:r>
      <w:r w:rsidRPr="002D39A4">
        <w:rPr>
          <w:lang w:val="en-GB"/>
        </w:rPr>
        <w:t xml:space="preserve">focused review papers: </w:t>
      </w:r>
      <w:r w:rsidR="00A27072" w:rsidRPr="002D39A4">
        <w:rPr>
          <w:lang w:val="en-GB"/>
        </w:rPr>
        <w:t>Wei and Aaheim (2022)</w:t>
      </w:r>
      <w:r w:rsidR="002E2204" w:rsidRPr="002D39A4">
        <w:rPr>
          <w:lang w:val="en-GB"/>
        </w:rPr>
        <w:fldChar w:fldCharType="begin"/>
      </w:r>
      <w:r w:rsidR="00D27FA2" w:rsidRPr="002D39A4">
        <w:rPr>
          <w:lang w:val="en-GB"/>
        </w:rPr>
        <w:instrText xml:space="preserve"> ADDIN ZOTERO_ITEM CSL_CITATION {"citationID":"gpiV3URG","properties":{"formattedCitation":"\\super 5\\nosupersub{}","plainCitation":"5","noteIndex":0},"citationItems":[{"id":3434,"uris":["http://zotero.org/users/4065690/items/46GXSRF8"],"itemData":{"id":3434,"type":"article-journal","abstract":"This study aims to identify the current state of the art and the gaps in the application of computable general equilibrium (CGE) models on studying cl…","container-title":"International Journal of Climate Change Strategies and Management","DOI":"10.1108/IJCCSM-03-2022-0031","ISSN":"1756-8692","issue":"4","language":"en-US","page":"561-576","source":"www.sciencedirect.com","title":"Climate change adaptation based on computable general equilibrium models – a systematic review","volume":"15","author":[{"family":"Wei","given":"T.","suffix":""},{"family":"Aaheim","given":"A."}],"issued":{"date-parts":[["2022",10,13]]}}}],"schema":"https://github.com/citation-style-language/schema/raw/master/csl-citation.json"} </w:instrText>
      </w:r>
      <w:r w:rsidR="002E2204" w:rsidRPr="002D39A4">
        <w:rPr>
          <w:lang w:val="en-GB"/>
        </w:rPr>
        <w:fldChar w:fldCharType="separate"/>
      </w:r>
      <w:r w:rsidR="002E2204" w:rsidRPr="002D39A4">
        <w:rPr>
          <w:rFonts w:cs="Times New Roman"/>
          <w:vertAlign w:val="superscript"/>
        </w:rPr>
        <w:t>5</w:t>
      </w:r>
      <w:r w:rsidR="002E2204" w:rsidRPr="002D39A4">
        <w:rPr>
          <w:lang w:val="en-GB"/>
        </w:rPr>
        <w:fldChar w:fldCharType="end"/>
      </w:r>
      <w:r w:rsidR="00A27072" w:rsidRPr="002D39A4">
        <w:rPr>
          <w:lang w:val="en-GB"/>
        </w:rPr>
        <w:t xml:space="preserve">, </w:t>
      </w:r>
      <w:r w:rsidR="0093553F" w:rsidRPr="002D39A4">
        <w:rPr>
          <w:lang w:val="en-GB"/>
        </w:rPr>
        <w:t>Babatunde et al. (2017)</w:t>
      </w:r>
      <w:r w:rsidR="0093553F" w:rsidRPr="002D39A4">
        <w:rPr>
          <w:lang w:val="en-GB"/>
        </w:rPr>
        <w:fldChar w:fldCharType="begin"/>
      </w:r>
      <w:r w:rsidR="00065A37">
        <w:rPr>
          <w:lang w:val="en-GB"/>
        </w:rPr>
        <w:instrText xml:space="preserve"> ADDIN ZOTERO_ITEM CSL_CITATION {"citationID":"NaKbA9DI","properties":{"formattedCitation":"\\super 6\\nosupersub{}","plainCitation":"6","noteIndex":0},"citationItems":[{"id":3423,"uris":["http://zotero.org/users/4065690/items/C8IUEDLE","http://zotero.org/users/4065690/items/MVPUGRMC"],"itemData":{"id":3423,"type":"article-journal","abstract":"With the growing literature related to climate change mitigation measures and policy interventions, a systematic review of the application of computable general equilibrium (CGE) model is inevitable. Therefore, this article aims to characterise the relevant studies, define a comparative framework to identify the current state-of-the-art and the gaps in applied general equilibrium models. Firstly, the systematic review found a total of 301 research articles from Scopus and Web of Science databases and finally analysed 154 articles based on inclusion and exclusion criteria from 67 refereed journals. The review analysis found that application of CGE model is very vital in addressing climate change mitigation issues at the national, regional and global levels. However, China attracted the most substantial research interests followed by the USA, India and Australia, among others, which are in line with their share of greenhouse gas emissions in the world. Most of the research themes focus on the carbon tax, emission reduction target, emission trading, renewable energy, energy efficiency, and carbon capture and storage as primary drivers of low carbon economy. Nevertheless, there is a trend of employing more static CGE model compared to the dynamic CGE, although application of the latter has a limitation of providing right inputs to the macroeconomic policy. Finally, research directions and gaps envision other complementary models such as dynamic stochastic general equilibrium (DSGE) and agent-based model (ABM) for proper policy interventions.","container-title":"Renewable and Sustainable Energy Reviews","DOI":"10.1016/j.rser.2017.04.064","ISSN":"1364-0321","journalAbbreviation":"Renewable and Sustainable Energy Reviews","page":"61-71","source":"ScienceDirect","title":"Application of computable general equilibrium (CGE) to climate change mitigation policy: A systematic review","title-short":"Application of computable general equilibrium (CGE) to climate change mitigation policy","volume":"78","author":[{"family":"Babatunde","given":"Kazeem Alasinrin"},{"family":"Begum","given":"Rawshan Ara"},{"family":"Said","given":"Fathin Faizah"}],"issued":{"date-parts":[["2017",10,1]]}}}],"schema":"https://github.com/citation-style-language/schema/raw/master/csl-citation.json"} </w:instrText>
      </w:r>
      <w:r w:rsidR="0093553F" w:rsidRPr="002D39A4">
        <w:rPr>
          <w:lang w:val="en-GB"/>
        </w:rPr>
        <w:fldChar w:fldCharType="separate"/>
      </w:r>
      <w:r w:rsidR="0093553F" w:rsidRPr="002D39A4">
        <w:rPr>
          <w:rFonts w:cs="Times New Roman"/>
          <w:vertAlign w:val="superscript"/>
        </w:rPr>
        <w:t>6</w:t>
      </w:r>
      <w:r w:rsidR="0093553F" w:rsidRPr="002D39A4">
        <w:rPr>
          <w:lang w:val="en-GB"/>
        </w:rPr>
        <w:fldChar w:fldCharType="end"/>
      </w:r>
      <w:r w:rsidR="0093553F" w:rsidRPr="002D39A4">
        <w:rPr>
          <w:lang w:val="en-GB"/>
        </w:rPr>
        <w:t xml:space="preserve">, </w:t>
      </w:r>
      <w:r w:rsidR="009E7431" w:rsidRPr="002D39A4">
        <w:rPr>
          <w:lang w:val="en-GB"/>
        </w:rPr>
        <w:t>Ghaith et al. (2021)</w:t>
      </w:r>
      <w:r w:rsidR="009262DB" w:rsidRPr="002D39A4">
        <w:rPr>
          <w:lang w:val="en-GB"/>
        </w:rPr>
        <w:fldChar w:fldCharType="begin"/>
      </w:r>
      <w:r w:rsidR="009262DB" w:rsidRPr="002D39A4">
        <w:rPr>
          <w:lang w:val="en-GB"/>
        </w:rPr>
        <w:instrText xml:space="preserve"> ADDIN ZOTERO_ITEM CSL_CITATION {"citationID":"knePCzXp","properties":{"formattedCitation":"\\super 7\\nosupersub{}","plainCitation":"7","noteIndex":0},"citationItems":[{"id":3421,"uris":["http://zotero.org/users/4065690/items/EGIGHDZJ"],"itemData":{"id":3421,"type":"article-journal","abstract":"Computable General Equilibrium (CGE) models are very popular for analyzing a wide range of policy issues. CGE applications vary from estimating the welfare impact of tax reform and alternative energy policies to the effect of foreign trade reforms, labour markets and employment. CGE models are commonly developed at the country level; however, modified versions of CGE, so called Regional CGE (RCGE) models, can be used at subnational disaggregation to examine impacts studied at the national counterparts on a specific region. RCGE models have grown in popularity as an alternative to the Input-Output (I-O) models, which are regularly used for regional analysis. RCGE models can provide comprehensive information, which make them more desirable analytical models for many researchers. Yet, RCGE models have not yet become a “go-to” for governmental policy practitioners when they are developing regional public policies. This paper reviews the current state of regional CGE models, describes their features, contributions and limitations and surveys some applications of the main three classes of RCGE models: region-specific, bottom-up, and top-down models. This paper concludes that the applications of RCGE are quite variable and flexible, with a new and more complex type of application to be developed with the advancement of computation economics. The paper offers recommendations on the micro, meso and macro conditions that are necessary to increase policy practitioners’ utilization of RCGE models.","container-title":"Journal of Policy Modeling","DOI":"10.1016/j.jpolmod.2021.03.005","ISSN":"0161-8938","issue":"3","journalAbbreviation":"Journal of Policy Modeling","page":"710-724","source":"ScienceDirect","title":"Regional Computable General Equilibrium models: A review","title-short":"Regional Computable General Equilibrium models","volume":"43","author":[{"family":"Ghaith","given":"Ziad"},{"family":"Kulshreshtha","given":"Suren"},{"family":"Natcher","given":"David"},{"family":"Cameron","given":"Bobby Thomas"}],"issued":{"date-parts":[["2021",5,1]]}}}],"schema":"https://github.com/citation-style-language/schema/raw/master/csl-citation.json"} </w:instrText>
      </w:r>
      <w:r w:rsidR="009262DB" w:rsidRPr="002D39A4">
        <w:rPr>
          <w:lang w:val="en-GB"/>
        </w:rPr>
        <w:fldChar w:fldCharType="separate"/>
      </w:r>
      <w:r w:rsidR="009262DB" w:rsidRPr="002D39A4">
        <w:rPr>
          <w:rFonts w:cs="Times New Roman"/>
          <w:vertAlign w:val="superscript"/>
        </w:rPr>
        <w:t>7</w:t>
      </w:r>
      <w:r w:rsidR="009262DB" w:rsidRPr="002D39A4">
        <w:rPr>
          <w:lang w:val="en-GB"/>
        </w:rPr>
        <w:fldChar w:fldCharType="end"/>
      </w:r>
      <w:r w:rsidR="009262DB" w:rsidRPr="002D39A4">
        <w:rPr>
          <w:lang w:val="en-GB"/>
        </w:rPr>
        <w:t>,</w:t>
      </w:r>
      <w:r w:rsidR="0093368F" w:rsidRPr="002D39A4">
        <w:rPr>
          <w:lang w:val="en-GB"/>
        </w:rPr>
        <w:t xml:space="preserve"> and</w:t>
      </w:r>
      <w:r w:rsidR="009262DB" w:rsidRPr="002D39A4">
        <w:rPr>
          <w:lang w:val="en-GB"/>
        </w:rPr>
        <w:t xml:space="preserve"> </w:t>
      </w:r>
      <w:proofErr w:type="spellStart"/>
      <w:r w:rsidR="00BE7F39" w:rsidRPr="002D39A4">
        <w:rPr>
          <w:lang w:val="en-GB"/>
        </w:rPr>
        <w:t>F</w:t>
      </w:r>
      <w:r w:rsidR="000006B4" w:rsidRPr="002D39A4">
        <w:rPr>
          <w:lang w:val="en-GB"/>
        </w:rPr>
        <w:t>abregat</w:t>
      </w:r>
      <w:proofErr w:type="spellEnd"/>
      <w:r w:rsidR="000006B4" w:rsidRPr="002D39A4">
        <w:rPr>
          <w:lang w:val="en-GB"/>
        </w:rPr>
        <w:t>-Aibar et al. (2022)</w:t>
      </w:r>
      <w:r w:rsidR="007E727C" w:rsidRPr="002D39A4">
        <w:rPr>
          <w:lang w:val="en-GB"/>
        </w:rPr>
        <w:fldChar w:fldCharType="begin"/>
      </w:r>
      <w:r w:rsidR="007E727C" w:rsidRPr="002D39A4">
        <w:rPr>
          <w:lang w:val="en-GB"/>
        </w:rPr>
        <w:instrText xml:space="preserve"> ADDIN ZOTERO_ITEM CSL_CITATION {"citationID":"gq6l5Iol","properties":{"formattedCitation":"\\super 8\\nosupersub{}","plainCitation":"8","noteIndex":0},"citationItems":[{"id":2914,"uris":["http://zotero.org/users/4065690/items/M5PMHRH2"],"itemData":{"id":2914,"type":"article-journal","abstract":"Computable general equilibrium models (CGE) are used to estimate the ex-ante quantitative impact of a change in economic policy. There is a bulk of research in the field of sustainable development applying it for testing implementation of carbon taxation, analyzing reductions of greenhouse gas (GHG), or addressing agricultural issues to work the land efficiently. The main objective of this review is to provide an exhaustive analysis of the literature about these models and their evolution over the last 50 years. The search was conducted in the main academic databases (Scopus and Web of Science), where 1353 articles were found from 1966 to 2019 related to the topic. The results of the descriptives, relational, and content analyses carried out show the current state of the-art, trends, subfields of research, and future gaps to fulfill. This article contributes to the literature that uses CGE models providing an overview of its different applications in the field of sustainability. It gives useful insights to academics who want to further research the field.","container-title":"Environmental Science and Pollution Research","DOI":"10.1007/s11356-021-18030-z","ISSN":"1614-7499","issue":"26","journalAbbreviation":"Environ Sci Pollut Res","language":"en","page":"38972-38984","source":"Springer Link","title":"Computable general equilibrium models for sustainable development: past and future","title-short":"Computable general equilibrium models for sustainable development","volume":"29","author":[{"family":"Fabregat-Aibar","given":"Laura"},{"family":"Niñerola","given":"Angels"},{"family":"Pié","given":"Laia"}],"issued":{"date-parts":[["2022",6,1]]}}}],"schema":"https://github.com/citation-style-language/schema/raw/master/csl-citation.json"} </w:instrText>
      </w:r>
      <w:r w:rsidR="007E727C" w:rsidRPr="002D39A4">
        <w:rPr>
          <w:lang w:val="en-GB"/>
        </w:rPr>
        <w:fldChar w:fldCharType="separate"/>
      </w:r>
      <w:r w:rsidR="007E727C" w:rsidRPr="002D39A4">
        <w:rPr>
          <w:rFonts w:cs="Times New Roman"/>
          <w:vertAlign w:val="superscript"/>
        </w:rPr>
        <w:t>8</w:t>
      </w:r>
      <w:r w:rsidR="007E727C" w:rsidRPr="002D39A4">
        <w:rPr>
          <w:lang w:val="en-GB"/>
        </w:rPr>
        <w:fldChar w:fldCharType="end"/>
      </w:r>
      <w:r w:rsidR="007E727C" w:rsidRPr="002D39A4">
        <w:rPr>
          <w:lang w:val="en-GB"/>
        </w:rPr>
        <w:t>.</w:t>
      </w:r>
    </w:p>
    <w:p w14:paraId="36972585" w14:textId="05DA5251" w:rsidR="002D39A4" w:rsidRDefault="003511EE" w:rsidP="001571AB">
      <w:pPr>
        <w:pStyle w:val="ListParagraph"/>
        <w:numPr>
          <w:ilvl w:val="0"/>
          <w:numId w:val="1"/>
        </w:numPr>
        <w:spacing w:line="276" w:lineRule="auto"/>
        <w:contextualSpacing w:val="0"/>
        <w:rPr>
          <w:lang w:val="en-GB"/>
        </w:rPr>
      </w:pPr>
      <w:r w:rsidRPr="001571AB">
        <w:rPr>
          <w:b/>
          <w:bCs/>
          <w:lang w:val="en-GB"/>
        </w:rPr>
        <w:t>Input-Output</w:t>
      </w:r>
      <w:r w:rsidRPr="002D39A4">
        <w:rPr>
          <w:lang w:val="en-GB"/>
        </w:rPr>
        <w:t xml:space="preserve"> model</w:t>
      </w:r>
      <w:r w:rsidR="001079A2" w:rsidRPr="002D39A4">
        <w:rPr>
          <w:lang w:val="en-GB"/>
        </w:rPr>
        <w:t>s</w:t>
      </w:r>
      <w:r w:rsidRPr="002D39A4">
        <w:rPr>
          <w:lang w:val="en-GB"/>
        </w:rPr>
        <w:t xml:space="preserve"> </w:t>
      </w:r>
      <w:r w:rsidR="002F7B07" w:rsidRPr="002D39A4">
        <w:rPr>
          <w:lang w:val="en-GB"/>
        </w:rPr>
        <w:t>focused</w:t>
      </w:r>
      <w:r w:rsidRPr="002D39A4">
        <w:rPr>
          <w:lang w:val="en-GB"/>
        </w:rPr>
        <w:t xml:space="preserve"> review paper</w:t>
      </w:r>
      <w:r w:rsidR="002F7B07" w:rsidRPr="002D39A4">
        <w:rPr>
          <w:lang w:val="en-GB"/>
        </w:rPr>
        <w:t>s</w:t>
      </w:r>
      <w:r w:rsidRPr="002D39A4">
        <w:rPr>
          <w:lang w:val="en-GB"/>
        </w:rPr>
        <w:t xml:space="preserve">: </w:t>
      </w:r>
      <w:proofErr w:type="spellStart"/>
      <w:r w:rsidR="007E76F3" w:rsidRPr="002D39A4">
        <w:rPr>
          <w:lang w:val="en-GB"/>
        </w:rPr>
        <w:t>Galbusera</w:t>
      </w:r>
      <w:proofErr w:type="spellEnd"/>
      <w:r w:rsidR="007E76F3" w:rsidRPr="002D39A4">
        <w:rPr>
          <w:lang w:val="en-GB"/>
        </w:rPr>
        <w:t xml:space="preserve"> and Giannopoulos (</w:t>
      </w:r>
      <w:r w:rsidR="002041E1" w:rsidRPr="002D39A4">
        <w:rPr>
          <w:lang w:val="en-GB"/>
        </w:rPr>
        <w:t>2018</w:t>
      </w:r>
      <w:r w:rsidR="007E76F3" w:rsidRPr="002D39A4">
        <w:rPr>
          <w:lang w:val="en-GB"/>
        </w:rPr>
        <w:t>)</w:t>
      </w:r>
      <w:r w:rsidR="002041E1" w:rsidRPr="002D39A4">
        <w:rPr>
          <w:lang w:val="en-GB"/>
        </w:rPr>
        <w:fldChar w:fldCharType="begin"/>
      </w:r>
      <w:r w:rsidR="002041E1" w:rsidRPr="002D39A4">
        <w:rPr>
          <w:lang w:val="en-GB"/>
        </w:rPr>
        <w:instrText xml:space="preserve"> ADDIN ZOTERO_ITEM CSL_CITATION {"citationID":"8wzbhj3V","properties":{"formattedCitation":"\\super 9\\nosupersub{}","plainCitation":"9","noteIndex":0},"citationItems":[{"id":3411,"uris":["http://zotero.org/users/4065690/items/TAD282MS"],"itemData":{"id":3411,"type":"article-journal","abstract":"During the last decades, input-output (I/O) economic models have assumed a prominent role in disaster impact analysis and resilience assessment. Rooted in general equilibrium theory and economic production theory, they catalyse attention on the distinction between direct economic losses and ripple effects that may be generated inside a multi-industry system as a consequence of perturbations. Empowering the I/O analysis framework and overcoming some of its inherent limitations is crucial in order to successfully approach emerging disaster assessment challenges, such as multi-regional loss quantification and the investigation of shock responses in global supply chains. In this paper, we review and discuss how different disaster modeling aspects have been incorporated in recent contributions exploiting I/O techniques, taking into account both demand- and supply-sided perturbation triggers, static and dynamic representations, as well as the assessment of economic resilience.","collection-title":"Understanding and mitigating cascading crises in the global interconnected system","container-title":"International Journal of Disaster Risk Reduction","DOI":"10.1016/j.ijdrr.2018.04.030","ISSN":"2212-4209","journalAbbreviation":"International Journal of Disaster Risk Reduction","page":"186-198","source":"ScienceDirect","title":"On input-output economic models in disaster impact assessment","volume":"30","author":[{"family":"Galbusera","given":"Luca"},{"family":"Giannopoulos","given":"Georgios"}],"issued":{"date-parts":[["2018",9,1]]}}}],"schema":"https://github.com/citation-style-language/schema/raw/master/csl-citation.json"} </w:instrText>
      </w:r>
      <w:r w:rsidR="002041E1" w:rsidRPr="002D39A4">
        <w:rPr>
          <w:lang w:val="en-GB"/>
        </w:rPr>
        <w:fldChar w:fldCharType="separate"/>
      </w:r>
      <w:r w:rsidR="002041E1" w:rsidRPr="00D27406">
        <w:rPr>
          <w:rFonts w:cs="Times New Roman"/>
          <w:vertAlign w:val="superscript"/>
          <w:lang w:val="en-US"/>
        </w:rPr>
        <w:t>9</w:t>
      </w:r>
      <w:r w:rsidR="002041E1" w:rsidRPr="002D39A4">
        <w:rPr>
          <w:lang w:val="en-GB"/>
        </w:rPr>
        <w:fldChar w:fldCharType="end"/>
      </w:r>
      <w:r w:rsidR="004D7602" w:rsidRPr="002D39A4">
        <w:rPr>
          <w:lang w:val="en-GB"/>
        </w:rPr>
        <w:t>, Botzen et</w:t>
      </w:r>
      <w:r w:rsidR="00E93822" w:rsidRPr="002D39A4">
        <w:rPr>
          <w:lang w:val="en-GB"/>
        </w:rPr>
        <w:t xml:space="preserve"> al. (2019)</w:t>
      </w:r>
      <w:r w:rsidR="00E93822" w:rsidRPr="002D39A4">
        <w:rPr>
          <w:lang w:val="en-GB"/>
        </w:rPr>
        <w:fldChar w:fldCharType="begin"/>
      </w:r>
      <w:r w:rsidR="00E93822" w:rsidRPr="002D39A4">
        <w:rPr>
          <w:lang w:val="en-GB"/>
        </w:rPr>
        <w:instrText xml:space="preserve"> ADDIN ZOTERO_ITEM CSL_CITATION {"citationID":"HYXcP6pd","properties":{"formattedCitation":"\\super 10\\nosupersub{}","plainCitation":"10","noteIndex":0},"citationItems":[{"id":2831,"uris":["http://zotero.org/users/4065690/items/338MEX2Q"],"itemData":{"id":2831,"type":"article-journal","abstract":"Economic losses from natural disasters have been increasing in recent decades. This has been attributed mainly to population and economic growth in disaster-prone areas. Future natural disaster losses are expected to increase due to a continued increase in economic exposure and climate change. This highlights the importance of designing policies that can mitigate the impacts of these disasters on the economy and society. A rapidly expanding literature has estimated the direct (e.g., property damage) and indirect (e.g., gross domestic product growth, trade) economic impacts of natural disasters. This article reviews this emerging literature. We synthesize the main theoretical, computational, and empirical methods used, summarize key findings on the economic impacts of natural disasters, and discuss factors that have been found to mitigate disaster impacts. We conclude by identifying lessons for policymakers and outlining an agenda for future research in this field.","container-title":"Review of Environmental Economics and Policy","DOI":"10.1093/reep/rez004","ISSN":"1750-6816","issue":"2","note":"publisher: The University of Chicago Press","page":"167-188","source":"journals.uchicago.edu (Atypon)","title":"The Economic Impacts of Natural Disasters: A Review of Models and                         Empirical Studies","title-short":"The Economic Impacts of Natural Disasters","volume":"13","author":[{"family":"Botzen","given":"W. J. Wouter"},{"family":"Deschenes","given":"Olivier"},{"family":"Sanders","given":"Mark"}],"issued":{"date-parts":[["2019",7]]}}}],"schema":"https://github.com/citation-style-language/schema/raw/master/csl-citation.json"} </w:instrText>
      </w:r>
      <w:r w:rsidR="00E93822" w:rsidRPr="002D39A4">
        <w:rPr>
          <w:lang w:val="en-GB"/>
        </w:rPr>
        <w:fldChar w:fldCharType="separate"/>
      </w:r>
      <w:r w:rsidR="00E93822" w:rsidRPr="002D39A4">
        <w:rPr>
          <w:rFonts w:cs="Times New Roman"/>
          <w:vertAlign w:val="superscript"/>
        </w:rPr>
        <w:t>10</w:t>
      </w:r>
      <w:r w:rsidR="00E93822" w:rsidRPr="002D39A4">
        <w:rPr>
          <w:lang w:val="en-GB"/>
        </w:rPr>
        <w:fldChar w:fldCharType="end"/>
      </w:r>
      <w:r w:rsidR="00803504" w:rsidRPr="002D39A4">
        <w:rPr>
          <w:lang w:val="en-GB"/>
        </w:rPr>
        <w:t xml:space="preserve">, </w:t>
      </w:r>
      <w:r w:rsidR="00CF6FCC" w:rsidRPr="002D39A4">
        <w:rPr>
          <w:lang w:val="en-GB"/>
        </w:rPr>
        <w:t>Clouse et al. (2</w:t>
      </w:r>
      <w:r w:rsidR="007677C3" w:rsidRPr="002D39A4">
        <w:rPr>
          <w:lang w:val="en-GB"/>
        </w:rPr>
        <w:t>023</w:t>
      </w:r>
      <w:r w:rsidR="00CF6FCC" w:rsidRPr="002D39A4">
        <w:rPr>
          <w:lang w:val="en-GB"/>
        </w:rPr>
        <w:t>)</w:t>
      </w:r>
      <w:r w:rsidR="009E4799" w:rsidRPr="002D39A4">
        <w:rPr>
          <w:lang w:val="en-GB"/>
        </w:rPr>
        <w:fldChar w:fldCharType="begin"/>
      </w:r>
      <w:r w:rsidR="009E4799" w:rsidRPr="002D39A4">
        <w:rPr>
          <w:lang w:val="en-GB"/>
        </w:rPr>
        <w:instrText xml:space="preserve"> ADDIN ZOTERO_ITEM CSL_CITATION {"citationID":"YrXpvLml","properties":{"formattedCitation":"\\super 11\\nosupersub{}","plainCitation":"11","noteIndex":0},"citationItems":[{"id":3437,"uris":["http://zotero.org/users/4065690/items/X3C7MDPU"],"itemData":{"id":3437,"type":"article-journal","abstract":"Input-output economics, commonly referred to as economic impact analysis, is a common methodology to examine changes in local, regional, and national economies. Social Accounting Matrix (SAM) models are a more comprehensive form of input-output (I-O) models, though the term “I-O model” is frequently used to describe both. These models are used for a wide variety of purposes but are most often used for economic impact and economic contribution analysis. The field is brimming with studies by analysts with a loose understanding of the method to those following strict academic rigor. This paper outlines the best practices in conducting economic impact and contribution analysis to set standards for conducting these analyses. Using a thorough review of the literature and examining best practices from the field, a list of recommendations for conducting a robust economic impact and contribution analysis will be presented. It will include understanding model assumptions, analysis framing and methodology recommendations, and interpretation of results. This includes considerations when choosing a region of study, what type of event to examine, which values to include and exclude, using margins, when there is a need for a net analysis, how to accurately report results, and understanding reasonable multipliers.","container-title":"Journal of Regional Analysis and Policy","issue":"2","language":"en","note":"publisher: Mid-Continent Regional Science Association","source":"ideas.repec.org","title":"Impact Factors: Methodological Standards for Applied Input-Output Analysis","title-short":"Impact Factors","URL":"https://ideas.repec.org//a/ags/jrapmc/339975.html","volume":"53","author":[{"family":"Clouse","given":"Candi"},{"family":"Thorvaldson","given":"Jenny"},{"family":"Jolley","given":"G. Jason"}],"accessed":{"date-parts":[["2025",6,27]]},"issued":{"date-parts":[["2023"]]}}}],"schema":"https://github.com/citation-style-language/schema/raw/master/csl-citation.json"} </w:instrText>
      </w:r>
      <w:r w:rsidR="009E4799" w:rsidRPr="002D39A4">
        <w:rPr>
          <w:lang w:val="en-GB"/>
        </w:rPr>
        <w:fldChar w:fldCharType="separate"/>
      </w:r>
      <w:r w:rsidR="009E4799" w:rsidRPr="002D39A4">
        <w:rPr>
          <w:rFonts w:cs="Times New Roman"/>
          <w:vertAlign w:val="superscript"/>
        </w:rPr>
        <w:t>11</w:t>
      </w:r>
      <w:r w:rsidR="009E4799" w:rsidRPr="002D39A4">
        <w:rPr>
          <w:lang w:val="en-GB"/>
        </w:rPr>
        <w:fldChar w:fldCharType="end"/>
      </w:r>
      <w:r w:rsidR="00980C07" w:rsidRPr="002D39A4">
        <w:rPr>
          <w:lang w:val="en-GB"/>
        </w:rPr>
        <w:t>, Sun et al. (</w:t>
      </w:r>
      <w:r w:rsidR="0030510D" w:rsidRPr="002D39A4">
        <w:rPr>
          <w:lang w:val="en-GB"/>
        </w:rPr>
        <w:t>2018</w:t>
      </w:r>
      <w:r w:rsidR="00980C07" w:rsidRPr="002D39A4">
        <w:rPr>
          <w:lang w:val="en-GB"/>
        </w:rPr>
        <w:t>)</w:t>
      </w:r>
      <w:r w:rsidR="0038594F" w:rsidRPr="002D39A4">
        <w:rPr>
          <w:lang w:val="en-GB"/>
        </w:rPr>
        <w:fldChar w:fldCharType="begin"/>
      </w:r>
      <w:r w:rsidR="0038594F" w:rsidRPr="002D39A4">
        <w:rPr>
          <w:lang w:val="en-GB"/>
        </w:rPr>
        <w:instrText xml:space="preserve"> ADDIN ZOTERO_ITEM CSL_CITATION {"citationID":"PEMllOEg","properties":{"formattedCitation":"\\super 12\\nosupersub{}","plainCitation":"12","noteIndex":0},"citationItems":[{"id":3438,"uris":["http://zotero.org/users/4065690/items/X4QC288W"],"itemData":{"id":3438,"type":"article-journal","abstract":", Environmentally\nExtended Input–Output Databases (EEIOs)\nprovide an effective tool for assessing environmental impacts around\nthe world. These databases have yielded many scientific and policy\nrelevant insights, especially through the national accounting of impacts\nembodied in trade. However, most approaches average out the spatial\nvariation in different factors, usually at the level of the nation,\nbut sometimes at the subnational level. It is a natural next step\nto connect trade with local environmental impacts and local consumption.\nDue to investments in earth observation many new data sets are now\navailable, offering a huge potential for coupling environmental data\nsets with economic models such as Multi-Region Input–Output\n(MRIO) models. A key tool for linking these scales are Spatially Explicit\nInput–Output (SIO) models, which provide both demand and supply\nperspectives by linking producers and consumers. Here we define an\nSIO model as a model having a resolution greater than the underlying\ninput–output transaction matrix. Given the increasing interest\nin this approach, we present a timely review of the methods used,\ninsights gained, and limitations of various approaches for integrating\nspatial data in input–output modeling. We highlight the evolution\nof these approaches, and review the methodological approaches used\nin SIO models so far. We investigate the temporal and spatial resolution\nof such approaches and analyze the general advantages and limitations\nof the modeling framework. Finally, we make suggestions for the future\ndevelopment of SIO models.","container-title":"Environmental Science &amp; Technology","DOI":"10.1021/acs.est.8b03148","ISSN":"0013-936X","issue":"3","journalAbbreviation":"Environ Sci Technol","note":"PMID: 30525491\nPMCID: PMC6391040","page":"1048-1062","source":"PubMed Central","title":"Going Global to Local: Connecting Top-Down Accounting and Local Impacts, A Methodological Review of Spatially Explicit Input–Output Approaches","title-short":"Going Global to Local","volume":"53","author":[{"family":"Sun","given":"Zhongxiao"},{"family":"Tukker","given":"Arnold"},{"family":"Behrens","given":"Paul"}],"issued":{"date-parts":[["2019",2,5]]}}}],"schema":"https://github.com/citation-style-language/schema/raw/master/csl-citation.json"} </w:instrText>
      </w:r>
      <w:r w:rsidR="0038594F" w:rsidRPr="002D39A4">
        <w:rPr>
          <w:lang w:val="en-GB"/>
        </w:rPr>
        <w:fldChar w:fldCharType="separate"/>
      </w:r>
      <w:r w:rsidR="0038594F" w:rsidRPr="002D39A4">
        <w:rPr>
          <w:rFonts w:cs="Times New Roman"/>
          <w:vertAlign w:val="superscript"/>
        </w:rPr>
        <w:t>12</w:t>
      </w:r>
      <w:r w:rsidR="0038594F" w:rsidRPr="002D39A4">
        <w:rPr>
          <w:lang w:val="en-GB"/>
        </w:rPr>
        <w:fldChar w:fldCharType="end"/>
      </w:r>
      <w:r w:rsidR="00BF7E28">
        <w:rPr>
          <w:lang w:val="en-GB"/>
        </w:rPr>
        <w:t>, Wiedmann (2009)</w:t>
      </w:r>
      <w:r w:rsidR="00065A37">
        <w:rPr>
          <w:lang w:val="en-GB"/>
        </w:rPr>
        <w:fldChar w:fldCharType="begin"/>
      </w:r>
      <w:r w:rsidR="00065A37">
        <w:rPr>
          <w:lang w:val="en-GB"/>
        </w:rPr>
        <w:instrText xml:space="preserve"> ADDIN ZOTERO_ITEM CSL_CITATION {"citationID":"ckv2FUoc","properties":{"formattedCitation":"\\super 13\\nosupersub{}","plainCitation":"13","noteIndex":0},"citationItems":[{"id":3427,"uris":["http://zotero.org/users/4065690/items/6DWRCJ3Z"],"itemData":{"id":3427,"type":"article-journal","abstract":"The interest in consumption-based emission and resource accounting has grown significantly. Many studies juxtapose consumer emissions (carbon footprint) and producer (territorial) emissions of greenhouse gases in order to demonstrate the effects of trade on the national emission budget. To this end, a respectable number of studies have been undertaken worldwide in order to estimate emissions embedded in international trade of numerous countries and world regions. Input–output approaches, and increasingly multi-region input–output (MRIO) models, are commonly chosen as they provide an appropriate methodological framework for complete carbon footprint estimates at the national and supra-national level. With increasing processing capabilities of computers and a wider availability of economic accounts, environmental accounts and trade data such models are now being implemented on a wide scale. After a brief overview of salient single-region input–output studies I provide an in-depth review of the most recent multi-region input–output models used for the purpose of consumption-based environmental accounting. The main methodological features and important results are described for around twenty studies covering the years 2007 to 2009. This is followed by a detailed review of studies dealing with uncertainty in MRIO analysis, an area which has not received a lot of attention so far. I conclude that further research is mainly needed in two areas, a) improvements in data availability and quality and b) improvements in the accuracy of MRIO modelling.","collection-title":"Special Section: Analyzing the global human appropriation of net primary production - processes, trajectories, implications","container-title":"Ecological Economics","DOI":"10.1016/j.ecolecon.2009.08.026","ISSN":"0921-8009","issue":"2","journalAbbreviation":"Ecological Economics","page":"211-222","source":"ScienceDirect","title":"A review of recent multi-region input–output models used for consumption-based emission and resource accounting","volume":"69","author":[{"family":"Wiedmann","given":"Thomas"}],"issued":{"date-parts":[["2009",12,15]]}}}],"schema":"https://github.com/citation-style-language/schema/raw/master/csl-citation.json"} </w:instrText>
      </w:r>
      <w:r w:rsidR="00065A37">
        <w:rPr>
          <w:lang w:val="en-GB"/>
        </w:rPr>
        <w:fldChar w:fldCharType="separate"/>
      </w:r>
      <w:r w:rsidR="00065A37" w:rsidRPr="00065A37">
        <w:rPr>
          <w:rFonts w:cs="Times New Roman"/>
          <w:vertAlign w:val="superscript"/>
        </w:rPr>
        <w:t>13</w:t>
      </w:r>
      <w:r w:rsidR="00065A37">
        <w:rPr>
          <w:lang w:val="en-GB"/>
        </w:rPr>
        <w:fldChar w:fldCharType="end"/>
      </w:r>
      <w:r w:rsidR="0030510D" w:rsidRPr="002D39A4">
        <w:rPr>
          <w:lang w:val="en-GB"/>
        </w:rPr>
        <w:t xml:space="preserve">. </w:t>
      </w:r>
    </w:p>
    <w:p w14:paraId="52D156FB" w14:textId="3C7F4B0C" w:rsidR="002D39A4" w:rsidRDefault="003E3F07" w:rsidP="001571AB">
      <w:pPr>
        <w:pStyle w:val="ListParagraph"/>
        <w:numPr>
          <w:ilvl w:val="0"/>
          <w:numId w:val="1"/>
        </w:numPr>
        <w:spacing w:line="276" w:lineRule="auto"/>
        <w:contextualSpacing w:val="0"/>
        <w:rPr>
          <w:lang w:val="en-GB"/>
        </w:rPr>
      </w:pPr>
      <w:r w:rsidRPr="001571AB">
        <w:rPr>
          <w:b/>
          <w:bCs/>
          <w:lang w:val="en-GB"/>
        </w:rPr>
        <w:t>Macro-econometric</w:t>
      </w:r>
      <w:r w:rsidR="002F7B07" w:rsidRPr="002D39A4">
        <w:rPr>
          <w:lang w:val="en-GB"/>
        </w:rPr>
        <w:t xml:space="preserve"> </w:t>
      </w:r>
      <w:r w:rsidR="001079A2" w:rsidRPr="002D39A4">
        <w:rPr>
          <w:lang w:val="en-GB"/>
        </w:rPr>
        <w:t xml:space="preserve">models </w:t>
      </w:r>
      <w:r w:rsidR="002F7B07" w:rsidRPr="002D39A4">
        <w:rPr>
          <w:lang w:val="en-GB"/>
        </w:rPr>
        <w:t xml:space="preserve">focused review papers: </w:t>
      </w:r>
      <w:r w:rsidR="004A7994" w:rsidRPr="002D39A4">
        <w:rPr>
          <w:lang w:val="en-GB"/>
        </w:rPr>
        <w:t>Newell et al. (2021)</w:t>
      </w:r>
      <w:r w:rsidR="006B4F6A" w:rsidRPr="002D39A4">
        <w:rPr>
          <w:lang w:val="en-GB"/>
        </w:rPr>
        <w:fldChar w:fldCharType="begin"/>
      </w:r>
      <w:r w:rsidR="00065A37">
        <w:rPr>
          <w:lang w:val="en-GB"/>
        </w:rPr>
        <w:instrText xml:space="preserve"> ADDIN ZOTERO_ITEM CSL_CITATION {"citationID":"8UN3bgP3","properties":{"formattedCitation":"\\super 14\\nosupersub{}","plainCitation":"14","noteIndex":0},"citationItems":[{"id":1470,"uris":["http://zotero.org/users/4065690/items/G29IPL6V"],"itemData":{"id":1470,"type":"article-journal","abstract":"Econometric models of temperature impacts on GDP are increasingly used to inform global warming damage assessments. But theory does not prescribe estimable forms of this relationship. By estimating 800 plausible specifications of the temperature-GDP relationship, we demonstrate that a wide variety of models are statistically indistinguishable in their out-of-sample performance, including models that exclude any temperature effect. This full set of models, however, implies a wide range of climate change impacts by 2100, yielding considerable model uncertainty. The uncertainty is greatest for models that specify effects of temperature on GDP growth that accumulate over time; the 95% confidence interval that accounts for both sampling and model uncertainty across the best-performing models ranges from 84% GDP losses to 359% gains. Models of GDP levels effects yield a much narrower distribution of GDP impacts centered around 1–3% losses, consistent with damage functions of major integrated assessment models. Further, models that incorporate lagged temperature effects are indicative of impacts on GDP levels rather than GDP growth. We identify statistically significant marginal effects of temperature on poor country GDP and agricultural production, but not rich country GDP, non-agricultural production, or GDP growth.","container-title":"Journal of Environmental Economics and Management","DOI":"10.1016/j.jeem.2021.102445","ISSN":"0095-0696","journalAbbreviation":"Journal of Environmental Economics and Management","language":"en","page":"102445","source":"ScienceDirect","title":"The GDP-Temperature relationship: Implications for climate change damages","title-short":"The GDP-Temperature relationship","volume":"108","author":[{"family":"Newell","given":"Richard G."},{"family":"Prest","given":"Brian C."},{"family":"Sexton","given":"Steven E."}],"issued":{"date-parts":[["2021",7,1]]}}}],"schema":"https://github.com/citation-style-language/schema/raw/master/csl-citation.json"} </w:instrText>
      </w:r>
      <w:r w:rsidR="006B4F6A" w:rsidRPr="002D39A4">
        <w:rPr>
          <w:lang w:val="en-GB"/>
        </w:rPr>
        <w:fldChar w:fldCharType="separate"/>
      </w:r>
      <w:r w:rsidR="00065A37" w:rsidRPr="00065A37">
        <w:rPr>
          <w:rFonts w:cs="Times New Roman"/>
          <w:vertAlign w:val="superscript"/>
        </w:rPr>
        <w:t>14</w:t>
      </w:r>
      <w:r w:rsidR="006B4F6A" w:rsidRPr="002D39A4">
        <w:rPr>
          <w:lang w:val="en-GB"/>
        </w:rPr>
        <w:fldChar w:fldCharType="end"/>
      </w:r>
      <w:r w:rsidR="006B4F6A" w:rsidRPr="002D39A4">
        <w:rPr>
          <w:lang w:val="en-GB"/>
        </w:rPr>
        <w:t xml:space="preserve">, </w:t>
      </w:r>
      <w:r w:rsidR="0019667A" w:rsidRPr="002D39A4">
        <w:rPr>
          <w:lang w:val="en-GB"/>
        </w:rPr>
        <w:t>Chang et al. (2023)</w:t>
      </w:r>
      <w:r w:rsidR="004832FF" w:rsidRPr="002D39A4">
        <w:rPr>
          <w:lang w:val="en-GB"/>
        </w:rPr>
        <w:fldChar w:fldCharType="begin"/>
      </w:r>
      <w:r w:rsidR="00065A37">
        <w:rPr>
          <w:lang w:val="en-GB"/>
        </w:rPr>
        <w:instrText xml:space="preserve"> ADDIN ZOTERO_ITEM CSL_CITATION {"citationID":"v6HPM66r","properties":{"formattedCitation":"\\super 15\\nosupersub{}","plainCitation":"15","noteIndex":0},"citationItems":[{"id":3440,"uris":["http://zotero.org/users/4065690/items/3F9FUE7C","http://zotero.org/users/4065690/items/CHG29UNN"],"itemData":{"id":3440,"type":"article-journal","abstract":"Climate econometric analysis of the relationship between temperature and gross domestic product (GDP) is increasingly being used to evaluate climate risks and understand economic impacts caused by climate change. We review the literature on growth and level effects (i.e., temperature rise respectively affects the growth and level of economic output), the setting of temperature variables’ forms and functional forms, and the inherent model specification of climate econometrics. Additionally, we introduce an approach for combining empirical findings with climate change integrated assessment models (IAMs) to improve damage modelling. Our findings show that estimates of damage through growth effects are generally much larger than those through level effects. Diverse impact mechanisms and adaptation effects can be revealed by changing the time resolution of temperature variables, introducing non-linearity into econometrics functions, and specifying temperature deviation. Combing the cross-sectional and panel model would enable us to examine the economic impacts at different future times.","container-title":"Structural Change and Economic Dynamics","DOI":"10.1016/j.strueco.2023.05.009","ISSN":"0954-349X","journalAbbreviation":"Structural Change and Economic Dynamics","page":"383-392","source":"ScienceDirect","title":"Temperature and GDP: A review of climate econometrics analysis","title-short":"Temperature and GDP","volume":"66","author":[{"family":"Chang","given":"Jun-Jie"},{"family":"Mi","given":"Zhifu"},{"family":"Wei","given":"Yi-Ming"}],"issued":{"date-parts":[["2023",9,1]]}}}],"schema":"https://github.com/citation-style-language/schema/raw/master/csl-citation.json"} </w:instrText>
      </w:r>
      <w:r w:rsidR="004832FF" w:rsidRPr="002D39A4">
        <w:rPr>
          <w:lang w:val="en-GB"/>
        </w:rPr>
        <w:fldChar w:fldCharType="separate"/>
      </w:r>
      <w:r w:rsidR="00065A37" w:rsidRPr="00065A37">
        <w:rPr>
          <w:rFonts w:cs="Times New Roman"/>
          <w:vertAlign w:val="superscript"/>
        </w:rPr>
        <w:t>15</w:t>
      </w:r>
      <w:r w:rsidR="004832FF" w:rsidRPr="002D39A4">
        <w:rPr>
          <w:lang w:val="en-GB"/>
        </w:rPr>
        <w:fldChar w:fldCharType="end"/>
      </w:r>
      <w:r w:rsidR="00EE0BD1" w:rsidRPr="002D39A4">
        <w:rPr>
          <w:lang w:val="en-GB"/>
        </w:rPr>
        <w:t xml:space="preserve">, </w:t>
      </w:r>
      <w:proofErr w:type="spellStart"/>
      <w:r w:rsidR="00EE0BD1" w:rsidRPr="002D39A4">
        <w:rPr>
          <w:lang w:val="en-GB"/>
        </w:rPr>
        <w:t>Auffhammer</w:t>
      </w:r>
      <w:proofErr w:type="spellEnd"/>
      <w:r w:rsidR="00EE0BD1" w:rsidRPr="002D39A4">
        <w:rPr>
          <w:lang w:val="en-GB"/>
        </w:rPr>
        <w:t xml:space="preserve"> (2018)</w:t>
      </w:r>
      <w:r w:rsidR="00FF7AE5" w:rsidRPr="002D39A4">
        <w:rPr>
          <w:lang w:val="en-GB"/>
        </w:rPr>
        <w:fldChar w:fldCharType="begin"/>
      </w:r>
      <w:r w:rsidR="00065A37">
        <w:rPr>
          <w:lang w:val="en-GB"/>
        </w:rPr>
        <w:instrText xml:space="preserve"> ADDIN ZOTERO_ITEM CSL_CITATION {"citationID":"CILSW1Rw","properties":{"formattedCitation":"\\super 16\\nosupersub{}","plainCitation":"16","noteIndex":0},"citationItems":[{"id":649,"uris":["http://zotero.org/users/4065690/items/QHETZCFS","http://zotero.org/users/4065690/items/TK74TDQP"],"itemData":{"id":649,"type":"article-journal","abstract":"Climate scientists have spent billions of dollars and eons of supercomputer time studying how increased concentrations of greenhouse gases and changes in the reflectivity of the earth's surface affect dimensions of the climate system relevant to human society: surface temperature, precipitation, humidity, and sea levels. Recent incarnations of physical climate models have become \nsophisticated enough to be able to simulate intensities and frequencies of some extreme events, like tropical storms, under different warming scenarios. In a stark juxtaposition, the efforts \ninvolved in and the public resources targeted at understanding how these physical changes translate into economic impacts are disproportionately smaller, with most of the major models being \ndeveloped and maintained with little to no public funding support. The goal of this paper is first to shed light on how (mostly) economists have gone about calculating the \"social cost of carbon\" \nfor regulatory purposes and to provide an overview of the past and currently used estimates. In the second part, I will focus on where empirical economists may have the highest value added in \nthis enterprise: specifically, the calibration and estimation of economic damage functions, which map weather patterns transformed by climate change into economic benefits and damages. A \nbroad variety of econometric methods have recently been used to parameterize the dose (climate) response (economic outcome) functions. The paper seeks to provide an accessible and \ncomprehensive overview of how economists think about parameterizing damage functions and quantifying the economic damages of climate change.","container-title":"Journal of Economic Perspectives","DOI":"10.1257/jep.32.4.33","ISSN":"0895-3309","issue":"4","language":"en","page":"33-52","source":"www.aeaweb.org","title":"Quantifying Economic Damages from Climate Change","volume":"32","author":[{"family":"Auffhammer","given":"Maximilian"}],"issued":{"date-parts":[["2018",11]]}}}],"schema":"https://github.com/citation-style-language/schema/raw/master/csl-citation.json"} </w:instrText>
      </w:r>
      <w:r w:rsidR="00FF7AE5" w:rsidRPr="002D39A4">
        <w:rPr>
          <w:lang w:val="en-GB"/>
        </w:rPr>
        <w:fldChar w:fldCharType="separate"/>
      </w:r>
      <w:r w:rsidR="00065A37" w:rsidRPr="00065A37">
        <w:rPr>
          <w:rFonts w:cs="Times New Roman"/>
          <w:vertAlign w:val="superscript"/>
        </w:rPr>
        <w:t>16</w:t>
      </w:r>
      <w:r w:rsidR="00FF7AE5" w:rsidRPr="002D39A4">
        <w:rPr>
          <w:lang w:val="en-GB"/>
        </w:rPr>
        <w:fldChar w:fldCharType="end"/>
      </w:r>
      <w:r w:rsidR="006F7775" w:rsidRPr="002D39A4">
        <w:rPr>
          <w:lang w:val="en-GB"/>
        </w:rPr>
        <w:t xml:space="preserve">. </w:t>
      </w:r>
    </w:p>
    <w:p w14:paraId="7AB614AD" w14:textId="3F416578" w:rsidR="00D31036" w:rsidRPr="002D39A4" w:rsidRDefault="00EC4153" w:rsidP="001571AB">
      <w:pPr>
        <w:pStyle w:val="ListParagraph"/>
        <w:numPr>
          <w:ilvl w:val="0"/>
          <w:numId w:val="1"/>
        </w:numPr>
        <w:spacing w:line="276" w:lineRule="auto"/>
        <w:contextualSpacing w:val="0"/>
        <w:rPr>
          <w:lang w:val="en-GB"/>
        </w:rPr>
      </w:pPr>
      <w:r w:rsidRPr="001571AB">
        <w:rPr>
          <w:b/>
          <w:bCs/>
          <w:lang w:val="en-GB"/>
        </w:rPr>
        <w:t>Agent-based</w:t>
      </w:r>
      <w:r w:rsidRPr="002D39A4">
        <w:rPr>
          <w:lang w:val="en-GB"/>
        </w:rPr>
        <w:t xml:space="preserve"> models </w:t>
      </w:r>
      <w:r w:rsidR="001079A2" w:rsidRPr="002D39A4">
        <w:rPr>
          <w:lang w:val="en-GB"/>
        </w:rPr>
        <w:t xml:space="preserve">focused review papers: </w:t>
      </w:r>
      <w:r w:rsidR="002F2507">
        <w:rPr>
          <w:lang w:val="en-GB"/>
        </w:rPr>
        <w:t xml:space="preserve">Steinbacher et al. </w:t>
      </w:r>
      <w:r w:rsidR="002F2507" w:rsidRPr="00D27406">
        <w:t>(2021)</w:t>
      </w:r>
      <w:r w:rsidR="00BC0392">
        <w:rPr>
          <w:lang w:val="en-GB"/>
        </w:rPr>
        <w:fldChar w:fldCharType="begin"/>
      </w:r>
      <w:r w:rsidR="00065A37" w:rsidRPr="00D27406">
        <w:instrText xml:space="preserve"> ADDIN ZOTERO_ITEM CSL_CITATION {"citationID":"jL3wFE4X","properties":{"formattedCitation":"\\super 17\\nosupersub{}","plainCitation":"17","noteIndex":0},"citationItems":[{"id":2801,"uris":["http://zotero.org/users/4065690/items/XZX8CEKI","http://zotero.org/users/4065690/items/8YHLQ8F7"],"itemData":{"id":2801,"type":"article-journal","abstract":"In this review we discuss advances in the agent-based modeling of economic and social systems. We show the state of the art of the heuristic design of agents and how behavioral economics and laboratory experiments have improved the modeling of agent behavior. We further discuss how economic networks and social systems can be modeled and we discuss novel methodology and data sources. Lastly, we present an overview of estimation techniques to calibrate and validate agent-based models and show avenues for future research.","container-title":"SN Business &amp; Economics","DOI":"10.1007/s43546-021-00103-3","ISSN":"2662-9399","issue":"7","journalAbbreviation":"SN Bus Econ","language":"en","page":"99","source":"Springer Link","title":"Advances in the agent-based modeling of economic and social behavior","volume":"1","author":[{"family":"Steinbacher","given":"Mitja"},{"family":"Raddant","given":"Matthias"},{"family":"Karimi","given":"Fariba"},{"family":"Camacho Cuena","given":"Eva"},{"family":"Alfarano","given":"Simone"},{"family":"Iori","given":"Giulia"},{"family":"Lux","given":"Thomas"}],"issued":{"date-parts":[["2021",7,7]]}}}],"schema":"https://github.com/citation-style-language/schema/raw/master/csl-citation.json"} </w:instrText>
      </w:r>
      <w:r w:rsidR="00BC0392">
        <w:rPr>
          <w:lang w:val="en-GB"/>
        </w:rPr>
        <w:fldChar w:fldCharType="separate"/>
      </w:r>
      <w:r w:rsidR="00065A37" w:rsidRPr="00065A37">
        <w:rPr>
          <w:rFonts w:cs="Times New Roman"/>
          <w:vertAlign w:val="superscript"/>
        </w:rPr>
        <w:t>17</w:t>
      </w:r>
      <w:r w:rsidR="00BC0392">
        <w:rPr>
          <w:lang w:val="en-GB"/>
        </w:rPr>
        <w:fldChar w:fldCharType="end"/>
      </w:r>
      <w:r w:rsidR="00BC0392" w:rsidRPr="00D27406">
        <w:t xml:space="preserve">, </w:t>
      </w:r>
      <w:r w:rsidR="007150FE" w:rsidRPr="00D27406">
        <w:t>Matthew et al. (2007)</w:t>
      </w:r>
      <w:r w:rsidR="0063033B">
        <w:rPr>
          <w:lang w:val="en-GB"/>
        </w:rPr>
        <w:fldChar w:fldCharType="begin"/>
      </w:r>
      <w:r w:rsidR="00065A37" w:rsidRPr="00D27406">
        <w:instrText xml:space="preserve"> ADDIN ZOTERO_ITEM CSL_CITATION {"citationID":"1jQX0CIL","properties":{"formattedCitation":"\\super 18\\nosupersub{}","plainCitation":"18","noteIndex":0},"citationItems":[{"id":3444,"uris":["http://zotero.org/users/4065690/items/MFW9VNB3"],"itemData":{"id":3444,"type":"article-journal","abstract":"Agent-based modelling is an approach that has been receiving attention by the land use modelling community in recent years, mainly because it offers a way of incorporating the influence of human decision-making on land use in a mechanistic, formal, and spatially explicit way, taking into account social interaction, adaptation, and decision-making at different levels. Specific advantages of agent-based models include their ability to model individual decision-making entities and their interactions, to incorporate social processes and non-monetary influences on decision-making, and to dynamically link social and environmental processes. A number of such models are now beginning to appear—it is timely, therefore, to review the uses to which agent-based land use models have been put so far, and to discuss some of the relevant lessons learnt, also drawing on those from other areas of simulation modelling, in relation to future applications. In this paper, we review applications of agent-based land use models under the headings of (a) policy analysis and planning, (b) participatory modelling, (c) explaining spatial patterns of land use or settlement, (d) testing social science concepts and (e) explaining land use functions. The greatest use of such models so far has been by the research community as tools for organising knowledge from empirical studies, and for exploring theoretical aspects of particular systems. However, there is a need to demonstrate that such models are able to solve problems in the real world better than traditional modelling approaches. It is concluded that in terms of decision support, agent-based land-use models are probably more useful as research tools to develop an underlying knowledge base which can then be developed together with end-users into simple rules-of-thumb, rather than as operational decision support tools.","container-title":"Landscape Ecology","DOI":"10.1007/s10980-007-9135-1","ISSN":"1572-9761","issue":"10","journalAbbreviation":"Landscape Ecol","language":"en","page":"1447-1459","source":"Springer Link","title":"Agent-based land-use models: a review of applications","title-short":"Agent-based land-use models","volume":"22","author":[{"family":"Matthews","given":"Robin B."},{"family":"Gilbert","given":"Nigel G."},{"family":"Roach","given":"Alan"},{"family":"Polhill","given":"J. Gary"},{"family":"Gotts","given":"Nick M."}],"issued":{"date-parts":[["2007",12,1]]}}}],"schema":"https://github.com/citation-style-language/schema/raw/master/csl-citation.json"} </w:instrText>
      </w:r>
      <w:r w:rsidR="0063033B">
        <w:rPr>
          <w:lang w:val="en-GB"/>
        </w:rPr>
        <w:fldChar w:fldCharType="separate"/>
      </w:r>
      <w:r w:rsidR="00065A37" w:rsidRPr="00065A37">
        <w:rPr>
          <w:rFonts w:cs="Times New Roman"/>
          <w:vertAlign w:val="superscript"/>
        </w:rPr>
        <w:t>18</w:t>
      </w:r>
      <w:r w:rsidR="0063033B">
        <w:rPr>
          <w:lang w:val="en-GB"/>
        </w:rPr>
        <w:fldChar w:fldCharType="end"/>
      </w:r>
      <w:r w:rsidR="007150FE" w:rsidRPr="00D27406">
        <w:t xml:space="preserve">, </w:t>
      </w:r>
      <w:r w:rsidR="0019468B" w:rsidRPr="00D27406">
        <w:t xml:space="preserve">An et al. </w:t>
      </w:r>
      <w:r w:rsidR="0019468B">
        <w:rPr>
          <w:lang w:val="en-GB"/>
        </w:rPr>
        <w:t>(2021)</w:t>
      </w:r>
      <w:r w:rsidR="000534CB">
        <w:rPr>
          <w:lang w:val="en-GB"/>
        </w:rPr>
        <w:fldChar w:fldCharType="begin"/>
      </w:r>
      <w:r w:rsidR="00065A37">
        <w:rPr>
          <w:lang w:val="en-GB"/>
        </w:rPr>
        <w:instrText xml:space="preserve"> ADDIN ZOTERO_ITEM CSL_CITATION {"citationID":"jPWNbGK9","properties":{"formattedCitation":"\\super 19\\nosupersub{}","plainCitation":"19","noteIndex":0},"citationItems":[{"id":2889,"uris":["http://zotero.org/users/4065690/items/ELBELWYL","http://zotero.org/users/4065690/items/R9DCN9CC"],"itemData":{"id":2889,"type":"article-journal","abstract":"Humanity is facing many grand challenges at unprecedented rates, nearly everywhere, and at all levels. Yet virtually all these challenges can be traced back to the decision and behavior of autonomous agents that constitute the complex systems under such challenges. Agent-based modeling has been developed and employed to address such challenges for a few decades with great achievements and caveats. This article reviews the advances of ABM in social, ecological, and socio-ecological systems, compare ABM with other traditional, equation-based models, provide guidelines for ABM novice, modelers, and reviewers, and point out the challenges and impending tasks that need to be addressed for the ABM community. We further point out great opportunities arising from new forms of data, data science and artificial intelligence, showing that agent behavioral rules can be derived through data mining and machine learning. Towards the end, we call for a new science of Agent-based Complex Systems (ACS) that can pave an effective way to tackle the grand challenges.","container-title":"Ecological Modelling","DOI":"10.1016/j.ecolmodel.2021.109685","ISSN":"0304-3800","journalAbbreviation":"Ecological Modelling","page":"109685","source":"ScienceDirect","title":"Challenges, tasks, and opportunities in modeling agent-based complex systems","volume":"457","author":[{"family":"An","given":"Li"},{"family":"Grimm","given":"Volker"},{"family":"Sullivan","given":"Abigail"},{"family":"Turner II","given":"B. L."},{"family":"Malleson","given":"Nicolas"},{"family":"Heppenstall","given":"Alison"},{"family":"Vincenot","given":"Christian"},{"family":"Robinson","given":"Derek"},{"family":"Ye","given":"Xinyue"},{"family":"Liu","given":"Jianguo"},{"family":"Lindkvist","given":"Emilie"},{"family":"Tang","given":"Wenwu"}],"issued":{"date-parts":[["2021",10,1]]}}}],"schema":"https://github.com/citation-style-language/schema/raw/master/csl-citation.json"} </w:instrText>
      </w:r>
      <w:r w:rsidR="000534CB">
        <w:rPr>
          <w:lang w:val="en-GB"/>
        </w:rPr>
        <w:fldChar w:fldCharType="separate"/>
      </w:r>
      <w:r w:rsidR="00065A37" w:rsidRPr="00D27406">
        <w:rPr>
          <w:rFonts w:cs="Times New Roman"/>
          <w:vertAlign w:val="superscript"/>
          <w:lang w:val="en-US"/>
        </w:rPr>
        <w:t>19</w:t>
      </w:r>
      <w:r w:rsidR="000534CB">
        <w:rPr>
          <w:lang w:val="en-GB"/>
        </w:rPr>
        <w:fldChar w:fldCharType="end"/>
      </w:r>
      <w:r w:rsidR="000534CB">
        <w:rPr>
          <w:lang w:val="en-GB"/>
        </w:rPr>
        <w:t xml:space="preserve">, </w:t>
      </w:r>
      <w:proofErr w:type="spellStart"/>
      <w:r w:rsidR="007B0796">
        <w:rPr>
          <w:lang w:val="en-GB"/>
        </w:rPr>
        <w:t>Rizzati</w:t>
      </w:r>
      <w:proofErr w:type="spellEnd"/>
      <w:r w:rsidR="007B0796">
        <w:rPr>
          <w:lang w:val="en-GB"/>
        </w:rPr>
        <w:t xml:space="preserve"> and Landoni (2024)</w:t>
      </w:r>
      <w:r w:rsidR="008B34A0">
        <w:rPr>
          <w:lang w:val="en-GB"/>
        </w:rPr>
        <w:fldChar w:fldCharType="begin"/>
      </w:r>
      <w:r w:rsidR="00065A37">
        <w:rPr>
          <w:lang w:val="en-GB"/>
        </w:rPr>
        <w:instrText xml:space="preserve"> ADDIN ZOTERO_ITEM CSL_CITATION {"citationID":"mxqyYQg8","properties":{"formattedCitation":"\\super 20\\nosupersub{}","plainCitation":"20","noteIndex":0},"citationItems":[{"id":3446,"uris":["http://zotero.org/users/4065690/items/TLBY63LW"],"itemData":{"id":3446,"type":"article-journal","abstract":"Circular Economy (CE) is a popular topic for governments and businesses around the world; yet, only a few comprehensive and economy-wide frameworks exist, and the consequences of the CE on economic systems stay unclear. With this systematic review, we put under scrutiny the existing contributions to Circular Economy (CE) that apply the Agent-based modelling methodology. There is an open gap in the CE literature regarding the use of ABM. The research question that guides this systematic review concerns the potential benefit of ABM for CE and how to use this methodology in the context of CE. We put in evidence three thematic areas, two agents and one process, namely producers, i.e. firms and industrial systems, consumers, i.e. households and waste disposal, and the diffusion of innovation. We infer that the former three thematic strands of literature can be further synthetized together to form a general model of the Circular Economy. This development is crucial to properly evaluate how the agent's heterogeneity affects the diffusion and the consequences of the adoption of CE practices on the economy. Research has widely applied ABM simulations to consider the impact of heterogeneity amongst individuals and their behavioural interactions on the evolution of complex systems, yet very little did it systematically about CE. Our results complement those of Computable General Equilibrium models. The review provides an interpretative framework, suggests valuable future research directions within the new comprehensive thematic area, and contributes to the theoretical and managerial discussion on agent-based modelling in the circular economy.","container-title":"Structural Change and Economic Dynamics","DOI":"10.1016/j.strueco.2024.03.013","ISSN":"0954-349X","journalAbbreviation":"Structural Change and Economic Dynamics","page":"617-631","source":"ScienceDirect","title":"A systematic review of agent-based modelling in the circular economy: Insights towards a general model","title-short":"A systematic review of agent-based modelling in the circular economy","volume":"69","author":[{"family":"Rizzati","given":"Massimiliano"},{"family":"Landoni","given":"Matteo"}],"issued":{"date-parts":[["2024",6,1]]}}}],"schema":"https://github.com/citation-style-language/schema/raw/master/csl-citation.json"} </w:instrText>
      </w:r>
      <w:r w:rsidR="008B34A0">
        <w:rPr>
          <w:lang w:val="en-GB"/>
        </w:rPr>
        <w:fldChar w:fldCharType="separate"/>
      </w:r>
      <w:r w:rsidR="00065A37" w:rsidRPr="00D27406">
        <w:rPr>
          <w:rFonts w:cs="Times New Roman"/>
          <w:vertAlign w:val="superscript"/>
          <w:lang w:val="en-US"/>
        </w:rPr>
        <w:t>20</w:t>
      </w:r>
      <w:r w:rsidR="008B34A0">
        <w:rPr>
          <w:lang w:val="en-GB"/>
        </w:rPr>
        <w:fldChar w:fldCharType="end"/>
      </w:r>
      <w:r w:rsidR="008B34A0">
        <w:rPr>
          <w:lang w:val="en-GB"/>
        </w:rPr>
        <w:t xml:space="preserve">. </w:t>
      </w:r>
      <w:r w:rsidR="000610E4">
        <w:rPr>
          <w:lang w:val="en-GB"/>
        </w:rPr>
        <w:t>Axtel and Farmer (2025)</w:t>
      </w:r>
      <w:r w:rsidR="005F7BAE">
        <w:rPr>
          <w:lang w:val="en-GB"/>
        </w:rPr>
        <w:fldChar w:fldCharType="begin"/>
      </w:r>
      <w:r w:rsidR="00065A37">
        <w:rPr>
          <w:lang w:val="en-GB"/>
        </w:rPr>
        <w:instrText xml:space="preserve"> ADDIN ZOTERO_ITEM CSL_CITATION {"citationID":"7HWihKbW","properties":{"formattedCitation":"\\super 21\\nosupersub{}","plainCitation":"21","noteIndex":0},"citationItems":[{"id":3433,"uris":["http://zotero.org/users/4065690/items/XC425Z7T"],"itemData":{"id":3433,"type":"article-journal","abstract":"Agent-based modeling (ABM) is a novel computational methodology for representing the behavior of individuals in order to study social phenomena. Its use is rapidly growing in many fields. We review ABM in economics and finance and highlight how it can be used to relax conventional assumptions in standard economic models. ABM has enriched our understanding of markets, industrial organization, labor, macro, development, public policy, and environmental economics. In financial markets, substantial accomplishments include understanding clustered volatility, market impact, systemic risk, and housing markets. We present a vision for how ABMs might be used in the future to build more realistic models of the economy and review some of the hurdles that must be overcome to achieve this.","container-title":"Journal of Economic Literature","DOI":"10.1257/jel.20221319","ISSN":"0022-0515","issue":"1","language":"en","page":"197-287","source":"www.aeaweb.org","title":"Agent-Based Modeling in Economics and Finance: Past, Present, and Future","title-short":"Agent-Based Modeling in Economics and Finance","volume":"63","author":[{"family":"Axtell","given":"Robert L."},{"family":"Farmer","given":"J. Doyne"}],"issued":{"date-parts":[["2025",3]]}}}],"schema":"https://github.com/citation-style-language/schema/raw/master/csl-citation.json"} </w:instrText>
      </w:r>
      <w:r w:rsidR="005F7BAE">
        <w:rPr>
          <w:lang w:val="en-GB"/>
        </w:rPr>
        <w:fldChar w:fldCharType="separate"/>
      </w:r>
      <w:r w:rsidR="00065A37" w:rsidRPr="00D27406">
        <w:rPr>
          <w:rFonts w:cs="Times New Roman"/>
          <w:vertAlign w:val="superscript"/>
          <w:lang w:val="en-US"/>
        </w:rPr>
        <w:t>21</w:t>
      </w:r>
      <w:r w:rsidR="005F7BAE">
        <w:rPr>
          <w:lang w:val="en-GB"/>
        </w:rPr>
        <w:fldChar w:fldCharType="end"/>
      </w:r>
      <w:r w:rsidR="007B0796">
        <w:rPr>
          <w:lang w:val="en-GB"/>
        </w:rPr>
        <w:t xml:space="preserve">, </w:t>
      </w:r>
      <w:r w:rsidR="004B1170">
        <w:rPr>
          <w:lang w:val="en-GB"/>
        </w:rPr>
        <w:t xml:space="preserve">Ribeiro-Rodrigues and </w:t>
      </w:r>
      <w:proofErr w:type="spellStart"/>
      <w:r w:rsidR="004B1170">
        <w:rPr>
          <w:lang w:val="en-GB"/>
        </w:rPr>
        <w:t>Bortoleto</w:t>
      </w:r>
      <w:proofErr w:type="spellEnd"/>
      <w:r w:rsidR="004B1170">
        <w:rPr>
          <w:lang w:val="en-GB"/>
        </w:rPr>
        <w:t xml:space="preserve"> (2024)</w:t>
      </w:r>
      <w:r w:rsidR="001539E5">
        <w:rPr>
          <w:lang w:val="en-GB"/>
        </w:rPr>
        <w:fldChar w:fldCharType="begin"/>
      </w:r>
      <w:r w:rsidR="00065A37">
        <w:rPr>
          <w:lang w:val="en-GB"/>
        </w:rPr>
        <w:instrText xml:space="preserve"> ADDIN ZOTERO_ITEM CSL_CITATION {"citationID":"td4s5Wlb","properties":{"formattedCitation":"\\super 22\\nosupersub{}","plainCitation":"22","noteIndex":0},"citationItems":[{"id":3447,"uris":["http://zotero.org/users/4065690/items/K2JEIJHA"],"itemData":{"id":3447,"type":"article-journal","abstract":"Understanding people's pro-environmental behavior (PEB) is central to environmental public policy effectiveness. The use of agent-based modeling and simulation (ABMS) to explore these behaviors is increasing in diverse research fields. This paper provides a systematic mapping study to analyze how ABMS has been applied to analyze PEBs. Fifty-six articles published between 2009 and 2021 from different knowledge areas are examined, reviewing each model for similarities and particularities. ABMS is a potential tool for simulating future scenarios to comprehend PEBs, especially in situations that cannot be empirically measured. The studies were investigated considering the behavioral theories, ABMS platform or computer language, simulation characteristics and features, computational model code transparency, and validation employed. Most reviewed studies focused on electric energy consumption or technologies to reduce future demand. However, other subjects, such as waste prevention, consumption, eating habits, and water use, still need to be explored. The theory of planned behavior (TPB) and social norms were the most prevalent behavioral theory and behavioral influence bases to simulate individuals. Still, many other behavioral assumptions are being implemented. Future research should analyze understudied PEBs using ABMS to support the simulation of more realistic scenarios in developing and underdeveloped countries. The conclusion shows the need for more detailed criteria descriptions to understand and replicate these models and how ethics can be an important feature for future ABMS experiments.","container-title":"Sustainable Production and Consumption","DOI":"10.1016/j.spc.2024.04.017","ISSN":"2352-5509","journalAbbreviation":"Sustainable Production and Consumption","page":"343-362","source":"ScienceDirect","title":"A systematic review of agent-based modeling and simulation applications for analyzing pro-environmental behaviors","volume":"47","author":[{"family":"Ribeiro-Rodrigues","given":"Evelin"},{"family":"Bortoleto","given":"Ana Paula"}],"issued":{"date-parts":[["2024",6,1]]}}}],"schema":"https://github.com/citation-style-language/schema/raw/master/csl-citation.json"} </w:instrText>
      </w:r>
      <w:r w:rsidR="001539E5">
        <w:rPr>
          <w:lang w:val="en-GB"/>
        </w:rPr>
        <w:fldChar w:fldCharType="separate"/>
      </w:r>
      <w:r w:rsidR="00065A37" w:rsidRPr="00065A37">
        <w:rPr>
          <w:rFonts w:cs="Times New Roman"/>
          <w:vertAlign w:val="superscript"/>
        </w:rPr>
        <w:t>22</w:t>
      </w:r>
      <w:r w:rsidR="001539E5">
        <w:rPr>
          <w:lang w:val="en-GB"/>
        </w:rPr>
        <w:fldChar w:fldCharType="end"/>
      </w:r>
      <w:r w:rsidR="004B1170">
        <w:rPr>
          <w:lang w:val="en-GB"/>
        </w:rPr>
        <w:t>,</w:t>
      </w:r>
      <w:r w:rsidR="00282E6C">
        <w:rPr>
          <w:lang w:val="en-GB"/>
        </w:rPr>
        <w:t xml:space="preserve"> G</w:t>
      </w:r>
      <w:r w:rsidR="00A519A4">
        <w:rPr>
          <w:lang w:val="en-GB"/>
        </w:rPr>
        <w:t>roeneveld et al. (2017)</w:t>
      </w:r>
      <w:r w:rsidR="00732C20">
        <w:rPr>
          <w:lang w:val="en-GB"/>
        </w:rPr>
        <w:fldChar w:fldCharType="begin"/>
      </w:r>
      <w:r w:rsidR="00065A37">
        <w:rPr>
          <w:lang w:val="en-GB"/>
        </w:rPr>
        <w:instrText xml:space="preserve"> ADDIN ZOTERO_ITEM CSL_CITATION {"citationID":"Kuh3w83S","properties":{"formattedCitation":"\\super 23\\nosupersub{}","plainCitation":"23","noteIndex":0},"citationItems":[{"id":3450,"uris":["http://zotero.org/users/4065690/items/HE6HD3UG"],"itemData":{"id":3450,"type":"article-journal","abstract":"Recent reviews stated that the complex and context-dependent nature of human decision-making resulted in ad-hoc representations of human decision in agent-based land use change models (LUCC ABMs) and that these representations are often not explicitly grounded in theory. However, a systematic survey on the characteristics (e.g. uncertainty, adaptation, learning, interactions and heterogeneities of agents) of representing human decision-making in LUCC ABMs is missing. Therefore, the aim of this study is to inform this debate by reviewing 134 LUCC ABM papers. We show that most human decision sub-models are not explicitly based on a specific theory and if so they are mostly based on economic theories, such as the rational actor, and mainly ignoring other relevant disciplines. Consolidating and enlarging the theoretical basis for modelling human decision-making may be achieved by using a structural framework for modellers, re-using published decision models, learning from other disciplines and fostering collaboration with social scientists.","container-title":"Environmental Modelling &amp; Software","DOI":"10.1016/j.envsoft.2016.10.008","ISSN":"1364-8152","journalAbbreviation":"Environmental Modelling &amp; Software","page":"39-48","source":"ScienceDirect","title":"Theoretical foundations of human decision-making in agent-based land use models – A review","volume":"87","author":[{"family":"Groeneveld","given":"J."},{"family":"Müller","given":"B."},{"family":"Buchmann","given":"C. M."},{"family":"Dressler","given":"G."},{"family":"Guo","given":"C."},{"family":"Hase","given":"N."},{"family":"Hoffmann","given":"F."},{"family":"John","given":"F."},{"family":"Klassert","given":"C."},{"family":"Lauf","given":"T."},{"family":"Liebelt","given":"V."},{"family":"Nolzen","given":"H."},{"family":"Pannicke","given":"N."},{"family":"Schulze","given":"J."},{"family":"Weise","given":"H."},{"family":"Schwarz","given":"N."}],"issued":{"date-parts":[["2017",1,1]]}}}],"schema":"https://github.com/citation-style-language/schema/raw/master/csl-citation.json"} </w:instrText>
      </w:r>
      <w:r w:rsidR="00732C20">
        <w:rPr>
          <w:lang w:val="en-GB"/>
        </w:rPr>
        <w:fldChar w:fldCharType="separate"/>
      </w:r>
      <w:r w:rsidR="00065A37" w:rsidRPr="00065A37">
        <w:rPr>
          <w:rFonts w:cs="Times New Roman"/>
          <w:vertAlign w:val="superscript"/>
        </w:rPr>
        <w:t>23</w:t>
      </w:r>
      <w:r w:rsidR="00732C20">
        <w:rPr>
          <w:lang w:val="en-GB"/>
        </w:rPr>
        <w:fldChar w:fldCharType="end"/>
      </w:r>
      <w:r w:rsidR="00E32640">
        <w:rPr>
          <w:lang w:val="en-GB"/>
        </w:rPr>
        <w:t>, Aerts (2020)</w:t>
      </w:r>
      <w:r w:rsidR="00440D06">
        <w:rPr>
          <w:lang w:val="en-GB"/>
        </w:rPr>
        <w:fldChar w:fldCharType="begin"/>
      </w:r>
      <w:r w:rsidR="00065A37">
        <w:rPr>
          <w:lang w:val="en-GB"/>
        </w:rPr>
        <w:instrText xml:space="preserve"> ADDIN ZOTERO_ITEM CSL_CITATION {"citationID":"fNb5jhAl","properties":{"formattedCitation":"\\super 24\\nosupersub{}","plainCitation":"24","noteIndex":0},"citationItems":[{"id":3451,"uris":["http://zotero.org/users/4065690/items/XQ992INC"],"itemData":{"id":3451,"type":"article-journal","container-title":"Water Security","DOI":"10.1016/j.wasec.2020.100076","ISSN":"2468-3124","journalAbbreviation":"Water Security","page":"100076","source":"ScienceDirect","title":"Integrating agent-based approaches with flood risk models: A review and perspective","title-short":"Integrating agent-based approaches with flood risk models","volume":"11","author":[{"family":"Aerts","given":"Jeroen C. J. H."}],"issued":{"date-parts":[["2020",12,1]]}}}],"schema":"https://github.com/citation-style-language/schema/raw/master/csl-citation.json"} </w:instrText>
      </w:r>
      <w:r w:rsidR="00440D06">
        <w:rPr>
          <w:lang w:val="en-GB"/>
        </w:rPr>
        <w:fldChar w:fldCharType="separate"/>
      </w:r>
      <w:r w:rsidR="00065A37" w:rsidRPr="00065A37">
        <w:rPr>
          <w:rFonts w:cs="Times New Roman"/>
          <w:vertAlign w:val="superscript"/>
        </w:rPr>
        <w:t>24</w:t>
      </w:r>
      <w:r w:rsidR="00440D06">
        <w:rPr>
          <w:lang w:val="en-GB"/>
        </w:rPr>
        <w:fldChar w:fldCharType="end"/>
      </w:r>
      <w:r w:rsidR="00E52FF4">
        <w:rPr>
          <w:lang w:val="en-GB"/>
        </w:rPr>
        <w:t xml:space="preserve">. </w:t>
      </w:r>
    </w:p>
    <w:p w14:paraId="538E655D" w14:textId="220BA224" w:rsidR="00102EB3" w:rsidRPr="00E04AD0" w:rsidRDefault="00102EB3" w:rsidP="00A333DF">
      <w:pPr>
        <w:spacing w:line="276" w:lineRule="auto"/>
        <w:rPr>
          <w:lang w:val="en-GB"/>
        </w:rPr>
      </w:pPr>
      <w:r w:rsidRPr="00E04AD0">
        <w:rPr>
          <w:lang w:val="en-GB"/>
        </w:rPr>
        <w:t>For each model type and feature, we assign a performance score ranging from 1 (lowest) to 5 (highest). To reflect variations across models’ implementations, scores are categorised as:</w:t>
      </w:r>
    </w:p>
    <w:p w14:paraId="18D383C5" w14:textId="502ED1F5" w:rsidR="00102EB3" w:rsidRPr="00E04AD0" w:rsidRDefault="00102EB3" w:rsidP="00A333DF">
      <w:pPr>
        <w:pStyle w:val="ListParagraph"/>
        <w:numPr>
          <w:ilvl w:val="0"/>
          <w:numId w:val="2"/>
        </w:numPr>
        <w:shd w:val="clear" w:color="auto" w:fill="E2EFD9" w:themeFill="accent6" w:themeFillTint="33"/>
        <w:spacing w:before="120" w:line="276" w:lineRule="auto"/>
        <w:contextualSpacing w:val="0"/>
        <w:rPr>
          <w:lang w:val="en-GB"/>
        </w:rPr>
      </w:pPr>
      <w:r w:rsidRPr="00E04AD0">
        <w:rPr>
          <w:lang w:val="en-GB"/>
        </w:rPr>
        <w:lastRenderedPageBreak/>
        <w:t>"</w:t>
      </w:r>
      <w:r w:rsidRPr="00E04AD0">
        <w:rPr>
          <w:b/>
          <w:bCs/>
          <w:lang w:val="en-GB"/>
        </w:rPr>
        <w:t>mean</w:t>
      </w:r>
      <w:r w:rsidRPr="00E04AD0">
        <w:rPr>
          <w:lang w:val="en-GB"/>
        </w:rPr>
        <w:t>"</w:t>
      </w:r>
      <w:r w:rsidR="00CA0C4D">
        <w:rPr>
          <w:lang w:val="en-GB"/>
        </w:rPr>
        <w:t xml:space="preserve"> r</w:t>
      </w:r>
      <w:r w:rsidRPr="00E04AD0">
        <w:rPr>
          <w:lang w:val="en-GB"/>
        </w:rPr>
        <w:t>epresents the most common specification used in climate cost quantification</w:t>
      </w:r>
    </w:p>
    <w:p w14:paraId="0572CE06" w14:textId="57995D7C" w:rsidR="00102EB3" w:rsidRPr="00E04AD0" w:rsidRDefault="00102EB3" w:rsidP="00A333DF">
      <w:pPr>
        <w:pStyle w:val="ListParagraph"/>
        <w:numPr>
          <w:ilvl w:val="0"/>
          <w:numId w:val="2"/>
        </w:numPr>
        <w:shd w:val="clear" w:color="auto" w:fill="E2EFD9" w:themeFill="accent6" w:themeFillTint="33"/>
        <w:spacing w:before="120" w:line="276" w:lineRule="auto"/>
        <w:contextualSpacing w:val="0"/>
        <w:rPr>
          <w:lang w:val="en-GB"/>
        </w:rPr>
      </w:pPr>
      <w:r w:rsidRPr="00E04AD0">
        <w:rPr>
          <w:lang w:val="en-GB"/>
        </w:rPr>
        <w:t>"</w:t>
      </w:r>
      <w:r w:rsidRPr="00E04AD0">
        <w:rPr>
          <w:b/>
          <w:bCs/>
          <w:lang w:val="en-GB"/>
        </w:rPr>
        <w:t>max</w:t>
      </w:r>
      <w:r w:rsidRPr="00E04AD0">
        <w:rPr>
          <w:lang w:val="en-GB"/>
        </w:rPr>
        <w:t>"</w:t>
      </w:r>
      <w:r w:rsidR="00CA0C4D">
        <w:rPr>
          <w:lang w:val="en-GB"/>
        </w:rPr>
        <w:t xml:space="preserve"> r</w:t>
      </w:r>
      <w:r w:rsidR="003A1AE5">
        <w:rPr>
          <w:lang w:val="en-GB"/>
        </w:rPr>
        <w:t>epresents</w:t>
      </w:r>
      <w:r w:rsidRPr="00E04AD0">
        <w:rPr>
          <w:lang w:val="en-GB"/>
        </w:rPr>
        <w:t xml:space="preserve"> the best achievable performance across all applications, including those not focused on climate costs </w:t>
      </w:r>
    </w:p>
    <w:p w14:paraId="20566B29" w14:textId="77777777" w:rsidR="00102EB3" w:rsidRPr="00E04AD0" w:rsidRDefault="00102EB3" w:rsidP="00A333DF">
      <w:pPr>
        <w:spacing w:line="276" w:lineRule="auto"/>
        <w:rPr>
          <w:lang w:val="en-GB"/>
        </w:rPr>
      </w:pPr>
      <w:r w:rsidRPr="00E04AD0">
        <w:rPr>
          <w:lang w:val="en-GB"/>
        </w:rPr>
        <w:t xml:space="preserve">Below, we describe how we assign the scores for each model type and each modelling feature. </w:t>
      </w:r>
    </w:p>
    <w:p w14:paraId="2E59D977" w14:textId="77777777" w:rsidR="00102EB3" w:rsidRPr="00E04AD0" w:rsidRDefault="00102EB3" w:rsidP="00A333DF">
      <w:pPr>
        <w:spacing w:line="276" w:lineRule="auto"/>
        <w:rPr>
          <w:lang w:val="en-GB"/>
        </w:rPr>
      </w:pPr>
      <w:r w:rsidRPr="00E04AD0">
        <w:rPr>
          <w:b/>
          <w:bCs/>
          <w:lang w:val="en-GB"/>
        </w:rPr>
        <w:t>Spatial resolution:</w:t>
      </w:r>
      <w:r w:rsidRPr="00E04AD0">
        <w:rPr>
          <w:lang w:val="en-GB"/>
        </w:rPr>
        <w:t xml:space="preserve"> </w:t>
      </w:r>
    </w:p>
    <w:tbl>
      <w:tblPr>
        <w:tblW w:w="8240" w:type="dxa"/>
        <w:tblLook w:val="04A0" w:firstRow="1" w:lastRow="0" w:firstColumn="1" w:lastColumn="0" w:noHBand="0" w:noVBand="1"/>
      </w:tblPr>
      <w:tblGrid>
        <w:gridCol w:w="960"/>
        <w:gridCol w:w="7280"/>
      </w:tblGrid>
      <w:tr w:rsidR="00102EB3" w:rsidRPr="00E04AD0" w14:paraId="491F94B7"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47F86E57"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1</w:t>
            </w:r>
          </w:p>
        </w:tc>
        <w:tc>
          <w:tcPr>
            <w:tcW w:w="7280" w:type="dxa"/>
            <w:tcBorders>
              <w:top w:val="nil"/>
              <w:left w:val="nil"/>
              <w:bottom w:val="nil"/>
              <w:right w:val="nil"/>
            </w:tcBorders>
            <w:shd w:val="clear" w:color="auto" w:fill="E2EFD9" w:themeFill="accent6" w:themeFillTint="33"/>
            <w:noWrap/>
            <w:vAlign w:val="bottom"/>
            <w:hideMark/>
          </w:tcPr>
          <w:p w14:paraId="20ADDDB8"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Global</w:t>
            </w:r>
          </w:p>
        </w:tc>
      </w:tr>
      <w:tr w:rsidR="00102EB3" w:rsidRPr="00E04AD0" w14:paraId="51CFA6CD"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5B990526"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2</w:t>
            </w:r>
          </w:p>
        </w:tc>
        <w:tc>
          <w:tcPr>
            <w:tcW w:w="7280" w:type="dxa"/>
            <w:tcBorders>
              <w:top w:val="nil"/>
              <w:left w:val="nil"/>
              <w:bottom w:val="nil"/>
              <w:right w:val="nil"/>
            </w:tcBorders>
            <w:shd w:val="clear" w:color="auto" w:fill="E2EFD9" w:themeFill="accent6" w:themeFillTint="33"/>
            <w:noWrap/>
            <w:vAlign w:val="bottom"/>
            <w:hideMark/>
          </w:tcPr>
          <w:p w14:paraId="18676663"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National</w:t>
            </w:r>
          </w:p>
        </w:tc>
      </w:tr>
      <w:tr w:rsidR="00102EB3" w:rsidRPr="00E04AD0" w14:paraId="5FCAB25F"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263EE136"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3</w:t>
            </w:r>
          </w:p>
        </w:tc>
        <w:tc>
          <w:tcPr>
            <w:tcW w:w="7280" w:type="dxa"/>
            <w:tcBorders>
              <w:top w:val="nil"/>
              <w:left w:val="nil"/>
              <w:bottom w:val="nil"/>
              <w:right w:val="nil"/>
            </w:tcBorders>
            <w:shd w:val="clear" w:color="auto" w:fill="E2EFD9" w:themeFill="accent6" w:themeFillTint="33"/>
            <w:noWrap/>
            <w:vAlign w:val="bottom"/>
            <w:hideMark/>
          </w:tcPr>
          <w:p w14:paraId="5552AD2E"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Coarse grid/subnational regions</w:t>
            </w:r>
          </w:p>
        </w:tc>
      </w:tr>
      <w:tr w:rsidR="00102EB3" w:rsidRPr="00E04AD0" w14:paraId="1D778206"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7E29DF98"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4</w:t>
            </w:r>
          </w:p>
        </w:tc>
        <w:tc>
          <w:tcPr>
            <w:tcW w:w="7280" w:type="dxa"/>
            <w:tcBorders>
              <w:top w:val="nil"/>
              <w:left w:val="nil"/>
              <w:bottom w:val="nil"/>
              <w:right w:val="nil"/>
            </w:tcBorders>
            <w:shd w:val="clear" w:color="auto" w:fill="E2EFD9" w:themeFill="accent6" w:themeFillTint="33"/>
            <w:vAlign w:val="bottom"/>
            <w:hideMark/>
          </w:tcPr>
          <w:p w14:paraId="2773B871"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Fine grid/NUTS 3</w:t>
            </w:r>
          </w:p>
        </w:tc>
      </w:tr>
      <w:tr w:rsidR="00102EB3" w:rsidRPr="00E04AD0" w14:paraId="5C506C83"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0CC3D1C9"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5</w:t>
            </w:r>
          </w:p>
        </w:tc>
        <w:tc>
          <w:tcPr>
            <w:tcW w:w="7280" w:type="dxa"/>
            <w:tcBorders>
              <w:top w:val="nil"/>
              <w:left w:val="nil"/>
              <w:bottom w:val="nil"/>
              <w:right w:val="nil"/>
            </w:tcBorders>
            <w:shd w:val="clear" w:color="auto" w:fill="E2EFD9" w:themeFill="accent6" w:themeFillTint="33"/>
            <w:noWrap/>
            <w:vAlign w:val="bottom"/>
            <w:hideMark/>
          </w:tcPr>
          <w:p w14:paraId="4F53C8F0"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Household/asset level</w:t>
            </w:r>
          </w:p>
        </w:tc>
      </w:tr>
    </w:tbl>
    <w:p w14:paraId="145FC8D1" w14:textId="55BA685B"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MEM</w:t>
      </w:r>
      <w:r w:rsidR="00AF504F">
        <w:rPr>
          <w:b/>
          <w:bCs/>
          <w:lang w:val="en-GB"/>
        </w:rPr>
        <w:t>s</w:t>
      </w:r>
      <w:r w:rsidRPr="00E04AD0">
        <w:rPr>
          <w:b/>
          <w:bCs/>
          <w:lang w:val="en-GB"/>
        </w:rPr>
        <w:t xml:space="preserve">. </w:t>
      </w:r>
      <w:r w:rsidRPr="00E04AD0">
        <w:rPr>
          <w:lang w:val="en-GB"/>
        </w:rPr>
        <w:t>Most</w:t>
      </w:r>
      <w:r w:rsidRPr="00E04AD0">
        <w:rPr>
          <w:b/>
          <w:bCs/>
          <w:lang w:val="en-GB"/>
        </w:rPr>
        <w:t xml:space="preserve"> </w:t>
      </w:r>
      <w:r w:rsidRPr="00E04AD0">
        <w:rPr>
          <w:lang w:val="en-GB"/>
        </w:rPr>
        <w:t xml:space="preserve">MEMs that estimate climate costs operate on a national scale </w:t>
      </w:r>
      <w:r w:rsidRPr="00E04AD0">
        <w:rPr>
          <w:lang w:val="en-GB"/>
        </w:rPr>
        <w:fldChar w:fldCharType="begin"/>
      </w:r>
      <w:r w:rsidR="00065A37">
        <w:rPr>
          <w:lang w:val="en-GB"/>
        </w:rPr>
        <w:instrText xml:space="preserve"> ADDIN ZOTERO_ITEM CSL_CITATION {"citationID":"AGakTCt2","properties":{"formattedCitation":"\\super 14\\nosupersub{}","plainCitation":"14","noteIndex":0},"citationItems":[{"id":1470,"uris":["http://zotero.org/users/4065690/items/G29IPL6V"],"itemData":{"id":1470,"type":"article-journal","abstract":"Econometric models of temperature impacts on GDP are increasingly used to inform global warming damage assessments. But theory does not prescribe estimable forms of this relationship. By estimating 800 plausible specifications of the temperature-GDP relationship, we demonstrate that a wide variety of models are statistically indistinguishable in their out-of-sample performance, including models that exclude any temperature effect. This full set of models, however, implies a wide range of climate change impacts by 2100, yielding considerable model uncertainty. The uncertainty is greatest for models that specify effects of temperature on GDP growth that accumulate over time; the 95% confidence interval that accounts for both sampling and model uncertainty across the best-performing models ranges from 84% GDP losses to 359% gains. Models of GDP levels effects yield a much narrower distribution of GDP impacts centered around 1–3% losses, consistent with damage functions of major integrated assessment models. Further, models that incorporate lagged temperature effects are indicative of impacts on GDP levels rather than GDP growth. We identify statistically significant marginal effects of temperature on poor country GDP and agricultural production, but not rich country GDP, non-agricultural production, or GDP growth.","container-title":"Journal of Environmental Economics and Management","DOI":"10.1016/j.jeem.2021.102445","ISSN":"0095-0696","journalAbbreviation":"Journal of Environmental Economics and Management","language":"en","page":"102445","source":"ScienceDirect","title":"The GDP-Temperature relationship: Implications for climate change damages","title-short":"The GDP-Temperature relationship","volume":"108","author":[{"family":"Newell","given":"Richard G."},{"family":"Prest","given":"Brian C."},{"family":"Sexton","given":"Steven E."}],"issued":{"date-parts":[["2021",7,1]]}}}],"schema":"https://github.com/citation-style-language/schema/raw/master/csl-citation.json"} </w:instrText>
      </w:r>
      <w:r w:rsidRPr="00E04AD0">
        <w:rPr>
          <w:lang w:val="en-GB"/>
        </w:rPr>
        <w:fldChar w:fldCharType="separate"/>
      </w:r>
      <w:r w:rsidR="00065A37" w:rsidRPr="00D27406">
        <w:rPr>
          <w:rFonts w:cs="Times New Roman"/>
          <w:vertAlign w:val="superscript"/>
          <w:lang w:val="en-US"/>
        </w:rPr>
        <w:t>14</w:t>
      </w:r>
      <w:r w:rsidRPr="00E04AD0">
        <w:rPr>
          <w:lang w:val="en-GB"/>
        </w:rPr>
        <w:fldChar w:fldCharType="end"/>
      </w:r>
      <w:r w:rsidRPr="00E04AD0">
        <w:rPr>
          <w:lang w:val="en-GB"/>
        </w:rPr>
        <w:t xml:space="preserve">. However, newer versions of MEMs use the sub-national DOSE datasets </w:t>
      </w:r>
      <w:r w:rsidRPr="00E04AD0">
        <w:rPr>
          <w:lang w:val="en-GB"/>
        </w:rPr>
        <w:fldChar w:fldCharType="begin"/>
      </w:r>
      <w:r w:rsidR="00065A37">
        <w:rPr>
          <w:lang w:val="en-GB"/>
        </w:rPr>
        <w:instrText xml:space="preserve"> ADDIN ZOTERO_ITEM CSL_CITATION {"citationID":"MQZSAuoy","properties":{"formattedCitation":"\\super 25,26\\nosupersub{}","plainCitation":"25,26","noteIndex":0},"citationItems":[{"id":2947,"uris":["http://zotero.org/users/4065690/items/MJG6IDTB"],"itemData":{"id":2947,"type":"article-journal","abstract":"Many phenomena of high relevance for economic development such as human capital, geography and climate vary considerably within countries as well as between them. Yet, global data sets of economic output are typically available at the national level only, thereby limiting the accuracy and precision of insights gained through empirical analyses. Recent work has used interpolation and downscaling to yield estimates of sub-national economic output at a global scale, but respective data sets based on official, reported values only are lacking. We here present DOSE — the MCC-PIK Database Of Sub-national Economic Output. DOSE contains harmonised data on reported economic output from 1,661 sub-national regions across 83 countries from 1960 to 2020. To avoid interpolation, values are assembled from numerous statistical agencies, yearbooks and the literature and harmonised for both aggregate and sectoral output. Moreover, we provide temporally- and spatially-consistent data for regional boundaries, enabling matching with geo-spatial data such as climate observations. DOSE provides the opportunity for detailed analyses of economic development at the subnational level, consistent with reported values.","container-title":"Scientific Data","DOI":"10.1038/s41597-023-02323-8","ISSN":"2052-4463","issue":"1","journalAbbreviation":"Sci Data","language":"en","license":"2023 The Author(s)","note":"number: 1\npublisher: Nature Publishing Group","page":"425","source":"www.nature.com","title":"DOSE – Global data set of reported sub-national economic output","volume":"10","author":[{"family":"Wenz","given":"Leonie"},{"family":"Carr","given":"Robert Devon"},{"family":"Kögel","given":"Noah"},{"family":"Kotz","given":"Maximilian"},{"family":"Kalkuhl","given":"Matthias"}],"issued":{"date-parts":[["2023",7,3]]}},"label":"page"},{"id":3252,"uris":["http://zotero.org/users/4065690/items/CX8SW6PZ"],"itemData":{"id":3252,"type":"article-journal","abstract":"Global projections of macroeconomic climate-change damages typically consider impacts from average annual and national temperatures over long time horizons1–6. Here we use recent empirical findings from more than 1,600 regions worldwide over the past 40 years to project sub-national damages from temperature and precipitation, including daily variability and extremes7,8. Using an empirical approach that provides a robust lower bound on the persistence of impacts on economic growth, we find that the world economy is committed to an income reduction of 19% within the next 26 years independent of future emission choices (relative to a baseline without climate impacts, likely range of 11–29% accounting for physical climate and empirical uncertainty). These damages already outweigh the mitigation costs required to limit global warming to 2 °C by sixfold over this near-term time frame and thereafter diverge strongly dependent on emission choices. Committed damages arise predominantly through changes in average temperature, but accounting for further climatic components raises estimates by approximately 50% and leads to stronger regional heterogeneity. Committed losses are projected for all regions except those at very high latitudes, at which reductions in temperature variability bring benefits. The largest losses are committed at lower latitudes in regions with lower cumulative historical emissions and lower present-day income.","container-title":"Nature","DOI":"10.1038/s41586-024-07219-0","ISSN":"1476-4687","issue":"8008","language":"en","license":"2024 The Author(s)","note":"publisher: Nature Publishing Group","page":"551-557","source":"www.nature.com","title":"The economic commitment of climate change","volume":"628","author":[{"family":"Kotz","given":"Maximilian"},{"family":"Levermann","given":"Anders"},{"family":"Wenz","given":"Leonie"}],"issued":{"date-parts":[["2024",4]]}},"label":"page"}],"schema":"https://github.com/citation-style-language/schema/raw/master/csl-citation.json"} </w:instrText>
      </w:r>
      <w:r w:rsidRPr="00E04AD0">
        <w:rPr>
          <w:lang w:val="en-GB"/>
        </w:rPr>
        <w:fldChar w:fldCharType="separate"/>
      </w:r>
      <w:r w:rsidR="00065A37" w:rsidRPr="00D27406">
        <w:rPr>
          <w:rFonts w:cs="Times New Roman"/>
          <w:vertAlign w:val="superscript"/>
          <w:lang w:val="en-US"/>
        </w:rPr>
        <w:t>25,26</w:t>
      </w:r>
      <w:r w:rsidRPr="00E04AD0">
        <w:rPr>
          <w:lang w:val="en-GB"/>
        </w:rPr>
        <w:fldChar w:fldCharType="end"/>
      </w:r>
      <w:r w:rsidRPr="00E04AD0">
        <w:rPr>
          <w:lang w:val="en-GB"/>
        </w:rPr>
        <w:t>. Given this, we assign spatial resolution scores of 2 (mean) and 3 (max)</w:t>
      </w:r>
      <w:r w:rsidR="00AB346C">
        <w:rPr>
          <w:lang w:val="en-GB"/>
        </w:rPr>
        <w:t xml:space="preserve"> to MEMs</w:t>
      </w:r>
      <w:r w:rsidRPr="00E04AD0">
        <w:rPr>
          <w:lang w:val="en-GB"/>
        </w:rPr>
        <w:t>.</w:t>
      </w:r>
    </w:p>
    <w:p w14:paraId="39A7AAA1" w14:textId="052ED977"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IO.</w:t>
      </w:r>
      <w:r w:rsidRPr="00E04AD0">
        <w:rPr>
          <w:lang w:val="en-GB"/>
        </w:rPr>
        <w:t xml:space="preserve"> Most current IO models, which </w:t>
      </w:r>
      <w:r w:rsidR="00C01B31">
        <w:rPr>
          <w:lang w:val="en-GB"/>
        </w:rPr>
        <w:t>quantify</w:t>
      </w:r>
      <w:r w:rsidRPr="00E04AD0">
        <w:rPr>
          <w:lang w:val="en-GB"/>
        </w:rPr>
        <w:t xml:space="preserve"> the indirect costs of climate hazards (e.g., floods), operate on a national scale</w:t>
      </w:r>
      <w:r w:rsidR="0005509E">
        <w:rPr>
          <w:lang w:val="en-GB"/>
        </w:rPr>
        <w:t xml:space="preserve"> because IO models</w:t>
      </w:r>
      <w:r w:rsidR="00220223">
        <w:rPr>
          <w:lang w:val="en-GB"/>
        </w:rPr>
        <w:t xml:space="preserve">, </w:t>
      </w:r>
      <w:r w:rsidR="008A5CEC">
        <w:rPr>
          <w:lang w:val="en-GB"/>
        </w:rPr>
        <w:t>as they</w:t>
      </w:r>
      <w:r w:rsidR="0005509E">
        <w:rPr>
          <w:lang w:val="en-GB"/>
        </w:rPr>
        <w:t xml:space="preserve"> </w:t>
      </w:r>
      <w:r w:rsidR="008A5CEC">
        <w:rPr>
          <w:lang w:val="en-GB"/>
        </w:rPr>
        <w:t xml:space="preserve">are </w:t>
      </w:r>
      <w:r w:rsidR="0005509E">
        <w:rPr>
          <w:lang w:val="en-GB"/>
        </w:rPr>
        <w:t>based on national</w:t>
      </w:r>
      <w:r w:rsidR="00355101">
        <w:rPr>
          <w:lang w:val="en-GB"/>
        </w:rPr>
        <w:t xml:space="preserve"> accounting data (i.e.,</w:t>
      </w:r>
      <w:r w:rsidR="0005509E">
        <w:rPr>
          <w:lang w:val="en-GB"/>
        </w:rPr>
        <w:t xml:space="preserve"> IO tables</w:t>
      </w:r>
      <w:r w:rsidR="00355101">
        <w:rPr>
          <w:lang w:val="en-GB"/>
        </w:rPr>
        <w:t>)</w:t>
      </w:r>
      <w:r w:rsidRPr="00E04AD0">
        <w:rPr>
          <w:lang w:val="en-GB"/>
        </w:rPr>
        <w:t>. However, some IO models achieve finer NUTS3-level spatial resolution</w:t>
      </w:r>
      <w:r w:rsidR="008544B5">
        <w:rPr>
          <w:lang w:val="en-GB"/>
        </w:rPr>
        <w:t xml:space="preserve"> </w:t>
      </w:r>
      <w:r w:rsidR="008544B5">
        <w:rPr>
          <w:lang w:val="en-GB"/>
        </w:rPr>
        <w:fldChar w:fldCharType="begin"/>
      </w:r>
      <w:r w:rsidR="00065A37">
        <w:rPr>
          <w:lang w:val="en-GB"/>
        </w:rPr>
        <w:instrText xml:space="preserve"> ADDIN ZOTERO_ITEM CSL_CITATION {"citationID":"jxplW9Xr","properties":{"formattedCitation":"\\super 27,28\\nosupersub{}","plainCitation":"27,28","noteIndex":0},"citationItems":[{"id":3429,"uris":["http://zotero.org/users/4065690/items/PAPTYSEA"],"itemData":{"id":3429,"type":"article-journal","abstract":"In this article, we propose an integrated direct and indirect flood risk model for small- and large-scale flood events, allowing for dynamic modeling of total economic losses from a flood event to a full economic recovery. A novel approach is taken that translates direct losses of both capital and labor into production losses using the Cobb-Douglas production function, aiming at improved consistency in loss accounting. The recovery of the economy is modeled using a hybrid input-output model and applied to the port region of Rotterdam, using six different flood events (1/10 up to 1/10,000). This procedure allows gaining a better insight regarding the consequences of both high- and low-probability floods. The results show that in terms of expected annual damage, direct losses remain more substantial relative to the indirect losses (approximately 50% larger), but for low-probability events the indirect losses outweigh the direct losses. Furthermore, we explored parameter uncertainty using a global sensitivity analysis, and varied critical assumptions in the modeling framework related to, among others, flood duration and labor recovery, using a scenario approach. Our findings have two important implications for disaster modelers and practitioners. First, high-probability events are qualitatively different from low-probability events in terms of the scale of damages and full recovery period. Second, there are substantial differences in parameter influence between high-probability and low-probability flood modeling. These findings suggest that a detailed approach is required when assessing the flood risk for a specific region.","container-title":"Risk Analysis","DOI":"10.1111/risa.12300","ISSN":"1539-6924","issue":"5","language":"en","license":"© 2014 Society for Risk Analysis","note":"_eprint: https://onlinelibrary.wiley.com/doi/pdf/10.1111/risa.12300","page":"882-900","source":"Wiley Online Library","title":"Integrated Direct and Indirect Flood Risk Modeling: Development and Sensitivity Analysis","title-short":"Integrated Direct and Indirect Flood Risk Modeling","volume":"35","author":[{"family":"Koks","given":"E. E."},{"family":"Bočkarjova","given":"M."},{"family":"Moel","given":"H.","non-dropping-particle":"de"},{"family":"Aerts","given":"J. C. J. H."}],"issued":{"date-parts":[["2015"]]}},"label":"page"},{"id":3436,"uris":["http://zotero.org/users/4065690/items/7452AYX7"],"itemData":{"id":3436,"type":"article-journal","abstract":"The frequency and intensity of extreme weather events are rising due to global warming. Beyond damaging physical assets, these events can cause substantial economic losses through business interruptions and cascading shocks across production networks. The paper introduces a computational inter-regional input–output framework to assess the economic impacts of river floods in Italy. The model leverages a georeferenced database of productive plants built from the ASIA-local units database. By aligning plant coordinates with inundation maps, it enhances the identification of affected units, their associated water depth, and the shock caused to sectors’ productive capacity. To demonstrate the utility of this approach, we apply it to the major flood event that struck Emilia-Romagna in May 2023, quantifying both direct and indirect economic losses from business interruptions across sectoral, regional, and national levels.","container-title":"Journal of Economic Behavior &amp; Organization","DOI":"10.1016/j.jebo.2025.106896","ISSN":"0167-2681","journalAbbreviation":"Journal of Economic Behavior &amp; Organization","page":"106896","source":"ScienceDirect","title":"A high resolution input–output model to assess the economic impact of floods","volume":"230","author":[{"family":"Di Noia","given":"Jlenia"},{"family":"Caiani","given":"Alessandro"},{"family":"Cesarini","given":"Luigi"},{"family":"Arosio","given":"Marcello"},{"family":"Monteleone","given":"Beatrice"}],"issued":{"date-parts":[["2025",2,1]]}},"label":"page"}],"schema":"https://github.com/citation-style-language/schema/raw/master/csl-citation.json"} </w:instrText>
      </w:r>
      <w:r w:rsidR="008544B5">
        <w:rPr>
          <w:lang w:val="en-GB"/>
        </w:rPr>
        <w:fldChar w:fldCharType="separate"/>
      </w:r>
      <w:r w:rsidR="00065A37" w:rsidRPr="00D27406">
        <w:rPr>
          <w:rFonts w:cs="Times New Roman"/>
          <w:vertAlign w:val="superscript"/>
          <w:lang w:val="en-US"/>
        </w:rPr>
        <w:t>27,28</w:t>
      </w:r>
      <w:r w:rsidR="008544B5">
        <w:rPr>
          <w:lang w:val="en-GB"/>
        </w:rPr>
        <w:fldChar w:fldCharType="end"/>
      </w:r>
      <w:r w:rsidRPr="00E04AD0">
        <w:rPr>
          <w:lang w:val="en-GB"/>
        </w:rPr>
        <w:t>. Given this, we assign spatial resolution scores of 2 (mean) and 4 (max)</w:t>
      </w:r>
      <w:r w:rsidR="004A0441">
        <w:rPr>
          <w:lang w:val="en-GB"/>
        </w:rPr>
        <w:t xml:space="preserve"> to IO models</w:t>
      </w:r>
      <w:r w:rsidRPr="00E04AD0">
        <w:rPr>
          <w:lang w:val="en-GB"/>
        </w:rPr>
        <w:t xml:space="preserve">. </w:t>
      </w:r>
    </w:p>
    <w:p w14:paraId="7049BEDF" w14:textId="26491F3F"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CGE</w:t>
      </w:r>
      <w:r w:rsidRPr="00E04AD0">
        <w:rPr>
          <w:lang w:val="en-GB"/>
        </w:rPr>
        <w:t xml:space="preserve">. Most current CGE models that </w:t>
      </w:r>
      <w:r w:rsidR="00C01B31">
        <w:rPr>
          <w:lang w:val="en-GB"/>
        </w:rPr>
        <w:t>quantify</w:t>
      </w:r>
      <w:r w:rsidRPr="00E04AD0">
        <w:rPr>
          <w:lang w:val="en-GB"/>
        </w:rPr>
        <w:t xml:space="preserve"> climate costs operate on regional or national scales </w:t>
      </w:r>
      <w:r w:rsidRPr="00E04AD0">
        <w:rPr>
          <w:lang w:val="en-GB"/>
        </w:rPr>
        <w:fldChar w:fldCharType="begin"/>
      </w:r>
      <w:r w:rsidR="00065A37">
        <w:rPr>
          <w:lang w:val="en-GB"/>
        </w:rPr>
        <w:instrText xml:space="preserve"> ADDIN ZOTERO_ITEM CSL_CITATION {"citationID":"bq4WfWk0","properties":{"formattedCitation":"\\super 29,30\\nosupersub{}","plainCitation":"29,30","noteIndex":0},"citationItems":[{"id":624,"uris":["http://zotero.org/users/4065690/items/BFMQHWWQ"],"itemData":{"id":624,"type":"article-journal","abstract":"Climate change damage (or, more correctly, impact) functions relate variations in temperature (or other climate variables) to economic impacts in various dimensions, and are at the basis of quantitative modeling exercises for the assessment of climate change policies. This document provides a summary of results from a series of meta-analyses aimed at estimating parameters for six specific damage functions, referring to: sea level rise, agricultural productivity, heat effects on labor productivity, human health, tourism flows, and households' energy demand. All parameters of the damage functions are estimated for each of the 140 countries and regions in version 9 of the Global Trade Analysis Project (GTAP 9) Data Base. To illustrate the salient characteristics of the estimates, the change in real gross domestic product is approximated for the different effects, in all regions, corresponding to an increase in average temperature of +3°C. After considering the overall impact, the paper highlights which factor is the most significant one in each country, and elaborates on the distributional consequences of climate change.","container-title":"Journal of Global Economic Analysis","DOI":"10.21642/JGEA.010202AF","ISSN":"2377-2999","issue":"2","language":"en","license":"Copyright (c) 2016 Roberto Roson, Martina Sartori","page":"78-115","source":"jgea.org","title":"Estimation of Climate Change Damage Functions for 140 Regions in the GTAP 9 Data Base","volume":"1","author":[{"family":"Roson","given":"Roberto"},{"family":"Sartori","given":"Martina"}],"issued":{"date-parts":[["2016",12,30]]}},"label":"page"},{"id":678,"uris":["http://zotero.org/users/4065690/items/QMUE9BUL"],"itemData":{"id":678,"type":"article-journal","abstract":"Understanding which factors influence future economic impacts from climate change is important for informing mitigation and adaptation strategies. This study demonstrates that projected economic impacts are primarily attributed to variation in socioeconomic development and future emissions trajectories, rather than uncertainties in the climate response.","container-title":"Nature Climate Change","DOI":"10.1038/s41558-019-0578-6","ISSN":"1758-6798","issue":"10","journalAbbreviation":"Nat. Clim. Chang.","language":"en","license":"2019 The Author(s), under exclusive licence to Springer Nature Limited","page":"737-741","source":"www.nature.com","title":"Dependence of economic impacts of climate change on anthropogenically directed pathways","volume":"9","author":[{"family":"Takakura","given":"Jun’ya"},{"family":"Fujimori","given":"Shinichiro"},{"family":"Hanasaki","given":"Naota"},{"family":"Hasegawa","given":"Tomoko"},{"family":"Hirabayashi","given":"Yukiko"},{"family":"Honda","given":"Yasushi"},{"family":"Iizumi","given":"Toshichika"},{"family":"Kumano","given":"Naoko"},{"family":"Park","given":"Chan"},{"family":"Shen","given":"Zhihong"},{"family":"Takahashi","given":"Kiyoshi"},{"family":"Tamura","given":"Makoto"},{"family":"Tanoue","given":"Masahiro"},{"family":"Tsuchida","given":"Koujiro"},{"family":"Yokoki","given":"Hiromune"},{"family":"Zhou","given":"Qian"},{"family":"Oki","given":"Taikan"},{"family":"Hijioka","given":"Yasuaki"}],"issued":{"date-parts":[["2019",10]]}},"label":"page"}],"schema":"https://github.com/citation-style-language/schema/raw/master/csl-citation.json"} </w:instrText>
      </w:r>
      <w:r w:rsidRPr="00E04AD0">
        <w:rPr>
          <w:lang w:val="en-GB"/>
        </w:rPr>
        <w:fldChar w:fldCharType="separate"/>
      </w:r>
      <w:r w:rsidR="00065A37" w:rsidRPr="00D27406">
        <w:rPr>
          <w:rFonts w:cs="Times New Roman"/>
          <w:vertAlign w:val="superscript"/>
          <w:lang w:val="en-US"/>
        </w:rPr>
        <w:t>29,30</w:t>
      </w:r>
      <w:r w:rsidRPr="00E04AD0">
        <w:rPr>
          <w:lang w:val="en-GB"/>
        </w:rPr>
        <w:fldChar w:fldCharType="end"/>
      </w:r>
      <w:r w:rsidRPr="00E04AD0">
        <w:rPr>
          <w:lang w:val="en-GB"/>
        </w:rPr>
        <w:t xml:space="preserve">. However, some (e.g., EU-focused) models (e.g., ICES) achieve finer NUTS3-level spatial resolution </w:t>
      </w:r>
      <w:r w:rsidRPr="00E04AD0">
        <w:rPr>
          <w:lang w:val="en-GB"/>
        </w:rPr>
        <w:fldChar w:fldCharType="begin"/>
      </w:r>
      <w:r w:rsidR="00065A37">
        <w:rPr>
          <w:lang w:val="en-GB"/>
        </w:rPr>
        <w:instrText xml:space="preserve"> ADDIN ZOTERO_ITEM CSL_CITATION {"citationID":"n6nwb7bW","properties":{"formattedCitation":"\\super 31\\nosupersub{}","plainCitation":"31","noteIndex":0},"citationItems":[{"id":3408,"uris":["http://zotero.org/users/4065690/items/AHTWU2J5"],"itemData":{"id":3408,"type":"article-journal","abstract":"We present a tractable methodology to estimate climate change costs at a 1 × 1 km grid resolution. Climate change costs are obtained as projected gross domestic product (GDP) changes, under different global shared socio-economic pathway–representative concentration pathway (SSP-RCP) scenarios, from a regional (multiple European NUTS levels) version of the Intertemporal Computable Equilibrium System (ICES) model. Local costs are obtained by downscaling projected GDP according to urbanized area estimated by a grid-level model that accounts for fixed effects, such as population and location, and spatially clustered random effects at multiple hierarchical administrative levels. We produce a grid-level dataset of climate change economic impacts under different scenarios that can be used to compare the cost – in terms of GDP loss – of no adaptation and the benefits of investing in local adaptation.","container-title":"Spatial Economic Analysis","DOI":"10.1080/17421772.2022.2096917","ISSN":"1742-1772","issue":"1","note":"publisher: RSA Website\n_eprint: https://doi.org/10.1080/17421772.2022.2096917","page":"23-43","source":"Taylor and Francis+NEJM","title":"The local costs of global climate change: spatial GDP downscaling under different climate scenarios","title-short":"The local costs of global climate change","volume":"18","author":[{"family":"Rizzati","given":"Massimiliano"},{"family":"","given":"Standardi ,Gabriele"},{"family":"","given":"Guastella ,Gianni"},{"family":"","given":"Parrado ,Ramiro"},{"family":"","given":"Bosello ,Francesco"},{"family":"Pareglio","given":"Stefano","non-dropping-particle":"and"}],"issued":{"date-parts":[["2023",1,2]]}}}],"schema":"https://github.com/citation-style-language/schema/raw/master/csl-citation.json"} </w:instrText>
      </w:r>
      <w:r w:rsidRPr="00E04AD0">
        <w:rPr>
          <w:lang w:val="en-GB"/>
        </w:rPr>
        <w:fldChar w:fldCharType="separate"/>
      </w:r>
      <w:r w:rsidR="00065A37" w:rsidRPr="00D27406">
        <w:rPr>
          <w:rFonts w:cs="Times New Roman"/>
          <w:vertAlign w:val="superscript"/>
          <w:lang w:val="en-US"/>
        </w:rPr>
        <w:t>31</w:t>
      </w:r>
      <w:r w:rsidRPr="00E04AD0">
        <w:rPr>
          <w:lang w:val="en-GB"/>
        </w:rPr>
        <w:fldChar w:fldCharType="end"/>
      </w:r>
      <w:r w:rsidRPr="00E04AD0">
        <w:rPr>
          <w:lang w:val="en-GB"/>
        </w:rPr>
        <w:t>. Given this, we assign spatial resolution scores of 2 (mean) and 3 (max)</w:t>
      </w:r>
      <w:r w:rsidR="00131F0E">
        <w:rPr>
          <w:lang w:val="en-GB"/>
        </w:rPr>
        <w:t xml:space="preserve"> to CGE models</w:t>
      </w:r>
      <w:r w:rsidRPr="00E04AD0">
        <w:rPr>
          <w:lang w:val="en-GB"/>
        </w:rPr>
        <w:t xml:space="preserve">. </w:t>
      </w:r>
    </w:p>
    <w:p w14:paraId="582C6FCA" w14:textId="544A2EE2"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 xml:space="preserve">PE. </w:t>
      </w:r>
      <w:r w:rsidRPr="00E04AD0">
        <w:rPr>
          <w:lang w:val="en-GB"/>
        </w:rPr>
        <w:t xml:space="preserve">Most current agro-economic PE models (e.g., GLOBIOM and MAgPIE), which </w:t>
      </w:r>
      <w:r w:rsidR="00EA4958">
        <w:rPr>
          <w:lang w:val="en-GB"/>
        </w:rPr>
        <w:t>quantify</w:t>
      </w:r>
      <w:r w:rsidRPr="00E04AD0">
        <w:rPr>
          <w:lang w:val="en-GB"/>
        </w:rPr>
        <w:t xml:space="preserve"> the impacts of climate change on agricultural and food markets, operate on a fine grid cell level (0.5° x 0.5° grid cells) </w:t>
      </w:r>
      <w:r w:rsidRPr="00E04AD0">
        <w:rPr>
          <w:lang w:val="en-GB"/>
        </w:rPr>
        <w:fldChar w:fldCharType="begin"/>
      </w:r>
      <w:r w:rsidR="00065A37">
        <w:rPr>
          <w:lang w:val="en-GB"/>
        </w:rPr>
        <w:instrText xml:space="preserve"> ADDIN ZOTERO_ITEM CSL_CITATION {"citationID":"PMLH39bi","properties":{"formattedCitation":"\\super 32\\nosupersub{}","plainCitation":"32","noteIndex":0},"citationItems":[{"id":3407,"uris":["http://zotero.org/users/4065690/items/ZF5UXWTA"],"itemData":{"id":3407,"type":"article-journal","abstract":"Systematic model inter-comparison helps to narrow discrepancies in the analysis of the future impact of climate change on agricultural production. This paper presents a set of alternative scenarios by five global climate and agro-economic models. Covering integrated assessment (IMAGE), partial equilibrium (CAPRI, GLOBIOM, MAgPIE) and computable general equilibrium (MAGNET) models ensures a good coverage of biophysical and economic agricultural features. These models are harmonized with respect to basic model drivers, to assess the range of potential impacts of climate change on the agricultural sector by 2050. Moreover, they quantify the economic consequences of stringent global emission mitigation efforts, such as non-CO2 emission taxes and land-based mitigation options, to stabilize global warming at 2 °C by the end of the century under different Shared Socioeconomic Pathways. A key contribution of the paper is a vis-à-vis comparison of climate change impacts relative to the impact of mitigation measures. In addition, our scenario design allows assessing the impact of the residual climate change on the mitigation challenge. From a global perspective, the impact of climate change on agricultural production by mid-century is negative but small. A larger negative effect on agricultural production, most pronounced for ruminant meat production, is observed when emission mitigation measures compliant with a 2 °C target are put in place. Our results indicate that a mitigation strategy that embeds residual climate change effects (RCP2.6) has a negative impact on global agricultural production relative to a no-mitigation strategy with stronger climate impacts (RCP6.0). However, this is partially due to the limited impact of the climate change scenarios by 2050. The magnitude of price changes is different amongst models due to methodological differences. Further research to achieve a better harmonization is needed, especially regarding endogenous food and feed demand, including substitution across individual commodities, and endogenous technological change.","container-title":"Environmental Research Letters","DOI":"10.1088/1748-9326/aabdc4","ISSN":"1748-9326","issue":"6","journalAbbreviation":"Environ. Res. Lett.","language":"en","note":"publisher: IOP Publishing","page":"064021","source":"Institute of Physics","title":"Comparing impacts of climate change and mitigation on global agriculture by 2050","volume":"13","author":[{"family":"Meijl","given":"Hans","non-dropping-particle":"van"},{"family":"Havlik","given":"Petr"},{"family":"Lotze-Campen","given":"Hermann"},{"family":"Stehfest","given":"Elke"},{"family":"Witzke","given":"Peter"},{"family":"Domínguez","given":"Ignacio Pérez"},{"family":"Bodirsky","given":"Benjamin Leon"},{"family":"Dijk","given":"Michiel","non-dropping-particle":"van"},{"family":"Doelman","given":"Jonathan"},{"family":"Fellmann","given":"Thomas"},{"family":"Humpenöder","given":"Florian"},{"family":"Koopman","given":"Jason F L"},{"family":"Müller","given":"Christoph"},{"family":"Popp","given":"Alexander"},{"family":"Tabeau","given":"Andrzej"},{"family":"Valin","given":"Hugo"},{"family":"Zeist","given":"Willem-Jan","non-dropping-particle":"van"}],"issued":{"date-parts":[["2018",6]]}}}],"schema":"https://github.com/citation-style-language/schema/raw/master/csl-citation.json"} </w:instrText>
      </w:r>
      <w:r w:rsidRPr="00E04AD0">
        <w:rPr>
          <w:lang w:val="en-GB"/>
        </w:rPr>
        <w:fldChar w:fldCharType="separate"/>
      </w:r>
      <w:r w:rsidR="00065A37" w:rsidRPr="00D27406">
        <w:rPr>
          <w:rFonts w:cs="Times New Roman"/>
          <w:vertAlign w:val="superscript"/>
          <w:lang w:val="en-US"/>
        </w:rPr>
        <w:t>32</w:t>
      </w:r>
      <w:r w:rsidRPr="00E04AD0">
        <w:rPr>
          <w:lang w:val="en-GB"/>
        </w:rPr>
        <w:fldChar w:fldCharType="end"/>
      </w:r>
      <w:r w:rsidRPr="00E04AD0">
        <w:rPr>
          <w:lang w:val="en-GB"/>
        </w:rPr>
        <w:t>. However, some agro-economic region-focused PE models (e.g., CAPRI) achieve a finer resolution of 1×1 km grid cells. Given this, we assign spatial resolution performance scores of 3 (mean) and 4 (max)</w:t>
      </w:r>
      <w:r w:rsidR="00A866CF">
        <w:rPr>
          <w:lang w:val="en-GB"/>
        </w:rPr>
        <w:t xml:space="preserve"> to PE models</w:t>
      </w:r>
      <w:r w:rsidRPr="00E04AD0">
        <w:rPr>
          <w:lang w:val="en-GB"/>
        </w:rPr>
        <w:t>.</w:t>
      </w:r>
    </w:p>
    <w:p w14:paraId="3BC97F1C" w14:textId="485CED7D"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ABM</w:t>
      </w:r>
      <w:r w:rsidR="00844193">
        <w:rPr>
          <w:b/>
          <w:bCs/>
          <w:lang w:val="en-GB"/>
        </w:rPr>
        <w:t>s</w:t>
      </w:r>
      <w:r w:rsidRPr="00E04AD0">
        <w:rPr>
          <w:b/>
          <w:bCs/>
          <w:lang w:val="en-GB"/>
        </w:rPr>
        <w:t>.</w:t>
      </w:r>
      <w:r w:rsidRPr="00E04AD0">
        <w:rPr>
          <w:lang w:val="en-GB"/>
        </w:rPr>
        <w:t xml:space="preserve"> Most ABMs, which </w:t>
      </w:r>
      <w:r w:rsidR="004659D1">
        <w:rPr>
          <w:lang w:val="en-GB"/>
        </w:rPr>
        <w:t>quantify</w:t>
      </w:r>
      <w:r w:rsidRPr="00E04AD0">
        <w:rPr>
          <w:lang w:val="en-GB"/>
        </w:rPr>
        <w:t xml:space="preserve"> the indirect costs of climate extremes, operate on a national scale </w:t>
      </w:r>
      <w:r w:rsidRPr="00E04AD0">
        <w:rPr>
          <w:lang w:val="en-GB"/>
        </w:rPr>
        <w:fldChar w:fldCharType="begin"/>
      </w:r>
      <w:r w:rsidR="00065A37">
        <w:rPr>
          <w:lang w:val="en-GB"/>
        </w:rPr>
        <w:instrText xml:space="preserve"> ADDIN ZOTERO_ITEM CSL_CITATION {"citationID":"faDMx2rz","properties":{"formattedCitation":"\\super 33,34\\nosupersub{}","plainCitation":"33,34","noteIndex":0},"citationItems":[{"id":3376,"uris":["http://zotero.org/users/4065690/items/HGSCW7JW"],"itemData":{"id":3376,"type":"article-journal","abstract":"Tropical cyclones range among the costliest disasters on Earth. Their economic repercussions along the supply and trade network also affect remote economies that are not directly affected. We here simulate possible global repercussions on consumption for the example case of Hurricane Sandy in the US (2012) using the shock-propagation model Acclimate. The modeled shock yields a global three-phase ripple: an initial production demand reduction and associated consumption price decrease, followed by a supply shortage with increasing prices, and finally a recovery phase. Regions with strong trade relations to the US experience strong magnitudes of the ripple. A dominating demand reduction or supply shortage leads to overall consumption gains or losses of a region, respectively. While finding these repercussions in historic data is challenging due to strong volatility of economic interactions, numerical models like ours can help to identify them by approaching the problem from an exploratory angle, isolating the effect of interest. For this, our model simulates the economic interactions of over 7000 regional economic sectors, interlinked through about 1.8 million trade relations. Under global warming, the wave-like structures of the economic response to major hurricanes like the one simulated here are likely to intensify and potentially overlap with other weather extremes.","container-title":"Environmental Research Letters","DOI":"10.1088/1748-9326/ac39c0","ISSN":"1748-9326","issue":"12","journalAbbreviation":"Environ. Res. Lett.","language":"en","note":"publisher: IOP Publishing","page":"124049","source":"Institute of Physics","title":"Wave-like global economic ripple response to Hurricane Sandy","volume":"16","author":[{"family":"Middelanis","given":"Robin"},{"family":"Willner","given":"Sven N"},{"family":"Otto","given":"Christian"},{"family":"Kuhla","given":"Kilian"},{"family":"Quante","given":"Lennart"},{"family":"Levermann","given":"Anders"}],"issued":{"date-parts":[["2021",12]]}},"label":"page"},{"id":742,"uris":["http://zotero.org/users/4065690/items/5SY6E4Y9"],"itemData":{"id":742,"type":"article-journal","abstract":"World markets are highly interlinked and local economies extensively rely on global supply and value chains. Consequently, local production disruptions, for instance caused by extreme weather events, are likely to induce indirect losses along supply chains with potentially global repercussions. These complex loss dynamics represent a challenge for comprehensive disaster risk assessments. Here, we introduce the numerical agent-based model acclimate designed to analyze the cascading of economic losses in the global supply network. Using national sectors as agents, we apply the model to study the global propagation of losses induced by stylized disasters. We find that indirect losses can become comparable in size to direct ones, but can be efficiently mitigated by warehousing and idle capacities. Consequently, a comprehensive risk assessment cannot focus solely on first-tier suppliers, but has to take the whole supply chain into account. To render the supply network climate-proof, national adaptation policies have to be complemented by international adaptation efforts. In that regard, our model can be employed to assess reasonable leverage points and to identify dynamic bottlenecks inaccessible to static analyses.","container-title":"Journal of Economic Dynamics and Control","DOI":"10.1016/j.jedc.2017.08.001","ISSN":"0165-1889","journalAbbreviation":"Journal of Economic Dynamics and Control","language":"en","page":"232-269","source":"ScienceDirect","title":"Modeling loss-propagation in the global supply network: The dynamic agent-based model acclimate","title-short":"Modeling loss-propagation in the global supply network","volume":"83","author":[{"family":"Otto","given":"C."},{"family":"Willner","given":"S. N."},{"family":"Wenz","given":"L."},{"family":"Frieler","given":"K."},{"family":"Levermann","given":"A."}],"issued":{"date-parts":[["2017",10,1]]}},"label":"page"}],"schema":"https://github.com/citation-style-language/schema/raw/master/csl-citation.json"} </w:instrText>
      </w:r>
      <w:r w:rsidRPr="00E04AD0">
        <w:rPr>
          <w:lang w:val="en-GB"/>
        </w:rPr>
        <w:fldChar w:fldCharType="separate"/>
      </w:r>
      <w:r w:rsidR="00065A37" w:rsidRPr="00D27406">
        <w:rPr>
          <w:rFonts w:cs="Times New Roman"/>
          <w:vertAlign w:val="superscript"/>
          <w:lang w:val="en-US"/>
        </w:rPr>
        <w:t>33,34</w:t>
      </w:r>
      <w:r w:rsidRPr="00E04AD0">
        <w:rPr>
          <w:lang w:val="en-GB"/>
        </w:rPr>
        <w:fldChar w:fldCharType="end"/>
      </w:r>
      <w:r w:rsidRPr="00E04AD0">
        <w:rPr>
          <w:lang w:val="en-GB"/>
        </w:rPr>
        <w:t xml:space="preserve">. However, some ABMs </w:t>
      </w:r>
      <w:r w:rsidR="0083418D">
        <w:rPr>
          <w:lang w:val="en-GB"/>
        </w:rPr>
        <w:t>used in non-climate economy application</w:t>
      </w:r>
      <w:r w:rsidR="00B32C69">
        <w:rPr>
          <w:lang w:val="en-GB"/>
        </w:rPr>
        <w:t>s</w:t>
      </w:r>
      <w:r w:rsidR="0083418D">
        <w:rPr>
          <w:lang w:val="en-GB"/>
        </w:rPr>
        <w:t xml:space="preserve"> </w:t>
      </w:r>
      <w:r w:rsidRPr="00E04AD0">
        <w:rPr>
          <w:lang w:val="en-GB"/>
        </w:rPr>
        <w:t xml:space="preserve">achieve finer farmer/household/asset level spatial resolution </w:t>
      </w:r>
      <w:r w:rsidRPr="00E04AD0">
        <w:rPr>
          <w:lang w:val="en-GB"/>
        </w:rPr>
        <w:fldChar w:fldCharType="begin"/>
      </w:r>
      <w:r w:rsidR="00065A37">
        <w:rPr>
          <w:lang w:val="en-GB"/>
        </w:rPr>
        <w:instrText xml:space="preserve"> ADDIN ZOTERO_ITEM CSL_CITATION {"citationID":"9XpkWAYE","properties":{"formattedCitation":"\\super 35\\nosupersub{}","plainCitation":"35","noteIndex":0},"citationItems":[{"id":3409,"uris":["http://zotero.org/users/4065690/items/Z2DKXRHE"],"itemData":{"id":3409,"type":"article-journal","abstract":"The use of agent-based modelling approaches in ex-post and ex-ante evaluations of agricultural policies has been progressively increasing over the last few years. There are now a sufficient number of models that it is worth taking stock of the way these models have been developed. Here, we review 20 agricultural agent-based models (ABM) addressing heterogeneous decision-making processes in the context of European agriculture. The goals of this review were to i) develop a framework describing aspects of farmers' decision-making that are relevant from a farm-systems perspective, ii) reveal the current state-of-the-art in representing farmers' decision-making in the European agricultural sector, and iii) provide a critical reflection of underdeveloped research areas and on future opportunities in modelling decision-making. To compare different approaches in modelling farmers' behaviour, we focused on the European agricultural sector, which presents a specific character with its family farms, its single market and the common agricultural policy (CAP). We identified several key properties of farmers' decision-making: the multi-output nature of production; the importance of non-agricultural activities; heterogeneous household and family characteristics; and the need for concurrent short- and long-term decision-making. These properties were then used to define levels and types of decision-making mechanisms to structure a literature review. We find most models are sophisticated in the representation of farm exit and entry decisions, as well as the representation of long-term decisions and the consideration of farming styles or types using farm typologies. Considerably fewer attempts to model farmers' emotions, values, learning, risk and uncertainty or social interactions occur in the different case studies. We conclude that there is considerable scope to improve diversity in representation of decision-making and the integration of social interactions in agricultural agent-based modelling approaches by combining existing modelling approaches and promoting model inter-comparisons. Thus, this review provides a valuable entry point for agent-based modellers, agricultural systems modellers and data driven social scientists for the re-use and sharing of model components, code and data. An intensified dialogue could fertilize more coordinated and purposeful combinations and comparisons of ABM and other modelling approaches as well as better reconciliation of empirical data and theoretical foundations, which ultimately are key to developing improved models of agricultural systems.","container-title":"Agricultural Systems","DOI":"10.1016/j.agsy.2018.09.007","ISSN":"0308-521X","journalAbbreviation":"Agricultural Systems","page":"143-160","source":"ScienceDirect","title":"Representation of decision-making in European agricultural agent-based models","volume":"167","author":[{"family":"Huber","given":"Robert"},{"family":"Bakker","given":"Martha"},{"family":"Balmann","given":"Alfons"},{"family":"Berger","given":"Thomas"},{"family":"Bithell","given":"Mike"},{"family":"Brown","given":"Calum"},{"family":"Grêt-Regamey","given":"Adrienne"},{"family":"Xiong","given":"Hang"},{"family":"Le","given":"Quang Bao"},{"family":"Mack","given":"Gabriele"},{"family":"Meyfroidt","given":"Patrick"},{"family":"Millington","given":"James"},{"family":"Müller","given":"Birgit"},{"family":"Polhill","given":"J. Gareth"},{"family":"Sun","given":"Zhanli"},{"family":"Seidl","given":"Roman"},{"family":"Troost","given":"Christian"},{"family":"Finger","given":"Robert"}],"issued":{"date-parts":[["2018",11,1]]}}}],"schema":"https://github.com/citation-style-language/schema/raw/master/csl-citation.json"} </w:instrText>
      </w:r>
      <w:r w:rsidRPr="00E04AD0">
        <w:rPr>
          <w:lang w:val="en-GB"/>
        </w:rPr>
        <w:fldChar w:fldCharType="separate"/>
      </w:r>
      <w:r w:rsidR="00065A37" w:rsidRPr="00D27406">
        <w:rPr>
          <w:rFonts w:cs="Times New Roman"/>
          <w:vertAlign w:val="superscript"/>
          <w:lang w:val="en-US"/>
        </w:rPr>
        <w:t>35</w:t>
      </w:r>
      <w:r w:rsidRPr="00E04AD0">
        <w:rPr>
          <w:lang w:val="en-GB"/>
        </w:rPr>
        <w:fldChar w:fldCharType="end"/>
      </w:r>
      <w:r w:rsidRPr="00E04AD0">
        <w:rPr>
          <w:lang w:val="en-GB"/>
        </w:rPr>
        <w:t>. Given this, we assign spatial resolution scores of 2 (mean) and 5 (max)</w:t>
      </w:r>
      <w:r w:rsidR="007159B5">
        <w:rPr>
          <w:lang w:val="en-GB"/>
        </w:rPr>
        <w:t xml:space="preserve"> to ABMs</w:t>
      </w:r>
      <w:r w:rsidRPr="00E04AD0">
        <w:rPr>
          <w:lang w:val="en-GB"/>
        </w:rPr>
        <w:t>.</w:t>
      </w:r>
    </w:p>
    <w:p w14:paraId="3C1E3023" w14:textId="77777777" w:rsidR="00102EB3" w:rsidRPr="00E04AD0" w:rsidRDefault="00102EB3" w:rsidP="00A333DF">
      <w:pPr>
        <w:spacing w:line="276" w:lineRule="auto"/>
        <w:rPr>
          <w:b/>
          <w:bCs/>
          <w:lang w:val="en-GB"/>
        </w:rPr>
      </w:pPr>
      <w:r w:rsidRPr="00E04AD0">
        <w:rPr>
          <w:b/>
          <w:bCs/>
          <w:lang w:val="en-GB"/>
        </w:rPr>
        <w:t>Temporal Resolution:</w:t>
      </w:r>
    </w:p>
    <w:tbl>
      <w:tblPr>
        <w:tblW w:w="8240" w:type="dxa"/>
        <w:tblLook w:val="04A0" w:firstRow="1" w:lastRow="0" w:firstColumn="1" w:lastColumn="0" w:noHBand="0" w:noVBand="1"/>
      </w:tblPr>
      <w:tblGrid>
        <w:gridCol w:w="960"/>
        <w:gridCol w:w="7280"/>
      </w:tblGrid>
      <w:tr w:rsidR="00102EB3" w:rsidRPr="00E04AD0" w14:paraId="2C7031B4"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6D2975D2"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1</w:t>
            </w:r>
          </w:p>
        </w:tc>
        <w:tc>
          <w:tcPr>
            <w:tcW w:w="7280" w:type="dxa"/>
            <w:tcBorders>
              <w:top w:val="nil"/>
              <w:left w:val="nil"/>
              <w:bottom w:val="nil"/>
              <w:right w:val="nil"/>
            </w:tcBorders>
            <w:shd w:val="clear" w:color="auto" w:fill="E2EFD9" w:themeFill="accent6" w:themeFillTint="33"/>
            <w:noWrap/>
            <w:vAlign w:val="bottom"/>
            <w:hideMark/>
          </w:tcPr>
          <w:p w14:paraId="6A99E196"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Multiyear timesteps (e.g. 5yr)</w:t>
            </w:r>
          </w:p>
        </w:tc>
      </w:tr>
      <w:tr w:rsidR="00102EB3" w:rsidRPr="00E04AD0" w14:paraId="17BE51DC"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672F83AE"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2</w:t>
            </w:r>
          </w:p>
        </w:tc>
        <w:tc>
          <w:tcPr>
            <w:tcW w:w="7280" w:type="dxa"/>
            <w:tcBorders>
              <w:top w:val="nil"/>
              <w:left w:val="nil"/>
              <w:bottom w:val="nil"/>
              <w:right w:val="nil"/>
            </w:tcBorders>
            <w:shd w:val="clear" w:color="auto" w:fill="E2EFD9" w:themeFill="accent6" w:themeFillTint="33"/>
            <w:noWrap/>
            <w:vAlign w:val="bottom"/>
            <w:hideMark/>
          </w:tcPr>
          <w:p w14:paraId="24DB9A61"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Yearly</w:t>
            </w:r>
          </w:p>
        </w:tc>
      </w:tr>
      <w:tr w:rsidR="00102EB3" w:rsidRPr="00D27406" w14:paraId="01070C6D"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7B57177F"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3</w:t>
            </w:r>
          </w:p>
        </w:tc>
        <w:tc>
          <w:tcPr>
            <w:tcW w:w="7280" w:type="dxa"/>
            <w:tcBorders>
              <w:top w:val="nil"/>
              <w:left w:val="nil"/>
              <w:bottom w:val="nil"/>
              <w:right w:val="nil"/>
            </w:tcBorders>
            <w:shd w:val="clear" w:color="auto" w:fill="E2EFD9" w:themeFill="accent6" w:themeFillTint="33"/>
            <w:noWrap/>
            <w:vAlign w:val="bottom"/>
            <w:hideMark/>
          </w:tcPr>
          <w:p w14:paraId="572D5447"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Coarse sub year (quarter or half)</w:t>
            </w:r>
          </w:p>
        </w:tc>
      </w:tr>
      <w:tr w:rsidR="00102EB3" w:rsidRPr="00E04AD0" w14:paraId="2009FC76"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067462E8"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4</w:t>
            </w:r>
          </w:p>
        </w:tc>
        <w:tc>
          <w:tcPr>
            <w:tcW w:w="7280" w:type="dxa"/>
            <w:tcBorders>
              <w:top w:val="nil"/>
              <w:left w:val="nil"/>
              <w:bottom w:val="nil"/>
              <w:right w:val="nil"/>
            </w:tcBorders>
            <w:shd w:val="clear" w:color="auto" w:fill="E2EFD9" w:themeFill="accent6" w:themeFillTint="33"/>
            <w:noWrap/>
            <w:vAlign w:val="bottom"/>
            <w:hideMark/>
          </w:tcPr>
          <w:p w14:paraId="3A02FF54"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Monthly</w:t>
            </w:r>
          </w:p>
        </w:tc>
      </w:tr>
      <w:tr w:rsidR="00102EB3" w:rsidRPr="00E04AD0" w14:paraId="182F3A83"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3A270546"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5</w:t>
            </w:r>
          </w:p>
        </w:tc>
        <w:tc>
          <w:tcPr>
            <w:tcW w:w="7280" w:type="dxa"/>
            <w:tcBorders>
              <w:top w:val="nil"/>
              <w:left w:val="nil"/>
              <w:bottom w:val="nil"/>
              <w:right w:val="nil"/>
            </w:tcBorders>
            <w:shd w:val="clear" w:color="auto" w:fill="E2EFD9" w:themeFill="accent6" w:themeFillTint="33"/>
            <w:noWrap/>
            <w:vAlign w:val="bottom"/>
            <w:hideMark/>
          </w:tcPr>
          <w:p w14:paraId="06021012"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Daily</w:t>
            </w:r>
          </w:p>
        </w:tc>
      </w:tr>
    </w:tbl>
    <w:p w14:paraId="66E4815D" w14:textId="483B595D" w:rsidR="00102EB3" w:rsidRPr="00E04AD0" w:rsidRDefault="00102EB3" w:rsidP="00A333DF">
      <w:pPr>
        <w:spacing w:line="276" w:lineRule="auto"/>
        <w:rPr>
          <w:lang w:val="en-GB"/>
        </w:rPr>
      </w:pPr>
      <w:r w:rsidRPr="00E04AD0">
        <w:rPr>
          <w:lang w:val="en-GB"/>
        </w:rPr>
        <w:t xml:space="preserve">MEMs and most structural models (i.e., IO, CGE, </w:t>
      </w:r>
      <w:r w:rsidR="00D01C84">
        <w:rPr>
          <w:lang w:val="en-GB"/>
        </w:rPr>
        <w:t xml:space="preserve">and </w:t>
      </w:r>
      <w:r w:rsidRPr="00E04AD0">
        <w:rPr>
          <w:lang w:val="en-GB"/>
        </w:rPr>
        <w:t>PE</w:t>
      </w:r>
      <w:r w:rsidR="00D01C84">
        <w:rPr>
          <w:lang w:val="en-GB"/>
        </w:rPr>
        <w:t xml:space="preserve"> models</w:t>
      </w:r>
      <w:r w:rsidRPr="00E04AD0">
        <w:rPr>
          <w:lang w:val="en-GB"/>
        </w:rPr>
        <w:t xml:space="preserve">) that </w:t>
      </w:r>
      <w:r w:rsidR="00BA33D9">
        <w:rPr>
          <w:lang w:val="en-GB"/>
        </w:rPr>
        <w:t>assess</w:t>
      </w:r>
      <w:r w:rsidRPr="00E04AD0">
        <w:rPr>
          <w:lang w:val="en-GB"/>
        </w:rPr>
        <w:t xml:space="preserve"> climate costs are typically resolved at an annual temporal resolution. The exemption is ABMs which are usually resolved at a daily scale. Depending on the application, ABMs with coarser temporal resolution are also available. </w:t>
      </w:r>
      <w:r w:rsidR="00175707" w:rsidRPr="00175707">
        <w:rPr>
          <w:lang w:val="en-GB"/>
        </w:rPr>
        <w:t xml:space="preserve">Note that the temporal resolution of the original economic data (i.e., IO tables) used in ABMs to quantify </w:t>
      </w:r>
      <w:r w:rsidR="00175707" w:rsidRPr="00175707">
        <w:rPr>
          <w:lang w:val="en-GB"/>
        </w:rPr>
        <w:lastRenderedPageBreak/>
        <w:t>climate costs is often annual, but it is then interpolated to a daily scale</w:t>
      </w:r>
      <w:r w:rsidR="002A6225">
        <w:rPr>
          <w:lang w:val="en-GB"/>
        </w:rPr>
        <w:t xml:space="preserve"> </w:t>
      </w:r>
      <w:r w:rsidR="002A6225">
        <w:rPr>
          <w:lang w:val="en-GB"/>
        </w:rPr>
        <w:fldChar w:fldCharType="begin"/>
      </w:r>
      <w:r w:rsidR="00065A37">
        <w:rPr>
          <w:lang w:val="en-GB"/>
        </w:rPr>
        <w:instrText xml:space="preserve"> ADDIN ZOTERO_ITEM CSL_CITATION {"citationID":"9SlOkxsf","properties":{"formattedCitation":"\\super 34\\nosupersub{}","plainCitation":"34","noteIndex":0},"citationItems":[{"id":742,"uris":["http://zotero.org/users/4065690/items/5SY6E4Y9"],"itemData":{"id":742,"type":"article-journal","abstract":"World markets are highly interlinked and local economies extensively rely on global supply and value chains. Consequently, local production disruptions, for instance caused by extreme weather events, are likely to induce indirect losses along supply chains with potentially global repercussions. These complex loss dynamics represent a challenge for comprehensive disaster risk assessments. Here, we introduce the numerical agent-based model acclimate designed to analyze the cascading of economic losses in the global supply network. Using national sectors as agents, we apply the model to study the global propagation of losses induced by stylized disasters. We find that indirect losses can become comparable in size to direct ones, but can be efficiently mitigated by warehousing and idle capacities. Consequently, a comprehensive risk assessment cannot focus solely on first-tier suppliers, but has to take the whole supply chain into account. To render the supply network climate-proof, national adaptation policies have to be complemented by international adaptation efforts. In that regard, our model can be employed to assess reasonable leverage points and to identify dynamic bottlenecks inaccessible to static analyses.","container-title":"Journal of Economic Dynamics and Control","DOI":"10.1016/j.jedc.2017.08.001","ISSN":"0165-1889","journalAbbreviation":"Journal of Economic Dynamics and Control","language":"en","page":"232-269","source":"ScienceDirect","title":"Modeling loss-propagation in the global supply network: The dynamic agent-based model acclimate","title-short":"Modeling loss-propagation in the global supply network","volume":"83","author":[{"family":"Otto","given":"C."},{"family":"Willner","given":"S. N."},{"family":"Wenz","given":"L."},{"family":"Frieler","given":"K."},{"family":"Levermann","given":"A."}],"issued":{"date-parts":[["2017",10,1]]}}}],"schema":"https://github.com/citation-style-language/schema/raw/master/csl-citation.json"} </w:instrText>
      </w:r>
      <w:r w:rsidR="002A6225">
        <w:rPr>
          <w:lang w:val="en-GB"/>
        </w:rPr>
        <w:fldChar w:fldCharType="separate"/>
      </w:r>
      <w:r w:rsidR="00065A37" w:rsidRPr="00D27406">
        <w:rPr>
          <w:rFonts w:cs="Times New Roman"/>
          <w:vertAlign w:val="superscript"/>
          <w:lang w:val="en-US"/>
        </w:rPr>
        <w:t>34</w:t>
      </w:r>
      <w:r w:rsidR="002A6225">
        <w:rPr>
          <w:lang w:val="en-GB"/>
        </w:rPr>
        <w:fldChar w:fldCharType="end"/>
      </w:r>
      <w:r w:rsidR="00B43635">
        <w:rPr>
          <w:lang w:val="en-GB"/>
        </w:rPr>
        <w:t>.</w:t>
      </w:r>
      <w:r w:rsidR="00592C87">
        <w:rPr>
          <w:lang w:val="en-GB"/>
        </w:rPr>
        <w:t xml:space="preserve"> </w:t>
      </w:r>
      <w:r w:rsidRPr="00E04AD0">
        <w:rPr>
          <w:lang w:val="en-GB"/>
        </w:rPr>
        <w:t xml:space="preserve">Given this, we assign temporal resolution performance scores of 2 (mean and max) to MEMs, IO, CGE, and PE models, and scores of 5 (mean and max) to ABMs. </w:t>
      </w:r>
    </w:p>
    <w:p w14:paraId="6743BB74" w14:textId="77777777" w:rsidR="00102EB3" w:rsidRPr="00E04AD0" w:rsidRDefault="00102EB3" w:rsidP="00A333DF">
      <w:pPr>
        <w:spacing w:line="276" w:lineRule="auto"/>
        <w:rPr>
          <w:b/>
          <w:bCs/>
          <w:lang w:val="en-GB"/>
        </w:rPr>
      </w:pPr>
      <w:r w:rsidRPr="00E04AD0">
        <w:rPr>
          <w:b/>
          <w:bCs/>
          <w:lang w:val="en-GB"/>
        </w:rPr>
        <w:t xml:space="preserve">Sectoral Granularity: </w:t>
      </w:r>
    </w:p>
    <w:tbl>
      <w:tblPr>
        <w:tblW w:w="8240" w:type="dxa"/>
        <w:tblLook w:val="04A0" w:firstRow="1" w:lastRow="0" w:firstColumn="1" w:lastColumn="0" w:noHBand="0" w:noVBand="1"/>
      </w:tblPr>
      <w:tblGrid>
        <w:gridCol w:w="960"/>
        <w:gridCol w:w="7280"/>
      </w:tblGrid>
      <w:tr w:rsidR="00102EB3" w:rsidRPr="00E04AD0" w14:paraId="1F6B9519"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2C7B35D9"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1</w:t>
            </w:r>
          </w:p>
        </w:tc>
        <w:tc>
          <w:tcPr>
            <w:tcW w:w="7280" w:type="dxa"/>
            <w:tcBorders>
              <w:top w:val="nil"/>
              <w:left w:val="nil"/>
              <w:bottom w:val="nil"/>
              <w:right w:val="nil"/>
            </w:tcBorders>
            <w:shd w:val="clear" w:color="auto" w:fill="E2EFD9" w:themeFill="accent6" w:themeFillTint="33"/>
            <w:noWrap/>
            <w:vAlign w:val="bottom"/>
            <w:hideMark/>
          </w:tcPr>
          <w:p w14:paraId="0DCD7E1B"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Whole economy aggregated</w:t>
            </w:r>
          </w:p>
        </w:tc>
      </w:tr>
      <w:tr w:rsidR="00102EB3" w:rsidRPr="00D27406" w14:paraId="7278F8CF"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7D4397E6"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2</w:t>
            </w:r>
          </w:p>
        </w:tc>
        <w:tc>
          <w:tcPr>
            <w:tcW w:w="7280" w:type="dxa"/>
            <w:tcBorders>
              <w:top w:val="nil"/>
              <w:left w:val="nil"/>
              <w:bottom w:val="nil"/>
              <w:right w:val="nil"/>
            </w:tcBorders>
            <w:shd w:val="clear" w:color="auto" w:fill="E2EFD9" w:themeFill="accent6" w:themeFillTint="33"/>
            <w:noWrap/>
            <w:vAlign w:val="bottom"/>
            <w:hideMark/>
          </w:tcPr>
          <w:p w14:paraId="25275F1F"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1-digit level industry identifier (CPC*) or one explicit sector with rest global</w:t>
            </w:r>
          </w:p>
        </w:tc>
      </w:tr>
      <w:tr w:rsidR="00102EB3" w:rsidRPr="00D27406" w14:paraId="76AB7CB4"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25EE0128"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3</w:t>
            </w:r>
          </w:p>
        </w:tc>
        <w:tc>
          <w:tcPr>
            <w:tcW w:w="7280" w:type="dxa"/>
            <w:tcBorders>
              <w:top w:val="nil"/>
              <w:left w:val="nil"/>
              <w:bottom w:val="nil"/>
              <w:right w:val="nil"/>
            </w:tcBorders>
            <w:shd w:val="clear" w:color="auto" w:fill="E2EFD9" w:themeFill="accent6" w:themeFillTint="33"/>
            <w:noWrap/>
            <w:vAlign w:val="bottom"/>
            <w:hideMark/>
          </w:tcPr>
          <w:p w14:paraId="36AF1AFF"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2-digit level industry identifier (CPC)</w:t>
            </w:r>
          </w:p>
        </w:tc>
      </w:tr>
      <w:tr w:rsidR="00102EB3" w:rsidRPr="00D27406" w14:paraId="6A12D83D"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2BDBFDF4"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4</w:t>
            </w:r>
          </w:p>
        </w:tc>
        <w:tc>
          <w:tcPr>
            <w:tcW w:w="7280" w:type="dxa"/>
            <w:tcBorders>
              <w:top w:val="nil"/>
              <w:left w:val="nil"/>
              <w:bottom w:val="nil"/>
              <w:right w:val="nil"/>
            </w:tcBorders>
            <w:shd w:val="clear" w:color="auto" w:fill="E2EFD9" w:themeFill="accent6" w:themeFillTint="33"/>
            <w:noWrap/>
            <w:vAlign w:val="bottom"/>
            <w:hideMark/>
          </w:tcPr>
          <w:p w14:paraId="31AA3728"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3–4-digit level industry identifier (CPC)</w:t>
            </w:r>
          </w:p>
        </w:tc>
      </w:tr>
      <w:tr w:rsidR="00102EB3" w:rsidRPr="00D27406" w14:paraId="1F5AF1CA"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6FFE8CC6"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5</w:t>
            </w:r>
          </w:p>
        </w:tc>
        <w:tc>
          <w:tcPr>
            <w:tcW w:w="7280" w:type="dxa"/>
            <w:tcBorders>
              <w:top w:val="nil"/>
              <w:left w:val="nil"/>
              <w:bottom w:val="nil"/>
              <w:right w:val="nil"/>
            </w:tcBorders>
            <w:shd w:val="clear" w:color="auto" w:fill="E2EFD9" w:themeFill="accent6" w:themeFillTint="33"/>
            <w:noWrap/>
            <w:vAlign w:val="bottom"/>
            <w:hideMark/>
          </w:tcPr>
          <w:p w14:paraId="136B885C"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5-digit level industry identifier (CPC)</w:t>
            </w:r>
          </w:p>
        </w:tc>
      </w:tr>
      <w:tr w:rsidR="00102EB3" w:rsidRPr="00D27406" w14:paraId="1E9F470C" w14:textId="77777777" w:rsidTr="009732CF">
        <w:trPr>
          <w:trHeight w:val="264"/>
        </w:trPr>
        <w:tc>
          <w:tcPr>
            <w:tcW w:w="960" w:type="dxa"/>
            <w:tcBorders>
              <w:top w:val="nil"/>
              <w:left w:val="nil"/>
              <w:bottom w:val="nil"/>
              <w:right w:val="nil"/>
            </w:tcBorders>
            <w:shd w:val="clear" w:color="auto" w:fill="E2EFD9" w:themeFill="accent6" w:themeFillTint="33"/>
            <w:noWrap/>
            <w:vAlign w:val="bottom"/>
          </w:tcPr>
          <w:p w14:paraId="7EFA86FB" w14:textId="77777777" w:rsidR="00102EB3" w:rsidRPr="00E04AD0" w:rsidRDefault="00102EB3" w:rsidP="00A333DF">
            <w:pPr>
              <w:spacing w:before="0" w:line="276" w:lineRule="auto"/>
              <w:jc w:val="right"/>
              <w:rPr>
                <w:rFonts w:eastAsia="Times New Roman" w:cs="Times New Roman"/>
                <w:lang w:val="en-GB" w:eastAsia="en-GB"/>
              </w:rPr>
            </w:pPr>
          </w:p>
        </w:tc>
        <w:tc>
          <w:tcPr>
            <w:tcW w:w="7280" w:type="dxa"/>
            <w:tcBorders>
              <w:top w:val="nil"/>
              <w:left w:val="nil"/>
              <w:bottom w:val="nil"/>
              <w:right w:val="nil"/>
            </w:tcBorders>
            <w:shd w:val="clear" w:color="auto" w:fill="E2EFD9" w:themeFill="accent6" w:themeFillTint="33"/>
            <w:noWrap/>
            <w:vAlign w:val="bottom"/>
          </w:tcPr>
          <w:p w14:paraId="6C1938A7"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 CPC stand for the Central Product Classification</w:t>
            </w:r>
          </w:p>
        </w:tc>
      </w:tr>
    </w:tbl>
    <w:p w14:paraId="5F754BE2" w14:textId="60F954EB" w:rsidR="00102EB3" w:rsidRPr="00E04AD0" w:rsidRDefault="00102EB3" w:rsidP="00A333DF">
      <w:pPr>
        <w:pStyle w:val="ListParagraph"/>
        <w:numPr>
          <w:ilvl w:val="0"/>
          <w:numId w:val="1"/>
        </w:numPr>
        <w:spacing w:line="276" w:lineRule="auto"/>
        <w:rPr>
          <w:lang w:val="en-GB"/>
        </w:rPr>
      </w:pPr>
      <w:r w:rsidRPr="00E04AD0">
        <w:rPr>
          <w:b/>
          <w:bCs/>
          <w:lang w:val="en-GB"/>
        </w:rPr>
        <w:t>MEM</w:t>
      </w:r>
      <w:r w:rsidR="00C644AC">
        <w:rPr>
          <w:b/>
          <w:bCs/>
          <w:lang w:val="en-GB"/>
        </w:rPr>
        <w:t>s</w:t>
      </w:r>
      <w:r w:rsidRPr="00E04AD0">
        <w:rPr>
          <w:lang w:val="en-GB"/>
        </w:rPr>
        <w:t>. Most MEMs estimate the climate impact on GDP</w:t>
      </w:r>
      <w:r w:rsidR="000026F2">
        <w:rPr>
          <w:lang w:val="en-GB"/>
        </w:rPr>
        <w:t xml:space="preserve"> </w:t>
      </w:r>
      <w:r w:rsidR="000026F2">
        <w:rPr>
          <w:lang w:val="en-GB"/>
        </w:rPr>
        <w:fldChar w:fldCharType="begin"/>
      </w:r>
      <w:r w:rsidR="00065A37">
        <w:rPr>
          <w:lang w:val="en-GB"/>
        </w:rPr>
        <w:instrText xml:space="preserve"> ADDIN ZOTERO_ITEM CSL_CITATION {"citationID":"FAhSxMOB","properties":{"formattedCitation":"\\super 14\\nosupersub{}","plainCitation":"14","noteIndex":0},"citationItems":[{"id":1470,"uris":["http://zotero.org/users/4065690/items/G29IPL6V"],"itemData":{"id":1470,"type":"article-journal","abstract":"Econometric models of temperature impacts on GDP are increasingly used to inform global warming damage assessments. But theory does not prescribe estimable forms of this relationship. By estimating 800 plausible specifications of the temperature-GDP relationship, we demonstrate that a wide variety of models are statistically indistinguishable in their out-of-sample performance, including models that exclude any temperature effect. This full set of models, however, implies a wide range of climate change impacts by 2100, yielding considerable model uncertainty. The uncertainty is greatest for models that specify effects of temperature on GDP growth that accumulate over time; the 95% confidence interval that accounts for both sampling and model uncertainty across the best-performing models ranges from 84% GDP losses to 359% gains. Models of GDP levels effects yield a much narrower distribution of GDP impacts centered around 1–3% losses, consistent with damage functions of major integrated assessment models. Further, models that incorporate lagged temperature effects are indicative of impacts on GDP levels rather than GDP growth. We identify statistically significant marginal effects of temperature on poor country GDP and agricultural production, but not rich country GDP, non-agricultural production, or GDP growth.","container-title":"Journal of Environmental Economics and Management","DOI":"10.1016/j.jeem.2021.102445","ISSN":"0095-0696","journalAbbreviation":"Journal of Environmental Economics and Management","language":"en","page":"102445","source":"ScienceDirect","title":"The GDP-Temperature relationship: Implications for climate change damages","title-short":"The GDP-Temperature relationship","volume":"108","author":[{"family":"Newell","given":"Richard G."},{"family":"Prest","given":"Brian C."},{"family":"Sexton","given":"Steven E."}],"issued":{"date-parts":[["2021",7,1]]}}}],"schema":"https://github.com/citation-style-language/schema/raw/master/csl-citation.json"} </w:instrText>
      </w:r>
      <w:r w:rsidR="000026F2">
        <w:rPr>
          <w:lang w:val="en-GB"/>
        </w:rPr>
        <w:fldChar w:fldCharType="separate"/>
      </w:r>
      <w:r w:rsidR="00065A37" w:rsidRPr="00D27406">
        <w:rPr>
          <w:rFonts w:cs="Times New Roman"/>
          <w:vertAlign w:val="superscript"/>
          <w:lang w:val="en-US"/>
        </w:rPr>
        <w:t>14</w:t>
      </w:r>
      <w:r w:rsidR="000026F2">
        <w:rPr>
          <w:lang w:val="en-GB"/>
        </w:rPr>
        <w:fldChar w:fldCharType="end"/>
      </w:r>
      <w:r w:rsidRPr="00E04AD0">
        <w:rPr>
          <w:lang w:val="en-GB"/>
        </w:rPr>
        <w:t>. However, some recent MEMs also estimate the impact on sector-specific GDP contribution (i.e., agriculture, manufacturing, service)</w:t>
      </w:r>
      <w:r w:rsidR="00971214">
        <w:rPr>
          <w:lang w:val="en-GB"/>
        </w:rPr>
        <w:t xml:space="preserve"> </w:t>
      </w:r>
      <w:r w:rsidR="00971214">
        <w:rPr>
          <w:lang w:val="en-GB"/>
        </w:rPr>
        <w:fldChar w:fldCharType="begin"/>
      </w:r>
      <w:r w:rsidR="00065A37">
        <w:rPr>
          <w:lang w:val="en-GB"/>
        </w:rPr>
        <w:instrText xml:space="preserve"> ADDIN ZOTERO_ITEM CSL_CITATION {"citationID":"t7NS3ASS","properties":{"formattedCitation":"\\super 26\\nosupersub{}","plainCitation":"26","noteIndex":0},"citationItems":[{"id":3252,"uris":["http://zotero.org/users/4065690/items/CX8SW6PZ"],"itemData":{"id":3252,"type":"article-journal","abstract":"Global projections of macroeconomic climate-change damages typically consider impacts from average annual and national temperatures over long time horizons1–6. Here we use recent empirical findings from more than 1,600 regions worldwide over the past 40 years to project sub-national damages from temperature and precipitation, including daily variability and extremes7,8. Using an empirical approach that provides a robust lower bound on the persistence of impacts on economic growth, we find that the world economy is committed to an income reduction of 19% within the next 26 years independent of future emission choices (relative to a baseline without climate impacts, likely range of 11–29% accounting for physical climate and empirical uncertainty). These damages already outweigh the mitigation costs required to limit global warming to 2 °C by sixfold over this near-term time frame and thereafter diverge strongly dependent on emission choices. Committed damages arise predominantly through changes in average temperature, but accounting for further climatic components raises estimates by approximately 50% and leads to stronger regional heterogeneity. Committed losses are projected for all regions except those at very high latitudes, at which reductions in temperature variability bring benefits. The largest losses are committed at lower latitudes in regions with lower cumulative historical emissions and lower present-day income.","container-title":"Nature","DOI":"10.1038/s41586-024-07219-0","ISSN":"1476-4687","issue":"8008","language":"en","license":"2024 The Author(s)","note":"publisher: Nature Publishing Group","page":"551-557","source":"www.nature.com","title":"The economic commitment of climate change","volume":"628","author":[{"family":"Kotz","given":"Maximilian"},{"family":"Levermann","given":"Anders"},{"family":"Wenz","given":"Leonie"}],"issued":{"date-parts":[["2024",4]]}}}],"schema":"https://github.com/citation-style-language/schema/raw/master/csl-citation.json"} </w:instrText>
      </w:r>
      <w:r w:rsidR="00971214">
        <w:rPr>
          <w:lang w:val="en-GB"/>
        </w:rPr>
        <w:fldChar w:fldCharType="separate"/>
      </w:r>
      <w:r w:rsidR="00065A37" w:rsidRPr="00D27406">
        <w:rPr>
          <w:rFonts w:cs="Times New Roman"/>
          <w:vertAlign w:val="superscript"/>
          <w:lang w:val="en-US"/>
        </w:rPr>
        <w:t>26</w:t>
      </w:r>
      <w:r w:rsidR="00971214">
        <w:rPr>
          <w:lang w:val="en-GB"/>
        </w:rPr>
        <w:fldChar w:fldCharType="end"/>
      </w:r>
      <w:r w:rsidRPr="00E04AD0">
        <w:rPr>
          <w:lang w:val="en-GB"/>
        </w:rPr>
        <w:t>. Given this, we assign sectoral granularity scores of 1 (mean) and 2 (max) to MEMs.</w:t>
      </w:r>
    </w:p>
    <w:p w14:paraId="31ED039B" w14:textId="6CA4F9A4"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IO, CGE, ABM</w:t>
      </w:r>
      <w:r w:rsidR="00165507">
        <w:rPr>
          <w:b/>
          <w:bCs/>
          <w:lang w:val="en-GB"/>
        </w:rPr>
        <w:t>s</w:t>
      </w:r>
      <w:r w:rsidRPr="00E04AD0">
        <w:rPr>
          <w:b/>
          <w:bCs/>
          <w:lang w:val="en-GB"/>
        </w:rPr>
        <w:t xml:space="preserve">. </w:t>
      </w:r>
      <w:r w:rsidRPr="00E04AD0">
        <w:rPr>
          <w:lang w:val="en-GB"/>
        </w:rPr>
        <w:t>Most IO, CGE, and ABM</w:t>
      </w:r>
      <w:r w:rsidR="00165507">
        <w:rPr>
          <w:lang w:val="en-GB"/>
        </w:rPr>
        <w:t>s</w:t>
      </w:r>
      <w:r w:rsidRPr="00E04AD0">
        <w:rPr>
          <w:lang w:val="en-GB"/>
        </w:rPr>
        <w:t xml:space="preserve"> </w:t>
      </w:r>
      <w:r w:rsidR="0005032C">
        <w:rPr>
          <w:lang w:val="en-GB"/>
        </w:rPr>
        <w:t xml:space="preserve">models </w:t>
      </w:r>
      <w:r w:rsidRPr="00E04AD0">
        <w:rPr>
          <w:lang w:val="en-GB"/>
        </w:rPr>
        <w:t xml:space="preserve">that </w:t>
      </w:r>
      <w:r w:rsidR="007519D8">
        <w:rPr>
          <w:lang w:val="en-GB"/>
        </w:rPr>
        <w:t>quantify</w:t>
      </w:r>
      <w:r w:rsidRPr="00E04AD0">
        <w:rPr>
          <w:lang w:val="en-GB"/>
        </w:rPr>
        <w:t xml:space="preserve"> climate costs are typically resolved at 2-digit level of the CPC. However, some models feature 3-digit level granularity for several sectors. Given this, we assign sectoral granularity scores of 3 (mean) and 4 (max) to IO, CGE, and ABM</w:t>
      </w:r>
      <w:r w:rsidR="0005032C">
        <w:rPr>
          <w:lang w:val="en-GB"/>
        </w:rPr>
        <w:t>s</w:t>
      </w:r>
      <w:r w:rsidRPr="00E04AD0">
        <w:rPr>
          <w:lang w:val="en-GB"/>
        </w:rPr>
        <w:t xml:space="preserve"> models. </w:t>
      </w:r>
    </w:p>
    <w:p w14:paraId="6CB0175D" w14:textId="0045FD60"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 xml:space="preserve">PE. </w:t>
      </w:r>
      <w:r w:rsidRPr="00E04AD0">
        <w:rPr>
          <w:lang w:val="en-GB"/>
        </w:rPr>
        <w:t xml:space="preserve">Most agro-economic PE models, which </w:t>
      </w:r>
      <w:r w:rsidR="00026F39">
        <w:rPr>
          <w:lang w:val="en-GB"/>
        </w:rPr>
        <w:t>quantify</w:t>
      </w:r>
      <w:r w:rsidRPr="00E04AD0">
        <w:rPr>
          <w:lang w:val="en-GB"/>
        </w:rPr>
        <w:t xml:space="preserve"> the impacts of climate change on agricultural and food markets, have mixed sub-sectoral granularity within the agricultural sector. However, they are typically more granular than IO and CGE models in terms of agricultural detail</w:t>
      </w:r>
      <w:r w:rsidR="000137B6">
        <w:rPr>
          <w:lang w:val="en-GB"/>
        </w:rPr>
        <w:t xml:space="preserve"> </w:t>
      </w:r>
      <w:r w:rsidR="000137B6">
        <w:rPr>
          <w:lang w:val="en-GB"/>
        </w:rPr>
        <w:fldChar w:fldCharType="begin"/>
      </w:r>
      <w:r w:rsidR="00065A37">
        <w:rPr>
          <w:lang w:val="en-GB"/>
        </w:rPr>
        <w:instrText xml:space="preserve"> ADDIN ZOTERO_ITEM CSL_CITATION {"citationID":"3XfLD9qC","properties":{"formattedCitation":"\\super 36,37\\nosupersub{}","plainCitation":"36,37","noteIndex":0},"citationItems":[{"id":666,"uris":["http://zotero.org/users/4065690/items/84QA9VCD"],"itemData":{"id":666,"type":"article-journal","abstract":"&lt;p&gt;&lt;strong&gt;Abstract.&lt;/strong&gt; The open-source modeling framework MAgPIE (Model of Agricultural Production and its Impact on the Environment) combines economic and biophysical approaches to simulate spatially explicit global scenarios of land use within the 21st century and the respective interactions with the environment. Besides various other projects, it was used to simulate marker scenarios of the Shared Socioeconomic Pathways (SSPs) and contributed substantially to multiple IPCC assessments. However, with growing scope and detail, the non-linear model has become increasingly complex, computationally intensive and non-transparent, requiring structured approaches to improve the development and evaluation of the model.&lt;/p&gt;&lt;p&gt;Here, we provide an overview on version 4 of MAgPIE and how it addresses these issues of increasing complexity using new technical features: modular structure with exchangeable module implementations, flexible spatial resolution, in-code documentation, automatized code checking, model/output evaluation and open accessibility. Application examples provide insights into model evaluation, modular flexibility and region-specific analysis approaches. While this paper is focused on the general framework as such, the publication is accompanied by a detailed model documentation describing contents and equations, and by model evaluation documents giving insights into model performance for a broad range of variables.&lt;/p&gt;&lt;p&gt;With the open-source release of the MAgPIE 4 framework, we hope to contribute to more transparent, reproducible and collaborative research in the field. Due to its modularity and spatial flexibility, it should provide a basis for a broad range of land-related research with economic or biophysical, global or regional focus.&lt;/p&gt;","container-title":"Geoscientific Model Development","DOI":"https://doi.org/10.5194/gmd-12-1299-2019","ISSN":"1991-959X","issue":"4","language":"English","note":"publisher: Copernicus GmbH","page":"1299-1317","source":"gmd.copernicus.org","title":"MAgPIE 4 – a modular open-source framework for modeling global land systems","volume":"12","author":[{"family":"Dietrich","given":"Jan Philipp"},{"family":"Bodirsky","given":"Benjamin Leon"},{"family":"Humpenöder","given":"Florian"},{"family":"Weindl","given":"Isabelle"},{"family":"Stevanović","given":"Miodrag"},{"family":"Karstens","given":"Kristine"},{"family":"Kreidenweis","given":"Ulrich"},{"family":"Wang","given":"Xiaoxi"},{"family":"Mishra","given":"Abhijeet"},{"family":"Klein","given":"David"},{"family":"Ambrósio","given":"Geanderson"},{"family":"Araujo","given":"Ewerton"},{"family":"Yalew","given":"Amsalu Woldie"},{"family":"Baumstark","given":"Lavinia"},{"family":"Wirth","given":"Stephen"},{"family":"Giannousakis","given":"Anastasis"},{"family":"Beier","given":"Felicitas"},{"family":"Chen","given":"David Meng-Chuen"},{"family":"Lotze-Campen","given":"Hermann"},{"family":"Popp","given":"Alexander"}],"issued":{"date-parts":[["2019",4,3]]}},"label":"page"},{"id":3431,"uris":["http://zotero.org/users/4065690/items/HAX8YUNI"],"itemData":{"id":3431,"type":"webpage","genre":"Other","language":"en","license":"arr","note":"publisher-place: Laxenburg, Austria\npublisher: International Institute for Applied Systems Analysis","title":"Global Biosphere Management Model (GLOBIOM) Documentation 2023 - Version 1.0","URL":"https://pure.iiasa.ac.at/id/eprint/18996/, https://iiasa.dev.local/","author":[{"family":"IBF-IIASA","given":""}],"contributor":[{"family":"Addo","given":"F."},{"family":"Boere","given":"E."},{"family":"Brouwer","given":"A."},{"family":"Chang","given":"J."},{"family":"Deppermann","given":"A."},{"family":"De Vos","given":"K."},{"family":"Di Fulvio","given":"F."},{"family":"Forsell","given":"N."},{"family":"Frank","given":"S."},{"family":"Gusti","given":"M."},{"family":"Araujo Gutierrez","given":"Z."},{"family":"Havlik","given":"P."},{"family":"Hinkel","given":"N."},{"family":"Janssens","given":"C."},{"family":"Jia","given":"F."},{"family":"Kozicka","given":"M."},{"family":"Krisztin","given":"T."},{"family":"Kumar","given":"I."},{"family":"Lauri","given":"P."},{"family":"Leclere","given":"D."},{"family":"Palazzo","given":"A."},{"family":"Ringwald","given":"L."},{"family":"Wögerer","given":"M."},{"family":"Wu","given":"Y."}],"accessed":{"date-parts":[["2025",6,27]]},"issued":{"date-parts":[["2023"]]}},"label":"page"}],"schema":"https://github.com/citation-style-language/schema/raw/master/csl-citation.json"} </w:instrText>
      </w:r>
      <w:r w:rsidR="000137B6">
        <w:rPr>
          <w:lang w:val="en-GB"/>
        </w:rPr>
        <w:fldChar w:fldCharType="separate"/>
      </w:r>
      <w:r w:rsidR="00065A37" w:rsidRPr="00D27406">
        <w:rPr>
          <w:rFonts w:cs="Times New Roman"/>
          <w:vertAlign w:val="superscript"/>
          <w:lang w:val="en-US"/>
        </w:rPr>
        <w:t>36,37</w:t>
      </w:r>
      <w:r w:rsidR="000137B6">
        <w:rPr>
          <w:lang w:val="en-GB"/>
        </w:rPr>
        <w:fldChar w:fldCharType="end"/>
      </w:r>
      <w:r w:rsidRPr="00E04AD0">
        <w:rPr>
          <w:lang w:val="en-GB"/>
        </w:rPr>
        <w:t xml:space="preserve">. Given this, we assign sectoral granularity scores of 4 (mean) and 5 (max) to agro-economic PE models. </w:t>
      </w:r>
    </w:p>
    <w:p w14:paraId="3A7D449F" w14:textId="77777777" w:rsidR="00102EB3" w:rsidRPr="00E04AD0" w:rsidRDefault="00102EB3" w:rsidP="00A333DF">
      <w:pPr>
        <w:spacing w:line="276" w:lineRule="auto"/>
        <w:rPr>
          <w:b/>
          <w:bCs/>
          <w:lang w:val="en-GB"/>
        </w:rPr>
      </w:pPr>
      <w:r w:rsidRPr="00E04AD0">
        <w:rPr>
          <w:b/>
          <w:bCs/>
          <w:lang w:val="en-GB"/>
        </w:rPr>
        <w:t xml:space="preserve">Regional Coverage: </w:t>
      </w:r>
    </w:p>
    <w:tbl>
      <w:tblPr>
        <w:tblW w:w="8240" w:type="dxa"/>
        <w:tblLook w:val="04A0" w:firstRow="1" w:lastRow="0" w:firstColumn="1" w:lastColumn="0" w:noHBand="0" w:noVBand="1"/>
      </w:tblPr>
      <w:tblGrid>
        <w:gridCol w:w="960"/>
        <w:gridCol w:w="7280"/>
      </w:tblGrid>
      <w:tr w:rsidR="00102EB3" w:rsidRPr="00E04AD0" w14:paraId="4BF28D3D"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72BE48B9"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1</w:t>
            </w:r>
          </w:p>
        </w:tc>
        <w:tc>
          <w:tcPr>
            <w:tcW w:w="7280" w:type="dxa"/>
            <w:tcBorders>
              <w:top w:val="nil"/>
              <w:left w:val="nil"/>
              <w:bottom w:val="nil"/>
              <w:right w:val="nil"/>
            </w:tcBorders>
            <w:shd w:val="clear" w:color="auto" w:fill="E2EFD9" w:themeFill="accent6" w:themeFillTint="33"/>
            <w:noWrap/>
            <w:vAlign w:val="bottom"/>
            <w:hideMark/>
          </w:tcPr>
          <w:p w14:paraId="08F8CD8F"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Single subnational region</w:t>
            </w:r>
          </w:p>
        </w:tc>
      </w:tr>
      <w:tr w:rsidR="00102EB3" w:rsidRPr="00E04AD0" w14:paraId="79EF440A"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33213008"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2</w:t>
            </w:r>
          </w:p>
        </w:tc>
        <w:tc>
          <w:tcPr>
            <w:tcW w:w="7280" w:type="dxa"/>
            <w:tcBorders>
              <w:top w:val="nil"/>
              <w:left w:val="nil"/>
              <w:bottom w:val="nil"/>
              <w:right w:val="nil"/>
            </w:tcBorders>
            <w:shd w:val="clear" w:color="auto" w:fill="E2EFD9" w:themeFill="accent6" w:themeFillTint="33"/>
            <w:noWrap/>
            <w:vAlign w:val="bottom"/>
            <w:hideMark/>
          </w:tcPr>
          <w:p w14:paraId="1B3C78B4"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National</w:t>
            </w:r>
          </w:p>
        </w:tc>
      </w:tr>
      <w:tr w:rsidR="00102EB3" w:rsidRPr="00E04AD0" w14:paraId="2C5C71A7"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6B122BBE"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3</w:t>
            </w:r>
          </w:p>
        </w:tc>
        <w:tc>
          <w:tcPr>
            <w:tcW w:w="7280" w:type="dxa"/>
            <w:tcBorders>
              <w:top w:val="nil"/>
              <w:left w:val="nil"/>
              <w:bottom w:val="nil"/>
              <w:right w:val="nil"/>
            </w:tcBorders>
            <w:shd w:val="clear" w:color="auto" w:fill="E2EFD9" w:themeFill="accent6" w:themeFillTint="33"/>
            <w:noWrap/>
            <w:vAlign w:val="bottom"/>
            <w:hideMark/>
          </w:tcPr>
          <w:p w14:paraId="3324F875"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Multinational region</w:t>
            </w:r>
          </w:p>
        </w:tc>
      </w:tr>
      <w:tr w:rsidR="00102EB3" w:rsidRPr="00D27406" w14:paraId="6B8407DF"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7180E2A4"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4</w:t>
            </w:r>
          </w:p>
        </w:tc>
        <w:tc>
          <w:tcPr>
            <w:tcW w:w="7280" w:type="dxa"/>
            <w:tcBorders>
              <w:top w:val="nil"/>
              <w:left w:val="nil"/>
              <w:bottom w:val="nil"/>
              <w:right w:val="nil"/>
            </w:tcBorders>
            <w:shd w:val="clear" w:color="auto" w:fill="E2EFD9" w:themeFill="accent6" w:themeFillTint="33"/>
            <w:noWrap/>
            <w:vAlign w:val="bottom"/>
            <w:hideMark/>
          </w:tcPr>
          <w:p w14:paraId="788398A6"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Multi continent but not all</w:t>
            </w:r>
          </w:p>
        </w:tc>
      </w:tr>
      <w:tr w:rsidR="00102EB3" w:rsidRPr="00E04AD0" w14:paraId="002902E4"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432EE1AF"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5</w:t>
            </w:r>
          </w:p>
        </w:tc>
        <w:tc>
          <w:tcPr>
            <w:tcW w:w="7280" w:type="dxa"/>
            <w:tcBorders>
              <w:top w:val="nil"/>
              <w:left w:val="nil"/>
              <w:bottom w:val="nil"/>
              <w:right w:val="nil"/>
            </w:tcBorders>
            <w:shd w:val="clear" w:color="auto" w:fill="E2EFD9" w:themeFill="accent6" w:themeFillTint="33"/>
            <w:noWrap/>
            <w:vAlign w:val="bottom"/>
            <w:hideMark/>
          </w:tcPr>
          <w:p w14:paraId="7894D129"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 xml:space="preserve">All world's countries </w:t>
            </w:r>
          </w:p>
        </w:tc>
      </w:tr>
    </w:tbl>
    <w:p w14:paraId="40609502" w14:textId="5799C019" w:rsidR="00102EB3" w:rsidRPr="00E04AD0" w:rsidRDefault="00102EB3" w:rsidP="00A333DF">
      <w:pPr>
        <w:pStyle w:val="ListParagraph"/>
        <w:numPr>
          <w:ilvl w:val="0"/>
          <w:numId w:val="1"/>
        </w:numPr>
        <w:spacing w:line="276" w:lineRule="auto"/>
        <w:rPr>
          <w:lang w:val="en-GB"/>
        </w:rPr>
      </w:pPr>
      <w:r w:rsidRPr="00E04AD0">
        <w:rPr>
          <w:b/>
          <w:bCs/>
          <w:lang w:val="en-GB"/>
        </w:rPr>
        <w:t>MEM</w:t>
      </w:r>
      <w:r w:rsidR="001737EA">
        <w:rPr>
          <w:b/>
          <w:bCs/>
          <w:lang w:val="en-GB"/>
        </w:rPr>
        <w:t>s</w:t>
      </w:r>
      <w:r w:rsidRPr="00E04AD0">
        <w:rPr>
          <w:lang w:val="en-GB"/>
        </w:rPr>
        <w:t xml:space="preserve">, </w:t>
      </w:r>
      <w:r w:rsidRPr="00E04AD0">
        <w:rPr>
          <w:b/>
          <w:bCs/>
          <w:lang w:val="en-GB"/>
        </w:rPr>
        <w:t>CGE</w:t>
      </w:r>
      <w:r w:rsidRPr="00E04AD0">
        <w:rPr>
          <w:lang w:val="en-GB"/>
        </w:rPr>
        <w:t xml:space="preserve">, </w:t>
      </w:r>
      <w:r w:rsidRPr="00E04AD0">
        <w:rPr>
          <w:b/>
          <w:bCs/>
          <w:lang w:val="en-GB"/>
        </w:rPr>
        <w:t>PE, ABM</w:t>
      </w:r>
      <w:r w:rsidRPr="00E04AD0">
        <w:rPr>
          <w:lang w:val="en-GB"/>
        </w:rPr>
        <w:t>. Most MEM</w:t>
      </w:r>
      <w:r w:rsidR="001737EA">
        <w:rPr>
          <w:lang w:val="en-GB"/>
        </w:rPr>
        <w:t>s</w:t>
      </w:r>
      <w:r w:rsidRPr="00E04AD0">
        <w:rPr>
          <w:lang w:val="en-GB"/>
        </w:rPr>
        <w:t>, CGE, PE, and ABM</w:t>
      </w:r>
      <w:r w:rsidR="001737EA">
        <w:rPr>
          <w:lang w:val="en-GB"/>
        </w:rPr>
        <w:t>s</w:t>
      </w:r>
      <w:r w:rsidRPr="00E04AD0">
        <w:rPr>
          <w:lang w:val="en-GB"/>
        </w:rPr>
        <w:t xml:space="preserve"> models</w:t>
      </w:r>
      <w:r w:rsidR="00485D4F">
        <w:rPr>
          <w:lang w:val="en-GB"/>
        </w:rPr>
        <w:t xml:space="preserve">, which </w:t>
      </w:r>
      <w:r w:rsidR="00B96429">
        <w:rPr>
          <w:lang w:val="en-GB"/>
        </w:rPr>
        <w:t>assess</w:t>
      </w:r>
      <w:r w:rsidRPr="00E04AD0">
        <w:rPr>
          <w:lang w:val="en-GB"/>
        </w:rPr>
        <w:t xml:space="preserve"> </w:t>
      </w:r>
      <w:r w:rsidR="006142B8">
        <w:rPr>
          <w:lang w:val="en-GB"/>
        </w:rPr>
        <w:t xml:space="preserve">economic impacts of climate change and extremes, </w:t>
      </w:r>
      <w:r w:rsidRPr="00E04AD0">
        <w:rPr>
          <w:lang w:val="en-GB"/>
        </w:rPr>
        <w:t>offer global multi-regional coverage, although some countries, and islands are not included. Given this, we assign regional coverage scores 4 (mean and max). Note that ABM</w:t>
      </w:r>
      <w:r w:rsidR="009B3915">
        <w:rPr>
          <w:lang w:val="en-GB"/>
        </w:rPr>
        <w:t>s</w:t>
      </w:r>
      <w:r w:rsidRPr="00E04AD0">
        <w:rPr>
          <w:lang w:val="en-GB"/>
        </w:rPr>
        <w:t xml:space="preserve">, </w:t>
      </w:r>
      <w:r w:rsidR="003B2BAE">
        <w:rPr>
          <w:lang w:val="en-GB"/>
        </w:rPr>
        <w:t xml:space="preserve">in </w:t>
      </w:r>
      <w:r w:rsidR="00431079">
        <w:rPr>
          <w:lang w:val="en-GB"/>
        </w:rPr>
        <w:t xml:space="preserve">non-climate economy </w:t>
      </w:r>
      <w:r w:rsidR="00D646EB">
        <w:rPr>
          <w:lang w:val="en-GB"/>
        </w:rPr>
        <w:t>applications</w:t>
      </w:r>
      <w:r w:rsidRPr="00E04AD0">
        <w:rPr>
          <w:lang w:val="en-GB"/>
        </w:rPr>
        <w:t xml:space="preserve">, </w:t>
      </w:r>
      <w:r w:rsidR="00D42782">
        <w:rPr>
          <w:lang w:val="en-GB"/>
        </w:rPr>
        <w:t xml:space="preserve">are </w:t>
      </w:r>
      <w:r w:rsidRPr="00E04AD0">
        <w:rPr>
          <w:lang w:val="en-GB"/>
        </w:rPr>
        <w:t xml:space="preserve">typically </w:t>
      </w:r>
      <w:r w:rsidR="00D42782">
        <w:rPr>
          <w:lang w:val="en-GB"/>
        </w:rPr>
        <w:t xml:space="preserve">limited to </w:t>
      </w:r>
      <w:r w:rsidR="0008648B">
        <w:rPr>
          <w:lang w:val="en-GB"/>
        </w:rPr>
        <w:t xml:space="preserve">national or </w:t>
      </w:r>
      <w:r w:rsidRPr="00E04AD0">
        <w:rPr>
          <w:lang w:val="en-GB"/>
        </w:rPr>
        <w:t>subnational coverage</w:t>
      </w:r>
      <w:r w:rsidR="00961803">
        <w:rPr>
          <w:lang w:val="en-GB"/>
        </w:rPr>
        <w:t xml:space="preserve"> </w:t>
      </w:r>
      <w:r w:rsidR="002F116A">
        <w:rPr>
          <w:lang w:val="en-GB"/>
        </w:rPr>
        <w:fldChar w:fldCharType="begin"/>
      </w:r>
      <w:r w:rsidR="00065A37">
        <w:rPr>
          <w:lang w:val="en-GB"/>
        </w:rPr>
        <w:instrText xml:space="preserve"> ADDIN ZOTERO_ITEM CSL_CITATION {"citationID":"jjUcuXzT","properties":{"formattedCitation":"\\super 17,21\\nosupersub{}","plainCitation":"17,21","noteIndex":0},"citationItems":[{"id":2801,"uris":["http://zotero.org/users/4065690/items/XZX8CEKI","http://zotero.org/users/4065690/items/8YHLQ8F7"],"itemData":{"id":2801,"type":"article-journal","abstract":"In this review we discuss advances in the agent-based modeling of economic and social systems. We show the state of the art of the heuristic design of agents and how behavioral economics and laboratory experiments have improved the modeling of agent behavior. We further discuss how economic networks and social systems can be modeled and we discuss novel methodology and data sources. Lastly, we present an overview of estimation techniques to calibrate and validate agent-based models and show avenues for future research.","container-title":"SN Business &amp; Economics","DOI":"10.1007/s43546-021-00103-3","ISSN":"2662-9399","issue":"7","journalAbbreviation":"SN Bus Econ","language":"en","page":"99","source":"Springer Link","title":"Advances in the agent-based modeling of economic and social behavior","volume":"1","author":[{"family":"Steinbacher","given":"Mitja"},{"family":"Raddant","given":"Matthias"},{"family":"Karimi","given":"Fariba"},{"family":"Camacho Cuena","given":"Eva"},{"family":"Alfarano","given":"Simone"},{"family":"Iori","given":"Giulia"},{"family":"Lux","given":"Thomas"}],"issued":{"date-parts":[["2021",7,7]]}},"label":"page"},{"id":3433,"uris":["http://zotero.org/users/4065690/items/XC425Z7T"],"itemData":{"id":3433,"type":"article-journal","abstract":"Agent-based modeling (ABM) is a novel computational methodology for representing the behavior of individuals in order to study social phenomena. Its use is rapidly growing in many fields. We review ABM in economics and finance and highlight how it can be used to relax conventional assumptions in standard economic models. ABM has enriched our understanding of markets, industrial organization, labor, macro, development, public policy, and environmental economics. In financial markets, substantial accomplishments include understanding clustered volatility, market impact, systemic risk, and housing markets. We present a vision for how ABMs might be used in the future to build more realistic models of the economy and review some of the hurdles that must be overcome to achieve this.","container-title":"Journal of Economic Literature","DOI":"10.1257/jel.20221319","ISSN":"0022-0515","issue":"1","language":"en","page":"197-287","source":"www.aeaweb.org","title":"Agent-Based Modeling in Economics and Finance: Past, Present, and Future","title-short":"Agent-Based Modeling in Economics and Finance","volume":"63","author":[{"family":"Axtell","given":"Robert L."},{"family":"Farmer","given":"J. Doyne"}],"issued":{"date-parts":[["2025",3]]}},"label":"page"}],"schema":"https://github.com/citation-style-language/schema/raw/master/csl-citation.json"} </w:instrText>
      </w:r>
      <w:r w:rsidR="002F116A">
        <w:rPr>
          <w:lang w:val="en-GB"/>
        </w:rPr>
        <w:fldChar w:fldCharType="separate"/>
      </w:r>
      <w:r w:rsidR="00065A37" w:rsidRPr="00065A37">
        <w:rPr>
          <w:rFonts w:cs="Times New Roman"/>
          <w:vertAlign w:val="superscript"/>
        </w:rPr>
        <w:t>17,21</w:t>
      </w:r>
      <w:r w:rsidR="002F116A">
        <w:rPr>
          <w:lang w:val="en-GB"/>
        </w:rPr>
        <w:fldChar w:fldCharType="end"/>
      </w:r>
      <w:r w:rsidRPr="00E04AD0">
        <w:rPr>
          <w:lang w:val="en-GB"/>
        </w:rPr>
        <w:t>.</w:t>
      </w:r>
    </w:p>
    <w:p w14:paraId="54413FB3" w14:textId="4BC92159"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IO</w:t>
      </w:r>
      <w:r w:rsidRPr="00E04AD0">
        <w:rPr>
          <w:lang w:val="en-GB"/>
        </w:rPr>
        <w:t xml:space="preserve">. Most IO models, which </w:t>
      </w:r>
      <w:r w:rsidR="004B2440">
        <w:rPr>
          <w:lang w:val="en-GB"/>
        </w:rPr>
        <w:t>quantify</w:t>
      </w:r>
      <w:r w:rsidRPr="00E04AD0">
        <w:rPr>
          <w:lang w:val="en-GB"/>
        </w:rPr>
        <w:t xml:space="preserve"> the indirect costs of climate </w:t>
      </w:r>
      <w:r w:rsidR="002D5677">
        <w:rPr>
          <w:lang w:val="en-GB"/>
        </w:rPr>
        <w:t>extremes</w:t>
      </w:r>
      <w:r w:rsidRPr="00E04AD0">
        <w:rPr>
          <w:lang w:val="en-GB"/>
        </w:rPr>
        <w:t>, are single country models</w:t>
      </w:r>
      <w:r w:rsidR="00BD7EB0">
        <w:rPr>
          <w:lang w:val="en-GB"/>
        </w:rPr>
        <w:t xml:space="preserve"> </w:t>
      </w:r>
      <w:r w:rsidR="00BD7EB0">
        <w:rPr>
          <w:lang w:val="en-GB"/>
        </w:rPr>
        <w:fldChar w:fldCharType="begin"/>
      </w:r>
      <w:r w:rsidR="002041E1">
        <w:rPr>
          <w:lang w:val="en-GB"/>
        </w:rPr>
        <w:instrText xml:space="preserve"> ADDIN ZOTERO_ITEM CSL_CITATION {"citationID":"CjoEbSeR","properties":{"formattedCitation":"\\super 9\\nosupersub{}","plainCitation":"9","noteIndex":0},"citationItems":[{"id":3411,"uris":["http://zotero.org/users/4065690/items/TAD282MS"],"itemData":{"id":3411,"type":"article-journal","abstract":"During the last decades, input-output (I/O) economic models have assumed a prominent role in disaster impact analysis and resilience assessment. Rooted in general equilibrium theory and economic production theory, they catalyse attention on the distinction between direct economic losses and ripple effects that may be generated inside a multi-industry system as a consequence of perturbations. Empowering the I/O analysis framework and overcoming some of its inherent limitations is crucial in order to successfully approach emerging disaster assessment challenges, such as multi-regional loss quantification and the investigation of shock responses in global supply chains. In this paper, we review and discuss how different disaster modeling aspects have been incorporated in recent contributions exploiting I/O techniques, taking into account both demand- and supply-sided perturbation triggers, static and dynamic representations, as well as the assessment of economic resilience.","collection-title":"Understanding and mitigating cascading crises in the global interconnected system","container-title":"International Journal of Disaster Risk Reduction","DOI":"10.1016/j.ijdrr.2018.04.030","ISSN":"2212-4209","journalAbbreviation":"International Journal of Disaster Risk Reduction","page":"186-198","source":"ScienceDirect","title":"On input-output economic models in disaster impact assessment","volume":"30","author":[{"family":"Galbusera","given":"Luca"},{"family":"Giannopoulos","given":"Georgios"}],"issued":{"date-parts":[["2018",9,1]]}}}],"schema":"https://github.com/citation-style-language/schema/raw/master/csl-citation.json"} </w:instrText>
      </w:r>
      <w:r w:rsidR="00BD7EB0">
        <w:rPr>
          <w:lang w:val="en-GB"/>
        </w:rPr>
        <w:fldChar w:fldCharType="separate"/>
      </w:r>
      <w:r w:rsidR="002041E1" w:rsidRPr="00D27406">
        <w:rPr>
          <w:rFonts w:cs="Times New Roman"/>
          <w:vertAlign w:val="superscript"/>
          <w:lang w:val="en-US"/>
        </w:rPr>
        <w:t>9</w:t>
      </w:r>
      <w:r w:rsidR="00BD7EB0">
        <w:rPr>
          <w:lang w:val="en-GB"/>
        </w:rPr>
        <w:fldChar w:fldCharType="end"/>
      </w:r>
      <w:r w:rsidRPr="00E04AD0">
        <w:rPr>
          <w:lang w:val="en-GB"/>
        </w:rPr>
        <w:t>. However, global multi-regional IO models</w:t>
      </w:r>
      <w:r w:rsidR="007F78A9">
        <w:rPr>
          <w:lang w:val="en-GB"/>
        </w:rPr>
        <w:t xml:space="preserve"> </w:t>
      </w:r>
      <w:r w:rsidR="00236FD2">
        <w:rPr>
          <w:lang w:val="en-GB"/>
        </w:rPr>
        <w:t xml:space="preserve">also exist </w:t>
      </w:r>
      <w:r w:rsidR="00ED5BFE">
        <w:rPr>
          <w:lang w:val="en-GB"/>
        </w:rPr>
        <w:fldChar w:fldCharType="begin"/>
      </w:r>
      <w:r w:rsidR="00065A37">
        <w:rPr>
          <w:lang w:val="en-GB"/>
        </w:rPr>
        <w:instrText xml:space="preserve"> ADDIN ZOTERO_ITEM CSL_CITATION {"citationID":"fBfUd035","properties":{"formattedCitation":"\\super 38\\nosupersub{}","plainCitation":"38","noteIndex":0},"citationItems":[{"id":2877,"uris":["http://zotero.org/users/4065690/items/SL4T9TAD"],"itemData":{"id":2877,"type":"article-journal","abstract":"Evidence shows a continuing increase in the frequency and severity of global heatwaves1,2, raising concerns about the future impacts of climate change and the associated socioeconomic costs3,4. Here we develop a disaster footprint analytical framework by integrating climate, epidemiological and hybrid input–output and computable general equilibrium global trade models to estimate the midcentury socioeconomic impacts of heat stress. We consider health costs related to heat exposure, the value of heat-induced labour productivity loss and indirect losses due to economic disruptions cascading through supply chains. Here we show that the global annual incremental gross domestic product loss increases exponentially from 0.03 ± 0.01 (SSP 245)–0.05 ± 0.03 (SSP 585) percentage points during 2030–2040 to 0.05 ± 0.01–0.15 ± 0.04 percentage points during 2050–2060. By 2060, the expected global economic losses reach a total of 0.6–4.6% with losses attributed to health loss (37–45%), labour productivity loss (18–37%) and indirect loss (12–43%) under different shared socioeconomic pathways. Small- and medium-sized developing countries suffer disproportionately from higher health loss in South-Central Africa (2.1 to 4.0 times above global average) and labour productivity loss in West Africa and Southeast Asia (2.0–3.3 times above global average). The supply-chain disruption effects are much more widespread with strong hit to those manufacturing-heavy countries such as China and the USA, leading to soaring economic losses of 2.7 ± 0.7% and 1.8 ± 0.5%, respectively.","container-title":"Nature","DOI":"10.1038/s41586-024-07147-z","ISSN":"1476-4687","language":"en","license":"2024 The Author(s)","note":"publisher: Nature Publishing Group","page":"1-8","source":"www.nature.com","title":"Global supply chains amplify economic costs of future extreme heat risk","author":[{"family":"Sun","given":"Yida"},{"family":"Zhu","given":"Shupeng"},{"family":"Wang","given":"Daoping"},{"family":"Duan","given":"Jianping"},{"family":"Lu","given":"Hui"},{"family":"Yin","given":"Hao"},{"family":"Tan","given":"Chang"},{"family":"Zhang","given":"Lingrui"},{"family":"Zhao","given":"Mengzhen"},{"family":"Cai","given":"Wenjia"},{"family":"Wang","given":"Yong"},{"family":"Hu","given":"Yixin"},{"family":"Tao","given":"Shu"},{"family":"Guan","given":"Dabo"}],"issued":{"date-parts":[["2024",3,13]]}}}],"schema":"https://github.com/citation-style-language/schema/raw/master/csl-citation.json"} </w:instrText>
      </w:r>
      <w:r w:rsidR="00ED5BFE">
        <w:rPr>
          <w:lang w:val="en-GB"/>
        </w:rPr>
        <w:fldChar w:fldCharType="separate"/>
      </w:r>
      <w:r w:rsidR="00065A37" w:rsidRPr="00D27406">
        <w:rPr>
          <w:rFonts w:cs="Times New Roman"/>
          <w:vertAlign w:val="superscript"/>
          <w:lang w:val="en-US"/>
        </w:rPr>
        <w:t>38</w:t>
      </w:r>
      <w:r w:rsidR="00ED5BFE">
        <w:rPr>
          <w:lang w:val="en-GB"/>
        </w:rPr>
        <w:fldChar w:fldCharType="end"/>
      </w:r>
      <w:r w:rsidR="00ED5BFE">
        <w:rPr>
          <w:lang w:val="en-GB"/>
        </w:rPr>
        <w:t xml:space="preserve"> </w:t>
      </w:r>
      <w:r w:rsidR="00236FD2">
        <w:rPr>
          <w:lang w:val="en-GB"/>
        </w:rPr>
        <w:t xml:space="preserve">and </w:t>
      </w:r>
      <w:r w:rsidR="00696651">
        <w:rPr>
          <w:lang w:val="en-GB"/>
        </w:rPr>
        <w:t xml:space="preserve">are </w:t>
      </w:r>
      <w:r w:rsidR="000412AF">
        <w:rPr>
          <w:lang w:val="en-GB"/>
        </w:rPr>
        <w:t>particularly</w:t>
      </w:r>
      <w:r w:rsidR="00236FD2">
        <w:rPr>
          <w:lang w:val="en-GB"/>
        </w:rPr>
        <w:t xml:space="preserve"> used in non-climate economy applications</w:t>
      </w:r>
      <w:r w:rsidR="0068063A">
        <w:rPr>
          <w:lang w:val="en-GB"/>
        </w:rPr>
        <w:t xml:space="preserve"> </w:t>
      </w:r>
      <w:r w:rsidR="0068063A">
        <w:rPr>
          <w:lang w:val="en-GB"/>
        </w:rPr>
        <w:fldChar w:fldCharType="begin"/>
      </w:r>
      <w:r w:rsidR="00065A37">
        <w:rPr>
          <w:lang w:val="en-GB"/>
        </w:rPr>
        <w:instrText xml:space="preserve"> ADDIN ZOTERO_ITEM CSL_CITATION {"citationID":"bGBAuDnh","properties":{"formattedCitation":"\\super 13\\nosupersub{}","plainCitation":"13","noteIndex":0},"citationItems":[{"id":3427,"uris":["http://zotero.org/users/4065690/items/6DWRCJ3Z"],"itemData":{"id":3427,"type":"article-journal","abstract":"The interest in consumption-based emission and resource accounting has grown significantly. Many studies juxtapose consumer emissions (carbon footprint) and producer (territorial) emissions of greenhouse gases in order to demonstrate the effects of trade on the national emission budget. To this end, a respectable number of studies have been undertaken worldwide in order to estimate emissions embedded in international trade of numerous countries and world regions. Input–output approaches, and increasingly multi-region input–output (MRIO) models, are commonly chosen as they provide an appropriate methodological framework for complete carbon footprint estimates at the national and supra-national level. With increasing processing capabilities of computers and a wider availability of economic accounts, environmental accounts and trade data such models are now being implemented on a wide scale. After a brief overview of salient single-region input–output studies I provide an in-depth review of the most recent multi-region input–output models used for the purpose of consumption-based environmental accounting. The main methodological features and important results are described for around twenty studies covering the years 2007 to 2009. This is followed by a detailed review of studies dealing with uncertainty in MRIO analysis, an area which has not received a lot of attention so far. I conclude that further research is mainly needed in two areas, a) improvements in data availability and quality and b) improvements in the accuracy of MRIO modelling.","collection-title":"Special Section: Analyzing the global human appropriation of net primary production - processes, trajectories, implications","container-title":"Ecological Economics","DOI":"10.1016/j.ecolecon.2009.08.026","ISSN":"0921-8009","issue":"2","journalAbbreviation":"Ecological Economics","page":"211-222","source":"ScienceDirect","title":"A review of recent multi-region input–output models used for consumption-based emission and resource accounting","volume":"69","author":[{"family":"Wiedmann","given":"Thomas"}],"issued":{"date-parts":[["2009",12,15]]}}}],"schema":"https://github.com/citation-style-language/schema/raw/master/csl-citation.json"} </w:instrText>
      </w:r>
      <w:r w:rsidR="0068063A">
        <w:rPr>
          <w:lang w:val="en-GB"/>
        </w:rPr>
        <w:fldChar w:fldCharType="separate"/>
      </w:r>
      <w:r w:rsidR="00065A37" w:rsidRPr="00D27406">
        <w:rPr>
          <w:rFonts w:cs="Times New Roman"/>
          <w:vertAlign w:val="superscript"/>
          <w:lang w:val="en-US"/>
        </w:rPr>
        <w:t>13</w:t>
      </w:r>
      <w:r w:rsidR="0068063A">
        <w:rPr>
          <w:lang w:val="en-GB"/>
        </w:rPr>
        <w:fldChar w:fldCharType="end"/>
      </w:r>
      <w:r w:rsidRPr="00E04AD0">
        <w:rPr>
          <w:lang w:val="en-GB"/>
        </w:rPr>
        <w:t>.  Given this, we assign regional coverage scores of 2 (mean) and 4 (max)</w:t>
      </w:r>
      <w:r w:rsidR="00BE16EE">
        <w:rPr>
          <w:lang w:val="en-GB"/>
        </w:rPr>
        <w:t xml:space="preserve"> to IO models</w:t>
      </w:r>
      <w:r w:rsidRPr="00E04AD0">
        <w:rPr>
          <w:lang w:val="en-GB"/>
        </w:rPr>
        <w:t xml:space="preserve">. </w:t>
      </w:r>
    </w:p>
    <w:p w14:paraId="66359350" w14:textId="77777777" w:rsidR="00102EB3" w:rsidRPr="00E04AD0" w:rsidRDefault="00102EB3" w:rsidP="00A333DF">
      <w:pPr>
        <w:spacing w:line="276" w:lineRule="auto"/>
        <w:rPr>
          <w:b/>
          <w:bCs/>
          <w:lang w:val="en-GB"/>
        </w:rPr>
      </w:pPr>
      <w:r w:rsidRPr="00E04AD0">
        <w:rPr>
          <w:b/>
          <w:bCs/>
          <w:lang w:val="en-GB"/>
        </w:rPr>
        <w:t xml:space="preserve">Time Horizon: </w:t>
      </w:r>
    </w:p>
    <w:tbl>
      <w:tblPr>
        <w:tblW w:w="8240" w:type="dxa"/>
        <w:tblLook w:val="04A0" w:firstRow="1" w:lastRow="0" w:firstColumn="1" w:lastColumn="0" w:noHBand="0" w:noVBand="1"/>
      </w:tblPr>
      <w:tblGrid>
        <w:gridCol w:w="960"/>
        <w:gridCol w:w="7280"/>
      </w:tblGrid>
      <w:tr w:rsidR="00102EB3" w:rsidRPr="00E04AD0" w14:paraId="414EE443"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3061435F"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1</w:t>
            </w:r>
          </w:p>
        </w:tc>
        <w:tc>
          <w:tcPr>
            <w:tcW w:w="7280" w:type="dxa"/>
            <w:tcBorders>
              <w:top w:val="nil"/>
              <w:left w:val="nil"/>
              <w:bottom w:val="nil"/>
              <w:right w:val="nil"/>
            </w:tcBorders>
            <w:shd w:val="clear" w:color="auto" w:fill="E2EFD9" w:themeFill="accent6" w:themeFillTint="33"/>
            <w:noWrap/>
            <w:vAlign w:val="bottom"/>
            <w:hideMark/>
          </w:tcPr>
          <w:p w14:paraId="1E626F27"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Sub year</w:t>
            </w:r>
          </w:p>
        </w:tc>
      </w:tr>
      <w:tr w:rsidR="00102EB3" w:rsidRPr="00E04AD0" w14:paraId="7002FC07"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0A97C7EB"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2</w:t>
            </w:r>
          </w:p>
        </w:tc>
        <w:tc>
          <w:tcPr>
            <w:tcW w:w="7280" w:type="dxa"/>
            <w:tcBorders>
              <w:top w:val="nil"/>
              <w:left w:val="nil"/>
              <w:bottom w:val="nil"/>
              <w:right w:val="nil"/>
            </w:tcBorders>
            <w:shd w:val="clear" w:color="auto" w:fill="E2EFD9" w:themeFill="accent6" w:themeFillTint="33"/>
            <w:noWrap/>
            <w:vAlign w:val="bottom"/>
            <w:hideMark/>
          </w:tcPr>
          <w:p w14:paraId="7BDD3339"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Single year</w:t>
            </w:r>
          </w:p>
        </w:tc>
      </w:tr>
      <w:tr w:rsidR="00102EB3" w:rsidRPr="00E04AD0" w14:paraId="46836BB4"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3D8B8F28"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3</w:t>
            </w:r>
          </w:p>
        </w:tc>
        <w:tc>
          <w:tcPr>
            <w:tcW w:w="7280" w:type="dxa"/>
            <w:tcBorders>
              <w:top w:val="nil"/>
              <w:left w:val="nil"/>
              <w:bottom w:val="nil"/>
              <w:right w:val="nil"/>
            </w:tcBorders>
            <w:shd w:val="clear" w:color="auto" w:fill="E2EFD9" w:themeFill="accent6" w:themeFillTint="33"/>
            <w:noWrap/>
            <w:vAlign w:val="bottom"/>
            <w:hideMark/>
          </w:tcPr>
          <w:p w14:paraId="2DFFB9B0"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Decade</w:t>
            </w:r>
          </w:p>
        </w:tc>
      </w:tr>
      <w:tr w:rsidR="00102EB3" w:rsidRPr="00E04AD0" w14:paraId="0016052D"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3AC7BF45"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lastRenderedPageBreak/>
              <w:t>4</w:t>
            </w:r>
          </w:p>
        </w:tc>
        <w:tc>
          <w:tcPr>
            <w:tcW w:w="7280" w:type="dxa"/>
            <w:tcBorders>
              <w:top w:val="nil"/>
              <w:left w:val="nil"/>
              <w:bottom w:val="nil"/>
              <w:right w:val="nil"/>
            </w:tcBorders>
            <w:shd w:val="clear" w:color="auto" w:fill="E2EFD9" w:themeFill="accent6" w:themeFillTint="33"/>
            <w:noWrap/>
            <w:vAlign w:val="bottom"/>
            <w:hideMark/>
          </w:tcPr>
          <w:p w14:paraId="1C017C9B"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Century</w:t>
            </w:r>
          </w:p>
        </w:tc>
      </w:tr>
      <w:tr w:rsidR="00102EB3" w:rsidRPr="00E04AD0" w14:paraId="43BAD0FC"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67D15208"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5</w:t>
            </w:r>
          </w:p>
        </w:tc>
        <w:tc>
          <w:tcPr>
            <w:tcW w:w="7280" w:type="dxa"/>
            <w:tcBorders>
              <w:top w:val="nil"/>
              <w:left w:val="nil"/>
              <w:bottom w:val="nil"/>
              <w:right w:val="nil"/>
            </w:tcBorders>
            <w:shd w:val="clear" w:color="auto" w:fill="E2EFD9" w:themeFill="accent6" w:themeFillTint="33"/>
            <w:noWrap/>
            <w:vAlign w:val="bottom"/>
            <w:hideMark/>
          </w:tcPr>
          <w:p w14:paraId="6444F012"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Hundreds of years</w:t>
            </w:r>
          </w:p>
        </w:tc>
      </w:tr>
    </w:tbl>
    <w:p w14:paraId="70F02358" w14:textId="02FEF6E4" w:rsidR="00102EB3" w:rsidRPr="00E04AD0" w:rsidRDefault="00102EB3" w:rsidP="00A333DF">
      <w:pPr>
        <w:pStyle w:val="ListParagraph"/>
        <w:numPr>
          <w:ilvl w:val="0"/>
          <w:numId w:val="1"/>
        </w:numPr>
        <w:spacing w:line="276" w:lineRule="auto"/>
        <w:rPr>
          <w:lang w:val="en-GB"/>
        </w:rPr>
      </w:pPr>
      <w:r w:rsidRPr="00E04AD0">
        <w:rPr>
          <w:b/>
          <w:bCs/>
          <w:lang w:val="en-GB"/>
        </w:rPr>
        <w:t>MEM</w:t>
      </w:r>
      <w:r w:rsidR="007F3C07">
        <w:rPr>
          <w:b/>
          <w:bCs/>
          <w:lang w:val="en-GB"/>
        </w:rPr>
        <w:t>s</w:t>
      </w:r>
      <w:r w:rsidRPr="00E04AD0">
        <w:rPr>
          <w:b/>
          <w:bCs/>
          <w:lang w:val="en-GB"/>
        </w:rPr>
        <w:t>, CGE, PE</w:t>
      </w:r>
      <w:r w:rsidRPr="00E04AD0">
        <w:rPr>
          <w:lang w:val="en-GB"/>
        </w:rPr>
        <w:t>. Most MEM</w:t>
      </w:r>
      <w:r w:rsidR="007F3C07">
        <w:rPr>
          <w:lang w:val="en-GB"/>
        </w:rPr>
        <w:t>s</w:t>
      </w:r>
      <w:r w:rsidRPr="00E04AD0">
        <w:rPr>
          <w:lang w:val="en-GB"/>
        </w:rPr>
        <w:t xml:space="preserve">, CGE, and PE models that </w:t>
      </w:r>
      <w:r w:rsidR="0033215F">
        <w:rPr>
          <w:lang w:val="en-GB"/>
        </w:rPr>
        <w:t>assess</w:t>
      </w:r>
      <w:r w:rsidRPr="00E04AD0">
        <w:rPr>
          <w:lang w:val="en-GB"/>
        </w:rPr>
        <w:t xml:space="preserve"> climate costs run through 2100</w:t>
      </w:r>
      <w:r w:rsidR="000B184E">
        <w:rPr>
          <w:lang w:val="en-GB"/>
        </w:rPr>
        <w:t xml:space="preserve"> (or at least up to 2050)</w:t>
      </w:r>
      <w:r w:rsidR="005E1F26">
        <w:rPr>
          <w:lang w:val="en-GB"/>
        </w:rPr>
        <w:t xml:space="preserve"> </w:t>
      </w:r>
      <w:r w:rsidR="005E1F26">
        <w:rPr>
          <w:lang w:val="en-GB"/>
        </w:rPr>
        <w:fldChar w:fldCharType="begin"/>
      </w:r>
      <w:r w:rsidR="00065A37">
        <w:rPr>
          <w:lang w:val="en-GB"/>
        </w:rPr>
        <w:instrText xml:space="preserve"> ADDIN ZOTERO_ITEM CSL_CITATION {"citationID":"64iu5GZD","properties":{"formattedCitation":"\\super 14,30,32\\nosupersub{}","plainCitation":"14,30,32","noteIndex":0},"citationItems":[{"id":1470,"uris":["http://zotero.org/users/4065690/items/G29IPL6V"],"itemData":{"id":1470,"type":"article-journal","abstract":"Econometric models of temperature impacts on GDP are increasingly used to inform global warming damage assessments. But theory does not prescribe estimable forms of this relationship. By estimating 800 plausible specifications of the temperature-GDP relationship, we demonstrate that a wide variety of models are statistically indistinguishable in their out-of-sample performance, including models that exclude any temperature effect. This full set of models, however, implies a wide range of climate change impacts by 2100, yielding considerable model uncertainty. The uncertainty is greatest for models that specify effects of temperature on GDP growth that accumulate over time; the 95% confidence interval that accounts for both sampling and model uncertainty across the best-performing models ranges from 84% GDP losses to 359% gains. Models of GDP levels effects yield a much narrower distribution of GDP impacts centered around 1–3% losses, consistent with damage functions of major integrated assessment models. Further, models that incorporate lagged temperature effects are indicative of impacts on GDP levels rather than GDP growth. We identify statistically significant marginal effects of temperature on poor country GDP and agricultural production, but not rich country GDP, non-agricultural production, or GDP growth.","container-title":"Journal of Environmental Economics and Management","DOI":"10.1016/j.jeem.2021.102445","ISSN":"0095-0696","journalAbbreviation":"Journal of Environmental Economics and Management","language":"en","page":"102445","source":"ScienceDirect","title":"The GDP-Temperature relationship: Implications for climate change damages","title-short":"The GDP-Temperature relationship","volume":"108","author":[{"family":"Newell","given":"Richard G."},{"family":"Prest","given":"Brian C."},{"family":"Sexton","given":"Steven E."}],"issued":{"date-parts":[["2021",7,1]]}},"label":"page"},{"id":678,"uris":["http://zotero.org/users/4065690/items/QMUE9BUL"],"itemData":{"id":678,"type":"article-journal","abstract":"Understanding which factors influence future economic impacts from climate change is important for informing mitigation and adaptation strategies. This study demonstrates that projected economic impacts are primarily attributed to variation in socioeconomic development and future emissions trajectories, rather than uncertainties in the climate response.","container-title":"Nature Climate Change","DOI":"10.1038/s41558-019-0578-6","ISSN":"1758-6798","issue":"10","journalAbbreviation":"Nat. Clim. Chang.","language":"en","license":"2019 The Author(s), under exclusive licence to Springer Nature Limited","page":"737-741","source":"www.nature.com","title":"Dependence of economic impacts of climate change on anthropogenically directed pathways","volume":"9","author":[{"family":"Takakura","given":"Jun’ya"},{"family":"Fujimori","given":"Shinichiro"},{"family":"Hanasaki","given":"Naota"},{"family":"Hasegawa","given":"Tomoko"},{"family":"Hirabayashi","given":"Yukiko"},{"family":"Honda","given":"Yasushi"},{"family":"Iizumi","given":"Toshichika"},{"family":"Kumano","given":"Naoko"},{"family":"Park","given":"Chan"},{"family":"Shen","given":"Zhihong"},{"family":"Takahashi","given":"Kiyoshi"},{"family":"Tamura","given":"Makoto"},{"family":"Tanoue","given":"Masahiro"},{"family":"Tsuchida","given":"Koujiro"},{"family":"Yokoki","given":"Hiromune"},{"family":"Zhou","given":"Qian"},{"family":"Oki","given":"Taikan"},{"family":"Hijioka","given":"Yasuaki"}],"issued":{"date-parts":[["2019",10]]}},"label":"page"},{"id":3407,"uris":["http://zotero.org/users/4065690/items/ZF5UXWTA"],"itemData":{"id":3407,"type":"article-journal","abstract":"Systematic model inter-comparison helps to narrow discrepancies in the analysis of the future impact of climate change on agricultural production. This paper presents a set of alternative scenarios by five global climate and agro-economic models. Covering integrated assessment (IMAGE), partial equilibrium (CAPRI, GLOBIOM, MAgPIE) and computable general equilibrium (MAGNET) models ensures a good coverage of biophysical and economic agricultural features. These models are harmonized with respect to basic model drivers, to assess the range of potential impacts of climate change on the agricultural sector by 2050. Moreover, they quantify the economic consequences of stringent global emission mitigation efforts, such as non-CO2 emission taxes and land-based mitigation options, to stabilize global warming at 2 °C by the end of the century under different Shared Socioeconomic Pathways. A key contribution of the paper is a vis-à-vis comparison of climate change impacts relative to the impact of mitigation measures. In addition, our scenario design allows assessing the impact of the residual climate change on the mitigation challenge. From a global perspective, the impact of climate change on agricultural production by mid-century is negative but small. A larger negative effect on agricultural production, most pronounced for ruminant meat production, is observed when emission mitigation measures compliant with a 2 °C target are put in place. Our results indicate that a mitigation strategy that embeds residual climate change effects (RCP2.6) has a negative impact on global agricultural production relative to a no-mitigation strategy with stronger climate impacts (RCP6.0). However, this is partially due to the limited impact of the climate change scenarios by 2050. The magnitude of price changes is different amongst models due to methodological differences. Further research to achieve a better harmonization is needed, especially regarding endogenous food and feed demand, including substitution across individual commodities, and endogenous technological change.","container-title":"Environmental Research Letters","DOI":"10.1088/1748-9326/aabdc4","ISSN":"1748-9326","issue":"6","journalAbbreviation":"Environ. Res. Lett.","language":"en","note":"publisher: IOP Publishing","page":"064021","source":"Institute of Physics","title":"Comparing impacts of climate change and mitigation on global agriculture by 2050","volume":"13","author":[{"family":"Meijl","given":"Hans","non-dropping-particle":"van"},{"family":"Havlik","given":"Petr"},{"family":"Lotze-Campen","given":"Hermann"},{"family":"Stehfest","given":"Elke"},{"family":"Witzke","given":"Peter"},{"family":"Domínguez","given":"Ignacio Pérez"},{"family":"Bodirsky","given":"Benjamin Leon"},{"family":"Dijk","given":"Michiel","non-dropping-particle":"van"},{"family":"Doelman","given":"Jonathan"},{"family":"Fellmann","given":"Thomas"},{"family":"Humpenöder","given":"Florian"},{"family":"Koopman","given":"Jason F L"},{"family":"Müller","given":"Christoph"},{"family":"Popp","given":"Alexander"},{"family":"Tabeau","given":"Andrzej"},{"family":"Valin","given":"Hugo"},{"family":"Zeist","given":"Willem-Jan","non-dropping-particle":"van"}],"issued":{"date-parts":[["2018",6]]}},"label":"page"}],"schema":"https://github.com/citation-style-language/schema/raw/master/csl-citation.json"} </w:instrText>
      </w:r>
      <w:r w:rsidR="005E1F26">
        <w:rPr>
          <w:lang w:val="en-GB"/>
        </w:rPr>
        <w:fldChar w:fldCharType="separate"/>
      </w:r>
      <w:r w:rsidR="00065A37" w:rsidRPr="00D27406">
        <w:rPr>
          <w:rFonts w:cs="Times New Roman"/>
          <w:vertAlign w:val="superscript"/>
          <w:lang w:val="en-US"/>
        </w:rPr>
        <w:t>14,30,32</w:t>
      </w:r>
      <w:r w:rsidR="005E1F26">
        <w:rPr>
          <w:lang w:val="en-GB"/>
        </w:rPr>
        <w:fldChar w:fldCharType="end"/>
      </w:r>
      <w:r w:rsidRPr="00E04AD0">
        <w:rPr>
          <w:lang w:val="en-GB"/>
        </w:rPr>
        <w:t xml:space="preserve">. Although technically feasible, these models seldom extend their projections beyond 2100 due to significant climate and socioeconomic uncertainties. Given that, we assign time horizon scores 4 (mean and max) to MEMs, CGE, and PE models. </w:t>
      </w:r>
    </w:p>
    <w:p w14:paraId="4788D1F7" w14:textId="2453FB9B"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IO</w:t>
      </w:r>
      <w:r w:rsidRPr="00E04AD0">
        <w:rPr>
          <w:lang w:val="en-GB"/>
        </w:rPr>
        <w:t xml:space="preserve">. Most IO models, which </w:t>
      </w:r>
      <w:r w:rsidR="00F21D27">
        <w:rPr>
          <w:lang w:val="en-GB"/>
        </w:rPr>
        <w:t>quantify</w:t>
      </w:r>
      <w:r w:rsidRPr="00E04AD0">
        <w:rPr>
          <w:lang w:val="en-GB"/>
        </w:rPr>
        <w:t xml:space="preserve"> the indirect costs of climate extremes, are single year models </w:t>
      </w:r>
      <w:r w:rsidRPr="00E04AD0">
        <w:rPr>
          <w:lang w:val="en-GB"/>
        </w:rPr>
        <w:fldChar w:fldCharType="begin"/>
      </w:r>
      <w:r w:rsidR="002041E1">
        <w:rPr>
          <w:lang w:val="en-GB"/>
        </w:rPr>
        <w:instrText xml:space="preserve"> ADDIN ZOTERO_ITEM CSL_CITATION {"citationID":"kzMU6a89","properties":{"formattedCitation":"\\super 9\\nosupersub{}","plainCitation":"9","noteIndex":0},"citationItems":[{"id":3411,"uris":["http://zotero.org/users/4065690/items/TAD282MS"],"itemData":{"id":3411,"type":"article-journal","abstract":"During the last decades, input-output (I/O) economic models have assumed a prominent role in disaster impact analysis and resilience assessment. Rooted in general equilibrium theory and economic production theory, they catalyse attention on the distinction between direct economic losses and ripple effects that may be generated inside a multi-industry system as a consequence of perturbations. Empowering the I/O analysis framework and overcoming some of its inherent limitations is crucial in order to successfully approach emerging disaster assessment challenges, such as multi-regional loss quantification and the investigation of shock responses in global supply chains. In this paper, we review and discuss how different disaster modeling aspects have been incorporated in recent contributions exploiting I/O techniques, taking into account both demand- and supply-sided perturbation triggers, static and dynamic representations, as well as the assessment of economic resilience.","collection-title":"Understanding and mitigating cascading crises in the global interconnected system","container-title":"International Journal of Disaster Risk Reduction","DOI":"10.1016/j.ijdrr.2018.04.030","ISSN":"2212-4209","journalAbbreviation":"International Journal of Disaster Risk Reduction","page":"186-198","source":"ScienceDirect","title":"On input-output economic models in disaster impact assessment","volume":"30","author":[{"family":"Galbusera","given":"Luca"},{"family":"Giannopoulos","given":"Georgios"}],"issued":{"date-parts":[["2018",9,1]]}}}],"schema":"https://github.com/citation-style-language/schema/raw/master/csl-citation.json"} </w:instrText>
      </w:r>
      <w:r w:rsidRPr="00E04AD0">
        <w:rPr>
          <w:lang w:val="en-GB"/>
        </w:rPr>
        <w:fldChar w:fldCharType="separate"/>
      </w:r>
      <w:r w:rsidR="002041E1" w:rsidRPr="00D27406">
        <w:rPr>
          <w:rFonts w:cs="Times New Roman"/>
          <w:vertAlign w:val="superscript"/>
          <w:lang w:val="en-US"/>
        </w:rPr>
        <w:t>9</w:t>
      </w:r>
      <w:r w:rsidRPr="00E04AD0">
        <w:rPr>
          <w:lang w:val="en-GB"/>
        </w:rPr>
        <w:fldChar w:fldCharType="end"/>
      </w:r>
      <w:r w:rsidRPr="00E04AD0">
        <w:rPr>
          <w:lang w:val="en-GB"/>
        </w:rPr>
        <w:t xml:space="preserve">. However, some dynamic IO models could potential make simulations through 2100 </w:t>
      </w:r>
      <w:r w:rsidRPr="00E04AD0">
        <w:rPr>
          <w:lang w:val="en-GB"/>
        </w:rPr>
        <w:fldChar w:fldCharType="begin"/>
      </w:r>
      <w:r w:rsidR="00440D06">
        <w:rPr>
          <w:lang w:val="en-GB"/>
        </w:rPr>
        <w:instrText xml:space="preserve"> ADDIN ZOTERO_ITEM CSL_CITATION {"citationID":"Bef9dUfl","properties":{"formattedCitation":"\\super 39\\nosupersub{}","plainCitation":"39","noteIndex":0},"citationItems":[{"id":3410,"uris":["http://zotero.org/users/4065690/items/N3KLLSFA"],"itemData":{"id":3410,"type":"article-journal","abstract":"This paper proposes a dynamic input–output model, in order to present the interaction mechanism between energy supply and demand, and provide optimal design for energy supply–consumption system. Combined with mixed integer programming, the model is able to provide optimal technology development route for the energy supply–consumption system. In this model, the generational change and replacement of energy supply facilities are considered. Based on the model, a case study of China is employed. Three scenarios are designed to compare the different outcome of the model. The optimal objectives of Scenario 1 are Pareto Optimality of minimum total energy consumption and minimum total CO2 emission. The optimal objective of Scenario 2 is minimum CO2 emission. The optimal objective of Scenario 3 is minimum energy consumption. Scenario 1 leads to a balancing design of multiple objectives, and the results indicate that energy conservation and CO2 emission reduction targets can be achieved simultaneously. Compared with the optimal design with single objective of Scenarios 2 and 3, the balancing design with multiple objectives performs better in avoiding over-capacity problems during the modeling period. With well-designed development route, energy intensity can be reduced by about 58%–60%, and CO2 emission intensity can be reduced by about 34%–36% from 2012 to 2040. The optimal objectives of the model also influence the development of energy demand structure. The modeling results of transport sector are presented as an example in this paper. To achieve the targets of energy conservation and CO2 emission reduction, both the development routes for energy supply and demand should be well-designed.","collection-title":"Energy Systems Engineering","container-title":"Chemical Engineering Research and Design","DOI":"10.1016/j.cherd.2017.11.032","ISSN":"0263-8762","journalAbbreviation":"Chemical Engineering Research and Design","page":"183-192","source":"ScienceDirect","title":"A dynamic input–output method for energy system modeling and analysis","volume":"131","author":[{"family":"Pan","given":"Lingying"},{"family":"Liu","given":"Pei"},{"family":"Li","given":"Zheng"},{"family":"Wang","given":"Yonglian"}],"issued":{"date-parts":[["2018",3,1]]}}}],"schema":"https://github.com/citation-style-language/schema/raw/master/csl-citation.json"} </w:instrText>
      </w:r>
      <w:r w:rsidRPr="00E04AD0">
        <w:rPr>
          <w:lang w:val="en-GB"/>
        </w:rPr>
        <w:fldChar w:fldCharType="separate"/>
      </w:r>
      <w:r w:rsidR="00440D06" w:rsidRPr="00D27406">
        <w:rPr>
          <w:rFonts w:cs="Times New Roman"/>
          <w:vertAlign w:val="superscript"/>
          <w:lang w:val="en-US"/>
        </w:rPr>
        <w:t>39</w:t>
      </w:r>
      <w:r w:rsidRPr="00E04AD0">
        <w:rPr>
          <w:lang w:val="en-GB"/>
        </w:rPr>
        <w:fldChar w:fldCharType="end"/>
      </w:r>
      <w:r w:rsidRPr="00E04AD0">
        <w:rPr>
          <w:lang w:val="en-GB"/>
        </w:rPr>
        <w:t xml:space="preserve">. Given this, we assign time horizon scores of 2 (mean) and 4 (max) to IO models. </w:t>
      </w:r>
    </w:p>
    <w:p w14:paraId="66EBD941" w14:textId="45AC7B7E"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ABM</w:t>
      </w:r>
      <w:r w:rsidR="007F3C07">
        <w:rPr>
          <w:b/>
          <w:bCs/>
          <w:lang w:val="en-GB"/>
        </w:rPr>
        <w:t>s</w:t>
      </w:r>
      <w:r w:rsidRPr="00E04AD0">
        <w:rPr>
          <w:lang w:val="en-GB"/>
        </w:rPr>
        <w:t xml:space="preserve">. Most ABMs </w:t>
      </w:r>
      <w:r w:rsidR="00AD153F">
        <w:rPr>
          <w:lang w:val="en-GB"/>
        </w:rPr>
        <w:t>quantify</w:t>
      </w:r>
      <w:r w:rsidRPr="00E04AD0">
        <w:rPr>
          <w:lang w:val="en-GB"/>
        </w:rPr>
        <w:t xml:space="preserve"> the indirect cost of short-term climate events. However, in other applications (e.g., population dynamics), ABMs make simulate scenarios over several decades </w:t>
      </w:r>
      <w:r w:rsidRPr="00E04AD0">
        <w:rPr>
          <w:lang w:val="en-GB"/>
        </w:rPr>
        <w:fldChar w:fldCharType="begin"/>
      </w:r>
      <w:r w:rsidR="00440D06">
        <w:rPr>
          <w:lang w:val="en-GB"/>
        </w:rPr>
        <w:instrText xml:space="preserve"> ADDIN ZOTERO_ITEM CSL_CITATION {"citationID":"EtuJWYzI","properties":{"formattedCitation":"\\super 40\\nosupersub{}","plainCitation":"40","noteIndex":0},"citationItems":[{"id":3406,"uris":["http://zotero.org/users/4065690/items/G64NAQZF"],"itemData":{"id":3406,"type":"article-journal","abstract":"Rural population change is a critical element of the strategy for rural revitalization in China. Many studies emphasize large-scale macro-population trends, but a noticeable gap exists in micro-level simulations and predictions regarding rural population size and structure. This study employs an agent-based model(ABM), defining a population agent and its behavioral rules. By modeling individual-level birth, death, and migration behaviors, it generates agent-based outputs that aggregate to capture population dynamics and forecast rural demographic trends over the next 11 years. Using two representative villages as study areas, the results were validated by comparing them with actual population data and predictions made by the Leslie model. The findings demonstrate the following: 1) the agent-based modeling effectively captures the dynamics of births, deaths, and migrations at the micro level, elucidating the underlying determinants of rural population retention. 2) In economically disadvantaged villages, the total population, labor force, and proportion of adolescents have significantly declined. Notably, emigration is pronounced in villages without industrial advantages, regardless of substantial per capita arable land; the youth labor force constitutes less than 30%, while the aging population is as high as 45%. 3) Migration and birth rates are key factors influencing rural population trends. To mitigate future rural population aging, enhancing birth rates and fostering rural industrial development is essential to curb migration. These findings support evidence-based policies to stimulate birth rates, attract and retain younger populations, and enhance economic opportunities in rural areas. The micro-level analysis enables the design of more effective and context-specific rural revitalization programs, bridging the gap between micro-level behaviors and macro-level demographic patterns.","container-title":"PLOS ONE","DOI":"10.1371/journal.pone.0324563","ISSN":"1932-6203","issue":"6","journalAbbreviation":"PLOS ONE","language":"en","note":"publisher: Public Library of Science","page":"e0324563","source":"PLoS Journals","title":"Simulation and prediction of rural population changes using agent-based modeling","volume":"20","author":[{"family":"Huang","given":"Shanshan"},{"family":"Huang","given":"Yao"},{"family":"Bao","given":"Shitai"},{"family":"Wang","given":"Jianfang"},{"family":"Chen","given":"Siying"}],"issued":{"date-parts":[["2025",6,23]]}}}],"schema":"https://github.com/citation-style-language/schema/raw/master/csl-citation.json"} </w:instrText>
      </w:r>
      <w:r w:rsidRPr="00E04AD0">
        <w:rPr>
          <w:lang w:val="en-GB"/>
        </w:rPr>
        <w:fldChar w:fldCharType="separate"/>
      </w:r>
      <w:r w:rsidR="00440D06" w:rsidRPr="00D27406">
        <w:rPr>
          <w:rFonts w:cs="Times New Roman"/>
          <w:vertAlign w:val="superscript"/>
          <w:lang w:val="en-US"/>
        </w:rPr>
        <w:t>40</w:t>
      </w:r>
      <w:r w:rsidRPr="00E04AD0">
        <w:rPr>
          <w:lang w:val="en-GB"/>
        </w:rPr>
        <w:fldChar w:fldCharType="end"/>
      </w:r>
      <w:r w:rsidRPr="00E04AD0">
        <w:rPr>
          <w:lang w:val="en-GB"/>
        </w:rPr>
        <w:t xml:space="preserve">. </w:t>
      </w:r>
      <w:r w:rsidR="005964EB">
        <w:rPr>
          <w:lang w:val="en-GB"/>
        </w:rPr>
        <w:t>E</w:t>
      </w:r>
      <w:r w:rsidRPr="00E04AD0">
        <w:rPr>
          <w:lang w:val="en-GB"/>
        </w:rPr>
        <w:t xml:space="preserve">xtending the time horizon usually results in reduced granularity and increased computational burden. Given this, we assign time horizon scores of 1 (mean) and </w:t>
      </w:r>
      <w:r w:rsidR="00C649F3">
        <w:rPr>
          <w:lang w:val="en-GB"/>
        </w:rPr>
        <w:t>3</w:t>
      </w:r>
      <w:r w:rsidRPr="00E04AD0">
        <w:rPr>
          <w:lang w:val="en-GB"/>
        </w:rPr>
        <w:t xml:space="preserve"> (max)</w:t>
      </w:r>
      <w:r w:rsidR="00244283">
        <w:rPr>
          <w:lang w:val="en-GB"/>
        </w:rPr>
        <w:t xml:space="preserve"> to ABMs</w:t>
      </w:r>
      <w:r w:rsidRPr="00E04AD0">
        <w:rPr>
          <w:lang w:val="en-GB"/>
        </w:rPr>
        <w:t xml:space="preserve">. </w:t>
      </w:r>
    </w:p>
    <w:p w14:paraId="00FA7B5E" w14:textId="77777777" w:rsidR="00102EB3" w:rsidRPr="00E04AD0" w:rsidRDefault="00102EB3" w:rsidP="00A333DF">
      <w:pPr>
        <w:spacing w:line="276" w:lineRule="auto"/>
        <w:rPr>
          <w:b/>
          <w:bCs/>
          <w:lang w:val="en-GB"/>
        </w:rPr>
      </w:pPr>
      <w:r w:rsidRPr="00E04AD0">
        <w:rPr>
          <w:b/>
          <w:bCs/>
          <w:lang w:val="en-GB"/>
        </w:rPr>
        <w:t xml:space="preserve">Computational Ease: </w:t>
      </w:r>
    </w:p>
    <w:tbl>
      <w:tblPr>
        <w:tblW w:w="8240" w:type="dxa"/>
        <w:tblLook w:val="04A0" w:firstRow="1" w:lastRow="0" w:firstColumn="1" w:lastColumn="0" w:noHBand="0" w:noVBand="1"/>
      </w:tblPr>
      <w:tblGrid>
        <w:gridCol w:w="960"/>
        <w:gridCol w:w="7280"/>
      </w:tblGrid>
      <w:tr w:rsidR="00102EB3" w:rsidRPr="00E04AD0" w14:paraId="63BA5DB7"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245B7614"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1</w:t>
            </w:r>
          </w:p>
        </w:tc>
        <w:tc>
          <w:tcPr>
            <w:tcW w:w="7280" w:type="dxa"/>
            <w:tcBorders>
              <w:top w:val="nil"/>
              <w:left w:val="nil"/>
              <w:bottom w:val="nil"/>
              <w:right w:val="nil"/>
            </w:tcBorders>
            <w:shd w:val="clear" w:color="auto" w:fill="E2EFD9" w:themeFill="accent6" w:themeFillTint="33"/>
            <w:noWrap/>
            <w:vAlign w:val="bottom"/>
            <w:hideMark/>
          </w:tcPr>
          <w:p w14:paraId="63CDA831"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Long on a supercomputer</w:t>
            </w:r>
          </w:p>
        </w:tc>
      </w:tr>
      <w:tr w:rsidR="00102EB3" w:rsidRPr="00E04AD0" w14:paraId="23308A75"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7FAA2C03"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2</w:t>
            </w:r>
          </w:p>
        </w:tc>
        <w:tc>
          <w:tcPr>
            <w:tcW w:w="7280" w:type="dxa"/>
            <w:tcBorders>
              <w:top w:val="nil"/>
              <w:left w:val="nil"/>
              <w:bottom w:val="nil"/>
              <w:right w:val="nil"/>
            </w:tcBorders>
            <w:shd w:val="clear" w:color="auto" w:fill="E2EFD9" w:themeFill="accent6" w:themeFillTint="33"/>
            <w:noWrap/>
            <w:vAlign w:val="bottom"/>
            <w:hideMark/>
          </w:tcPr>
          <w:p w14:paraId="3E677CEE"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Fast on a supercomputer</w:t>
            </w:r>
          </w:p>
        </w:tc>
      </w:tr>
      <w:tr w:rsidR="00102EB3" w:rsidRPr="00E04AD0" w14:paraId="0112C54B"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183C75BC"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3</w:t>
            </w:r>
          </w:p>
        </w:tc>
        <w:tc>
          <w:tcPr>
            <w:tcW w:w="7280" w:type="dxa"/>
            <w:tcBorders>
              <w:top w:val="nil"/>
              <w:left w:val="nil"/>
              <w:bottom w:val="nil"/>
              <w:right w:val="nil"/>
            </w:tcBorders>
            <w:shd w:val="clear" w:color="auto" w:fill="E2EFD9" w:themeFill="accent6" w:themeFillTint="33"/>
            <w:noWrap/>
            <w:vAlign w:val="bottom"/>
            <w:hideMark/>
          </w:tcPr>
          <w:p w14:paraId="627D6EDB"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Medium</w:t>
            </w:r>
          </w:p>
        </w:tc>
      </w:tr>
      <w:tr w:rsidR="00102EB3" w:rsidRPr="00E04AD0" w14:paraId="647E2F2E"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482779C7"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4</w:t>
            </w:r>
          </w:p>
        </w:tc>
        <w:tc>
          <w:tcPr>
            <w:tcW w:w="7280" w:type="dxa"/>
            <w:tcBorders>
              <w:top w:val="nil"/>
              <w:left w:val="nil"/>
              <w:bottom w:val="nil"/>
              <w:right w:val="nil"/>
            </w:tcBorders>
            <w:shd w:val="clear" w:color="auto" w:fill="E2EFD9" w:themeFill="accent6" w:themeFillTint="33"/>
            <w:noWrap/>
            <w:vAlign w:val="bottom"/>
            <w:hideMark/>
          </w:tcPr>
          <w:p w14:paraId="2D77B597"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Long on a laptop</w:t>
            </w:r>
          </w:p>
        </w:tc>
      </w:tr>
      <w:tr w:rsidR="00102EB3" w:rsidRPr="00E04AD0" w14:paraId="50352437"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57E4E2EF"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5</w:t>
            </w:r>
          </w:p>
        </w:tc>
        <w:tc>
          <w:tcPr>
            <w:tcW w:w="7280" w:type="dxa"/>
            <w:tcBorders>
              <w:top w:val="nil"/>
              <w:left w:val="nil"/>
              <w:bottom w:val="nil"/>
              <w:right w:val="nil"/>
            </w:tcBorders>
            <w:shd w:val="clear" w:color="auto" w:fill="E2EFD9" w:themeFill="accent6" w:themeFillTint="33"/>
            <w:noWrap/>
            <w:vAlign w:val="bottom"/>
            <w:hideMark/>
          </w:tcPr>
          <w:p w14:paraId="02E2C1E5"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Fast on a laptop</w:t>
            </w:r>
          </w:p>
        </w:tc>
      </w:tr>
    </w:tbl>
    <w:p w14:paraId="21BB2A66" w14:textId="773A15A3"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MEM</w:t>
      </w:r>
      <w:r w:rsidR="00B430EB">
        <w:rPr>
          <w:b/>
          <w:bCs/>
          <w:lang w:val="en-GB"/>
        </w:rPr>
        <w:t>s</w:t>
      </w:r>
      <w:r w:rsidRPr="00E04AD0">
        <w:rPr>
          <w:b/>
          <w:bCs/>
          <w:lang w:val="en-GB"/>
        </w:rPr>
        <w:t>, IO</w:t>
      </w:r>
      <w:r w:rsidRPr="00E04AD0">
        <w:rPr>
          <w:lang w:val="en-GB"/>
        </w:rPr>
        <w:t>. Both MEMs and IO models are solved using linear algebra and matrix multiplications, which do not impose a significant computational burden. Given this, we assign computation ease scores of 5 (mean and max) to MEM</w:t>
      </w:r>
      <w:r w:rsidR="00B430EB">
        <w:rPr>
          <w:lang w:val="en-GB"/>
        </w:rPr>
        <w:t>s</w:t>
      </w:r>
      <w:r w:rsidRPr="00E04AD0">
        <w:rPr>
          <w:lang w:val="en-GB"/>
        </w:rPr>
        <w:t xml:space="preserve"> and IO models. </w:t>
      </w:r>
    </w:p>
    <w:p w14:paraId="2456626C" w14:textId="164D0C01"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CGE, PE</w:t>
      </w:r>
      <w:r w:rsidRPr="00E04AD0">
        <w:rPr>
          <w:lang w:val="en-GB"/>
        </w:rPr>
        <w:t xml:space="preserve">. Both CGE and PE models are typically formulated as constrained non-linear optimisation problems, which might be computationally intensive depending on the model size and </w:t>
      </w:r>
      <w:r w:rsidR="001742FB">
        <w:rPr>
          <w:lang w:val="en-GB"/>
        </w:rPr>
        <w:t>the complexity</w:t>
      </w:r>
      <w:r w:rsidR="0022184B">
        <w:rPr>
          <w:lang w:val="en-GB"/>
        </w:rPr>
        <w:t xml:space="preserve"> of </w:t>
      </w:r>
      <w:r w:rsidRPr="00E04AD0">
        <w:rPr>
          <w:lang w:val="en-GB"/>
        </w:rPr>
        <w:t xml:space="preserve">non-linearities. </w:t>
      </w:r>
      <w:r w:rsidR="00F85F65">
        <w:rPr>
          <w:lang w:val="en-GB"/>
        </w:rPr>
        <w:t>However, some CGE models are linearised</w:t>
      </w:r>
      <w:r w:rsidR="005C01F9">
        <w:rPr>
          <w:lang w:val="en-GB"/>
        </w:rPr>
        <w:t xml:space="preserve"> (e.g., GTAP</w:t>
      </w:r>
      <w:r w:rsidR="00F778B1">
        <w:rPr>
          <w:lang w:val="en-GB"/>
        </w:rPr>
        <w:t xml:space="preserve"> model</w:t>
      </w:r>
      <w:r w:rsidR="005C01F9">
        <w:rPr>
          <w:lang w:val="en-GB"/>
        </w:rPr>
        <w:t>)</w:t>
      </w:r>
      <w:r w:rsidR="000C38A2">
        <w:rPr>
          <w:lang w:val="en-GB"/>
        </w:rPr>
        <w:t xml:space="preserve"> </w:t>
      </w:r>
      <w:r w:rsidR="00D237A1">
        <w:rPr>
          <w:lang w:val="en-GB"/>
        </w:rPr>
        <w:fldChar w:fldCharType="begin"/>
      </w:r>
      <w:r w:rsidR="00440D06">
        <w:rPr>
          <w:lang w:val="en-GB"/>
        </w:rPr>
        <w:instrText xml:space="preserve"> ADDIN ZOTERO_ITEM CSL_CITATION {"citationID":"ryRF2EUm","properties":{"formattedCitation":"\\super 41\\nosupersub{}","plainCitation":"41","noteIndex":0},"citationItems":[{"id":815,"uris":["http://zotero.org/users/4065690/items/RNL98ERK","http://zotero.org/users/4065690/items/CC9G9TVB"],"itemData":{"id":815,"type":"article-journal","abstract":"This paper provides complete documentation for version 7 of the ‘standard’ Global Trade Analysis Project (GTAP) model. This is the first comprehensive documentation of the model since the 1997 ‘GTAP book’ and this updated version includes some important new features. On a substantive level, commodities and activities are separated, allowing for multi-product sectors, as well as multiple sectors producing the same commodity. Additional flexibility is provided for modeling of production and consumption behavior, and the valuation and naming conventions have been modified. In addition, this paper folds in important advances since the 1997 publication, including the revised treatment of non-homotheticity in final demand, the welfare decomposition and multi-modal international transportation. The paper opens with an overview which puts this widely used model in broader context. The model exposition is comprehensive and includes a bridging table linking the original, ‘classic’ model with the current version. This is followed by a section discussing the major extensions of the standard model and how they are being used. The paper closes with an overall assessment and a discussion of future research directions.","container-title":"Journal of Global Economic Analysis","DOI":"10.21642/JGEA.020101AF","ISSN":"2377-2999","issue":"1","language":"en","license":"Copyright (c) 2017 Erwin Lucban Corong","page":"1-119","source":"jgea.org","title":"The Standard GTAP Model, Version 7","volume":"2","author":[{"family":"Corong","given":"Erwin L."},{"family":"Hertel","given":"Thomas W."},{"family":"McDougall","given":"Robert"},{"family":"Tsigas","given":"Marinos E."},{"family":"Mensbrugghe","given":"Dominique","dropping-particle":"van der"}],"issued":{"date-parts":[["2017",6,22]]}}}],"schema":"https://github.com/citation-style-language/schema/raw/master/csl-citation.json"} </w:instrText>
      </w:r>
      <w:r w:rsidR="00D237A1">
        <w:rPr>
          <w:lang w:val="en-GB"/>
        </w:rPr>
        <w:fldChar w:fldCharType="separate"/>
      </w:r>
      <w:r w:rsidR="00440D06" w:rsidRPr="00D27406">
        <w:rPr>
          <w:rFonts w:cs="Times New Roman"/>
          <w:vertAlign w:val="superscript"/>
          <w:lang w:val="en-US"/>
        </w:rPr>
        <w:t>41</w:t>
      </w:r>
      <w:r w:rsidR="00D237A1">
        <w:rPr>
          <w:lang w:val="en-GB"/>
        </w:rPr>
        <w:fldChar w:fldCharType="end"/>
      </w:r>
      <w:r w:rsidR="00F85F65">
        <w:rPr>
          <w:lang w:val="en-GB"/>
        </w:rPr>
        <w:t xml:space="preserve">. </w:t>
      </w:r>
      <w:r w:rsidRPr="00E04AD0">
        <w:rPr>
          <w:lang w:val="en-GB"/>
        </w:rPr>
        <w:t xml:space="preserve">Given this, we assign computational ease scores of 4 (mean) and 5 (max) to CGE and PE models.  </w:t>
      </w:r>
    </w:p>
    <w:p w14:paraId="210A9B22" w14:textId="5492C942"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ABM</w:t>
      </w:r>
      <w:r w:rsidR="00BD74D2">
        <w:rPr>
          <w:b/>
          <w:bCs/>
          <w:lang w:val="en-GB"/>
        </w:rPr>
        <w:t>s</w:t>
      </w:r>
      <w:r w:rsidRPr="00E04AD0">
        <w:rPr>
          <w:b/>
          <w:bCs/>
          <w:lang w:val="en-GB"/>
        </w:rPr>
        <w:t xml:space="preserve">. </w:t>
      </w:r>
      <w:r w:rsidRPr="00E04AD0">
        <w:rPr>
          <w:lang w:val="en-GB"/>
        </w:rPr>
        <w:t xml:space="preserve">ABMs </w:t>
      </w:r>
      <w:r w:rsidR="00635BE1">
        <w:rPr>
          <w:lang w:val="en-GB"/>
        </w:rPr>
        <w:t xml:space="preserve">are </w:t>
      </w:r>
      <w:r w:rsidRPr="00E04AD0">
        <w:rPr>
          <w:lang w:val="en-GB"/>
        </w:rPr>
        <w:t xml:space="preserve">typically </w:t>
      </w:r>
      <w:r w:rsidR="00635BE1">
        <w:rPr>
          <w:lang w:val="en-GB"/>
        </w:rPr>
        <w:t xml:space="preserve">more </w:t>
      </w:r>
      <w:r w:rsidRPr="00E04AD0">
        <w:rPr>
          <w:lang w:val="en-GB"/>
        </w:rPr>
        <w:t>computationally intensive</w:t>
      </w:r>
      <w:r w:rsidR="00635BE1">
        <w:rPr>
          <w:lang w:val="en-GB"/>
        </w:rPr>
        <w:t xml:space="preserve"> than CGE and PE models </w:t>
      </w:r>
      <w:r w:rsidR="00F302A8">
        <w:rPr>
          <w:lang w:val="en-GB"/>
        </w:rPr>
        <w:t>because of their granular simulation of heterogenous agents</w:t>
      </w:r>
      <w:r w:rsidR="00DB35F8">
        <w:rPr>
          <w:lang w:val="en-GB"/>
        </w:rPr>
        <w:t xml:space="preserve"> and modelling of disequilibrium. However, computational demands vary </w:t>
      </w:r>
      <w:r w:rsidR="00941D22">
        <w:rPr>
          <w:lang w:val="en-GB"/>
        </w:rPr>
        <w:t>significantly</w:t>
      </w:r>
      <w:r w:rsidR="00DB35F8">
        <w:rPr>
          <w:lang w:val="en-GB"/>
        </w:rPr>
        <w:t xml:space="preserve"> </w:t>
      </w:r>
      <w:r w:rsidR="00F5519D">
        <w:rPr>
          <w:lang w:val="en-GB"/>
        </w:rPr>
        <w:t>with the model size and the complexity of non-linearities</w:t>
      </w:r>
      <w:r w:rsidR="00A44122">
        <w:rPr>
          <w:lang w:val="en-GB"/>
        </w:rPr>
        <w:t xml:space="preserve"> </w:t>
      </w:r>
      <w:r w:rsidR="00F96759">
        <w:rPr>
          <w:lang w:val="en-GB"/>
        </w:rPr>
        <w:fldChar w:fldCharType="begin"/>
      </w:r>
      <w:r w:rsidR="00065A37">
        <w:rPr>
          <w:lang w:val="en-GB"/>
        </w:rPr>
        <w:instrText xml:space="preserve"> ADDIN ZOTERO_ITEM CSL_CITATION {"citationID":"YNTIzJ2e","properties":{"formattedCitation":"\\super 19\\nosupersub{}","plainCitation":"19","noteIndex":0},"citationItems":[{"id":2889,"uris":["http://zotero.org/users/4065690/items/ELBELWYL","http://zotero.org/users/4065690/items/R9DCN9CC"],"itemData":{"id":2889,"type":"article-journal","abstract":"Humanity is facing many grand challenges at unprecedented rates, nearly everywhere, and at all levels. Yet virtually all these challenges can be traced back to the decision and behavior of autonomous agents that constitute the complex systems under such challenges. Agent-based modeling has been developed and employed to address such challenges for a few decades with great achievements and caveats. This article reviews the advances of ABM in social, ecological, and socio-ecological systems, compare ABM with other traditional, equation-based models, provide guidelines for ABM novice, modelers, and reviewers, and point out the challenges and impending tasks that need to be addressed for the ABM community. We further point out great opportunities arising from new forms of data, data science and artificial intelligence, showing that agent behavioral rules can be derived through data mining and machine learning. Towards the end, we call for a new science of Agent-based Complex Systems (ACS) that can pave an effective way to tackle the grand challenges.","container-title":"Ecological Modelling","DOI":"10.1016/j.ecolmodel.2021.109685","ISSN":"0304-3800","journalAbbreviation":"Ecological Modelling","page":"109685","source":"ScienceDirect","title":"Challenges, tasks, and opportunities in modeling agent-based complex systems","volume":"457","author":[{"family":"An","given":"Li"},{"family":"Grimm","given":"Volker"},{"family":"Sullivan","given":"Abigail"},{"family":"Turner II","given":"B. L."},{"family":"Malleson","given":"Nicolas"},{"family":"Heppenstall","given":"Alison"},{"family":"Vincenot","given":"Christian"},{"family":"Robinson","given":"Derek"},{"family":"Ye","given":"Xinyue"},{"family":"Liu","given":"Jianguo"},{"family":"Lindkvist","given":"Emilie"},{"family":"Tang","given":"Wenwu"}],"issued":{"date-parts":[["2021",10,1]]}}}],"schema":"https://github.com/citation-style-language/schema/raw/master/csl-citation.json"} </w:instrText>
      </w:r>
      <w:r w:rsidR="00F96759">
        <w:rPr>
          <w:lang w:val="en-GB"/>
        </w:rPr>
        <w:fldChar w:fldCharType="separate"/>
      </w:r>
      <w:r w:rsidR="00065A37" w:rsidRPr="00D27406">
        <w:rPr>
          <w:rFonts w:cs="Times New Roman"/>
          <w:vertAlign w:val="superscript"/>
          <w:lang w:val="en-US"/>
        </w:rPr>
        <w:t>19</w:t>
      </w:r>
      <w:r w:rsidR="00F96759">
        <w:rPr>
          <w:lang w:val="en-GB"/>
        </w:rPr>
        <w:fldChar w:fldCharType="end"/>
      </w:r>
      <w:r w:rsidR="00F5519D">
        <w:rPr>
          <w:lang w:val="en-GB"/>
        </w:rPr>
        <w:t xml:space="preserve">. </w:t>
      </w:r>
      <w:r w:rsidRPr="00E04AD0">
        <w:rPr>
          <w:lang w:val="en-GB"/>
        </w:rPr>
        <w:t>Given this, we assign computational ease scores of 3 (mean) and 4 (max).</w:t>
      </w:r>
    </w:p>
    <w:p w14:paraId="2EEE2F49" w14:textId="77777777" w:rsidR="00102EB3" w:rsidRPr="00E04AD0" w:rsidRDefault="00102EB3" w:rsidP="00A333DF">
      <w:pPr>
        <w:keepNext/>
        <w:keepLines/>
        <w:spacing w:line="276" w:lineRule="auto"/>
        <w:rPr>
          <w:b/>
          <w:bCs/>
          <w:lang w:val="en-GB"/>
        </w:rPr>
      </w:pPr>
      <w:r w:rsidRPr="00E04AD0">
        <w:rPr>
          <w:b/>
          <w:bCs/>
          <w:lang w:val="en-GB"/>
        </w:rPr>
        <w:lastRenderedPageBreak/>
        <w:t xml:space="preserve">Uncertainty: </w:t>
      </w:r>
    </w:p>
    <w:tbl>
      <w:tblPr>
        <w:tblW w:w="8240" w:type="dxa"/>
        <w:tblLook w:val="04A0" w:firstRow="1" w:lastRow="0" w:firstColumn="1" w:lastColumn="0" w:noHBand="0" w:noVBand="1"/>
      </w:tblPr>
      <w:tblGrid>
        <w:gridCol w:w="960"/>
        <w:gridCol w:w="7280"/>
      </w:tblGrid>
      <w:tr w:rsidR="00102EB3" w:rsidRPr="00E04AD0" w14:paraId="56E6E919"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0298C563" w14:textId="77777777" w:rsidR="00102EB3" w:rsidRPr="00E04AD0" w:rsidRDefault="00102EB3" w:rsidP="00A333DF">
            <w:pPr>
              <w:keepNext/>
              <w:keepLines/>
              <w:spacing w:before="0" w:line="276" w:lineRule="auto"/>
              <w:jc w:val="right"/>
              <w:rPr>
                <w:rFonts w:eastAsia="Times New Roman" w:cs="Times New Roman"/>
                <w:lang w:val="en-GB" w:eastAsia="en-GB"/>
              </w:rPr>
            </w:pPr>
            <w:r w:rsidRPr="00E04AD0">
              <w:rPr>
                <w:rFonts w:eastAsia="Times New Roman" w:cs="Times New Roman"/>
                <w:lang w:val="en-GB" w:eastAsia="en-GB"/>
              </w:rPr>
              <w:t>1</w:t>
            </w:r>
          </w:p>
        </w:tc>
        <w:tc>
          <w:tcPr>
            <w:tcW w:w="7280" w:type="dxa"/>
            <w:tcBorders>
              <w:top w:val="nil"/>
              <w:left w:val="nil"/>
              <w:bottom w:val="nil"/>
              <w:right w:val="nil"/>
            </w:tcBorders>
            <w:shd w:val="clear" w:color="auto" w:fill="E2EFD9" w:themeFill="accent6" w:themeFillTint="33"/>
            <w:noWrap/>
            <w:vAlign w:val="bottom"/>
            <w:hideMark/>
          </w:tcPr>
          <w:p w14:paraId="39D90D7B" w14:textId="77777777" w:rsidR="00102EB3" w:rsidRPr="00E04AD0" w:rsidRDefault="00102EB3" w:rsidP="00A333DF">
            <w:pPr>
              <w:keepNext/>
              <w:keepLines/>
              <w:spacing w:before="0" w:line="276" w:lineRule="auto"/>
              <w:rPr>
                <w:rFonts w:eastAsia="Times New Roman" w:cs="Times New Roman"/>
                <w:lang w:val="en-GB" w:eastAsia="en-GB"/>
              </w:rPr>
            </w:pPr>
            <w:r w:rsidRPr="00E04AD0">
              <w:rPr>
                <w:rFonts w:eastAsia="Times New Roman" w:cs="Times New Roman"/>
                <w:lang w:val="en-GB" w:eastAsia="en-GB"/>
              </w:rPr>
              <w:t>Fully deterministic</w:t>
            </w:r>
          </w:p>
        </w:tc>
      </w:tr>
      <w:tr w:rsidR="00102EB3" w:rsidRPr="00E04AD0" w14:paraId="1695CDB4"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73894483" w14:textId="77777777" w:rsidR="00102EB3" w:rsidRPr="00E04AD0" w:rsidRDefault="00102EB3" w:rsidP="00A333DF">
            <w:pPr>
              <w:keepNext/>
              <w:keepLines/>
              <w:spacing w:before="0" w:line="276" w:lineRule="auto"/>
              <w:jc w:val="right"/>
              <w:rPr>
                <w:rFonts w:eastAsia="Times New Roman" w:cs="Times New Roman"/>
                <w:lang w:val="en-GB" w:eastAsia="en-GB"/>
              </w:rPr>
            </w:pPr>
            <w:r w:rsidRPr="00E04AD0">
              <w:rPr>
                <w:rFonts w:eastAsia="Times New Roman" w:cs="Times New Roman"/>
                <w:lang w:val="en-GB" w:eastAsia="en-GB"/>
              </w:rPr>
              <w:t>2</w:t>
            </w:r>
          </w:p>
        </w:tc>
        <w:tc>
          <w:tcPr>
            <w:tcW w:w="7280" w:type="dxa"/>
            <w:tcBorders>
              <w:top w:val="nil"/>
              <w:left w:val="nil"/>
              <w:bottom w:val="nil"/>
              <w:right w:val="nil"/>
            </w:tcBorders>
            <w:shd w:val="clear" w:color="auto" w:fill="E2EFD9" w:themeFill="accent6" w:themeFillTint="33"/>
            <w:noWrap/>
            <w:vAlign w:val="bottom"/>
            <w:hideMark/>
          </w:tcPr>
          <w:p w14:paraId="74164D06" w14:textId="77777777" w:rsidR="00102EB3" w:rsidRPr="00E04AD0" w:rsidRDefault="00102EB3" w:rsidP="00A333DF">
            <w:pPr>
              <w:keepNext/>
              <w:keepLines/>
              <w:spacing w:before="0" w:line="276" w:lineRule="auto"/>
              <w:rPr>
                <w:rFonts w:eastAsia="Times New Roman" w:cs="Times New Roman"/>
                <w:lang w:val="en-GB" w:eastAsia="en-GB"/>
              </w:rPr>
            </w:pPr>
            <w:r w:rsidRPr="00E04AD0">
              <w:rPr>
                <w:rFonts w:eastAsia="Times New Roman" w:cs="Times New Roman"/>
                <w:lang w:val="en-GB" w:eastAsia="en-GB"/>
              </w:rPr>
              <w:t>Certain parametric uncertainty</w:t>
            </w:r>
          </w:p>
        </w:tc>
      </w:tr>
      <w:tr w:rsidR="00102EB3" w:rsidRPr="00D27406" w14:paraId="7751A28D"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0C0122DF" w14:textId="77777777" w:rsidR="00102EB3" w:rsidRPr="00E04AD0" w:rsidRDefault="00102EB3" w:rsidP="00A333DF">
            <w:pPr>
              <w:keepNext/>
              <w:keepLines/>
              <w:spacing w:before="0" w:line="276" w:lineRule="auto"/>
              <w:jc w:val="right"/>
              <w:rPr>
                <w:rFonts w:eastAsia="Times New Roman" w:cs="Times New Roman"/>
                <w:lang w:val="en-GB" w:eastAsia="en-GB"/>
              </w:rPr>
            </w:pPr>
            <w:r w:rsidRPr="00E04AD0">
              <w:rPr>
                <w:rFonts w:eastAsia="Times New Roman" w:cs="Times New Roman"/>
                <w:lang w:val="en-GB" w:eastAsia="en-GB"/>
              </w:rPr>
              <w:t>3</w:t>
            </w:r>
          </w:p>
        </w:tc>
        <w:tc>
          <w:tcPr>
            <w:tcW w:w="7280" w:type="dxa"/>
            <w:tcBorders>
              <w:top w:val="nil"/>
              <w:left w:val="nil"/>
              <w:bottom w:val="nil"/>
              <w:right w:val="nil"/>
            </w:tcBorders>
            <w:shd w:val="clear" w:color="auto" w:fill="E2EFD9" w:themeFill="accent6" w:themeFillTint="33"/>
            <w:noWrap/>
            <w:vAlign w:val="bottom"/>
            <w:hideMark/>
          </w:tcPr>
          <w:p w14:paraId="22A38C7F" w14:textId="14F4364B" w:rsidR="00102EB3" w:rsidRPr="00E04AD0" w:rsidRDefault="00F55AF7" w:rsidP="00A333DF">
            <w:pPr>
              <w:keepNext/>
              <w:keepLines/>
              <w:spacing w:before="0" w:line="276" w:lineRule="auto"/>
              <w:rPr>
                <w:rFonts w:eastAsia="Times New Roman" w:cs="Times New Roman"/>
                <w:lang w:val="en-GB" w:eastAsia="en-GB"/>
              </w:rPr>
            </w:pPr>
            <w:r>
              <w:rPr>
                <w:rFonts w:eastAsia="Times New Roman" w:cs="Times New Roman"/>
                <w:lang w:val="en-GB" w:eastAsia="en-GB"/>
              </w:rPr>
              <w:t xml:space="preserve">Some </w:t>
            </w:r>
            <w:r w:rsidR="00102EB3" w:rsidRPr="00E04AD0">
              <w:rPr>
                <w:rFonts w:eastAsia="Times New Roman" w:cs="Times New Roman"/>
                <w:lang w:val="en-GB" w:eastAsia="en-GB"/>
              </w:rPr>
              <w:t xml:space="preserve">parametric </w:t>
            </w:r>
            <w:r>
              <w:rPr>
                <w:rFonts w:eastAsia="Times New Roman" w:cs="Times New Roman"/>
                <w:lang w:val="en-GB" w:eastAsia="en-GB"/>
              </w:rPr>
              <w:t>and</w:t>
            </w:r>
            <w:r w:rsidR="00102EB3" w:rsidRPr="00E04AD0">
              <w:rPr>
                <w:rFonts w:eastAsia="Times New Roman" w:cs="Times New Roman"/>
                <w:lang w:val="en-GB" w:eastAsia="en-GB"/>
              </w:rPr>
              <w:t xml:space="preserve"> stochastic uncertainty</w:t>
            </w:r>
          </w:p>
        </w:tc>
      </w:tr>
      <w:tr w:rsidR="00102EB3" w:rsidRPr="00D27406" w14:paraId="1D249746"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11D5E0D4" w14:textId="77777777" w:rsidR="00102EB3" w:rsidRPr="00E04AD0" w:rsidRDefault="00102EB3" w:rsidP="00A333DF">
            <w:pPr>
              <w:keepNext/>
              <w:keepLines/>
              <w:spacing w:before="0" w:line="276" w:lineRule="auto"/>
              <w:jc w:val="right"/>
              <w:rPr>
                <w:rFonts w:eastAsia="Times New Roman" w:cs="Times New Roman"/>
                <w:lang w:val="en-GB" w:eastAsia="en-GB"/>
              </w:rPr>
            </w:pPr>
            <w:r w:rsidRPr="00E04AD0">
              <w:rPr>
                <w:rFonts w:eastAsia="Times New Roman" w:cs="Times New Roman"/>
                <w:lang w:val="en-GB" w:eastAsia="en-GB"/>
              </w:rPr>
              <w:t>4</w:t>
            </w:r>
          </w:p>
        </w:tc>
        <w:tc>
          <w:tcPr>
            <w:tcW w:w="7280" w:type="dxa"/>
            <w:tcBorders>
              <w:top w:val="nil"/>
              <w:left w:val="nil"/>
              <w:bottom w:val="nil"/>
              <w:right w:val="nil"/>
            </w:tcBorders>
            <w:shd w:val="clear" w:color="auto" w:fill="E2EFD9" w:themeFill="accent6" w:themeFillTint="33"/>
            <w:noWrap/>
            <w:vAlign w:val="bottom"/>
            <w:hideMark/>
          </w:tcPr>
          <w:p w14:paraId="551EE42E" w14:textId="77777777" w:rsidR="00102EB3" w:rsidRPr="00E04AD0" w:rsidRDefault="00102EB3" w:rsidP="00A333DF">
            <w:pPr>
              <w:keepNext/>
              <w:keepLines/>
              <w:spacing w:before="0" w:line="276" w:lineRule="auto"/>
              <w:rPr>
                <w:rFonts w:eastAsia="Times New Roman" w:cs="Times New Roman"/>
                <w:lang w:val="en-GB" w:eastAsia="en-GB"/>
              </w:rPr>
            </w:pPr>
            <w:r w:rsidRPr="00E04AD0">
              <w:rPr>
                <w:rFonts w:eastAsia="Times New Roman" w:cs="Times New Roman"/>
                <w:lang w:val="en-GB" w:eastAsia="en-GB"/>
              </w:rPr>
              <w:t>Fully stochastic with certain parametric uncertainty</w:t>
            </w:r>
          </w:p>
        </w:tc>
      </w:tr>
      <w:tr w:rsidR="00102EB3" w:rsidRPr="00D27406" w14:paraId="3060FD21"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1FCC14C0" w14:textId="77777777" w:rsidR="00102EB3" w:rsidRPr="00E04AD0" w:rsidRDefault="00102EB3" w:rsidP="00A333DF">
            <w:pPr>
              <w:keepNext/>
              <w:keepLines/>
              <w:spacing w:before="0" w:line="276" w:lineRule="auto"/>
              <w:jc w:val="right"/>
              <w:rPr>
                <w:rFonts w:eastAsia="Times New Roman" w:cs="Times New Roman"/>
                <w:lang w:val="en-GB" w:eastAsia="en-GB"/>
              </w:rPr>
            </w:pPr>
            <w:r w:rsidRPr="00E04AD0">
              <w:rPr>
                <w:rFonts w:eastAsia="Times New Roman" w:cs="Times New Roman"/>
                <w:lang w:val="en-GB" w:eastAsia="en-GB"/>
              </w:rPr>
              <w:t>5</w:t>
            </w:r>
          </w:p>
        </w:tc>
        <w:tc>
          <w:tcPr>
            <w:tcW w:w="7280" w:type="dxa"/>
            <w:tcBorders>
              <w:top w:val="nil"/>
              <w:left w:val="nil"/>
              <w:bottom w:val="nil"/>
              <w:right w:val="nil"/>
            </w:tcBorders>
            <w:shd w:val="clear" w:color="auto" w:fill="E2EFD9" w:themeFill="accent6" w:themeFillTint="33"/>
            <w:noWrap/>
            <w:vAlign w:val="bottom"/>
            <w:hideMark/>
          </w:tcPr>
          <w:p w14:paraId="7344C5B1" w14:textId="77777777" w:rsidR="00102EB3" w:rsidRPr="00E04AD0" w:rsidRDefault="00102EB3" w:rsidP="00A333DF">
            <w:pPr>
              <w:keepNext/>
              <w:keepLines/>
              <w:spacing w:before="0" w:line="276" w:lineRule="auto"/>
              <w:rPr>
                <w:rFonts w:eastAsia="Times New Roman" w:cs="Times New Roman"/>
                <w:lang w:val="en-GB" w:eastAsia="en-GB"/>
              </w:rPr>
            </w:pPr>
            <w:r w:rsidRPr="00E04AD0">
              <w:rPr>
                <w:rFonts w:eastAsia="Times New Roman" w:cs="Times New Roman"/>
                <w:lang w:val="en-GB" w:eastAsia="en-GB"/>
              </w:rPr>
              <w:t>Fully stochastic with parametric uncertainty</w:t>
            </w:r>
          </w:p>
        </w:tc>
      </w:tr>
    </w:tbl>
    <w:p w14:paraId="13DBAF23" w14:textId="29140B31" w:rsidR="00102EB3" w:rsidRPr="00E04AD0" w:rsidRDefault="00102EB3" w:rsidP="00A333DF">
      <w:pPr>
        <w:pStyle w:val="ListParagraph"/>
        <w:keepNext/>
        <w:keepLines/>
        <w:numPr>
          <w:ilvl w:val="0"/>
          <w:numId w:val="1"/>
        </w:numPr>
        <w:spacing w:line="276" w:lineRule="auto"/>
        <w:rPr>
          <w:lang w:val="en-GB"/>
        </w:rPr>
      </w:pPr>
      <w:r w:rsidRPr="00E04AD0">
        <w:rPr>
          <w:b/>
          <w:bCs/>
          <w:lang w:val="en-GB"/>
        </w:rPr>
        <w:t>MEM</w:t>
      </w:r>
      <w:r w:rsidR="00844B40">
        <w:rPr>
          <w:b/>
          <w:bCs/>
          <w:lang w:val="en-GB"/>
        </w:rPr>
        <w:t>s</w:t>
      </w:r>
      <w:r w:rsidRPr="00E04AD0">
        <w:rPr>
          <w:lang w:val="en-GB"/>
        </w:rPr>
        <w:t xml:space="preserve">. While MEMs are not fully stochastic, they effectively capture parametric and stochastic uncertainties through standard error estimation. Compared to structural models, MEMs better quantify these uncertainties through confidence intervals. Given this, we assign uncertainty scores of 3 (mean and max) to MEMs. </w:t>
      </w:r>
    </w:p>
    <w:p w14:paraId="6DDA8484" w14:textId="779435EA"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CGE, PE.</w:t>
      </w:r>
      <w:r w:rsidRPr="00E04AD0">
        <w:rPr>
          <w:lang w:val="en-GB"/>
        </w:rPr>
        <w:t xml:space="preserve"> Although both CGE and PE models are inherently deterministic, their simulations are often supplemented by sensitivity analyses to evaluate the robustness of results against variations in key parameters. Some CGE and PE models can incorporate Monte Carlo </w:t>
      </w:r>
      <w:r w:rsidR="00290A76">
        <w:rPr>
          <w:lang w:val="en-GB"/>
        </w:rPr>
        <w:t xml:space="preserve">and </w:t>
      </w:r>
      <w:r w:rsidR="00CE2A96">
        <w:rPr>
          <w:lang w:val="en-GB"/>
        </w:rPr>
        <w:t>Gauss</w:t>
      </w:r>
      <w:r w:rsidR="00290A76">
        <w:rPr>
          <w:lang w:val="en-GB"/>
        </w:rPr>
        <w:t xml:space="preserve"> Quadrature </w:t>
      </w:r>
      <w:r w:rsidRPr="00E04AD0">
        <w:rPr>
          <w:lang w:val="en-GB"/>
        </w:rPr>
        <w:t>simulations to account for variability in key parameters</w:t>
      </w:r>
      <w:r w:rsidR="00BD7FAE">
        <w:rPr>
          <w:lang w:val="en-GB"/>
        </w:rPr>
        <w:t xml:space="preserve"> </w:t>
      </w:r>
      <w:r w:rsidR="00BD7FAE">
        <w:rPr>
          <w:lang w:val="en-GB"/>
        </w:rPr>
        <w:fldChar w:fldCharType="begin"/>
      </w:r>
      <w:r w:rsidR="00440D06">
        <w:rPr>
          <w:lang w:val="en-GB"/>
        </w:rPr>
        <w:instrText xml:space="preserve"> ADDIN ZOTERO_ITEM CSL_CITATION {"citationID":"g6NpvoCw","properties":{"formattedCitation":"\\super 42\\nosupersub{}","plainCitation":"42","noteIndex":0},"citationItems":[{"id":3416,"uris":["http://zotero.org/users/4065690/items/4IBI3QZZ"],"itemData":{"id":3416,"type":"article-journal","abstract":"This paper introduces a new method for stochastic sensitivity analysis for computable general equilibrium (CGE) model based on Gauss Quadrature and applies it to check the robustness of a large-scale climate policy evaluation. The revised version of the Gauss-quadrature approach to sensitivity analysis reduces computations considerably vis-à-vis the commonly applied Monte-Carlo methods; this allows for a stochastic sensitivity analysis also for large scale models and multi-dimensional changes of parameters. In the application, an impact assessment of EU2020 climate policy, we focus on sectoral elasticities that are part of the basic parameters of the model and have been recently determined by econometric estimation, alongside with standard errors. The impact assessment is based on the large scale CGE model PACE. We show the applicability of the Gauss-quadrature approach and confirm the robustness of the impact assessment with the PACE model. The variance of the central model outcomes is smaller than their mean by order four to eight, depending on the aggregation level (i.e. aggregate variables such as GDP show a smaller variance than sectoral output).","collection-title":"Special section: Long Run Transitions to Sustainable Economic Structures in the European Union and Beyond","container-title":"Energy Policy","DOI":"10.1016/j.enpol.2012.08.007","ISSN":"0301-4215","journalAbbreviation":"Energy Policy","page":"27-35","source":"ScienceDirect","title":"A new robustness analysis for climate policy evaluations: A CGE application for the EU 2020 targets","title-short":"A new robustness analysis for climate policy evaluations","volume":"55","author":[{"family":"Hermeling","given":"Claudia"},{"family":"Löschel","given":"Andreas"},{"family":"Mennel","given":"Tim"}],"issued":{"date-parts":[["2013",4,1]]}}}],"schema":"https://github.com/citation-style-language/schema/raw/master/csl-citation.json"} </w:instrText>
      </w:r>
      <w:r w:rsidR="00BD7FAE">
        <w:rPr>
          <w:lang w:val="en-GB"/>
        </w:rPr>
        <w:fldChar w:fldCharType="separate"/>
      </w:r>
      <w:r w:rsidR="00440D06" w:rsidRPr="00D27406">
        <w:rPr>
          <w:rFonts w:cs="Times New Roman"/>
          <w:vertAlign w:val="superscript"/>
          <w:lang w:val="en-US"/>
        </w:rPr>
        <w:t>42</w:t>
      </w:r>
      <w:r w:rsidR="00BD7FAE">
        <w:rPr>
          <w:lang w:val="en-GB"/>
        </w:rPr>
        <w:fldChar w:fldCharType="end"/>
      </w:r>
      <w:r w:rsidRPr="00E04AD0">
        <w:rPr>
          <w:lang w:val="en-GB"/>
        </w:rPr>
        <w:t>. Given this, we assign uncertainty scores of 2 (mean) and 3 (max) to CGE and PE models.</w:t>
      </w:r>
    </w:p>
    <w:p w14:paraId="731A9BA2" w14:textId="6168EB5B"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 xml:space="preserve">IO. </w:t>
      </w:r>
      <w:r w:rsidR="004B00E6" w:rsidRPr="004B00E6">
        <w:rPr>
          <w:lang w:val="en-GB"/>
        </w:rPr>
        <w:t xml:space="preserve">IO models do not account for the behavioural responses of firms and consumers. These models are demand-driven, </w:t>
      </w:r>
      <w:proofErr w:type="gramStart"/>
      <w:r w:rsidR="004B00E6" w:rsidRPr="004B00E6">
        <w:rPr>
          <w:lang w:val="en-GB"/>
        </w:rPr>
        <w:t>assuming that</w:t>
      </w:r>
      <w:proofErr w:type="gramEnd"/>
      <w:r w:rsidR="004B00E6" w:rsidRPr="004B00E6">
        <w:rPr>
          <w:lang w:val="en-GB"/>
        </w:rPr>
        <w:t xml:space="preserve"> consumer preferences and input-output ratios in production remain linear and fixed</w:t>
      </w:r>
      <w:r w:rsidR="005C1091">
        <w:rPr>
          <w:lang w:val="en-GB"/>
        </w:rPr>
        <w:t xml:space="preserve">. </w:t>
      </w:r>
      <w:r w:rsidR="00C94EC3">
        <w:rPr>
          <w:lang w:val="en-GB"/>
        </w:rPr>
        <w:t>Given this</w:t>
      </w:r>
      <w:r w:rsidRPr="00E04AD0">
        <w:rPr>
          <w:lang w:val="en-GB"/>
        </w:rPr>
        <w:t>, we assign uncertainty scores of 1 (mean and max) to IO models.</w:t>
      </w:r>
    </w:p>
    <w:p w14:paraId="5ED19467" w14:textId="251314E3"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ABM</w:t>
      </w:r>
      <w:r w:rsidR="00844B40">
        <w:rPr>
          <w:b/>
          <w:bCs/>
          <w:lang w:val="en-GB"/>
        </w:rPr>
        <w:t>s</w:t>
      </w:r>
      <w:r w:rsidRPr="00E04AD0">
        <w:rPr>
          <w:b/>
          <w:bCs/>
          <w:lang w:val="en-GB"/>
        </w:rPr>
        <w:t>.</w:t>
      </w:r>
      <w:r w:rsidRPr="00E04AD0">
        <w:rPr>
          <w:lang w:val="en-GB"/>
        </w:rPr>
        <w:t xml:space="preserve"> Most ABMs that </w:t>
      </w:r>
      <w:r w:rsidR="00B63650">
        <w:rPr>
          <w:lang w:val="en-GB"/>
        </w:rPr>
        <w:t>quantify</w:t>
      </w:r>
      <w:r w:rsidRPr="00E04AD0">
        <w:rPr>
          <w:lang w:val="en-GB"/>
        </w:rPr>
        <w:t xml:space="preserve"> climate costs are deterministic </w:t>
      </w:r>
      <w:r w:rsidRPr="00E04AD0">
        <w:rPr>
          <w:lang w:val="en-GB"/>
        </w:rPr>
        <w:fldChar w:fldCharType="begin"/>
      </w:r>
      <w:r w:rsidR="00065A37">
        <w:rPr>
          <w:lang w:val="en-GB"/>
        </w:rPr>
        <w:instrText xml:space="preserve"> ADDIN ZOTERO_ITEM CSL_CITATION {"citationID":"ihaL6FM0","properties":{"formattedCitation":"\\super 34\\nosupersub{}","plainCitation":"34","noteIndex":0},"citationItems":[{"id":742,"uris":["http://zotero.org/users/4065690/items/5SY6E4Y9"],"itemData":{"id":742,"type":"article-journal","abstract":"World markets are highly interlinked and local economies extensively rely on global supply and value chains. Consequently, local production disruptions, for instance caused by extreme weather events, are likely to induce indirect losses along supply chains with potentially global repercussions. These complex loss dynamics represent a challenge for comprehensive disaster risk assessments. Here, we introduce the numerical agent-based model acclimate designed to analyze the cascading of economic losses in the global supply network. Using national sectors as agents, we apply the model to study the global propagation of losses induced by stylized disasters. We find that indirect losses can become comparable in size to direct ones, but can be efficiently mitigated by warehousing and idle capacities. Consequently, a comprehensive risk assessment cannot focus solely on first-tier suppliers, but has to take the whole supply chain into account. To render the supply network climate-proof, national adaptation policies have to be complemented by international adaptation efforts. In that regard, our model can be employed to assess reasonable leverage points and to identify dynamic bottlenecks inaccessible to static analyses.","container-title":"Journal of Economic Dynamics and Control","DOI":"10.1016/j.jedc.2017.08.001","ISSN":"0165-1889","journalAbbreviation":"Journal of Economic Dynamics and Control","language":"en","page":"232-269","source":"ScienceDirect","title":"Modeling loss-propagation in the global supply network: The dynamic agent-based model acclimate","title-short":"Modeling loss-propagation in the global supply network","volume":"83","author":[{"family":"Otto","given":"C."},{"family":"Willner","given":"S. N."},{"family":"Wenz","given":"L."},{"family":"Frieler","given":"K."},{"family":"Levermann","given":"A."}],"issued":{"date-parts":[["2017",10,1]]}}}],"schema":"https://github.com/citation-style-language/schema/raw/master/csl-citation.json"} </w:instrText>
      </w:r>
      <w:r w:rsidRPr="00E04AD0">
        <w:rPr>
          <w:lang w:val="en-GB"/>
        </w:rPr>
        <w:fldChar w:fldCharType="separate"/>
      </w:r>
      <w:r w:rsidR="00065A37" w:rsidRPr="00D27406">
        <w:rPr>
          <w:rFonts w:cs="Times New Roman"/>
          <w:vertAlign w:val="superscript"/>
          <w:lang w:val="en-US"/>
        </w:rPr>
        <w:t>34</w:t>
      </w:r>
      <w:r w:rsidRPr="00E04AD0">
        <w:rPr>
          <w:lang w:val="en-GB"/>
        </w:rPr>
        <w:fldChar w:fldCharType="end"/>
      </w:r>
      <w:r w:rsidRPr="00E04AD0">
        <w:rPr>
          <w:lang w:val="en-GB"/>
        </w:rPr>
        <w:t xml:space="preserve">. However, some ABMs used in </w:t>
      </w:r>
      <w:r w:rsidR="00161790">
        <w:rPr>
          <w:lang w:val="en-GB"/>
        </w:rPr>
        <w:t xml:space="preserve">non-climate economic applications </w:t>
      </w:r>
      <w:r w:rsidRPr="00E04AD0">
        <w:rPr>
          <w:lang w:val="en-GB"/>
        </w:rPr>
        <w:t>are stochastic</w:t>
      </w:r>
      <w:r w:rsidR="00282D39">
        <w:rPr>
          <w:lang w:val="en-GB"/>
        </w:rPr>
        <w:t xml:space="preserve"> </w:t>
      </w:r>
      <w:r w:rsidR="00282D39">
        <w:rPr>
          <w:lang w:val="en-GB"/>
        </w:rPr>
        <w:fldChar w:fldCharType="begin"/>
      </w:r>
      <w:r w:rsidR="00065A37">
        <w:rPr>
          <w:lang w:val="en-GB"/>
        </w:rPr>
        <w:instrText xml:space="preserve"> ADDIN ZOTERO_ITEM CSL_CITATION {"citationID":"ZNASZsnd","properties":{"formattedCitation":"\\super 17,43\\nosupersub{}","plainCitation":"17,43","noteIndex":0},"citationItems":[{"id":3417,"uris":["http://zotero.org/users/4065690/items/9N7429JR"],"itemData":{"id":3417,"type":"article-journal","abstract":"Agent-based models provide a flexible framework that is frequently used for modelling many biological systems, including cell migration, molecular dynamics, ecology and epidemiology. Analysis of the model dynamics can be challenging due to their inherent stochasticity and heavy computational requirements. Common approaches to the analysis of agent-based models include extensive Monte Carlo simulation of the model or the derivation of coarse-grained differential equation models to predict the expected or averaged output from the agent-based model. Both of these approaches have limitations, however, as extensive computation of complex agent-based models may be infeasible, and coarse-grained differential equation models can fail to accurately describe model dynamics in certain parameter regimes. We propose that methods from the equation learning field provide a promising, novel and unifying approach for agent-based model analysis. Equation learning is a recent field of research from data science that aims to infer differential equation models directly from data. We use this tutorial to review how methods from equation learning can be used to learn differential equation models from agent-based model simulations. We demonstrate that this framework is easy to use, requires few model simulations, and accurately predicts model dynamics in parameter regions where coarse-grained differential equation models fail to do so. We highlight these advantages through several case studies involving two agent-based models that are broadly applicable to biological phenomena: a birth–death–migration model commonly used to explore cell biology experiments and a susceptible–infected–recovered model of infectious disease spread.","container-title":"Journal of The Royal Society Interface","DOI":"10.1098/rsif.2020.0987","issue":"176","note":"publisher: Royal Society","page":"20200987","source":"royalsocietypublishing.org (Atypon)","title":"Learning differential equation models from stochastic agent-based model simulations","volume":"18","author":[{"family":"Nardini","given":"John T."},{"family":"Baker","given":"Ruth E."},{"family":"Simpson","given":"Matthew J."},{"family":"Flores","given":"Kevin B."}],"issued":{"date-parts":[["2021",3,17]]}},"label":"page"},{"id":2801,"uris":["http://zotero.org/users/4065690/items/XZX8CEKI","http://zotero.org/users/4065690/items/8YHLQ8F7"],"itemData":{"id":2801,"type":"article-journal","abstract":"In this review we discuss advances in the agent-based modeling of economic and social systems. We show the state of the art of the heuristic design of agents and how behavioral economics and laboratory experiments have improved the modeling of agent behavior. We further discuss how economic networks and social systems can be modeled and we discuss novel methodology and data sources. Lastly, we present an overview of estimation techniques to calibrate and validate agent-based models and show avenues for future research.","container-title":"SN Business &amp; Economics","DOI":"10.1007/s43546-021-00103-3","ISSN":"2662-9399","issue":"7","journalAbbreviation":"SN Bus Econ","language":"en","page":"99","source":"Springer Link","title":"Advances in the agent-based modeling of economic and social behavior","volume":"1","author":[{"family":"Steinbacher","given":"Mitja"},{"family":"Raddant","given":"Matthias"},{"family":"Karimi","given":"Fariba"},{"family":"Camacho Cuena","given":"Eva"},{"family":"Alfarano","given":"Simone"},{"family":"Iori","given":"Giulia"},{"family":"Lux","given":"Thomas"}],"issued":{"date-parts":[["2021",7,7]]}},"label":"page"}],"schema":"https://github.com/citation-style-language/schema/raw/master/csl-citation.json"} </w:instrText>
      </w:r>
      <w:r w:rsidR="00282D39">
        <w:rPr>
          <w:lang w:val="en-GB"/>
        </w:rPr>
        <w:fldChar w:fldCharType="separate"/>
      </w:r>
      <w:r w:rsidR="00065A37" w:rsidRPr="00D27406">
        <w:rPr>
          <w:rFonts w:cs="Times New Roman"/>
          <w:vertAlign w:val="superscript"/>
          <w:lang w:val="en-US"/>
        </w:rPr>
        <w:t>17,43</w:t>
      </w:r>
      <w:r w:rsidR="00282D39">
        <w:rPr>
          <w:lang w:val="en-GB"/>
        </w:rPr>
        <w:fldChar w:fldCharType="end"/>
      </w:r>
      <w:r w:rsidRPr="00E04AD0">
        <w:rPr>
          <w:lang w:val="en-GB"/>
        </w:rPr>
        <w:t>. Given this, we assign uncertainty scores of 2 (mean) and 4 (max) to ABMs.</w:t>
      </w:r>
    </w:p>
    <w:p w14:paraId="29372BAE" w14:textId="77777777" w:rsidR="00102EB3" w:rsidRPr="00E04AD0" w:rsidRDefault="00102EB3" w:rsidP="00A333DF">
      <w:pPr>
        <w:spacing w:line="276" w:lineRule="auto"/>
        <w:rPr>
          <w:b/>
          <w:bCs/>
          <w:lang w:val="en-GB"/>
        </w:rPr>
      </w:pPr>
      <w:r w:rsidRPr="00E04AD0">
        <w:rPr>
          <w:b/>
          <w:bCs/>
          <w:lang w:val="en-GB"/>
        </w:rPr>
        <w:t xml:space="preserve">Heterogeneity: </w:t>
      </w:r>
    </w:p>
    <w:tbl>
      <w:tblPr>
        <w:tblW w:w="8240" w:type="dxa"/>
        <w:tblLook w:val="04A0" w:firstRow="1" w:lastRow="0" w:firstColumn="1" w:lastColumn="0" w:noHBand="0" w:noVBand="1"/>
      </w:tblPr>
      <w:tblGrid>
        <w:gridCol w:w="960"/>
        <w:gridCol w:w="7280"/>
      </w:tblGrid>
      <w:tr w:rsidR="00102EB3" w:rsidRPr="00D27406" w14:paraId="67094036"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44937A24"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1</w:t>
            </w:r>
          </w:p>
        </w:tc>
        <w:tc>
          <w:tcPr>
            <w:tcW w:w="7280" w:type="dxa"/>
            <w:tcBorders>
              <w:top w:val="nil"/>
              <w:left w:val="nil"/>
              <w:bottom w:val="nil"/>
              <w:right w:val="nil"/>
            </w:tcBorders>
            <w:shd w:val="clear" w:color="auto" w:fill="E2EFD9" w:themeFill="accent6" w:themeFillTint="33"/>
            <w:noWrap/>
            <w:vAlign w:val="bottom"/>
            <w:hideMark/>
          </w:tcPr>
          <w:p w14:paraId="68C19F4D"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Single representative or homogenous firm and consumer</w:t>
            </w:r>
          </w:p>
        </w:tc>
      </w:tr>
      <w:tr w:rsidR="00102EB3" w:rsidRPr="00E04AD0" w14:paraId="1B2BB267"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68F13F64"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2</w:t>
            </w:r>
          </w:p>
        </w:tc>
        <w:tc>
          <w:tcPr>
            <w:tcW w:w="7280" w:type="dxa"/>
            <w:tcBorders>
              <w:top w:val="nil"/>
              <w:left w:val="nil"/>
              <w:bottom w:val="nil"/>
              <w:right w:val="nil"/>
            </w:tcBorders>
            <w:shd w:val="clear" w:color="auto" w:fill="E2EFD9" w:themeFill="accent6" w:themeFillTint="33"/>
            <w:noWrap/>
            <w:vAlign w:val="bottom"/>
            <w:hideMark/>
          </w:tcPr>
          <w:p w14:paraId="0A19CF20"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 xml:space="preserve">Not available </w:t>
            </w:r>
          </w:p>
        </w:tc>
      </w:tr>
      <w:tr w:rsidR="00102EB3" w:rsidRPr="00D27406" w14:paraId="11CB46FF"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7667E099"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3</w:t>
            </w:r>
          </w:p>
        </w:tc>
        <w:tc>
          <w:tcPr>
            <w:tcW w:w="7280" w:type="dxa"/>
            <w:tcBorders>
              <w:top w:val="nil"/>
              <w:left w:val="nil"/>
              <w:bottom w:val="nil"/>
              <w:right w:val="nil"/>
            </w:tcBorders>
            <w:shd w:val="clear" w:color="auto" w:fill="E2EFD9" w:themeFill="accent6" w:themeFillTint="33"/>
            <w:noWrap/>
            <w:vAlign w:val="bottom"/>
            <w:hideMark/>
          </w:tcPr>
          <w:p w14:paraId="0A203CDB" w14:textId="09DAE7E8"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Heterogenous representative firms and/</w:t>
            </w:r>
            <w:r w:rsidR="006D4FE9">
              <w:rPr>
                <w:rFonts w:eastAsia="Times New Roman" w:cs="Times New Roman"/>
                <w:lang w:val="en-GB" w:eastAsia="en-GB"/>
              </w:rPr>
              <w:t>or</w:t>
            </w:r>
            <w:r w:rsidRPr="00E04AD0">
              <w:rPr>
                <w:rFonts w:eastAsia="Times New Roman" w:cs="Times New Roman"/>
                <w:lang w:val="en-GB" w:eastAsia="en-GB"/>
              </w:rPr>
              <w:t xml:space="preserve"> consumers</w:t>
            </w:r>
          </w:p>
        </w:tc>
      </w:tr>
      <w:tr w:rsidR="00102EB3" w:rsidRPr="00E04AD0" w14:paraId="02EDDD9C"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3E6F6945"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4</w:t>
            </w:r>
          </w:p>
        </w:tc>
        <w:tc>
          <w:tcPr>
            <w:tcW w:w="7280" w:type="dxa"/>
            <w:tcBorders>
              <w:top w:val="nil"/>
              <w:left w:val="nil"/>
              <w:bottom w:val="nil"/>
              <w:right w:val="nil"/>
            </w:tcBorders>
            <w:shd w:val="clear" w:color="auto" w:fill="E2EFD9" w:themeFill="accent6" w:themeFillTint="33"/>
            <w:noWrap/>
            <w:vAlign w:val="bottom"/>
            <w:hideMark/>
          </w:tcPr>
          <w:p w14:paraId="53266497"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 xml:space="preserve">Not available </w:t>
            </w:r>
          </w:p>
        </w:tc>
      </w:tr>
      <w:tr w:rsidR="00102EB3" w:rsidRPr="00D27406" w14:paraId="7355C481" w14:textId="77777777" w:rsidTr="009732CF">
        <w:trPr>
          <w:trHeight w:val="264"/>
        </w:trPr>
        <w:tc>
          <w:tcPr>
            <w:tcW w:w="960" w:type="dxa"/>
            <w:tcBorders>
              <w:top w:val="nil"/>
              <w:left w:val="nil"/>
              <w:bottom w:val="nil"/>
              <w:right w:val="nil"/>
            </w:tcBorders>
            <w:shd w:val="clear" w:color="auto" w:fill="E2EFD9" w:themeFill="accent6" w:themeFillTint="33"/>
            <w:noWrap/>
            <w:vAlign w:val="bottom"/>
            <w:hideMark/>
          </w:tcPr>
          <w:p w14:paraId="7A5B5A99" w14:textId="77777777" w:rsidR="00102EB3" w:rsidRPr="00E04AD0" w:rsidRDefault="00102EB3" w:rsidP="00A333DF">
            <w:pPr>
              <w:spacing w:before="0" w:line="276" w:lineRule="auto"/>
              <w:jc w:val="right"/>
              <w:rPr>
                <w:rFonts w:eastAsia="Times New Roman" w:cs="Times New Roman"/>
                <w:lang w:val="en-GB" w:eastAsia="en-GB"/>
              </w:rPr>
            </w:pPr>
            <w:r w:rsidRPr="00E04AD0">
              <w:rPr>
                <w:rFonts w:eastAsia="Times New Roman" w:cs="Times New Roman"/>
                <w:lang w:val="en-GB" w:eastAsia="en-GB"/>
              </w:rPr>
              <w:t>5</w:t>
            </w:r>
          </w:p>
        </w:tc>
        <w:tc>
          <w:tcPr>
            <w:tcW w:w="7280" w:type="dxa"/>
            <w:tcBorders>
              <w:top w:val="nil"/>
              <w:left w:val="nil"/>
              <w:bottom w:val="nil"/>
              <w:right w:val="nil"/>
            </w:tcBorders>
            <w:shd w:val="clear" w:color="auto" w:fill="E2EFD9" w:themeFill="accent6" w:themeFillTint="33"/>
            <w:noWrap/>
            <w:vAlign w:val="bottom"/>
            <w:hideMark/>
          </w:tcPr>
          <w:p w14:paraId="1DAF90E1" w14:textId="77777777" w:rsidR="00102EB3" w:rsidRPr="00E04AD0" w:rsidRDefault="00102EB3" w:rsidP="00A333DF">
            <w:pPr>
              <w:spacing w:before="0" w:line="276" w:lineRule="auto"/>
              <w:rPr>
                <w:rFonts w:eastAsia="Times New Roman" w:cs="Times New Roman"/>
                <w:lang w:val="en-GB" w:eastAsia="en-GB"/>
              </w:rPr>
            </w:pPr>
            <w:r w:rsidRPr="00E04AD0">
              <w:rPr>
                <w:rFonts w:eastAsia="Times New Roman" w:cs="Times New Roman"/>
                <w:lang w:val="en-GB" w:eastAsia="en-GB"/>
              </w:rPr>
              <w:t xml:space="preserve">Explicit representation of all firms and consumers </w:t>
            </w:r>
          </w:p>
        </w:tc>
      </w:tr>
    </w:tbl>
    <w:p w14:paraId="3C606E9E" w14:textId="6FD18C20"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MEM</w:t>
      </w:r>
      <w:r w:rsidR="001D3A6F">
        <w:rPr>
          <w:b/>
          <w:bCs/>
          <w:lang w:val="en-GB"/>
        </w:rPr>
        <w:t>s</w:t>
      </w:r>
      <w:r w:rsidRPr="00E04AD0">
        <w:rPr>
          <w:b/>
          <w:bCs/>
          <w:lang w:val="en-GB"/>
        </w:rPr>
        <w:t>, IO.</w:t>
      </w:r>
      <w:r w:rsidRPr="00E04AD0">
        <w:rPr>
          <w:lang w:val="en-GB"/>
        </w:rPr>
        <w:t xml:space="preserve"> Neither MEM</w:t>
      </w:r>
      <w:r w:rsidR="001D3A6F">
        <w:rPr>
          <w:lang w:val="en-GB"/>
        </w:rPr>
        <w:t>s</w:t>
      </w:r>
      <w:r w:rsidRPr="00E04AD0">
        <w:rPr>
          <w:lang w:val="en-GB"/>
        </w:rPr>
        <w:t xml:space="preserve"> nor IO models include explicit micro-level representation of firms or consumers. Instead, they aggregate these actors</w:t>
      </w:r>
      <w:r w:rsidR="00E449AA">
        <w:rPr>
          <w:lang w:val="en-GB"/>
        </w:rPr>
        <w:t>:</w:t>
      </w:r>
      <w:r w:rsidR="00A95A9B">
        <w:rPr>
          <w:lang w:val="en-GB"/>
        </w:rPr>
        <w:t xml:space="preserve"> MEMs</w:t>
      </w:r>
      <w:r w:rsidR="00756982">
        <w:rPr>
          <w:lang w:val="en-GB"/>
        </w:rPr>
        <w:t xml:space="preserve"> combine </w:t>
      </w:r>
      <w:r w:rsidR="008D5A75">
        <w:rPr>
          <w:lang w:val="en-GB"/>
        </w:rPr>
        <w:t xml:space="preserve">all firms </w:t>
      </w:r>
      <w:r w:rsidR="00756982">
        <w:rPr>
          <w:lang w:val="en-GB"/>
        </w:rPr>
        <w:t xml:space="preserve">into a single GDP </w:t>
      </w:r>
      <w:r w:rsidR="008B049B">
        <w:rPr>
          <w:lang w:val="en-GB"/>
        </w:rPr>
        <w:t xml:space="preserve">measure, while </w:t>
      </w:r>
      <w:r w:rsidR="008D5A75">
        <w:rPr>
          <w:lang w:val="en-GB"/>
        </w:rPr>
        <w:t>IO</w:t>
      </w:r>
      <w:r w:rsidR="008B049B">
        <w:rPr>
          <w:lang w:val="en-GB"/>
        </w:rPr>
        <w:t xml:space="preserve"> models group them into sectors</w:t>
      </w:r>
      <w:r w:rsidR="00632BFE">
        <w:rPr>
          <w:lang w:val="en-GB"/>
        </w:rPr>
        <w:t>.</w:t>
      </w:r>
      <w:r w:rsidRPr="00E04AD0">
        <w:rPr>
          <w:lang w:val="en-GB"/>
        </w:rPr>
        <w:t xml:space="preserve"> Given this, we assign heterogeneity scores of 1 (mean and max) to MEMs and IO models.</w:t>
      </w:r>
    </w:p>
    <w:p w14:paraId="5A8070A6" w14:textId="0A2E9E64"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CGE, PE.</w:t>
      </w:r>
      <w:r w:rsidRPr="00E04AD0">
        <w:rPr>
          <w:lang w:val="en-GB"/>
        </w:rPr>
        <w:t xml:space="preserve"> Most CGE and PE models, which assess the economic impacts of climate change, </w:t>
      </w:r>
      <w:r w:rsidR="00365041">
        <w:rPr>
          <w:lang w:val="en-GB"/>
        </w:rPr>
        <w:t xml:space="preserve">depict </w:t>
      </w:r>
      <w:r w:rsidR="00951E6E">
        <w:rPr>
          <w:lang w:val="en-GB"/>
        </w:rPr>
        <w:t xml:space="preserve">only </w:t>
      </w:r>
      <w:r w:rsidRPr="00E04AD0">
        <w:rPr>
          <w:lang w:val="en-GB"/>
        </w:rPr>
        <w:t>single representative producers and consumers. However, some CGE and PE models incorporate heterogeneous representative producers and consumers</w:t>
      </w:r>
      <w:r w:rsidR="00D97B7C">
        <w:rPr>
          <w:lang w:val="en-GB"/>
        </w:rPr>
        <w:t xml:space="preserve"> </w:t>
      </w:r>
      <w:r w:rsidR="00D97B7C">
        <w:rPr>
          <w:lang w:val="en-GB"/>
        </w:rPr>
        <w:fldChar w:fldCharType="begin"/>
      </w:r>
      <w:r w:rsidR="00440D06">
        <w:rPr>
          <w:lang w:val="en-GB"/>
        </w:rPr>
        <w:instrText xml:space="preserve"> ADDIN ZOTERO_ITEM CSL_CITATION {"citationID":"nWRsGJ9r","properties":{"formattedCitation":"\\super 44,45\\nosupersub{}","plainCitation":"44,45","noteIndex":0},"citationItems":[{"id":1486,"uris":["http://zotero.org/users/4065690/items/DNACECUC","http://zotero.org/users/4065690/items/KVVGZSW7"],"itemData":{"id":1486,"type":"article-journal","abstract":"Computable General Equilibrium (CGE) models incorporating firm heterogeneity can overcome the shortcomings of traditional Armington-based models in explaining changes in productivity and variety in the wake of reduced trade costs. In this paper, we present a new modeling framework where the firm heterogeneity theory of Melitz is introduced into the Global Trade Analysis Project (GTAP) model and calibrated to the GTAP 8 Data Base. The new mechanisms in the model are demonstrated in a stylized scenario with 3 regions (USA, Japan and the Rest of the World) and 2 sectors (manufacturing and non-manufacturing) where the elimination of tariffs levied by Japan on the import of US manufacturing goods is examined. Results are compared with those under monopolistic competition motivated by Krugman and under perfect competition motivated by Armington. The firm heterogeneity model incorporates endogenous variety, scale, productivity, and fixed cost effects into welfare change in addition to the traditional allocative efficiency and terms of trade effects. We observe that these effects are significant sources of welfare change. GTAP-HET presents the first GTAP implementation of firm heterogeneity. It is a powerful tool for policy analysis with improved abilities in tracing out productivity changes and entry/exit of firms following trade liberalization scenarios.","container-title":"Journal of Global Economic Analysis","DOI":"10.21642/JGEA.010102AF","ISSN":"2377-2999","issue":"1","language":"en","license":"Copyright (c) 2016 Zeynep Akgul, Nelson B Villoria, Thomas W Hertel","note":"number: 1","page":"111-180","source":"jgea.org","title":"GTAP-HET: Introducing Firm Heterogeneity into the GTAP Model","title-short":"GTAP-HET","volume":"1","author":[{"family":"Akgul","given":"Zeynep"},{"family":"Villoria","given":"Nelson B."},{"family":"Hertel","given":"Thomas W."}],"issued":{"date-parts":[["2016",6,3]]}},"label":"page"},{"id":3414,"uris":["http://zotero.org/users/4065690/items/FB8NMFCC"],"itemData":{"id":3414,"type":"article-journal","abstract":"A partial equilibrium trade model with heterogeneous firms is developed and applied to the issue of compliance with the EU food standards in Polish meat production. The model parameters are estimated using a nonlinear least squares method to match the observed patterns of trade. With asymmetrically distributed productivities homogenising standards tend to increase the concentration of production and exports among the more productive and larger firms. Simulation analysis shows the trade and market structure impacts of support programmes in the context of EU accession. The simulations also highlight the importance of the substitution elasticity between varieties and effects of productivity upgrades.","container-title":"European Review of Agricultural Economics","DOI":"10.1093/erae/jbp032","ISSN":"0165-1587","issue":"4","journalAbbreviation":"European Review of Agricultural Economics","page":"479-505","source":"Silverchair","title":"Heterogeneous firms and homogenising standards in agri-food trade: the Polish meat case","title-short":"Heterogeneous firms and homogenising standards in agri-food trade","volume":"36","author":[{"family":"Rau","given":"Marie-Luise"},{"family":"Tongeren","given":"Frank","non-dropping-particle":"van"}],"issued":{"date-parts":[["2009",12,1]]}},"label":"page"}],"schema":"https://github.com/citation-style-language/schema/raw/master/csl-citation.json"} </w:instrText>
      </w:r>
      <w:r w:rsidR="00D97B7C">
        <w:rPr>
          <w:lang w:val="en-GB"/>
        </w:rPr>
        <w:fldChar w:fldCharType="separate"/>
      </w:r>
      <w:r w:rsidR="00440D06" w:rsidRPr="00D27406">
        <w:rPr>
          <w:rFonts w:cs="Times New Roman"/>
          <w:vertAlign w:val="superscript"/>
          <w:lang w:val="en-US"/>
        </w:rPr>
        <w:t>44,45</w:t>
      </w:r>
      <w:r w:rsidR="00D97B7C">
        <w:rPr>
          <w:lang w:val="en-GB"/>
        </w:rPr>
        <w:fldChar w:fldCharType="end"/>
      </w:r>
      <w:r w:rsidRPr="00E04AD0">
        <w:rPr>
          <w:lang w:val="en-GB"/>
        </w:rPr>
        <w:t xml:space="preserve">. Given this, we assign heterogeneity scores of 1 (mean) and 3 (max) to CGE and PE models. </w:t>
      </w:r>
    </w:p>
    <w:p w14:paraId="0C6E7490" w14:textId="447FCF01" w:rsidR="00102EB3" w:rsidRPr="00E04AD0" w:rsidRDefault="00102EB3" w:rsidP="00A333DF">
      <w:pPr>
        <w:pStyle w:val="ListParagraph"/>
        <w:numPr>
          <w:ilvl w:val="0"/>
          <w:numId w:val="1"/>
        </w:numPr>
        <w:spacing w:line="276" w:lineRule="auto"/>
        <w:contextualSpacing w:val="0"/>
        <w:rPr>
          <w:lang w:val="en-GB"/>
        </w:rPr>
      </w:pPr>
      <w:r w:rsidRPr="00E04AD0">
        <w:rPr>
          <w:b/>
          <w:bCs/>
          <w:lang w:val="en-GB"/>
        </w:rPr>
        <w:t>ABMs.</w:t>
      </w:r>
      <w:r w:rsidRPr="00E04AD0">
        <w:rPr>
          <w:lang w:val="en-GB"/>
        </w:rPr>
        <w:t xml:space="preserve"> Most ABMs that </w:t>
      </w:r>
      <w:r w:rsidR="007E0ED5">
        <w:rPr>
          <w:lang w:val="en-GB"/>
        </w:rPr>
        <w:t>quantify</w:t>
      </w:r>
      <w:r w:rsidRPr="00E04AD0">
        <w:rPr>
          <w:lang w:val="en-GB"/>
        </w:rPr>
        <w:t xml:space="preserve"> climate costs incorporate heterogeneous representative firms. However, some ABMs </w:t>
      </w:r>
      <w:r w:rsidR="00D83AC4">
        <w:rPr>
          <w:lang w:val="en-GB"/>
        </w:rPr>
        <w:t xml:space="preserve">used </w:t>
      </w:r>
      <w:r w:rsidRPr="00E04AD0">
        <w:rPr>
          <w:lang w:val="en-GB"/>
        </w:rPr>
        <w:t xml:space="preserve">in non-climate </w:t>
      </w:r>
      <w:r w:rsidR="00FB3CA4">
        <w:rPr>
          <w:lang w:val="en-GB"/>
        </w:rPr>
        <w:t>economic applications</w:t>
      </w:r>
      <w:r w:rsidRPr="00E04AD0">
        <w:rPr>
          <w:lang w:val="en-GB"/>
        </w:rPr>
        <w:t xml:space="preserve"> include explicit representations of firms</w:t>
      </w:r>
      <w:r w:rsidR="001F3152">
        <w:rPr>
          <w:lang w:val="en-GB"/>
        </w:rPr>
        <w:t xml:space="preserve"> </w:t>
      </w:r>
      <w:r w:rsidR="001F3152">
        <w:rPr>
          <w:lang w:val="en-GB"/>
        </w:rPr>
        <w:fldChar w:fldCharType="begin"/>
      </w:r>
      <w:r w:rsidR="00065A37">
        <w:rPr>
          <w:lang w:val="en-GB"/>
        </w:rPr>
        <w:instrText xml:space="preserve"> ADDIN ZOTERO_ITEM CSL_CITATION {"citationID":"Q3BLy5ec","properties":{"formattedCitation":"\\super 35,46\\nosupersub{}","plainCitation":"35,46","noteIndex":0},"citationItems":[{"id":3409,"uris":["http://zotero.org/users/4065690/items/Z2DKXRHE"],"itemData":{"id":3409,"type":"article-journal","abstract":"The use of agent-based modelling approaches in ex-post and ex-ante evaluations of agricultural policies has been progressively increasing over the last few years. There are now a sufficient number of models that it is worth taking stock of the way these models have been developed. Here, we review 20 agricultural agent-based models (ABM) addressing heterogeneous decision-making processes in the context of European agriculture. The goals of this review were to i) develop a framework describing aspects of farmers' decision-making that are relevant from a farm-systems perspective, ii) reveal the current state-of-the-art in representing farmers' decision-making in the European agricultural sector, and iii) provide a critical reflection of underdeveloped research areas and on future opportunities in modelling decision-making. To compare different approaches in modelling farmers' behaviour, we focused on the European agricultural sector, which presents a specific character with its family farms, its single market and the common agricultural policy (CAP). We identified several key properties of farmers' decision-making: the multi-output nature of production; the importance of non-agricultural activities; heterogeneous household and family characteristics; and the need for concurrent short- and long-term decision-making. These properties were then used to define levels and types of decision-making mechanisms to structure a literature review. We find most models are sophisticated in the representation of farm exit and entry decisions, as well as the representation of long-term decisions and the consideration of farming styles or types using farm typologies. Considerably fewer attempts to model farmers' emotions, values, learning, risk and uncertainty or social interactions occur in the different case studies. We conclude that there is considerable scope to improve diversity in representation of decision-making and the integration of social interactions in agricultural agent-based modelling approaches by combining existing modelling approaches and promoting model inter-comparisons. Thus, this review provides a valuable entry point for agent-based modellers, agricultural systems modellers and data driven social scientists for the re-use and sharing of model components, code and data. An intensified dialogue could fertilize more coordinated and purposeful combinations and comparisons of ABM and other modelling approaches as well as better reconciliation of empirical data and theoretical foundations, which ultimately are key to developing improved models of agricultural systems.","container-title":"Agricultural Systems","DOI":"10.1016/j.agsy.2018.09.007","ISSN":"0308-521X","journalAbbreviation":"Agricultural Systems","page":"143-160","source":"ScienceDirect","title":"Representation of decision-making in European agricultural agent-based models","volume":"167","author":[{"family":"Huber","given":"Robert"},{"family":"Bakker","given":"Martha"},{"family":"Balmann","given":"Alfons"},{"family":"Berger","given":"Thomas"},{"family":"Bithell","given":"Mike"},{"family":"Brown","given":"Calum"},{"family":"Grêt-Regamey","given":"Adrienne"},{"family":"Xiong","given":"Hang"},{"family":"Le","given":"Quang Bao"},{"family":"Mack","given":"Gabriele"},{"family":"Meyfroidt","given":"Patrick"},{"family":"Millington","given":"James"},{"family":"Müller","given":"Birgit"},{"family":"Polhill","given":"J. Gareth"},{"family":"Sun","given":"Zhanli"},{"family":"Seidl","given":"Roman"},{"family":"Troost","given":"Christian"},{"family":"Finger","given":"Robert"}],"issued":{"date-parts":[["2018",11,1]]}},"label":"page"},{"id":3415,"uris":["http://zotero.org/users/4065690/items/A47CK8FM"],"itemData":{"id":3415,"type":"article-journal","abstract":"The use of agent-based modelling (ABM) to tackle flood-related risk challenges is becoming increasingly popular in recent years. This paper reviews the literature at the interface of ABM and flood-related studies in view of understanding the technique’s advantages and limitations to flood risk management, based on a set of 61 representative articles. In particular, to understand how this process-based technique can help to link human (also institutional) decisions and behaviour with flood risks through the whole human-flood systems. Overall, the temporal and spatial distributions demonstrate a growing interest in this research area around the world, especially since 2017. Three topic areas are identified, addressing different research challenges in the field: real-time flood emergency management, long-term flood adaptation planning, and flood hydrological modelling. The review has shown that the potential contribution of ABM to future flood risk management lays in its practical application to decision-making in adaptation policy and strategy planning. The review also critically reveals the limitation of ad hoc implementations of decision-making and behaviour in the ABM models that could make the application less realistic in the field. It is recommended that the future development should be guided/influenced by the continuing development and refinement of ABM modelling framework and theoretical foundations, and enhancement of model testing and documenting capabilities. More importantly, active collaborations between disciplines and sectors such as to involve more social and psychological sciences in ABM decision-making modelling should be encouraged; and knowledge sharing will encourage more effective uses of ABM by wider audiences.","container-title":"Journal of Hydrology","DOI":"10.1016/j.jhydrol.2020.125600","ISSN":"0022-1694","journalAbbreviation":"Journal of Hydrology","page":"125600","source":"ScienceDirect","title":"Agent-based modelling and flood risk management: A compendious literature review","title-short":"Agent-based modelling and flood risk management","volume":"591","author":[{"family":"Zhuo","given":"Lu"},{"family":"Han","given":"Dawei"}],"issued":{"date-parts":[["2020",12,1]]}},"label":"page"}],"schema":"https://github.com/citation-style-language/schema/raw/master/csl-citation.json"} </w:instrText>
      </w:r>
      <w:r w:rsidR="001F3152">
        <w:rPr>
          <w:lang w:val="en-GB"/>
        </w:rPr>
        <w:fldChar w:fldCharType="separate"/>
      </w:r>
      <w:r w:rsidR="00065A37" w:rsidRPr="00D27406">
        <w:rPr>
          <w:rFonts w:cs="Times New Roman"/>
          <w:vertAlign w:val="superscript"/>
          <w:lang w:val="en-US"/>
        </w:rPr>
        <w:t>35,46</w:t>
      </w:r>
      <w:r w:rsidR="001F3152">
        <w:rPr>
          <w:lang w:val="en-GB"/>
        </w:rPr>
        <w:fldChar w:fldCharType="end"/>
      </w:r>
      <w:r w:rsidRPr="00E04AD0">
        <w:rPr>
          <w:lang w:val="en-GB"/>
        </w:rPr>
        <w:t xml:space="preserve">. Given this, we assign heterogeneity scores of 3 (mean) and 5 (max) to ABMs. </w:t>
      </w:r>
    </w:p>
    <w:p w14:paraId="617FF402" w14:textId="024D813E" w:rsidR="00102EB3" w:rsidRPr="00E04AD0" w:rsidRDefault="00102EB3" w:rsidP="00A333DF">
      <w:pPr>
        <w:pStyle w:val="Heading1"/>
        <w:spacing w:line="276" w:lineRule="auto"/>
        <w:rPr>
          <w:lang w:val="en-GB"/>
        </w:rPr>
      </w:pPr>
      <w:r w:rsidRPr="00E04AD0">
        <w:rPr>
          <w:lang w:val="en-GB"/>
        </w:rPr>
        <w:lastRenderedPageBreak/>
        <w:t>References</w:t>
      </w:r>
    </w:p>
    <w:p w14:paraId="76978F85" w14:textId="77777777" w:rsidR="00065A37" w:rsidRPr="00D27406" w:rsidRDefault="00712B5B" w:rsidP="000A3338">
      <w:pPr>
        <w:pStyle w:val="Bibliography"/>
        <w:spacing w:before="0" w:line="240" w:lineRule="auto"/>
        <w:rPr>
          <w:rFonts w:cs="Times New Roman"/>
          <w:lang w:val="en-US"/>
        </w:rPr>
      </w:pPr>
      <w:r w:rsidRPr="00E04AD0">
        <w:rPr>
          <w:lang w:val="en-GB"/>
        </w:rPr>
        <w:fldChar w:fldCharType="begin"/>
      </w:r>
      <w:r w:rsidR="00065A37">
        <w:rPr>
          <w:lang w:val="en-GB"/>
        </w:rPr>
        <w:instrText xml:space="preserve"> ADDIN ZOTERO_BIBL {"uncited":[],"omitted":[],"custom":[]} CSL_BIBLIOGRAPHY </w:instrText>
      </w:r>
      <w:r w:rsidRPr="00E04AD0">
        <w:rPr>
          <w:lang w:val="en-GB"/>
        </w:rPr>
        <w:fldChar w:fldCharType="separate"/>
      </w:r>
      <w:r w:rsidR="00065A37" w:rsidRPr="00D27406">
        <w:rPr>
          <w:rFonts w:cs="Times New Roman"/>
          <w:lang w:val="en-US"/>
        </w:rPr>
        <w:t>1.</w:t>
      </w:r>
      <w:r w:rsidR="00065A37" w:rsidRPr="00D27406">
        <w:rPr>
          <w:rFonts w:cs="Times New Roman"/>
          <w:lang w:val="en-US"/>
        </w:rPr>
        <w:tab/>
        <w:t xml:space="preserve">Hope, C., Anderson, J. &amp; Wenman, P. Policy analysis of the greenhouse effect: An application of the PAGE model. </w:t>
      </w:r>
      <w:r w:rsidR="00065A37" w:rsidRPr="00D27406">
        <w:rPr>
          <w:rFonts w:cs="Times New Roman"/>
          <w:i/>
          <w:iCs/>
          <w:lang w:val="en-US"/>
        </w:rPr>
        <w:t>Energy Policy</w:t>
      </w:r>
      <w:r w:rsidR="00065A37" w:rsidRPr="00D27406">
        <w:rPr>
          <w:rFonts w:cs="Times New Roman"/>
          <w:lang w:val="en-US"/>
        </w:rPr>
        <w:t xml:space="preserve"> </w:t>
      </w:r>
      <w:r w:rsidR="00065A37" w:rsidRPr="00D27406">
        <w:rPr>
          <w:rFonts w:cs="Times New Roman"/>
          <w:b/>
          <w:bCs/>
          <w:lang w:val="en-US"/>
        </w:rPr>
        <w:t>21</w:t>
      </w:r>
      <w:r w:rsidR="00065A37" w:rsidRPr="00D27406">
        <w:rPr>
          <w:rFonts w:cs="Times New Roman"/>
          <w:lang w:val="en-US"/>
        </w:rPr>
        <w:t>, 327–338 (1993).</w:t>
      </w:r>
    </w:p>
    <w:p w14:paraId="2F69CE7D"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2.</w:t>
      </w:r>
      <w:r w:rsidRPr="00D27406">
        <w:rPr>
          <w:rFonts w:cs="Times New Roman"/>
          <w:lang w:val="en-US"/>
        </w:rPr>
        <w:tab/>
        <w:t>Anthoff, D. &amp; Tol, R. S. J. THE CLIMATE FRAMEWORK FOR UNCERTAINTY, NEGOTIATION AND  DISTRIBUTION (FUND), TECHNICAL DESCRIPTION, VERSION 3.9. (2014).</w:t>
      </w:r>
    </w:p>
    <w:p w14:paraId="09235DEA"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3.</w:t>
      </w:r>
      <w:r w:rsidRPr="00D27406">
        <w:rPr>
          <w:rFonts w:cs="Times New Roman"/>
          <w:lang w:val="en-US"/>
        </w:rPr>
        <w:tab/>
        <w:t xml:space="preserve">Braunreiter, L., van Beek, L., Hajer, M. &amp; van Vuuren, D. Transformative pathways – Using integrated assessment models more effectively to open up plausible and desirable low-carbon futures. </w:t>
      </w:r>
      <w:r w:rsidRPr="00D27406">
        <w:rPr>
          <w:rFonts w:cs="Times New Roman"/>
          <w:i/>
          <w:iCs/>
          <w:lang w:val="en-US"/>
        </w:rPr>
        <w:t>Energy Res. Soc. Sci.</w:t>
      </w:r>
      <w:r w:rsidRPr="00D27406">
        <w:rPr>
          <w:rFonts w:cs="Times New Roman"/>
          <w:lang w:val="en-US"/>
        </w:rPr>
        <w:t xml:space="preserve"> </w:t>
      </w:r>
      <w:r w:rsidRPr="00D27406">
        <w:rPr>
          <w:rFonts w:cs="Times New Roman"/>
          <w:b/>
          <w:bCs/>
          <w:lang w:val="en-US"/>
        </w:rPr>
        <w:t>80</w:t>
      </w:r>
      <w:r w:rsidRPr="00D27406">
        <w:rPr>
          <w:rFonts w:cs="Times New Roman"/>
          <w:lang w:val="en-US"/>
        </w:rPr>
        <w:t>, 102220 (2021).</w:t>
      </w:r>
    </w:p>
    <w:p w14:paraId="2CD69EF1"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4.</w:t>
      </w:r>
      <w:r w:rsidRPr="00D27406">
        <w:rPr>
          <w:rFonts w:cs="Times New Roman"/>
          <w:lang w:val="en-US"/>
        </w:rPr>
        <w:tab/>
        <w:t>IPCC. Annex VII: Glossary [Matthews, J.B.R., V. Möller, R. van Diemen, J.S. Fuglestvedt, V. Masson-Delmotte, C. Méndez, S. Semenov, A. Reisinger (eds.)]. In Climate Change 2021: The Physical Science Basis. Contribution of Working Group I to the Sixth Assessment Report of the Intergovernmental Panel on Climate Change [Masson-Delmotte, V., P. Zhai, A. Pirani, S.L. Connors, C. Péan, S. Berger, N. Caud, Y. Chen, L. Goldfarb, M.I. Gomis, M. Huang, K. Leitzell, E. Lonnoy, J.B.R. Matthews, T.K. Maycock, T. Waterfield, O. Yelekçi, R. Yu, and B. Zhou (eds.)]. Cambridge University Press, Cambridge, United Kingdom and New York, NY, USA, pp. 2215–2256, doi:10.1017/9781009157896.022. (2021).</w:t>
      </w:r>
    </w:p>
    <w:p w14:paraId="409C6196"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5.</w:t>
      </w:r>
      <w:r w:rsidRPr="00D27406">
        <w:rPr>
          <w:rFonts w:cs="Times New Roman"/>
          <w:lang w:val="en-US"/>
        </w:rPr>
        <w:tab/>
        <w:t xml:space="preserve">Wei, T. &amp; Aaheim, A. Climate change adaptation based on computable general equilibrium models – a systematic review. </w:t>
      </w:r>
      <w:r w:rsidRPr="00D27406">
        <w:rPr>
          <w:rFonts w:cs="Times New Roman"/>
          <w:i/>
          <w:iCs/>
          <w:lang w:val="en-US"/>
        </w:rPr>
        <w:t>Int. J. Clim. Change Strateg. Manag.</w:t>
      </w:r>
      <w:r w:rsidRPr="00D27406">
        <w:rPr>
          <w:rFonts w:cs="Times New Roman"/>
          <w:lang w:val="en-US"/>
        </w:rPr>
        <w:t xml:space="preserve"> </w:t>
      </w:r>
      <w:r w:rsidRPr="00D27406">
        <w:rPr>
          <w:rFonts w:cs="Times New Roman"/>
          <w:b/>
          <w:bCs/>
          <w:lang w:val="en-US"/>
        </w:rPr>
        <w:t>15</w:t>
      </w:r>
      <w:r w:rsidRPr="00D27406">
        <w:rPr>
          <w:rFonts w:cs="Times New Roman"/>
          <w:lang w:val="en-US"/>
        </w:rPr>
        <w:t>, 561–576 (2022).</w:t>
      </w:r>
    </w:p>
    <w:p w14:paraId="4A588FC2"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6.</w:t>
      </w:r>
      <w:r w:rsidRPr="00D27406">
        <w:rPr>
          <w:rFonts w:cs="Times New Roman"/>
          <w:lang w:val="en-US"/>
        </w:rPr>
        <w:tab/>
        <w:t xml:space="preserve">Babatunde, K. A., Begum, R. A. &amp; Said, F. F. Application of computable general equilibrium (CGE) to climate change mitigation policy: A systematic review. </w:t>
      </w:r>
      <w:r w:rsidRPr="00D27406">
        <w:rPr>
          <w:rFonts w:cs="Times New Roman"/>
          <w:i/>
          <w:iCs/>
          <w:lang w:val="en-US"/>
        </w:rPr>
        <w:t>Renew. Sustain. Energy Rev.</w:t>
      </w:r>
      <w:r w:rsidRPr="00D27406">
        <w:rPr>
          <w:rFonts w:cs="Times New Roman"/>
          <w:lang w:val="en-US"/>
        </w:rPr>
        <w:t xml:space="preserve"> </w:t>
      </w:r>
      <w:r w:rsidRPr="00D27406">
        <w:rPr>
          <w:rFonts w:cs="Times New Roman"/>
          <w:b/>
          <w:bCs/>
          <w:lang w:val="en-US"/>
        </w:rPr>
        <w:t>78</w:t>
      </w:r>
      <w:r w:rsidRPr="00D27406">
        <w:rPr>
          <w:rFonts w:cs="Times New Roman"/>
          <w:lang w:val="en-US"/>
        </w:rPr>
        <w:t>, 61–71 (2017).</w:t>
      </w:r>
    </w:p>
    <w:p w14:paraId="428FDE44"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7.</w:t>
      </w:r>
      <w:r w:rsidRPr="00D27406">
        <w:rPr>
          <w:rFonts w:cs="Times New Roman"/>
          <w:lang w:val="en-US"/>
        </w:rPr>
        <w:tab/>
        <w:t xml:space="preserve">Ghaith, Z., Kulshreshtha, S., Natcher, D. &amp; Cameron, B. T. Regional Computable General Equilibrium models: A review. </w:t>
      </w:r>
      <w:r w:rsidRPr="00D27406">
        <w:rPr>
          <w:rFonts w:cs="Times New Roman"/>
          <w:i/>
          <w:iCs/>
          <w:lang w:val="en-US"/>
        </w:rPr>
        <w:t>J. Policy Model.</w:t>
      </w:r>
      <w:r w:rsidRPr="00D27406">
        <w:rPr>
          <w:rFonts w:cs="Times New Roman"/>
          <w:lang w:val="en-US"/>
        </w:rPr>
        <w:t xml:space="preserve"> </w:t>
      </w:r>
      <w:r w:rsidRPr="00D27406">
        <w:rPr>
          <w:rFonts w:cs="Times New Roman"/>
          <w:b/>
          <w:bCs/>
          <w:lang w:val="en-US"/>
        </w:rPr>
        <w:t>43</w:t>
      </w:r>
      <w:r w:rsidRPr="00D27406">
        <w:rPr>
          <w:rFonts w:cs="Times New Roman"/>
          <w:lang w:val="en-US"/>
        </w:rPr>
        <w:t>, 710–724 (2021).</w:t>
      </w:r>
    </w:p>
    <w:p w14:paraId="244EB9E9"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8.</w:t>
      </w:r>
      <w:r w:rsidRPr="00D27406">
        <w:rPr>
          <w:rFonts w:cs="Times New Roman"/>
          <w:lang w:val="en-US"/>
        </w:rPr>
        <w:tab/>
        <w:t xml:space="preserve">Fabregat-Aibar, L., Niñerola, A. &amp; Pié, L. Computable general equilibrium models for sustainable development: past and future. </w:t>
      </w:r>
      <w:r w:rsidRPr="00D27406">
        <w:rPr>
          <w:rFonts w:cs="Times New Roman"/>
          <w:i/>
          <w:iCs/>
          <w:lang w:val="en-US"/>
        </w:rPr>
        <w:t>Environ. Sci. Pollut. Res.</w:t>
      </w:r>
      <w:r w:rsidRPr="00D27406">
        <w:rPr>
          <w:rFonts w:cs="Times New Roman"/>
          <w:lang w:val="en-US"/>
        </w:rPr>
        <w:t xml:space="preserve"> </w:t>
      </w:r>
      <w:r w:rsidRPr="00D27406">
        <w:rPr>
          <w:rFonts w:cs="Times New Roman"/>
          <w:b/>
          <w:bCs/>
          <w:lang w:val="en-US"/>
        </w:rPr>
        <w:t>29</w:t>
      </w:r>
      <w:r w:rsidRPr="00D27406">
        <w:rPr>
          <w:rFonts w:cs="Times New Roman"/>
          <w:lang w:val="en-US"/>
        </w:rPr>
        <w:t>, 38972–38984 (2022).</w:t>
      </w:r>
    </w:p>
    <w:p w14:paraId="7B3EE600"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9.</w:t>
      </w:r>
      <w:r w:rsidRPr="00D27406">
        <w:rPr>
          <w:rFonts w:cs="Times New Roman"/>
          <w:lang w:val="en-US"/>
        </w:rPr>
        <w:tab/>
        <w:t xml:space="preserve">Galbusera, L. &amp; Giannopoulos, G. On input-output economic models in disaster impact assessment. </w:t>
      </w:r>
      <w:r w:rsidRPr="00D27406">
        <w:rPr>
          <w:rFonts w:cs="Times New Roman"/>
          <w:i/>
          <w:iCs/>
          <w:lang w:val="en-US"/>
        </w:rPr>
        <w:t>Int. J. Disaster Risk Reduct.</w:t>
      </w:r>
      <w:r w:rsidRPr="00D27406">
        <w:rPr>
          <w:rFonts w:cs="Times New Roman"/>
          <w:lang w:val="en-US"/>
        </w:rPr>
        <w:t xml:space="preserve"> </w:t>
      </w:r>
      <w:r w:rsidRPr="00D27406">
        <w:rPr>
          <w:rFonts w:cs="Times New Roman"/>
          <w:b/>
          <w:bCs/>
          <w:lang w:val="en-US"/>
        </w:rPr>
        <w:t>30</w:t>
      </w:r>
      <w:r w:rsidRPr="00D27406">
        <w:rPr>
          <w:rFonts w:cs="Times New Roman"/>
          <w:lang w:val="en-US"/>
        </w:rPr>
        <w:t>, 186–198 (2018).</w:t>
      </w:r>
    </w:p>
    <w:p w14:paraId="370A7D58"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10.</w:t>
      </w:r>
      <w:r w:rsidRPr="00D27406">
        <w:rPr>
          <w:rFonts w:cs="Times New Roman"/>
          <w:lang w:val="en-US"/>
        </w:rPr>
        <w:tab/>
        <w:t xml:space="preserve">Botzen, W. J. W., Deschenes, O. &amp; Sanders, M. The Economic Impacts of Natural Disasters: A Review of Models and                         Empirical Studies. </w:t>
      </w:r>
      <w:r w:rsidRPr="00D27406">
        <w:rPr>
          <w:rFonts w:cs="Times New Roman"/>
          <w:i/>
          <w:iCs/>
          <w:lang w:val="en-US"/>
        </w:rPr>
        <w:t>Rev. Environ. Econ. Policy</w:t>
      </w:r>
      <w:r w:rsidRPr="00D27406">
        <w:rPr>
          <w:rFonts w:cs="Times New Roman"/>
          <w:lang w:val="en-US"/>
        </w:rPr>
        <w:t xml:space="preserve"> </w:t>
      </w:r>
      <w:r w:rsidRPr="00D27406">
        <w:rPr>
          <w:rFonts w:cs="Times New Roman"/>
          <w:b/>
          <w:bCs/>
          <w:lang w:val="en-US"/>
        </w:rPr>
        <w:t>13</w:t>
      </w:r>
      <w:r w:rsidRPr="00D27406">
        <w:rPr>
          <w:rFonts w:cs="Times New Roman"/>
          <w:lang w:val="en-US"/>
        </w:rPr>
        <w:t>, 167–188 (2019).</w:t>
      </w:r>
    </w:p>
    <w:p w14:paraId="28776FD0"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11.</w:t>
      </w:r>
      <w:r w:rsidRPr="00D27406">
        <w:rPr>
          <w:rFonts w:cs="Times New Roman"/>
          <w:lang w:val="en-US"/>
        </w:rPr>
        <w:tab/>
        <w:t xml:space="preserve">Clouse, C., Thorvaldson, J. &amp; Jolley, G. J. Impact Factors: Methodological Standards for Applied Input-Output Analysis. </w:t>
      </w:r>
      <w:r w:rsidRPr="00D27406">
        <w:rPr>
          <w:rFonts w:cs="Times New Roman"/>
          <w:i/>
          <w:iCs/>
          <w:lang w:val="en-US"/>
        </w:rPr>
        <w:t>J. Reg. Anal. Policy</w:t>
      </w:r>
      <w:r w:rsidRPr="00D27406">
        <w:rPr>
          <w:rFonts w:cs="Times New Roman"/>
          <w:lang w:val="en-US"/>
        </w:rPr>
        <w:t xml:space="preserve"> </w:t>
      </w:r>
      <w:r w:rsidRPr="00D27406">
        <w:rPr>
          <w:rFonts w:cs="Times New Roman"/>
          <w:b/>
          <w:bCs/>
          <w:lang w:val="en-US"/>
        </w:rPr>
        <w:t>53</w:t>
      </w:r>
      <w:r w:rsidRPr="00D27406">
        <w:rPr>
          <w:rFonts w:cs="Times New Roman"/>
          <w:lang w:val="en-US"/>
        </w:rPr>
        <w:t>, (2023).</w:t>
      </w:r>
    </w:p>
    <w:p w14:paraId="0909460C"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12.</w:t>
      </w:r>
      <w:r w:rsidRPr="00D27406">
        <w:rPr>
          <w:rFonts w:cs="Times New Roman"/>
          <w:lang w:val="en-US"/>
        </w:rPr>
        <w:tab/>
        <w:t xml:space="preserve">Sun, Z., Tukker, A. &amp; Behrens, P. Going Global to Local: Connecting Top-Down Accounting and Local Impacts, A Methodological Review of Spatially Explicit Input–Output Approaches. </w:t>
      </w:r>
      <w:r w:rsidRPr="00D27406">
        <w:rPr>
          <w:rFonts w:cs="Times New Roman"/>
          <w:i/>
          <w:iCs/>
          <w:lang w:val="en-US"/>
        </w:rPr>
        <w:t>Environ. Sci. Technol.</w:t>
      </w:r>
      <w:r w:rsidRPr="00D27406">
        <w:rPr>
          <w:rFonts w:cs="Times New Roman"/>
          <w:lang w:val="en-US"/>
        </w:rPr>
        <w:t xml:space="preserve"> </w:t>
      </w:r>
      <w:r w:rsidRPr="00D27406">
        <w:rPr>
          <w:rFonts w:cs="Times New Roman"/>
          <w:b/>
          <w:bCs/>
          <w:lang w:val="en-US"/>
        </w:rPr>
        <w:t>53</w:t>
      </w:r>
      <w:r w:rsidRPr="00D27406">
        <w:rPr>
          <w:rFonts w:cs="Times New Roman"/>
          <w:lang w:val="en-US"/>
        </w:rPr>
        <w:t>, 1048–1062 (2019).</w:t>
      </w:r>
    </w:p>
    <w:p w14:paraId="43D0F8C6"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13.</w:t>
      </w:r>
      <w:r w:rsidRPr="00D27406">
        <w:rPr>
          <w:rFonts w:cs="Times New Roman"/>
          <w:lang w:val="en-US"/>
        </w:rPr>
        <w:tab/>
        <w:t xml:space="preserve">Wiedmann, T. A review of recent multi-region input–output models used for consumption-based emission and resource accounting. </w:t>
      </w:r>
      <w:r w:rsidRPr="00D27406">
        <w:rPr>
          <w:rFonts w:cs="Times New Roman"/>
          <w:i/>
          <w:iCs/>
          <w:lang w:val="en-US"/>
        </w:rPr>
        <w:t>Ecol. Econ.</w:t>
      </w:r>
      <w:r w:rsidRPr="00D27406">
        <w:rPr>
          <w:rFonts w:cs="Times New Roman"/>
          <w:lang w:val="en-US"/>
        </w:rPr>
        <w:t xml:space="preserve"> </w:t>
      </w:r>
      <w:r w:rsidRPr="00D27406">
        <w:rPr>
          <w:rFonts w:cs="Times New Roman"/>
          <w:b/>
          <w:bCs/>
          <w:lang w:val="en-US"/>
        </w:rPr>
        <w:t>69</w:t>
      </w:r>
      <w:r w:rsidRPr="00D27406">
        <w:rPr>
          <w:rFonts w:cs="Times New Roman"/>
          <w:lang w:val="en-US"/>
        </w:rPr>
        <w:t>, 211–222 (2009).</w:t>
      </w:r>
    </w:p>
    <w:p w14:paraId="42E4A988"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14.</w:t>
      </w:r>
      <w:r w:rsidRPr="00D27406">
        <w:rPr>
          <w:rFonts w:cs="Times New Roman"/>
          <w:lang w:val="en-US"/>
        </w:rPr>
        <w:tab/>
        <w:t xml:space="preserve">Newell, R. G., Prest, B. C. &amp; Sexton, S. E. The GDP-Temperature relationship: Implications for climate change damages. </w:t>
      </w:r>
      <w:r w:rsidRPr="00D27406">
        <w:rPr>
          <w:rFonts w:cs="Times New Roman"/>
          <w:i/>
          <w:iCs/>
          <w:lang w:val="en-US"/>
        </w:rPr>
        <w:t>J. Environ. Econ. Manag.</w:t>
      </w:r>
      <w:r w:rsidRPr="00D27406">
        <w:rPr>
          <w:rFonts w:cs="Times New Roman"/>
          <w:lang w:val="en-US"/>
        </w:rPr>
        <w:t xml:space="preserve"> </w:t>
      </w:r>
      <w:r w:rsidRPr="00D27406">
        <w:rPr>
          <w:rFonts w:cs="Times New Roman"/>
          <w:b/>
          <w:bCs/>
          <w:lang w:val="en-US"/>
        </w:rPr>
        <w:t>108</w:t>
      </w:r>
      <w:r w:rsidRPr="00D27406">
        <w:rPr>
          <w:rFonts w:cs="Times New Roman"/>
          <w:lang w:val="en-US"/>
        </w:rPr>
        <w:t>, 102445 (2021).</w:t>
      </w:r>
    </w:p>
    <w:p w14:paraId="5948ABEF"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15.</w:t>
      </w:r>
      <w:r w:rsidRPr="00D27406">
        <w:rPr>
          <w:rFonts w:cs="Times New Roman"/>
          <w:lang w:val="en-US"/>
        </w:rPr>
        <w:tab/>
        <w:t xml:space="preserve">Chang, J.-J., Mi, Z. &amp; Wei, Y.-M. Temperature and GDP: A review of climate econometrics analysis. </w:t>
      </w:r>
      <w:r w:rsidRPr="00D27406">
        <w:rPr>
          <w:rFonts w:cs="Times New Roman"/>
          <w:i/>
          <w:iCs/>
          <w:lang w:val="en-US"/>
        </w:rPr>
        <w:t>Struct. Change Econ. Dyn.</w:t>
      </w:r>
      <w:r w:rsidRPr="00D27406">
        <w:rPr>
          <w:rFonts w:cs="Times New Roman"/>
          <w:lang w:val="en-US"/>
        </w:rPr>
        <w:t xml:space="preserve"> </w:t>
      </w:r>
      <w:r w:rsidRPr="00D27406">
        <w:rPr>
          <w:rFonts w:cs="Times New Roman"/>
          <w:b/>
          <w:bCs/>
          <w:lang w:val="en-US"/>
        </w:rPr>
        <w:t>66</w:t>
      </w:r>
      <w:r w:rsidRPr="00D27406">
        <w:rPr>
          <w:rFonts w:cs="Times New Roman"/>
          <w:lang w:val="en-US"/>
        </w:rPr>
        <w:t>, 383–392 (2023).</w:t>
      </w:r>
    </w:p>
    <w:p w14:paraId="53F8CE62"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16.</w:t>
      </w:r>
      <w:r w:rsidRPr="00D27406">
        <w:rPr>
          <w:rFonts w:cs="Times New Roman"/>
          <w:lang w:val="en-US"/>
        </w:rPr>
        <w:tab/>
        <w:t xml:space="preserve">Auffhammer, M. Quantifying Economic Damages from Climate Change. </w:t>
      </w:r>
      <w:r w:rsidRPr="00D27406">
        <w:rPr>
          <w:rFonts w:cs="Times New Roman"/>
          <w:i/>
          <w:iCs/>
          <w:lang w:val="en-US"/>
        </w:rPr>
        <w:t>J. Econ. Perspect.</w:t>
      </w:r>
      <w:r w:rsidRPr="00D27406">
        <w:rPr>
          <w:rFonts w:cs="Times New Roman"/>
          <w:lang w:val="en-US"/>
        </w:rPr>
        <w:t xml:space="preserve"> </w:t>
      </w:r>
      <w:r w:rsidRPr="00D27406">
        <w:rPr>
          <w:rFonts w:cs="Times New Roman"/>
          <w:b/>
          <w:bCs/>
          <w:lang w:val="en-US"/>
        </w:rPr>
        <w:t>32</w:t>
      </w:r>
      <w:r w:rsidRPr="00D27406">
        <w:rPr>
          <w:rFonts w:cs="Times New Roman"/>
          <w:lang w:val="en-US"/>
        </w:rPr>
        <w:t>, 33–52 (2018).</w:t>
      </w:r>
    </w:p>
    <w:p w14:paraId="0B126849"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17.</w:t>
      </w:r>
      <w:r w:rsidRPr="00D27406">
        <w:rPr>
          <w:rFonts w:cs="Times New Roman"/>
          <w:lang w:val="en-US"/>
        </w:rPr>
        <w:tab/>
        <w:t xml:space="preserve">Steinbacher, M. </w:t>
      </w:r>
      <w:r w:rsidRPr="00D27406">
        <w:rPr>
          <w:rFonts w:cs="Times New Roman"/>
          <w:i/>
          <w:iCs/>
          <w:lang w:val="en-US"/>
        </w:rPr>
        <w:t>et al.</w:t>
      </w:r>
      <w:r w:rsidRPr="00D27406">
        <w:rPr>
          <w:rFonts w:cs="Times New Roman"/>
          <w:lang w:val="en-US"/>
        </w:rPr>
        <w:t xml:space="preserve"> Advances in the agent-based modeling of economic and social behavior. </w:t>
      </w:r>
      <w:r w:rsidRPr="00D27406">
        <w:rPr>
          <w:rFonts w:cs="Times New Roman"/>
          <w:i/>
          <w:iCs/>
          <w:lang w:val="en-US"/>
        </w:rPr>
        <w:t>SN Bus. Econ.</w:t>
      </w:r>
      <w:r w:rsidRPr="00D27406">
        <w:rPr>
          <w:rFonts w:cs="Times New Roman"/>
          <w:lang w:val="en-US"/>
        </w:rPr>
        <w:t xml:space="preserve"> </w:t>
      </w:r>
      <w:r w:rsidRPr="00D27406">
        <w:rPr>
          <w:rFonts w:cs="Times New Roman"/>
          <w:b/>
          <w:bCs/>
          <w:lang w:val="en-US"/>
        </w:rPr>
        <w:t>1</w:t>
      </w:r>
      <w:r w:rsidRPr="00D27406">
        <w:rPr>
          <w:rFonts w:cs="Times New Roman"/>
          <w:lang w:val="en-US"/>
        </w:rPr>
        <w:t>, 99 (2021).</w:t>
      </w:r>
    </w:p>
    <w:p w14:paraId="5C377476"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18.</w:t>
      </w:r>
      <w:r w:rsidRPr="00D27406">
        <w:rPr>
          <w:rFonts w:cs="Times New Roman"/>
          <w:lang w:val="en-US"/>
        </w:rPr>
        <w:tab/>
        <w:t xml:space="preserve">Matthews, R. B., Gilbert, N. G., Roach, A., Polhill, J. G. &amp; Gotts, N. M. Agent-based land-use models: a review of applications. </w:t>
      </w:r>
      <w:r w:rsidRPr="00D27406">
        <w:rPr>
          <w:rFonts w:cs="Times New Roman"/>
          <w:i/>
          <w:iCs/>
          <w:lang w:val="en-US"/>
        </w:rPr>
        <w:t>Landsc. Ecol.</w:t>
      </w:r>
      <w:r w:rsidRPr="00D27406">
        <w:rPr>
          <w:rFonts w:cs="Times New Roman"/>
          <w:lang w:val="en-US"/>
        </w:rPr>
        <w:t xml:space="preserve"> </w:t>
      </w:r>
      <w:r w:rsidRPr="00D27406">
        <w:rPr>
          <w:rFonts w:cs="Times New Roman"/>
          <w:b/>
          <w:bCs/>
          <w:lang w:val="en-US"/>
        </w:rPr>
        <w:t>22</w:t>
      </w:r>
      <w:r w:rsidRPr="00D27406">
        <w:rPr>
          <w:rFonts w:cs="Times New Roman"/>
          <w:lang w:val="en-US"/>
        </w:rPr>
        <w:t>, 1447–1459 (2007).</w:t>
      </w:r>
    </w:p>
    <w:p w14:paraId="567BB8B2"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19.</w:t>
      </w:r>
      <w:r w:rsidRPr="00D27406">
        <w:rPr>
          <w:rFonts w:cs="Times New Roman"/>
          <w:lang w:val="en-US"/>
        </w:rPr>
        <w:tab/>
        <w:t xml:space="preserve">An, L. </w:t>
      </w:r>
      <w:r w:rsidRPr="00D27406">
        <w:rPr>
          <w:rFonts w:cs="Times New Roman"/>
          <w:i/>
          <w:iCs/>
          <w:lang w:val="en-US"/>
        </w:rPr>
        <w:t>et al.</w:t>
      </w:r>
      <w:r w:rsidRPr="00D27406">
        <w:rPr>
          <w:rFonts w:cs="Times New Roman"/>
          <w:lang w:val="en-US"/>
        </w:rPr>
        <w:t xml:space="preserve"> Challenges, tasks, and opportunities in modeling agent-based complex systems. </w:t>
      </w:r>
      <w:r w:rsidRPr="00D27406">
        <w:rPr>
          <w:rFonts w:cs="Times New Roman"/>
          <w:i/>
          <w:iCs/>
          <w:lang w:val="en-US"/>
        </w:rPr>
        <w:t>Ecol. Model.</w:t>
      </w:r>
      <w:r w:rsidRPr="00D27406">
        <w:rPr>
          <w:rFonts w:cs="Times New Roman"/>
          <w:lang w:val="en-US"/>
        </w:rPr>
        <w:t xml:space="preserve"> </w:t>
      </w:r>
      <w:r w:rsidRPr="00D27406">
        <w:rPr>
          <w:rFonts w:cs="Times New Roman"/>
          <w:b/>
          <w:bCs/>
          <w:lang w:val="en-US"/>
        </w:rPr>
        <w:t>457</w:t>
      </w:r>
      <w:r w:rsidRPr="00D27406">
        <w:rPr>
          <w:rFonts w:cs="Times New Roman"/>
          <w:lang w:val="en-US"/>
        </w:rPr>
        <w:t>, 109685 (2021).</w:t>
      </w:r>
    </w:p>
    <w:p w14:paraId="636958BB"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20.</w:t>
      </w:r>
      <w:r w:rsidRPr="00D27406">
        <w:rPr>
          <w:rFonts w:cs="Times New Roman"/>
          <w:lang w:val="en-US"/>
        </w:rPr>
        <w:tab/>
        <w:t xml:space="preserve">Rizzati, M. &amp; Landoni, M. A systematic review of agent-based modelling in the circular economy: Insights towards a general model. </w:t>
      </w:r>
      <w:r w:rsidRPr="00D27406">
        <w:rPr>
          <w:rFonts w:cs="Times New Roman"/>
          <w:i/>
          <w:iCs/>
          <w:lang w:val="en-US"/>
        </w:rPr>
        <w:t>Struct. Change Econ. Dyn.</w:t>
      </w:r>
      <w:r w:rsidRPr="00D27406">
        <w:rPr>
          <w:rFonts w:cs="Times New Roman"/>
          <w:lang w:val="en-US"/>
        </w:rPr>
        <w:t xml:space="preserve"> </w:t>
      </w:r>
      <w:r w:rsidRPr="00D27406">
        <w:rPr>
          <w:rFonts w:cs="Times New Roman"/>
          <w:b/>
          <w:bCs/>
          <w:lang w:val="en-US"/>
        </w:rPr>
        <w:t>69</w:t>
      </w:r>
      <w:r w:rsidRPr="00D27406">
        <w:rPr>
          <w:rFonts w:cs="Times New Roman"/>
          <w:lang w:val="en-US"/>
        </w:rPr>
        <w:t>, 617–631 (2024).</w:t>
      </w:r>
    </w:p>
    <w:p w14:paraId="5B7DF67E"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21.</w:t>
      </w:r>
      <w:r w:rsidRPr="00D27406">
        <w:rPr>
          <w:rFonts w:cs="Times New Roman"/>
          <w:lang w:val="en-US"/>
        </w:rPr>
        <w:tab/>
        <w:t xml:space="preserve">Axtell, R. L. &amp; Farmer, J. D. Agent-Based Modeling in Economics and Finance: Past, Present, and Future. </w:t>
      </w:r>
      <w:r w:rsidRPr="00D27406">
        <w:rPr>
          <w:rFonts w:cs="Times New Roman"/>
          <w:i/>
          <w:iCs/>
          <w:lang w:val="en-US"/>
        </w:rPr>
        <w:t>J. Econ. Lit.</w:t>
      </w:r>
      <w:r w:rsidRPr="00D27406">
        <w:rPr>
          <w:rFonts w:cs="Times New Roman"/>
          <w:lang w:val="en-US"/>
        </w:rPr>
        <w:t xml:space="preserve"> </w:t>
      </w:r>
      <w:r w:rsidRPr="00D27406">
        <w:rPr>
          <w:rFonts w:cs="Times New Roman"/>
          <w:b/>
          <w:bCs/>
          <w:lang w:val="en-US"/>
        </w:rPr>
        <w:t>63</w:t>
      </w:r>
      <w:r w:rsidRPr="00D27406">
        <w:rPr>
          <w:rFonts w:cs="Times New Roman"/>
          <w:lang w:val="en-US"/>
        </w:rPr>
        <w:t>, 197–287 (2025).</w:t>
      </w:r>
    </w:p>
    <w:p w14:paraId="0A662395"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lastRenderedPageBreak/>
        <w:t>22.</w:t>
      </w:r>
      <w:r w:rsidRPr="00D27406">
        <w:rPr>
          <w:rFonts w:cs="Times New Roman"/>
          <w:lang w:val="en-US"/>
        </w:rPr>
        <w:tab/>
        <w:t xml:space="preserve">Ribeiro-Rodrigues, E. &amp; Bortoleto, A. P. A systematic review of agent-based modeling and simulation applications for analyzing pro-environmental behaviors. </w:t>
      </w:r>
      <w:r w:rsidRPr="00D27406">
        <w:rPr>
          <w:rFonts w:cs="Times New Roman"/>
          <w:i/>
          <w:iCs/>
          <w:lang w:val="en-US"/>
        </w:rPr>
        <w:t>Sustain. Prod. Consum.</w:t>
      </w:r>
      <w:r w:rsidRPr="00D27406">
        <w:rPr>
          <w:rFonts w:cs="Times New Roman"/>
          <w:lang w:val="en-US"/>
        </w:rPr>
        <w:t xml:space="preserve"> </w:t>
      </w:r>
      <w:r w:rsidRPr="00D27406">
        <w:rPr>
          <w:rFonts w:cs="Times New Roman"/>
          <w:b/>
          <w:bCs/>
          <w:lang w:val="en-US"/>
        </w:rPr>
        <w:t>47</w:t>
      </w:r>
      <w:r w:rsidRPr="00D27406">
        <w:rPr>
          <w:rFonts w:cs="Times New Roman"/>
          <w:lang w:val="en-US"/>
        </w:rPr>
        <w:t>, 343–362 (2024).</w:t>
      </w:r>
    </w:p>
    <w:p w14:paraId="0B6FBC83"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23.</w:t>
      </w:r>
      <w:r w:rsidRPr="00D27406">
        <w:rPr>
          <w:rFonts w:cs="Times New Roman"/>
          <w:lang w:val="en-US"/>
        </w:rPr>
        <w:tab/>
        <w:t xml:space="preserve">Groeneveld, J. </w:t>
      </w:r>
      <w:r w:rsidRPr="00D27406">
        <w:rPr>
          <w:rFonts w:cs="Times New Roman"/>
          <w:i/>
          <w:iCs/>
          <w:lang w:val="en-US"/>
        </w:rPr>
        <w:t>et al.</w:t>
      </w:r>
      <w:r w:rsidRPr="00D27406">
        <w:rPr>
          <w:rFonts w:cs="Times New Roman"/>
          <w:lang w:val="en-US"/>
        </w:rPr>
        <w:t xml:space="preserve"> Theoretical foundations of human decision-making in agent-based land use models – A review. </w:t>
      </w:r>
      <w:r w:rsidRPr="00D27406">
        <w:rPr>
          <w:rFonts w:cs="Times New Roman"/>
          <w:i/>
          <w:iCs/>
          <w:lang w:val="en-US"/>
        </w:rPr>
        <w:t>Environ. Model. Softw.</w:t>
      </w:r>
      <w:r w:rsidRPr="00D27406">
        <w:rPr>
          <w:rFonts w:cs="Times New Roman"/>
          <w:lang w:val="en-US"/>
        </w:rPr>
        <w:t xml:space="preserve"> </w:t>
      </w:r>
      <w:r w:rsidRPr="00D27406">
        <w:rPr>
          <w:rFonts w:cs="Times New Roman"/>
          <w:b/>
          <w:bCs/>
          <w:lang w:val="en-US"/>
        </w:rPr>
        <w:t>87</w:t>
      </w:r>
      <w:r w:rsidRPr="00D27406">
        <w:rPr>
          <w:rFonts w:cs="Times New Roman"/>
          <w:lang w:val="en-US"/>
        </w:rPr>
        <w:t>, 39–48 (2017).</w:t>
      </w:r>
    </w:p>
    <w:p w14:paraId="589F959A"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24.</w:t>
      </w:r>
      <w:r w:rsidRPr="00D27406">
        <w:rPr>
          <w:rFonts w:cs="Times New Roman"/>
          <w:lang w:val="en-US"/>
        </w:rPr>
        <w:tab/>
        <w:t xml:space="preserve">Aerts, J. C. J. H. Integrating agent-based approaches with flood risk models: A review and perspective. </w:t>
      </w:r>
      <w:r w:rsidRPr="00D27406">
        <w:rPr>
          <w:rFonts w:cs="Times New Roman"/>
          <w:i/>
          <w:iCs/>
          <w:lang w:val="en-US"/>
        </w:rPr>
        <w:t>Water Secur.</w:t>
      </w:r>
      <w:r w:rsidRPr="00D27406">
        <w:rPr>
          <w:rFonts w:cs="Times New Roman"/>
          <w:lang w:val="en-US"/>
        </w:rPr>
        <w:t xml:space="preserve"> </w:t>
      </w:r>
      <w:r w:rsidRPr="00D27406">
        <w:rPr>
          <w:rFonts w:cs="Times New Roman"/>
          <w:b/>
          <w:bCs/>
          <w:lang w:val="en-US"/>
        </w:rPr>
        <w:t>11</w:t>
      </w:r>
      <w:r w:rsidRPr="00D27406">
        <w:rPr>
          <w:rFonts w:cs="Times New Roman"/>
          <w:lang w:val="en-US"/>
        </w:rPr>
        <w:t>, 100076 (2020).</w:t>
      </w:r>
    </w:p>
    <w:p w14:paraId="7D3B0EA2"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25.</w:t>
      </w:r>
      <w:r w:rsidRPr="00D27406">
        <w:rPr>
          <w:rFonts w:cs="Times New Roman"/>
          <w:lang w:val="en-US"/>
        </w:rPr>
        <w:tab/>
        <w:t xml:space="preserve">Wenz, L., Carr, R. D., Kögel, N., Kotz, M. &amp; Kalkuhl, M. DOSE – Global data set of reported sub-national economic output. </w:t>
      </w:r>
      <w:r w:rsidRPr="00D27406">
        <w:rPr>
          <w:rFonts w:cs="Times New Roman"/>
          <w:i/>
          <w:iCs/>
          <w:lang w:val="en-US"/>
        </w:rPr>
        <w:t>Sci. Data</w:t>
      </w:r>
      <w:r w:rsidRPr="00D27406">
        <w:rPr>
          <w:rFonts w:cs="Times New Roman"/>
          <w:lang w:val="en-US"/>
        </w:rPr>
        <w:t xml:space="preserve"> </w:t>
      </w:r>
      <w:r w:rsidRPr="00D27406">
        <w:rPr>
          <w:rFonts w:cs="Times New Roman"/>
          <w:b/>
          <w:bCs/>
          <w:lang w:val="en-US"/>
        </w:rPr>
        <w:t>10</w:t>
      </w:r>
      <w:r w:rsidRPr="00D27406">
        <w:rPr>
          <w:rFonts w:cs="Times New Roman"/>
          <w:lang w:val="en-US"/>
        </w:rPr>
        <w:t>, 425 (2023).</w:t>
      </w:r>
    </w:p>
    <w:p w14:paraId="5DAD46F3"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26.</w:t>
      </w:r>
      <w:r w:rsidRPr="00D27406">
        <w:rPr>
          <w:rFonts w:cs="Times New Roman"/>
          <w:lang w:val="en-US"/>
        </w:rPr>
        <w:tab/>
        <w:t xml:space="preserve">Kotz, M., Levermann, A. &amp; Wenz, L. The economic commitment of climate change. </w:t>
      </w:r>
      <w:r w:rsidRPr="00D27406">
        <w:rPr>
          <w:rFonts w:cs="Times New Roman"/>
          <w:i/>
          <w:iCs/>
          <w:lang w:val="en-US"/>
        </w:rPr>
        <w:t>Nature</w:t>
      </w:r>
      <w:r w:rsidRPr="00D27406">
        <w:rPr>
          <w:rFonts w:cs="Times New Roman"/>
          <w:lang w:val="en-US"/>
        </w:rPr>
        <w:t xml:space="preserve"> </w:t>
      </w:r>
      <w:r w:rsidRPr="00D27406">
        <w:rPr>
          <w:rFonts w:cs="Times New Roman"/>
          <w:b/>
          <w:bCs/>
          <w:lang w:val="en-US"/>
        </w:rPr>
        <w:t>628</w:t>
      </w:r>
      <w:r w:rsidRPr="00D27406">
        <w:rPr>
          <w:rFonts w:cs="Times New Roman"/>
          <w:lang w:val="en-US"/>
        </w:rPr>
        <w:t>, 551–557 (2024).</w:t>
      </w:r>
    </w:p>
    <w:p w14:paraId="5B87B9E8"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27.</w:t>
      </w:r>
      <w:r w:rsidRPr="00D27406">
        <w:rPr>
          <w:rFonts w:cs="Times New Roman"/>
          <w:lang w:val="en-US"/>
        </w:rPr>
        <w:tab/>
        <w:t xml:space="preserve">Koks, E. E., Bočkarjova, M., de Moel, H. &amp; Aerts, J. C. J. H. Integrated Direct and Indirect Flood Risk Modeling: Development and Sensitivity Analysis. </w:t>
      </w:r>
      <w:r w:rsidRPr="00D27406">
        <w:rPr>
          <w:rFonts w:cs="Times New Roman"/>
          <w:i/>
          <w:iCs/>
          <w:lang w:val="en-US"/>
        </w:rPr>
        <w:t>Risk Anal.</w:t>
      </w:r>
      <w:r w:rsidRPr="00D27406">
        <w:rPr>
          <w:rFonts w:cs="Times New Roman"/>
          <w:lang w:val="en-US"/>
        </w:rPr>
        <w:t xml:space="preserve"> </w:t>
      </w:r>
      <w:r w:rsidRPr="00D27406">
        <w:rPr>
          <w:rFonts w:cs="Times New Roman"/>
          <w:b/>
          <w:bCs/>
          <w:lang w:val="en-US"/>
        </w:rPr>
        <w:t>35</w:t>
      </w:r>
      <w:r w:rsidRPr="00D27406">
        <w:rPr>
          <w:rFonts w:cs="Times New Roman"/>
          <w:lang w:val="en-US"/>
        </w:rPr>
        <w:t>, 882–900 (2015).</w:t>
      </w:r>
    </w:p>
    <w:p w14:paraId="00F3ED20"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28.</w:t>
      </w:r>
      <w:r w:rsidRPr="00D27406">
        <w:rPr>
          <w:rFonts w:cs="Times New Roman"/>
          <w:lang w:val="en-US"/>
        </w:rPr>
        <w:tab/>
        <w:t xml:space="preserve">Di Noia, J., Caiani, A., Cesarini, L., Arosio, M. &amp; Monteleone, B. A high resolution input–output model to assess the economic impact of floods. </w:t>
      </w:r>
      <w:r w:rsidRPr="00D27406">
        <w:rPr>
          <w:rFonts w:cs="Times New Roman"/>
          <w:i/>
          <w:iCs/>
          <w:lang w:val="en-US"/>
        </w:rPr>
        <w:t>J. Econ. Behav. Organ.</w:t>
      </w:r>
      <w:r w:rsidRPr="00D27406">
        <w:rPr>
          <w:rFonts w:cs="Times New Roman"/>
          <w:lang w:val="en-US"/>
        </w:rPr>
        <w:t xml:space="preserve"> </w:t>
      </w:r>
      <w:r w:rsidRPr="00D27406">
        <w:rPr>
          <w:rFonts w:cs="Times New Roman"/>
          <w:b/>
          <w:bCs/>
          <w:lang w:val="en-US"/>
        </w:rPr>
        <w:t>230</w:t>
      </w:r>
      <w:r w:rsidRPr="00D27406">
        <w:rPr>
          <w:rFonts w:cs="Times New Roman"/>
          <w:lang w:val="en-US"/>
        </w:rPr>
        <w:t>, 106896 (2025).</w:t>
      </w:r>
    </w:p>
    <w:p w14:paraId="28DC910F"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29.</w:t>
      </w:r>
      <w:r w:rsidRPr="00D27406">
        <w:rPr>
          <w:rFonts w:cs="Times New Roman"/>
          <w:lang w:val="en-US"/>
        </w:rPr>
        <w:tab/>
        <w:t xml:space="preserve">Roson, R. &amp; Sartori, M. Estimation of Climate Change Damage Functions for 140 Regions in the GTAP 9 Data Base. </w:t>
      </w:r>
      <w:r w:rsidRPr="00D27406">
        <w:rPr>
          <w:rFonts w:cs="Times New Roman"/>
          <w:i/>
          <w:iCs/>
          <w:lang w:val="en-US"/>
        </w:rPr>
        <w:t>J. Glob. Econ. Anal.</w:t>
      </w:r>
      <w:r w:rsidRPr="00D27406">
        <w:rPr>
          <w:rFonts w:cs="Times New Roman"/>
          <w:lang w:val="en-US"/>
        </w:rPr>
        <w:t xml:space="preserve"> </w:t>
      </w:r>
      <w:r w:rsidRPr="00D27406">
        <w:rPr>
          <w:rFonts w:cs="Times New Roman"/>
          <w:b/>
          <w:bCs/>
          <w:lang w:val="en-US"/>
        </w:rPr>
        <w:t>1</w:t>
      </w:r>
      <w:r w:rsidRPr="00D27406">
        <w:rPr>
          <w:rFonts w:cs="Times New Roman"/>
          <w:lang w:val="en-US"/>
        </w:rPr>
        <w:t>, 78–115 (2016).</w:t>
      </w:r>
    </w:p>
    <w:p w14:paraId="30B5BB47"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30.</w:t>
      </w:r>
      <w:r w:rsidRPr="00D27406">
        <w:rPr>
          <w:rFonts w:cs="Times New Roman"/>
          <w:lang w:val="en-US"/>
        </w:rPr>
        <w:tab/>
        <w:t xml:space="preserve">Takakura, J. </w:t>
      </w:r>
      <w:r w:rsidRPr="00D27406">
        <w:rPr>
          <w:rFonts w:cs="Times New Roman"/>
          <w:i/>
          <w:iCs/>
          <w:lang w:val="en-US"/>
        </w:rPr>
        <w:t>et al.</w:t>
      </w:r>
      <w:r w:rsidRPr="00D27406">
        <w:rPr>
          <w:rFonts w:cs="Times New Roman"/>
          <w:lang w:val="en-US"/>
        </w:rPr>
        <w:t xml:space="preserve"> Dependence of economic impacts of climate change on anthropogenically directed pathways. </w:t>
      </w:r>
      <w:r w:rsidRPr="00D27406">
        <w:rPr>
          <w:rFonts w:cs="Times New Roman"/>
          <w:i/>
          <w:iCs/>
          <w:lang w:val="en-US"/>
        </w:rPr>
        <w:t>Nat. Clim. Change</w:t>
      </w:r>
      <w:r w:rsidRPr="00D27406">
        <w:rPr>
          <w:rFonts w:cs="Times New Roman"/>
          <w:lang w:val="en-US"/>
        </w:rPr>
        <w:t xml:space="preserve"> </w:t>
      </w:r>
      <w:r w:rsidRPr="00D27406">
        <w:rPr>
          <w:rFonts w:cs="Times New Roman"/>
          <w:b/>
          <w:bCs/>
          <w:lang w:val="en-US"/>
        </w:rPr>
        <w:t>9</w:t>
      </w:r>
      <w:r w:rsidRPr="00D27406">
        <w:rPr>
          <w:rFonts w:cs="Times New Roman"/>
          <w:lang w:val="en-US"/>
        </w:rPr>
        <w:t>, 737–741 (2019).</w:t>
      </w:r>
    </w:p>
    <w:p w14:paraId="46DE5511"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31.</w:t>
      </w:r>
      <w:r w:rsidRPr="00D27406">
        <w:rPr>
          <w:rFonts w:cs="Times New Roman"/>
          <w:lang w:val="en-US"/>
        </w:rPr>
        <w:tab/>
        <w:t xml:space="preserve">Rizzati, M. </w:t>
      </w:r>
      <w:r w:rsidRPr="00D27406">
        <w:rPr>
          <w:rFonts w:cs="Times New Roman"/>
          <w:i/>
          <w:iCs/>
          <w:lang w:val="en-US"/>
        </w:rPr>
        <w:t>et al.</w:t>
      </w:r>
      <w:r w:rsidRPr="00D27406">
        <w:rPr>
          <w:rFonts w:cs="Times New Roman"/>
          <w:lang w:val="en-US"/>
        </w:rPr>
        <w:t xml:space="preserve"> The local costs of global climate change: spatial GDP downscaling under different climate scenarios. </w:t>
      </w:r>
      <w:r w:rsidRPr="00D27406">
        <w:rPr>
          <w:rFonts w:cs="Times New Roman"/>
          <w:i/>
          <w:iCs/>
          <w:lang w:val="en-US"/>
        </w:rPr>
        <w:t>Spat. Econ. Anal.</w:t>
      </w:r>
      <w:r w:rsidRPr="00D27406">
        <w:rPr>
          <w:rFonts w:cs="Times New Roman"/>
          <w:lang w:val="en-US"/>
        </w:rPr>
        <w:t xml:space="preserve"> </w:t>
      </w:r>
      <w:r w:rsidRPr="00D27406">
        <w:rPr>
          <w:rFonts w:cs="Times New Roman"/>
          <w:b/>
          <w:bCs/>
          <w:lang w:val="en-US"/>
        </w:rPr>
        <w:t>18</w:t>
      </w:r>
      <w:r w:rsidRPr="00D27406">
        <w:rPr>
          <w:rFonts w:cs="Times New Roman"/>
          <w:lang w:val="en-US"/>
        </w:rPr>
        <w:t>, 23–43 (2023).</w:t>
      </w:r>
    </w:p>
    <w:p w14:paraId="5A724D32"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32.</w:t>
      </w:r>
      <w:r w:rsidRPr="00D27406">
        <w:rPr>
          <w:rFonts w:cs="Times New Roman"/>
          <w:lang w:val="en-US"/>
        </w:rPr>
        <w:tab/>
        <w:t xml:space="preserve">van Meijl, H. </w:t>
      </w:r>
      <w:r w:rsidRPr="00D27406">
        <w:rPr>
          <w:rFonts w:cs="Times New Roman"/>
          <w:i/>
          <w:iCs/>
          <w:lang w:val="en-US"/>
        </w:rPr>
        <w:t>et al.</w:t>
      </w:r>
      <w:r w:rsidRPr="00D27406">
        <w:rPr>
          <w:rFonts w:cs="Times New Roman"/>
          <w:lang w:val="en-US"/>
        </w:rPr>
        <w:t xml:space="preserve"> Comparing impacts of climate change and mitigation on global agriculture by 2050. </w:t>
      </w:r>
      <w:r w:rsidRPr="00D27406">
        <w:rPr>
          <w:rFonts w:cs="Times New Roman"/>
          <w:i/>
          <w:iCs/>
          <w:lang w:val="en-US"/>
        </w:rPr>
        <w:t>Environ. Res. Lett.</w:t>
      </w:r>
      <w:r w:rsidRPr="00D27406">
        <w:rPr>
          <w:rFonts w:cs="Times New Roman"/>
          <w:lang w:val="en-US"/>
        </w:rPr>
        <w:t xml:space="preserve"> </w:t>
      </w:r>
      <w:r w:rsidRPr="00D27406">
        <w:rPr>
          <w:rFonts w:cs="Times New Roman"/>
          <w:b/>
          <w:bCs/>
          <w:lang w:val="en-US"/>
        </w:rPr>
        <w:t>13</w:t>
      </w:r>
      <w:r w:rsidRPr="00D27406">
        <w:rPr>
          <w:rFonts w:cs="Times New Roman"/>
          <w:lang w:val="en-US"/>
        </w:rPr>
        <w:t>, 064021 (2018).</w:t>
      </w:r>
    </w:p>
    <w:p w14:paraId="6E085B6A"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33.</w:t>
      </w:r>
      <w:r w:rsidRPr="00D27406">
        <w:rPr>
          <w:rFonts w:cs="Times New Roman"/>
          <w:lang w:val="en-US"/>
        </w:rPr>
        <w:tab/>
        <w:t xml:space="preserve">Middelanis, R. </w:t>
      </w:r>
      <w:r w:rsidRPr="00D27406">
        <w:rPr>
          <w:rFonts w:cs="Times New Roman"/>
          <w:i/>
          <w:iCs/>
          <w:lang w:val="en-US"/>
        </w:rPr>
        <w:t>et al.</w:t>
      </w:r>
      <w:r w:rsidRPr="00D27406">
        <w:rPr>
          <w:rFonts w:cs="Times New Roman"/>
          <w:lang w:val="en-US"/>
        </w:rPr>
        <w:t xml:space="preserve"> Wave-like global economic ripple response to Hurricane Sandy. </w:t>
      </w:r>
      <w:r w:rsidRPr="00D27406">
        <w:rPr>
          <w:rFonts w:cs="Times New Roman"/>
          <w:i/>
          <w:iCs/>
          <w:lang w:val="en-US"/>
        </w:rPr>
        <w:t>Environ. Res. Lett.</w:t>
      </w:r>
      <w:r w:rsidRPr="00D27406">
        <w:rPr>
          <w:rFonts w:cs="Times New Roman"/>
          <w:lang w:val="en-US"/>
        </w:rPr>
        <w:t xml:space="preserve"> </w:t>
      </w:r>
      <w:r w:rsidRPr="00D27406">
        <w:rPr>
          <w:rFonts w:cs="Times New Roman"/>
          <w:b/>
          <w:bCs/>
          <w:lang w:val="en-US"/>
        </w:rPr>
        <w:t>16</w:t>
      </w:r>
      <w:r w:rsidRPr="00D27406">
        <w:rPr>
          <w:rFonts w:cs="Times New Roman"/>
          <w:lang w:val="en-US"/>
        </w:rPr>
        <w:t>, 124049 (2021).</w:t>
      </w:r>
    </w:p>
    <w:p w14:paraId="51A7F30F"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34.</w:t>
      </w:r>
      <w:r w:rsidRPr="00D27406">
        <w:rPr>
          <w:rFonts w:cs="Times New Roman"/>
          <w:lang w:val="en-US"/>
        </w:rPr>
        <w:tab/>
        <w:t xml:space="preserve">Otto, C., Willner, S. N., Wenz, L., Frieler, K. &amp; Levermann, A. Modeling loss-propagation in the global supply network: The dynamic agent-based model acclimate. </w:t>
      </w:r>
      <w:r w:rsidRPr="00D27406">
        <w:rPr>
          <w:rFonts w:cs="Times New Roman"/>
          <w:i/>
          <w:iCs/>
          <w:lang w:val="en-US"/>
        </w:rPr>
        <w:t>J. Econ. Dyn. Control</w:t>
      </w:r>
      <w:r w:rsidRPr="00D27406">
        <w:rPr>
          <w:rFonts w:cs="Times New Roman"/>
          <w:lang w:val="en-US"/>
        </w:rPr>
        <w:t xml:space="preserve"> </w:t>
      </w:r>
      <w:r w:rsidRPr="00D27406">
        <w:rPr>
          <w:rFonts w:cs="Times New Roman"/>
          <w:b/>
          <w:bCs/>
          <w:lang w:val="en-US"/>
        </w:rPr>
        <w:t>83</w:t>
      </w:r>
      <w:r w:rsidRPr="00D27406">
        <w:rPr>
          <w:rFonts w:cs="Times New Roman"/>
          <w:lang w:val="en-US"/>
        </w:rPr>
        <w:t>, 232–269 (2017).</w:t>
      </w:r>
    </w:p>
    <w:p w14:paraId="3324628A"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35.</w:t>
      </w:r>
      <w:r w:rsidRPr="00D27406">
        <w:rPr>
          <w:rFonts w:cs="Times New Roman"/>
          <w:lang w:val="en-US"/>
        </w:rPr>
        <w:tab/>
        <w:t xml:space="preserve">Huber, R. </w:t>
      </w:r>
      <w:r w:rsidRPr="00D27406">
        <w:rPr>
          <w:rFonts w:cs="Times New Roman"/>
          <w:i/>
          <w:iCs/>
          <w:lang w:val="en-US"/>
        </w:rPr>
        <w:t>et al.</w:t>
      </w:r>
      <w:r w:rsidRPr="00D27406">
        <w:rPr>
          <w:rFonts w:cs="Times New Roman"/>
          <w:lang w:val="en-US"/>
        </w:rPr>
        <w:t xml:space="preserve"> Representation of decision-making in European agricultural agent-based models. </w:t>
      </w:r>
      <w:r w:rsidRPr="00D27406">
        <w:rPr>
          <w:rFonts w:cs="Times New Roman"/>
          <w:i/>
          <w:iCs/>
          <w:lang w:val="en-US"/>
        </w:rPr>
        <w:t>Agric. Syst.</w:t>
      </w:r>
      <w:r w:rsidRPr="00D27406">
        <w:rPr>
          <w:rFonts w:cs="Times New Roman"/>
          <w:lang w:val="en-US"/>
        </w:rPr>
        <w:t xml:space="preserve"> </w:t>
      </w:r>
      <w:r w:rsidRPr="00D27406">
        <w:rPr>
          <w:rFonts w:cs="Times New Roman"/>
          <w:b/>
          <w:bCs/>
          <w:lang w:val="en-US"/>
        </w:rPr>
        <w:t>167</w:t>
      </w:r>
      <w:r w:rsidRPr="00D27406">
        <w:rPr>
          <w:rFonts w:cs="Times New Roman"/>
          <w:lang w:val="en-US"/>
        </w:rPr>
        <w:t>, 143–160 (2018).</w:t>
      </w:r>
    </w:p>
    <w:p w14:paraId="15E504AE"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36.</w:t>
      </w:r>
      <w:r w:rsidRPr="00D27406">
        <w:rPr>
          <w:rFonts w:cs="Times New Roman"/>
          <w:lang w:val="en-US"/>
        </w:rPr>
        <w:tab/>
        <w:t xml:space="preserve">Dietrich, J. P. </w:t>
      </w:r>
      <w:r w:rsidRPr="00D27406">
        <w:rPr>
          <w:rFonts w:cs="Times New Roman"/>
          <w:i/>
          <w:iCs/>
          <w:lang w:val="en-US"/>
        </w:rPr>
        <w:t>et al.</w:t>
      </w:r>
      <w:r w:rsidRPr="00D27406">
        <w:rPr>
          <w:rFonts w:cs="Times New Roman"/>
          <w:lang w:val="en-US"/>
        </w:rPr>
        <w:t xml:space="preserve"> MAgPIE 4 – a modular open-source framework for modeling global land systems. </w:t>
      </w:r>
      <w:r w:rsidRPr="00D27406">
        <w:rPr>
          <w:rFonts w:cs="Times New Roman"/>
          <w:i/>
          <w:iCs/>
          <w:lang w:val="en-US"/>
        </w:rPr>
        <w:t>Geosci. Model Dev.</w:t>
      </w:r>
      <w:r w:rsidRPr="00D27406">
        <w:rPr>
          <w:rFonts w:cs="Times New Roman"/>
          <w:lang w:val="en-US"/>
        </w:rPr>
        <w:t xml:space="preserve"> </w:t>
      </w:r>
      <w:r w:rsidRPr="00D27406">
        <w:rPr>
          <w:rFonts w:cs="Times New Roman"/>
          <w:b/>
          <w:bCs/>
          <w:lang w:val="en-US"/>
        </w:rPr>
        <w:t>12</w:t>
      </w:r>
      <w:r w:rsidRPr="00D27406">
        <w:rPr>
          <w:rFonts w:cs="Times New Roman"/>
          <w:lang w:val="en-US"/>
        </w:rPr>
        <w:t>, 1299–1317 (2019).</w:t>
      </w:r>
    </w:p>
    <w:p w14:paraId="0DF131B3"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37.</w:t>
      </w:r>
      <w:r w:rsidRPr="00D27406">
        <w:rPr>
          <w:rFonts w:cs="Times New Roman"/>
          <w:lang w:val="en-US"/>
        </w:rPr>
        <w:tab/>
        <w:t>IBF-IIASA. Global Biosphere Management Model (GLOBIOM) Documentation 2023 - Version 1.0. https://pure.iiasa.ac.at/id/eprint/18996/, https://iiasa.dev.local/ (2023).</w:t>
      </w:r>
    </w:p>
    <w:p w14:paraId="790C5320"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38.</w:t>
      </w:r>
      <w:r w:rsidRPr="00D27406">
        <w:rPr>
          <w:rFonts w:cs="Times New Roman"/>
          <w:lang w:val="en-US"/>
        </w:rPr>
        <w:tab/>
        <w:t xml:space="preserve">Sun, Y. </w:t>
      </w:r>
      <w:r w:rsidRPr="00D27406">
        <w:rPr>
          <w:rFonts w:cs="Times New Roman"/>
          <w:i/>
          <w:iCs/>
          <w:lang w:val="en-US"/>
        </w:rPr>
        <w:t>et al.</w:t>
      </w:r>
      <w:r w:rsidRPr="00D27406">
        <w:rPr>
          <w:rFonts w:cs="Times New Roman"/>
          <w:lang w:val="en-US"/>
        </w:rPr>
        <w:t xml:space="preserve"> Global supply chains amplify economic costs of future extreme heat risk. </w:t>
      </w:r>
      <w:r w:rsidRPr="00D27406">
        <w:rPr>
          <w:rFonts w:cs="Times New Roman"/>
          <w:i/>
          <w:iCs/>
          <w:lang w:val="en-US"/>
        </w:rPr>
        <w:t>Nature</w:t>
      </w:r>
      <w:r w:rsidRPr="00D27406">
        <w:rPr>
          <w:rFonts w:cs="Times New Roman"/>
          <w:lang w:val="en-US"/>
        </w:rPr>
        <w:t xml:space="preserve"> 1–8 (2024) doi:10.1038/s41586-024-07147-z.</w:t>
      </w:r>
    </w:p>
    <w:p w14:paraId="68DDEE2E"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39.</w:t>
      </w:r>
      <w:r w:rsidRPr="00D27406">
        <w:rPr>
          <w:rFonts w:cs="Times New Roman"/>
          <w:lang w:val="en-US"/>
        </w:rPr>
        <w:tab/>
        <w:t xml:space="preserve">Pan, L., Liu, P., Li, Z. &amp; Wang, Y. A dynamic input–output method for energy system modeling and analysis. </w:t>
      </w:r>
      <w:r w:rsidRPr="00D27406">
        <w:rPr>
          <w:rFonts w:cs="Times New Roman"/>
          <w:i/>
          <w:iCs/>
          <w:lang w:val="en-US"/>
        </w:rPr>
        <w:t>Chem. Eng. Res. Des.</w:t>
      </w:r>
      <w:r w:rsidRPr="00D27406">
        <w:rPr>
          <w:rFonts w:cs="Times New Roman"/>
          <w:lang w:val="en-US"/>
        </w:rPr>
        <w:t xml:space="preserve"> </w:t>
      </w:r>
      <w:r w:rsidRPr="00D27406">
        <w:rPr>
          <w:rFonts w:cs="Times New Roman"/>
          <w:b/>
          <w:bCs/>
          <w:lang w:val="en-US"/>
        </w:rPr>
        <w:t>131</w:t>
      </w:r>
      <w:r w:rsidRPr="00D27406">
        <w:rPr>
          <w:rFonts w:cs="Times New Roman"/>
          <w:lang w:val="en-US"/>
        </w:rPr>
        <w:t>, 183–192 (2018).</w:t>
      </w:r>
    </w:p>
    <w:p w14:paraId="250748C8"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40.</w:t>
      </w:r>
      <w:r w:rsidRPr="00D27406">
        <w:rPr>
          <w:rFonts w:cs="Times New Roman"/>
          <w:lang w:val="en-US"/>
        </w:rPr>
        <w:tab/>
        <w:t xml:space="preserve">Huang, S., Huang, Y., Bao, S., Wang, J. &amp; Chen, S. Simulation and prediction of rural population changes using agent-based modeling. </w:t>
      </w:r>
      <w:r w:rsidRPr="00D27406">
        <w:rPr>
          <w:rFonts w:cs="Times New Roman"/>
          <w:i/>
          <w:iCs/>
          <w:lang w:val="en-US"/>
        </w:rPr>
        <w:t>PLOS ONE</w:t>
      </w:r>
      <w:r w:rsidRPr="00D27406">
        <w:rPr>
          <w:rFonts w:cs="Times New Roman"/>
          <w:lang w:val="en-US"/>
        </w:rPr>
        <w:t xml:space="preserve"> </w:t>
      </w:r>
      <w:r w:rsidRPr="00D27406">
        <w:rPr>
          <w:rFonts w:cs="Times New Roman"/>
          <w:b/>
          <w:bCs/>
          <w:lang w:val="en-US"/>
        </w:rPr>
        <w:t>20</w:t>
      </w:r>
      <w:r w:rsidRPr="00D27406">
        <w:rPr>
          <w:rFonts w:cs="Times New Roman"/>
          <w:lang w:val="en-US"/>
        </w:rPr>
        <w:t>, e0324563 (2025).</w:t>
      </w:r>
    </w:p>
    <w:p w14:paraId="237FF3FB"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41.</w:t>
      </w:r>
      <w:r w:rsidRPr="00D27406">
        <w:rPr>
          <w:rFonts w:cs="Times New Roman"/>
          <w:lang w:val="en-US"/>
        </w:rPr>
        <w:tab/>
        <w:t xml:space="preserve">Corong, E. L., Hertel, T. W., McDougall, R., Tsigas, M. E. &amp; Mensbrugghe, D. van der. The Standard GTAP Model, Version 7. </w:t>
      </w:r>
      <w:r w:rsidRPr="00D27406">
        <w:rPr>
          <w:rFonts w:cs="Times New Roman"/>
          <w:i/>
          <w:iCs/>
          <w:lang w:val="en-US"/>
        </w:rPr>
        <w:t>J. Glob. Econ. Anal.</w:t>
      </w:r>
      <w:r w:rsidRPr="00D27406">
        <w:rPr>
          <w:rFonts w:cs="Times New Roman"/>
          <w:lang w:val="en-US"/>
        </w:rPr>
        <w:t xml:space="preserve"> </w:t>
      </w:r>
      <w:r w:rsidRPr="00D27406">
        <w:rPr>
          <w:rFonts w:cs="Times New Roman"/>
          <w:b/>
          <w:bCs/>
          <w:lang w:val="en-US"/>
        </w:rPr>
        <w:t>2</w:t>
      </w:r>
      <w:r w:rsidRPr="00D27406">
        <w:rPr>
          <w:rFonts w:cs="Times New Roman"/>
          <w:lang w:val="en-US"/>
        </w:rPr>
        <w:t>, 1–119 (2017).</w:t>
      </w:r>
    </w:p>
    <w:p w14:paraId="7EBF970E"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42.</w:t>
      </w:r>
      <w:r w:rsidRPr="00D27406">
        <w:rPr>
          <w:rFonts w:cs="Times New Roman"/>
          <w:lang w:val="en-US"/>
        </w:rPr>
        <w:tab/>
        <w:t xml:space="preserve">Hermeling, C., Löschel, A. &amp; Mennel, T. A new robustness analysis for climate policy evaluations: A CGE application for the EU 2020 targets. </w:t>
      </w:r>
      <w:r w:rsidRPr="00D27406">
        <w:rPr>
          <w:rFonts w:cs="Times New Roman"/>
          <w:i/>
          <w:iCs/>
          <w:lang w:val="en-US"/>
        </w:rPr>
        <w:t>Energy Policy</w:t>
      </w:r>
      <w:r w:rsidRPr="00D27406">
        <w:rPr>
          <w:rFonts w:cs="Times New Roman"/>
          <w:lang w:val="en-US"/>
        </w:rPr>
        <w:t xml:space="preserve"> </w:t>
      </w:r>
      <w:r w:rsidRPr="00D27406">
        <w:rPr>
          <w:rFonts w:cs="Times New Roman"/>
          <w:b/>
          <w:bCs/>
          <w:lang w:val="en-US"/>
        </w:rPr>
        <w:t>55</w:t>
      </w:r>
      <w:r w:rsidRPr="00D27406">
        <w:rPr>
          <w:rFonts w:cs="Times New Roman"/>
          <w:lang w:val="en-US"/>
        </w:rPr>
        <w:t>, 27–35 (2013).</w:t>
      </w:r>
    </w:p>
    <w:p w14:paraId="1713011B"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43.</w:t>
      </w:r>
      <w:r w:rsidRPr="00D27406">
        <w:rPr>
          <w:rFonts w:cs="Times New Roman"/>
          <w:lang w:val="en-US"/>
        </w:rPr>
        <w:tab/>
        <w:t xml:space="preserve">Nardini, J. T., Baker, R. E., Simpson, M. J. &amp; Flores, K. B. Learning differential equation models from stochastic agent-based model simulations. </w:t>
      </w:r>
      <w:r w:rsidRPr="00D27406">
        <w:rPr>
          <w:rFonts w:cs="Times New Roman"/>
          <w:i/>
          <w:iCs/>
          <w:lang w:val="en-US"/>
        </w:rPr>
        <w:t>J. R. Soc. Interface</w:t>
      </w:r>
      <w:r w:rsidRPr="00D27406">
        <w:rPr>
          <w:rFonts w:cs="Times New Roman"/>
          <w:lang w:val="en-US"/>
        </w:rPr>
        <w:t xml:space="preserve"> </w:t>
      </w:r>
      <w:r w:rsidRPr="00D27406">
        <w:rPr>
          <w:rFonts w:cs="Times New Roman"/>
          <w:b/>
          <w:bCs/>
          <w:lang w:val="en-US"/>
        </w:rPr>
        <w:t>18</w:t>
      </w:r>
      <w:r w:rsidRPr="00D27406">
        <w:rPr>
          <w:rFonts w:cs="Times New Roman"/>
          <w:lang w:val="en-US"/>
        </w:rPr>
        <w:t>, 20200987 (2021).</w:t>
      </w:r>
    </w:p>
    <w:p w14:paraId="4F1E1697"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44.</w:t>
      </w:r>
      <w:r w:rsidRPr="00D27406">
        <w:rPr>
          <w:rFonts w:cs="Times New Roman"/>
          <w:lang w:val="en-US"/>
        </w:rPr>
        <w:tab/>
        <w:t xml:space="preserve">Akgul, Z., Villoria, N. B. &amp; Hertel, T. W. GTAP-HET: Introducing Firm Heterogeneity into the GTAP Model. </w:t>
      </w:r>
      <w:r w:rsidRPr="00D27406">
        <w:rPr>
          <w:rFonts w:cs="Times New Roman"/>
          <w:i/>
          <w:iCs/>
          <w:lang w:val="en-US"/>
        </w:rPr>
        <w:t>J. Glob. Econ. Anal.</w:t>
      </w:r>
      <w:r w:rsidRPr="00D27406">
        <w:rPr>
          <w:rFonts w:cs="Times New Roman"/>
          <w:lang w:val="en-US"/>
        </w:rPr>
        <w:t xml:space="preserve"> </w:t>
      </w:r>
      <w:r w:rsidRPr="00D27406">
        <w:rPr>
          <w:rFonts w:cs="Times New Roman"/>
          <w:b/>
          <w:bCs/>
          <w:lang w:val="en-US"/>
        </w:rPr>
        <w:t>1</w:t>
      </w:r>
      <w:r w:rsidRPr="00D27406">
        <w:rPr>
          <w:rFonts w:cs="Times New Roman"/>
          <w:lang w:val="en-US"/>
        </w:rPr>
        <w:t>, 111–180 (2016).</w:t>
      </w:r>
    </w:p>
    <w:p w14:paraId="50557805" w14:textId="77777777" w:rsidR="00065A37" w:rsidRPr="00D27406" w:rsidRDefault="00065A37" w:rsidP="000A3338">
      <w:pPr>
        <w:pStyle w:val="Bibliography"/>
        <w:spacing w:before="0" w:line="240" w:lineRule="auto"/>
        <w:rPr>
          <w:rFonts w:cs="Times New Roman"/>
          <w:lang w:val="en-US"/>
        </w:rPr>
      </w:pPr>
      <w:r w:rsidRPr="00D27406">
        <w:rPr>
          <w:rFonts w:cs="Times New Roman"/>
          <w:lang w:val="en-US"/>
        </w:rPr>
        <w:t>45.</w:t>
      </w:r>
      <w:r w:rsidRPr="00D27406">
        <w:rPr>
          <w:rFonts w:cs="Times New Roman"/>
          <w:lang w:val="en-US"/>
        </w:rPr>
        <w:tab/>
        <w:t xml:space="preserve">Rau, M.-L. &amp; van Tongeren, F. Heterogeneous firms and homogenising standards in agri-food trade: the Polish meat case. </w:t>
      </w:r>
      <w:r w:rsidRPr="00D27406">
        <w:rPr>
          <w:rFonts w:cs="Times New Roman"/>
          <w:i/>
          <w:iCs/>
          <w:lang w:val="en-US"/>
        </w:rPr>
        <w:t>Eur. Rev. Agric. Econ.</w:t>
      </w:r>
      <w:r w:rsidRPr="00D27406">
        <w:rPr>
          <w:rFonts w:cs="Times New Roman"/>
          <w:lang w:val="en-US"/>
        </w:rPr>
        <w:t xml:space="preserve"> </w:t>
      </w:r>
      <w:r w:rsidRPr="00D27406">
        <w:rPr>
          <w:rFonts w:cs="Times New Roman"/>
          <w:b/>
          <w:bCs/>
          <w:lang w:val="en-US"/>
        </w:rPr>
        <w:t>36</w:t>
      </w:r>
      <w:r w:rsidRPr="00D27406">
        <w:rPr>
          <w:rFonts w:cs="Times New Roman"/>
          <w:lang w:val="en-US"/>
        </w:rPr>
        <w:t>, 479–505 (2009).</w:t>
      </w:r>
    </w:p>
    <w:p w14:paraId="79EA377F" w14:textId="77777777" w:rsidR="00065A37" w:rsidRPr="00065A37" w:rsidRDefault="00065A37" w:rsidP="000A3338">
      <w:pPr>
        <w:pStyle w:val="Bibliography"/>
        <w:spacing w:before="0" w:line="240" w:lineRule="auto"/>
        <w:rPr>
          <w:rFonts w:cs="Times New Roman"/>
        </w:rPr>
      </w:pPr>
      <w:r w:rsidRPr="00D27406">
        <w:rPr>
          <w:rFonts w:cs="Times New Roman"/>
          <w:lang w:val="en-US"/>
        </w:rPr>
        <w:t>46.</w:t>
      </w:r>
      <w:r w:rsidRPr="00D27406">
        <w:rPr>
          <w:rFonts w:cs="Times New Roman"/>
          <w:lang w:val="en-US"/>
        </w:rPr>
        <w:tab/>
        <w:t xml:space="preserve">Zhuo, L. &amp; Han, D. Agent-based modelling and flood risk management: A compendious literature review. </w:t>
      </w:r>
      <w:r w:rsidRPr="00065A37">
        <w:rPr>
          <w:rFonts w:cs="Times New Roman"/>
          <w:i/>
          <w:iCs/>
        </w:rPr>
        <w:t>J. Hydrol.</w:t>
      </w:r>
      <w:r w:rsidRPr="00065A37">
        <w:rPr>
          <w:rFonts w:cs="Times New Roman"/>
        </w:rPr>
        <w:t xml:space="preserve"> </w:t>
      </w:r>
      <w:r w:rsidRPr="00065A37">
        <w:rPr>
          <w:rFonts w:cs="Times New Roman"/>
          <w:b/>
          <w:bCs/>
        </w:rPr>
        <w:t>591</w:t>
      </w:r>
      <w:r w:rsidRPr="00065A37">
        <w:rPr>
          <w:rFonts w:cs="Times New Roman"/>
        </w:rPr>
        <w:t>, 125600 (2020).</w:t>
      </w:r>
    </w:p>
    <w:p w14:paraId="34945943" w14:textId="632AD540" w:rsidR="00712B5B" w:rsidRPr="00E04AD0" w:rsidRDefault="00712B5B" w:rsidP="000A3338">
      <w:pPr>
        <w:spacing w:before="0" w:line="240" w:lineRule="auto"/>
        <w:rPr>
          <w:lang w:val="en-GB"/>
        </w:rPr>
      </w:pPr>
      <w:r w:rsidRPr="00E04AD0">
        <w:rPr>
          <w:lang w:val="en-GB"/>
        </w:rPr>
        <w:fldChar w:fldCharType="end"/>
      </w:r>
    </w:p>
    <w:sectPr w:rsidR="00712B5B" w:rsidRPr="00E04A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CE107" w14:textId="77777777" w:rsidR="00A4742B" w:rsidRDefault="00A4742B" w:rsidP="004022ED">
      <w:pPr>
        <w:spacing w:line="240" w:lineRule="auto"/>
      </w:pPr>
      <w:r>
        <w:separator/>
      </w:r>
    </w:p>
  </w:endnote>
  <w:endnote w:type="continuationSeparator" w:id="0">
    <w:p w14:paraId="54D73DF6" w14:textId="77777777" w:rsidR="00A4742B" w:rsidRDefault="00A4742B" w:rsidP="004022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3FFEF" w14:textId="77777777" w:rsidR="00A4742B" w:rsidRDefault="00A4742B" w:rsidP="004022ED">
      <w:pPr>
        <w:spacing w:line="240" w:lineRule="auto"/>
      </w:pPr>
      <w:r>
        <w:separator/>
      </w:r>
    </w:p>
  </w:footnote>
  <w:footnote w:type="continuationSeparator" w:id="0">
    <w:p w14:paraId="142410B4" w14:textId="77777777" w:rsidR="00A4742B" w:rsidRDefault="00A4742B" w:rsidP="004022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47D9B"/>
    <w:multiLevelType w:val="hybridMultilevel"/>
    <w:tmpl w:val="F55AF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EE6A5C"/>
    <w:multiLevelType w:val="hybridMultilevel"/>
    <w:tmpl w:val="55365876"/>
    <w:lvl w:ilvl="0" w:tplc="550289C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C8488C"/>
    <w:multiLevelType w:val="hybridMultilevel"/>
    <w:tmpl w:val="B43E3A7E"/>
    <w:lvl w:ilvl="0" w:tplc="550289C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046EAD"/>
    <w:multiLevelType w:val="hybridMultilevel"/>
    <w:tmpl w:val="0688EF96"/>
    <w:lvl w:ilvl="0" w:tplc="64A4447E">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num w:numId="1" w16cid:durableId="781076962">
    <w:abstractNumId w:val="1"/>
  </w:num>
  <w:num w:numId="2" w16cid:durableId="1179613164">
    <w:abstractNumId w:val="2"/>
  </w:num>
  <w:num w:numId="3" w16cid:durableId="331494667">
    <w:abstractNumId w:val="3"/>
  </w:num>
  <w:num w:numId="4" w16cid:durableId="241375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460"/>
    <w:rsid w:val="000006B4"/>
    <w:rsid w:val="00002589"/>
    <w:rsid w:val="000026F2"/>
    <w:rsid w:val="000137B6"/>
    <w:rsid w:val="00026F39"/>
    <w:rsid w:val="000329A4"/>
    <w:rsid w:val="00040E2F"/>
    <w:rsid w:val="000412AF"/>
    <w:rsid w:val="00044016"/>
    <w:rsid w:val="00047CE6"/>
    <w:rsid w:val="0005032C"/>
    <w:rsid w:val="000534CB"/>
    <w:rsid w:val="0005509E"/>
    <w:rsid w:val="000610E4"/>
    <w:rsid w:val="00064AF2"/>
    <w:rsid w:val="00065426"/>
    <w:rsid w:val="00065A37"/>
    <w:rsid w:val="0008648B"/>
    <w:rsid w:val="000A3338"/>
    <w:rsid w:val="000B005F"/>
    <w:rsid w:val="000B184E"/>
    <w:rsid w:val="000B18F7"/>
    <w:rsid w:val="000B191A"/>
    <w:rsid w:val="000C1C91"/>
    <w:rsid w:val="000C38A2"/>
    <w:rsid w:val="000C5130"/>
    <w:rsid w:val="000D2325"/>
    <w:rsid w:val="000F67F1"/>
    <w:rsid w:val="000F6B1A"/>
    <w:rsid w:val="000F7F2C"/>
    <w:rsid w:val="00102EB3"/>
    <w:rsid w:val="001079A2"/>
    <w:rsid w:val="00131F0E"/>
    <w:rsid w:val="001344B6"/>
    <w:rsid w:val="001361F8"/>
    <w:rsid w:val="00136A84"/>
    <w:rsid w:val="00142351"/>
    <w:rsid w:val="00144B54"/>
    <w:rsid w:val="00146548"/>
    <w:rsid w:val="001539E5"/>
    <w:rsid w:val="001571AB"/>
    <w:rsid w:val="00161790"/>
    <w:rsid w:val="00165507"/>
    <w:rsid w:val="001737EA"/>
    <w:rsid w:val="001742FB"/>
    <w:rsid w:val="00175707"/>
    <w:rsid w:val="00182567"/>
    <w:rsid w:val="00191783"/>
    <w:rsid w:val="00191960"/>
    <w:rsid w:val="00193815"/>
    <w:rsid w:val="0019468B"/>
    <w:rsid w:val="0019667A"/>
    <w:rsid w:val="001A412B"/>
    <w:rsid w:val="001C4259"/>
    <w:rsid w:val="001C45FA"/>
    <w:rsid w:val="001C6EDE"/>
    <w:rsid w:val="001D0187"/>
    <w:rsid w:val="001D18CE"/>
    <w:rsid w:val="001D3A6F"/>
    <w:rsid w:val="001E539D"/>
    <w:rsid w:val="001F0754"/>
    <w:rsid w:val="001F3152"/>
    <w:rsid w:val="00201492"/>
    <w:rsid w:val="00202DCA"/>
    <w:rsid w:val="002041E1"/>
    <w:rsid w:val="002119C4"/>
    <w:rsid w:val="00220223"/>
    <w:rsid w:val="0022184B"/>
    <w:rsid w:val="00236FD2"/>
    <w:rsid w:val="00244283"/>
    <w:rsid w:val="00244F36"/>
    <w:rsid w:val="00247D56"/>
    <w:rsid w:val="00282D39"/>
    <w:rsid w:val="00282E6C"/>
    <w:rsid w:val="00290A76"/>
    <w:rsid w:val="00292B2C"/>
    <w:rsid w:val="00295E29"/>
    <w:rsid w:val="002A621D"/>
    <w:rsid w:val="002A6225"/>
    <w:rsid w:val="002D0E27"/>
    <w:rsid w:val="002D39A4"/>
    <w:rsid w:val="002D5677"/>
    <w:rsid w:val="002E1308"/>
    <w:rsid w:val="002E2204"/>
    <w:rsid w:val="002F116A"/>
    <w:rsid w:val="002F2507"/>
    <w:rsid w:val="002F30BE"/>
    <w:rsid w:val="002F7B07"/>
    <w:rsid w:val="0030510D"/>
    <w:rsid w:val="00310BEA"/>
    <w:rsid w:val="0033215F"/>
    <w:rsid w:val="003327B0"/>
    <w:rsid w:val="003511EE"/>
    <w:rsid w:val="00354E74"/>
    <w:rsid w:val="00355101"/>
    <w:rsid w:val="00364F5F"/>
    <w:rsid w:val="00365041"/>
    <w:rsid w:val="00365A1C"/>
    <w:rsid w:val="0038594F"/>
    <w:rsid w:val="00385D0A"/>
    <w:rsid w:val="00386AE6"/>
    <w:rsid w:val="003A1AE5"/>
    <w:rsid w:val="003B0C23"/>
    <w:rsid w:val="003B2BAE"/>
    <w:rsid w:val="003B3B59"/>
    <w:rsid w:val="003C0CEB"/>
    <w:rsid w:val="003C66D3"/>
    <w:rsid w:val="003D2806"/>
    <w:rsid w:val="003E3F07"/>
    <w:rsid w:val="004022ED"/>
    <w:rsid w:val="00413513"/>
    <w:rsid w:val="0041509B"/>
    <w:rsid w:val="00431079"/>
    <w:rsid w:val="00440D06"/>
    <w:rsid w:val="0044366E"/>
    <w:rsid w:val="00447F22"/>
    <w:rsid w:val="00460247"/>
    <w:rsid w:val="004602D5"/>
    <w:rsid w:val="004622C7"/>
    <w:rsid w:val="004659D1"/>
    <w:rsid w:val="00476A38"/>
    <w:rsid w:val="004832FF"/>
    <w:rsid w:val="00485D4F"/>
    <w:rsid w:val="004A0441"/>
    <w:rsid w:val="004A2382"/>
    <w:rsid w:val="004A7994"/>
    <w:rsid w:val="004B00E6"/>
    <w:rsid w:val="004B1170"/>
    <w:rsid w:val="004B2440"/>
    <w:rsid w:val="004B35B3"/>
    <w:rsid w:val="004C3694"/>
    <w:rsid w:val="004D47CE"/>
    <w:rsid w:val="004D7602"/>
    <w:rsid w:val="004F35A2"/>
    <w:rsid w:val="005106ED"/>
    <w:rsid w:val="00512474"/>
    <w:rsid w:val="00521F47"/>
    <w:rsid w:val="005347FE"/>
    <w:rsid w:val="005450A5"/>
    <w:rsid w:val="0055439B"/>
    <w:rsid w:val="005673CD"/>
    <w:rsid w:val="00592C87"/>
    <w:rsid w:val="005964EB"/>
    <w:rsid w:val="005A1B65"/>
    <w:rsid w:val="005B082A"/>
    <w:rsid w:val="005B1280"/>
    <w:rsid w:val="005C01F9"/>
    <w:rsid w:val="005C1091"/>
    <w:rsid w:val="005C1EF3"/>
    <w:rsid w:val="005E102F"/>
    <w:rsid w:val="005E1F26"/>
    <w:rsid w:val="005F01B2"/>
    <w:rsid w:val="005F5757"/>
    <w:rsid w:val="005F7BAE"/>
    <w:rsid w:val="0060494F"/>
    <w:rsid w:val="00605EDF"/>
    <w:rsid w:val="006142B8"/>
    <w:rsid w:val="00617419"/>
    <w:rsid w:val="00620880"/>
    <w:rsid w:val="00624DA0"/>
    <w:rsid w:val="00625A4B"/>
    <w:rsid w:val="0063033B"/>
    <w:rsid w:val="00632BFE"/>
    <w:rsid w:val="00635BE1"/>
    <w:rsid w:val="00646279"/>
    <w:rsid w:val="006469C2"/>
    <w:rsid w:val="006649A7"/>
    <w:rsid w:val="00667617"/>
    <w:rsid w:val="0068063A"/>
    <w:rsid w:val="00696651"/>
    <w:rsid w:val="006B4F6A"/>
    <w:rsid w:val="006D4E18"/>
    <w:rsid w:val="006D4FE9"/>
    <w:rsid w:val="006D5D91"/>
    <w:rsid w:val="006E284F"/>
    <w:rsid w:val="006F51A4"/>
    <w:rsid w:val="006F7775"/>
    <w:rsid w:val="00700C08"/>
    <w:rsid w:val="00712B5B"/>
    <w:rsid w:val="007150FE"/>
    <w:rsid w:val="007159B5"/>
    <w:rsid w:val="007168FF"/>
    <w:rsid w:val="00722B83"/>
    <w:rsid w:val="007314DB"/>
    <w:rsid w:val="00732C20"/>
    <w:rsid w:val="00736FA5"/>
    <w:rsid w:val="00741B6F"/>
    <w:rsid w:val="00747218"/>
    <w:rsid w:val="00747782"/>
    <w:rsid w:val="007519D8"/>
    <w:rsid w:val="00756982"/>
    <w:rsid w:val="00760CD7"/>
    <w:rsid w:val="00762245"/>
    <w:rsid w:val="00766046"/>
    <w:rsid w:val="007668F0"/>
    <w:rsid w:val="007677C3"/>
    <w:rsid w:val="00773982"/>
    <w:rsid w:val="00777D1E"/>
    <w:rsid w:val="00783D39"/>
    <w:rsid w:val="007A3DA7"/>
    <w:rsid w:val="007A5529"/>
    <w:rsid w:val="007A625F"/>
    <w:rsid w:val="007B0694"/>
    <w:rsid w:val="007B0796"/>
    <w:rsid w:val="007D391B"/>
    <w:rsid w:val="007D4AB5"/>
    <w:rsid w:val="007E0DBD"/>
    <w:rsid w:val="007E0ED5"/>
    <w:rsid w:val="007E727C"/>
    <w:rsid w:val="007E76F3"/>
    <w:rsid w:val="007F3C07"/>
    <w:rsid w:val="007F78A9"/>
    <w:rsid w:val="007F79E2"/>
    <w:rsid w:val="008008E1"/>
    <w:rsid w:val="00803504"/>
    <w:rsid w:val="00804F79"/>
    <w:rsid w:val="008217CB"/>
    <w:rsid w:val="00831051"/>
    <w:rsid w:val="0083418D"/>
    <w:rsid w:val="0083759A"/>
    <w:rsid w:val="00844193"/>
    <w:rsid w:val="00844B40"/>
    <w:rsid w:val="0085224C"/>
    <w:rsid w:val="008544B5"/>
    <w:rsid w:val="0085467C"/>
    <w:rsid w:val="00895CB1"/>
    <w:rsid w:val="00897EFF"/>
    <w:rsid w:val="008A5527"/>
    <w:rsid w:val="008A5CEC"/>
    <w:rsid w:val="008B049B"/>
    <w:rsid w:val="008B34A0"/>
    <w:rsid w:val="008B3C9D"/>
    <w:rsid w:val="008B3D80"/>
    <w:rsid w:val="008C3FA2"/>
    <w:rsid w:val="008C6280"/>
    <w:rsid w:val="008D5A75"/>
    <w:rsid w:val="008D7170"/>
    <w:rsid w:val="00900DD3"/>
    <w:rsid w:val="009072E9"/>
    <w:rsid w:val="00916EA5"/>
    <w:rsid w:val="009262DB"/>
    <w:rsid w:val="0093368F"/>
    <w:rsid w:val="00935404"/>
    <w:rsid w:val="0093553F"/>
    <w:rsid w:val="00937B18"/>
    <w:rsid w:val="0094112F"/>
    <w:rsid w:val="00941D22"/>
    <w:rsid w:val="00951E6E"/>
    <w:rsid w:val="00955388"/>
    <w:rsid w:val="009554D1"/>
    <w:rsid w:val="0096091E"/>
    <w:rsid w:val="00961803"/>
    <w:rsid w:val="00971214"/>
    <w:rsid w:val="00980C07"/>
    <w:rsid w:val="00981CAC"/>
    <w:rsid w:val="00984EE2"/>
    <w:rsid w:val="009B072D"/>
    <w:rsid w:val="009B3915"/>
    <w:rsid w:val="009C1DC5"/>
    <w:rsid w:val="009C658C"/>
    <w:rsid w:val="009E4799"/>
    <w:rsid w:val="009E6665"/>
    <w:rsid w:val="009E7431"/>
    <w:rsid w:val="00A046F4"/>
    <w:rsid w:val="00A1106E"/>
    <w:rsid w:val="00A20C93"/>
    <w:rsid w:val="00A27072"/>
    <w:rsid w:val="00A27D1D"/>
    <w:rsid w:val="00A27ED4"/>
    <w:rsid w:val="00A333DF"/>
    <w:rsid w:val="00A44122"/>
    <w:rsid w:val="00A4742B"/>
    <w:rsid w:val="00A519A4"/>
    <w:rsid w:val="00A55690"/>
    <w:rsid w:val="00A667B2"/>
    <w:rsid w:val="00A842CC"/>
    <w:rsid w:val="00A8472A"/>
    <w:rsid w:val="00A866CF"/>
    <w:rsid w:val="00A95A9B"/>
    <w:rsid w:val="00AA14E5"/>
    <w:rsid w:val="00AA417C"/>
    <w:rsid w:val="00AA4477"/>
    <w:rsid w:val="00AB346C"/>
    <w:rsid w:val="00AC4EBF"/>
    <w:rsid w:val="00AD153F"/>
    <w:rsid w:val="00AF504F"/>
    <w:rsid w:val="00B003DE"/>
    <w:rsid w:val="00B0271B"/>
    <w:rsid w:val="00B03755"/>
    <w:rsid w:val="00B231BA"/>
    <w:rsid w:val="00B308F7"/>
    <w:rsid w:val="00B32C69"/>
    <w:rsid w:val="00B3444A"/>
    <w:rsid w:val="00B37063"/>
    <w:rsid w:val="00B40235"/>
    <w:rsid w:val="00B430EB"/>
    <w:rsid w:val="00B43635"/>
    <w:rsid w:val="00B4557F"/>
    <w:rsid w:val="00B63650"/>
    <w:rsid w:val="00B74A60"/>
    <w:rsid w:val="00B758FF"/>
    <w:rsid w:val="00B76C4D"/>
    <w:rsid w:val="00B87E30"/>
    <w:rsid w:val="00B9295E"/>
    <w:rsid w:val="00B92AE2"/>
    <w:rsid w:val="00B96429"/>
    <w:rsid w:val="00BA33D9"/>
    <w:rsid w:val="00BB1BEB"/>
    <w:rsid w:val="00BC0392"/>
    <w:rsid w:val="00BC4331"/>
    <w:rsid w:val="00BD5277"/>
    <w:rsid w:val="00BD736F"/>
    <w:rsid w:val="00BD74D2"/>
    <w:rsid w:val="00BD7EB0"/>
    <w:rsid w:val="00BD7FAE"/>
    <w:rsid w:val="00BE16EE"/>
    <w:rsid w:val="00BE7F39"/>
    <w:rsid w:val="00BF2A6A"/>
    <w:rsid w:val="00BF5A05"/>
    <w:rsid w:val="00BF7E28"/>
    <w:rsid w:val="00C01B31"/>
    <w:rsid w:val="00C11460"/>
    <w:rsid w:val="00C22BE0"/>
    <w:rsid w:val="00C238C7"/>
    <w:rsid w:val="00C33CC5"/>
    <w:rsid w:val="00C447BC"/>
    <w:rsid w:val="00C45CB5"/>
    <w:rsid w:val="00C5426E"/>
    <w:rsid w:val="00C55D76"/>
    <w:rsid w:val="00C644AC"/>
    <w:rsid w:val="00C6476F"/>
    <w:rsid w:val="00C649F3"/>
    <w:rsid w:val="00C77AB2"/>
    <w:rsid w:val="00C8301D"/>
    <w:rsid w:val="00C84544"/>
    <w:rsid w:val="00C86C95"/>
    <w:rsid w:val="00C94EC3"/>
    <w:rsid w:val="00CA0C4D"/>
    <w:rsid w:val="00CA27E2"/>
    <w:rsid w:val="00CA3843"/>
    <w:rsid w:val="00CA43E8"/>
    <w:rsid w:val="00CA49C9"/>
    <w:rsid w:val="00CA49CF"/>
    <w:rsid w:val="00CB31BB"/>
    <w:rsid w:val="00CD3BD8"/>
    <w:rsid w:val="00CE2A96"/>
    <w:rsid w:val="00CF186B"/>
    <w:rsid w:val="00CF2B6F"/>
    <w:rsid w:val="00CF624C"/>
    <w:rsid w:val="00CF6FCC"/>
    <w:rsid w:val="00CF70FD"/>
    <w:rsid w:val="00D01C84"/>
    <w:rsid w:val="00D02D15"/>
    <w:rsid w:val="00D17110"/>
    <w:rsid w:val="00D21F94"/>
    <w:rsid w:val="00D237A1"/>
    <w:rsid w:val="00D27406"/>
    <w:rsid w:val="00D27FA2"/>
    <w:rsid w:val="00D31036"/>
    <w:rsid w:val="00D41002"/>
    <w:rsid w:val="00D42782"/>
    <w:rsid w:val="00D51989"/>
    <w:rsid w:val="00D5259F"/>
    <w:rsid w:val="00D646EB"/>
    <w:rsid w:val="00D825C8"/>
    <w:rsid w:val="00D83AC4"/>
    <w:rsid w:val="00D852FA"/>
    <w:rsid w:val="00D950FD"/>
    <w:rsid w:val="00D97B7C"/>
    <w:rsid w:val="00DA7967"/>
    <w:rsid w:val="00DB35F8"/>
    <w:rsid w:val="00DB5D1C"/>
    <w:rsid w:val="00DD3C31"/>
    <w:rsid w:val="00DD7FC1"/>
    <w:rsid w:val="00DE387D"/>
    <w:rsid w:val="00DE4588"/>
    <w:rsid w:val="00E03C06"/>
    <w:rsid w:val="00E04AD0"/>
    <w:rsid w:val="00E135C6"/>
    <w:rsid w:val="00E15D49"/>
    <w:rsid w:val="00E27641"/>
    <w:rsid w:val="00E312B4"/>
    <w:rsid w:val="00E32242"/>
    <w:rsid w:val="00E32640"/>
    <w:rsid w:val="00E449AA"/>
    <w:rsid w:val="00E52355"/>
    <w:rsid w:val="00E52FF4"/>
    <w:rsid w:val="00E66BF5"/>
    <w:rsid w:val="00E85DAA"/>
    <w:rsid w:val="00E93822"/>
    <w:rsid w:val="00EA3961"/>
    <w:rsid w:val="00EA4958"/>
    <w:rsid w:val="00EC4153"/>
    <w:rsid w:val="00EC6C3B"/>
    <w:rsid w:val="00ED5BFE"/>
    <w:rsid w:val="00EE0BD1"/>
    <w:rsid w:val="00F129E7"/>
    <w:rsid w:val="00F21D27"/>
    <w:rsid w:val="00F302A8"/>
    <w:rsid w:val="00F44235"/>
    <w:rsid w:val="00F44790"/>
    <w:rsid w:val="00F45B60"/>
    <w:rsid w:val="00F50B87"/>
    <w:rsid w:val="00F5519D"/>
    <w:rsid w:val="00F555DB"/>
    <w:rsid w:val="00F55AF7"/>
    <w:rsid w:val="00F60082"/>
    <w:rsid w:val="00F7305B"/>
    <w:rsid w:val="00F757F4"/>
    <w:rsid w:val="00F778B1"/>
    <w:rsid w:val="00F85F65"/>
    <w:rsid w:val="00F96759"/>
    <w:rsid w:val="00FA24D1"/>
    <w:rsid w:val="00FB3CA4"/>
    <w:rsid w:val="00FC19AA"/>
    <w:rsid w:val="00FC5E4E"/>
    <w:rsid w:val="00FF3483"/>
    <w:rsid w:val="00FF7AE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2A2F0"/>
  <w15:chartTrackingRefBased/>
  <w15:docId w15:val="{54955ADD-F4AB-4265-BFDB-D8E84A296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242"/>
    <w:pPr>
      <w:spacing w:before="240" w:after="0"/>
      <w:jc w:val="both"/>
    </w:pPr>
    <w:rPr>
      <w:rFonts w:ascii="Times New Roman" w:hAnsi="Times New Roman"/>
    </w:rPr>
  </w:style>
  <w:style w:type="paragraph" w:styleId="Heading1">
    <w:name w:val="heading 1"/>
    <w:basedOn w:val="Normal"/>
    <w:next w:val="Normal"/>
    <w:link w:val="Heading1Char"/>
    <w:uiPriority w:val="9"/>
    <w:qFormat/>
    <w:rsid w:val="001A412B"/>
    <w:pPr>
      <w:keepNext/>
      <w:keepLines/>
      <w:outlineLvl w:val="0"/>
    </w:pPr>
    <w:rPr>
      <w:rFonts w:eastAsiaTheme="majorEastAsia" w:cstheme="majorBidi"/>
      <w:b/>
      <w:color w:val="1F4E79" w:themeColor="accent5" w:themeShade="80"/>
      <w:sz w:val="24"/>
      <w:szCs w:val="32"/>
    </w:rPr>
  </w:style>
  <w:style w:type="paragraph" w:styleId="Heading2">
    <w:name w:val="heading 2"/>
    <w:basedOn w:val="Normal"/>
    <w:next w:val="Normal"/>
    <w:link w:val="Heading2Char"/>
    <w:uiPriority w:val="9"/>
    <w:semiHidden/>
    <w:unhideWhenUsed/>
    <w:qFormat/>
    <w:rsid w:val="00C11460"/>
    <w:pPr>
      <w:keepNext/>
      <w:keepLines/>
      <w:spacing w:before="160" w:after="80"/>
      <w:outlineLvl w:val="1"/>
    </w:pPr>
    <w:rPr>
      <w:rFonts w:asciiTheme="majorHAnsi" w:eastAsiaTheme="majorEastAsia" w:hAnsiTheme="majorHAnsi" w:cstheme="majorBidi"/>
      <w:color w:val="000000" w:themeColor="accent1" w:themeShade="BF"/>
      <w:sz w:val="32"/>
      <w:szCs w:val="32"/>
    </w:rPr>
  </w:style>
  <w:style w:type="paragraph" w:styleId="Heading3">
    <w:name w:val="heading 3"/>
    <w:basedOn w:val="Normal"/>
    <w:next w:val="Normal"/>
    <w:link w:val="Heading3Char"/>
    <w:uiPriority w:val="9"/>
    <w:semiHidden/>
    <w:unhideWhenUsed/>
    <w:qFormat/>
    <w:rsid w:val="00C11460"/>
    <w:pPr>
      <w:keepNext/>
      <w:keepLines/>
      <w:spacing w:before="160" w:after="80"/>
      <w:outlineLvl w:val="2"/>
    </w:pPr>
    <w:rPr>
      <w:rFonts w:eastAsiaTheme="majorEastAsia" w:cstheme="majorBidi"/>
      <w:color w:val="000000" w:themeColor="accent1" w:themeShade="BF"/>
      <w:sz w:val="28"/>
      <w:szCs w:val="28"/>
    </w:rPr>
  </w:style>
  <w:style w:type="paragraph" w:styleId="Heading4">
    <w:name w:val="heading 4"/>
    <w:basedOn w:val="Normal"/>
    <w:next w:val="Normal"/>
    <w:link w:val="Heading4Char"/>
    <w:uiPriority w:val="9"/>
    <w:semiHidden/>
    <w:unhideWhenUsed/>
    <w:qFormat/>
    <w:rsid w:val="00C11460"/>
    <w:pPr>
      <w:keepNext/>
      <w:keepLines/>
      <w:spacing w:before="80" w:after="40"/>
      <w:outlineLvl w:val="3"/>
    </w:pPr>
    <w:rPr>
      <w:rFonts w:eastAsiaTheme="majorEastAsia" w:cstheme="majorBidi"/>
      <w:i/>
      <w:iCs/>
      <w:color w:val="000000" w:themeColor="accent1" w:themeShade="BF"/>
    </w:rPr>
  </w:style>
  <w:style w:type="paragraph" w:styleId="Heading5">
    <w:name w:val="heading 5"/>
    <w:basedOn w:val="Normal"/>
    <w:next w:val="Normal"/>
    <w:link w:val="Heading5Char"/>
    <w:uiPriority w:val="9"/>
    <w:semiHidden/>
    <w:unhideWhenUsed/>
    <w:qFormat/>
    <w:rsid w:val="00C11460"/>
    <w:pPr>
      <w:keepNext/>
      <w:keepLines/>
      <w:spacing w:before="80" w:after="40"/>
      <w:outlineLvl w:val="4"/>
    </w:pPr>
    <w:rPr>
      <w:rFonts w:eastAsiaTheme="majorEastAsia" w:cstheme="majorBidi"/>
      <w:color w:val="000000" w:themeColor="accent1" w:themeShade="BF"/>
    </w:rPr>
  </w:style>
  <w:style w:type="paragraph" w:styleId="Heading6">
    <w:name w:val="heading 6"/>
    <w:basedOn w:val="Normal"/>
    <w:next w:val="Normal"/>
    <w:link w:val="Heading6Char"/>
    <w:uiPriority w:val="9"/>
    <w:semiHidden/>
    <w:unhideWhenUsed/>
    <w:qFormat/>
    <w:rsid w:val="00C114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4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4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4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12B"/>
    <w:rPr>
      <w:rFonts w:ascii="Times New Roman" w:eastAsiaTheme="majorEastAsia" w:hAnsi="Times New Roman" w:cstheme="majorBidi"/>
      <w:b/>
      <w:color w:val="1F4E79" w:themeColor="accent5" w:themeShade="80"/>
      <w:sz w:val="24"/>
      <w:szCs w:val="32"/>
    </w:rPr>
  </w:style>
  <w:style w:type="character" w:customStyle="1" w:styleId="Heading2Char">
    <w:name w:val="Heading 2 Char"/>
    <w:basedOn w:val="DefaultParagraphFont"/>
    <w:link w:val="Heading2"/>
    <w:uiPriority w:val="9"/>
    <w:semiHidden/>
    <w:rsid w:val="00C11460"/>
    <w:rPr>
      <w:rFonts w:asciiTheme="majorHAnsi" w:eastAsiaTheme="majorEastAsia" w:hAnsiTheme="majorHAnsi" w:cstheme="majorBidi"/>
      <w:color w:val="000000" w:themeColor="accent1" w:themeShade="BF"/>
      <w:sz w:val="32"/>
      <w:szCs w:val="32"/>
    </w:rPr>
  </w:style>
  <w:style w:type="character" w:customStyle="1" w:styleId="Heading3Char">
    <w:name w:val="Heading 3 Char"/>
    <w:basedOn w:val="DefaultParagraphFont"/>
    <w:link w:val="Heading3"/>
    <w:uiPriority w:val="9"/>
    <w:semiHidden/>
    <w:rsid w:val="00C11460"/>
    <w:rPr>
      <w:rFonts w:eastAsiaTheme="majorEastAsia" w:cstheme="majorBidi"/>
      <w:color w:val="000000" w:themeColor="accent1" w:themeShade="BF"/>
      <w:sz w:val="28"/>
      <w:szCs w:val="28"/>
    </w:rPr>
  </w:style>
  <w:style w:type="character" w:customStyle="1" w:styleId="Heading4Char">
    <w:name w:val="Heading 4 Char"/>
    <w:basedOn w:val="DefaultParagraphFont"/>
    <w:link w:val="Heading4"/>
    <w:uiPriority w:val="9"/>
    <w:semiHidden/>
    <w:rsid w:val="00C11460"/>
    <w:rPr>
      <w:rFonts w:eastAsiaTheme="majorEastAsia" w:cstheme="majorBidi"/>
      <w:i/>
      <w:iCs/>
      <w:color w:val="000000" w:themeColor="accent1" w:themeShade="BF"/>
    </w:rPr>
  </w:style>
  <w:style w:type="character" w:customStyle="1" w:styleId="Heading5Char">
    <w:name w:val="Heading 5 Char"/>
    <w:basedOn w:val="DefaultParagraphFont"/>
    <w:link w:val="Heading5"/>
    <w:uiPriority w:val="9"/>
    <w:semiHidden/>
    <w:rsid w:val="00C11460"/>
    <w:rPr>
      <w:rFonts w:eastAsiaTheme="majorEastAsia" w:cstheme="majorBidi"/>
      <w:color w:val="000000" w:themeColor="accent1" w:themeShade="BF"/>
    </w:rPr>
  </w:style>
  <w:style w:type="character" w:customStyle="1" w:styleId="Heading6Char">
    <w:name w:val="Heading 6 Char"/>
    <w:basedOn w:val="DefaultParagraphFont"/>
    <w:link w:val="Heading6"/>
    <w:uiPriority w:val="9"/>
    <w:semiHidden/>
    <w:rsid w:val="00C114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4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4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460"/>
    <w:rPr>
      <w:rFonts w:eastAsiaTheme="majorEastAsia" w:cstheme="majorBidi"/>
      <w:color w:val="272727" w:themeColor="text1" w:themeTint="D8"/>
    </w:rPr>
  </w:style>
  <w:style w:type="paragraph" w:styleId="Title">
    <w:name w:val="Title"/>
    <w:basedOn w:val="Normal"/>
    <w:next w:val="Normal"/>
    <w:link w:val="TitleChar"/>
    <w:uiPriority w:val="10"/>
    <w:qFormat/>
    <w:rsid w:val="00C11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4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4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4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460"/>
    <w:pPr>
      <w:spacing w:before="160"/>
      <w:jc w:val="center"/>
    </w:pPr>
    <w:rPr>
      <w:i/>
      <w:iCs/>
      <w:color w:val="404040" w:themeColor="text1" w:themeTint="BF"/>
    </w:rPr>
  </w:style>
  <w:style w:type="character" w:customStyle="1" w:styleId="QuoteChar">
    <w:name w:val="Quote Char"/>
    <w:basedOn w:val="DefaultParagraphFont"/>
    <w:link w:val="Quote"/>
    <w:uiPriority w:val="29"/>
    <w:rsid w:val="00C11460"/>
    <w:rPr>
      <w:i/>
      <w:iCs/>
      <w:color w:val="404040" w:themeColor="text1" w:themeTint="BF"/>
    </w:rPr>
  </w:style>
  <w:style w:type="paragraph" w:styleId="ListParagraph">
    <w:name w:val="List Paragraph"/>
    <w:basedOn w:val="Normal"/>
    <w:uiPriority w:val="34"/>
    <w:qFormat/>
    <w:rsid w:val="00C11460"/>
    <w:pPr>
      <w:ind w:left="720"/>
      <w:contextualSpacing/>
    </w:pPr>
  </w:style>
  <w:style w:type="character" w:styleId="IntenseEmphasis">
    <w:name w:val="Intense Emphasis"/>
    <w:basedOn w:val="DefaultParagraphFont"/>
    <w:uiPriority w:val="21"/>
    <w:qFormat/>
    <w:rsid w:val="00C11460"/>
    <w:rPr>
      <w:i/>
      <w:iCs/>
      <w:color w:val="000000" w:themeColor="accent1" w:themeShade="BF"/>
    </w:rPr>
  </w:style>
  <w:style w:type="paragraph" w:styleId="IntenseQuote">
    <w:name w:val="Intense Quote"/>
    <w:basedOn w:val="Normal"/>
    <w:next w:val="Normal"/>
    <w:link w:val="IntenseQuoteChar"/>
    <w:uiPriority w:val="30"/>
    <w:qFormat/>
    <w:rsid w:val="00C11460"/>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IntenseQuoteChar">
    <w:name w:val="Intense Quote Char"/>
    <w:basedOn w:val="DefaultParagraphFont"/>
    <w:link w:val="IntenseQuote"/>
    <w:uiPriority w:val="30"/>
    <w:rsid w:val="00C11460"/>
    <w:rPr>
      <w:i/>
      <w:iCs/>
      <w:color w:val="000000" w:themeColor="accent1" w:themeShade="BF"/>
    </w:rPr>
  </w:style>
  <w:style w:type="character" w:styleId="IntenseReference">
    <w:name w:val="Intense Reference"/>
    <w:basedOn w:val="DefaultParagraphFont"/>
    <w:uiPriority w:val="32"/>
    <w:qFormat/>
    <w:rsid w:val="00C11460"/>
    <w:rPr>
      <w:b/>
      <w:bCs/>
      <w:smallCaps/>
      <w:color w:val="000000" w:themeColor="accent1" w:themeShade="BF"/>
      <w:spacing w:val="5"/>
    </w:rPr>
  </w:style>
  <w:style w:type="character" w:styleId="CommentReference">
    <w:name w:val="annotation reference"/>
    <w:basedOn w:val="DefaultParagraphFont"/>
    <w:uiPriority w:val="99"/>
    <w:semiHidden/>
    <w:unhideWhenUsed/>
    <w:rsid w:val="00201492"/>
    <w:rPr>
      <w:sz w:val="16"/>
      <w:szCs w:val="16"/>
    </w:rPr>
  </w:style>
  <w:style w:type="paragraph" w:styleId="CommentText">
    <w:name w:val="annotation text"/>
    <w:basedOn w:val="Normal"/>
    <w:link w:val="CommentTextChar"/>
    <w:uiPriority w:val="99"/>
    <w:unhideWhenUsed/>
    <w:rsid w:val="00201492"/>
    <w:pPr>
      <w:spacing w:line="240" w:lineRule="auto"/>
    </w:pPr>
    <w:rPr>
      <w:sz w:val="20"/>
      <w:szCs w:val="20"/>
    </w:rPr>
  </w:style>
  <w:style w:type="character" w:customStyle="1" w:styleId="CommentTextChar">
    <w:name w:val="Comment Text Char"/>
    <w:basedOn w:val="DefaultParagraphFont"/>
    <w:link w:val="CommentText"/>
    <w:uiPriority w:val="99"/>
    <w:rsid w:val="00201492"/>
    <w:rPr>
      <w:rFonts w:ascii="Times New Roman" w:hAnsi="Times New Roman"/>
      <w:sz w:val="20"/>
      <w:szCs w:val="20"/>
    </w:rPr>
  </w:style>
  <w:style w:type="paragraph" w:styleId="FootnoteText">
    <w:name w:val="footnote text"/>
    <w:basedOn w:val="Normal"/>
    <w:link w:val="FootnoteTextChar"/>
    <w:uiPriority w:val="99"/>
    <w:semiHidden/>
    <w:unhideWhenUsed/>
    <w:rsid w:val="004022ED"/>
    <w:pPr>
      <w:spacing w:line="240" w:lineRule="auto"/>
    </w:pPr>
    <w:rPr>
      <w:sz w:val="20"/>
      <w:szCs w:val="20"/>
    </w:rPr>
  </w:style>
  <w:style w:type="character" w:customStyle="1" w:styleId="FootnoteTextChar">
    <w:name w:val="Footnote Text Char"/>
    <w:basedOn w:val="DefaultParagraphFont"/>
    <w:link w:val="FootnoteText"/>
    <w:uiPriority w:val="99"/>
    <w:semiHidden/>
    <w:rsid w:val="004022ED"/>
    <w:rPr>
      <w:rFonts w:ascii="Times New Roman" w:hAnsi="Times New Roman"/>
      <w:sz w:val="20"/>
      <w:szCs w:val="20"/>
    </w:rPr>
  </w:style>
  <w:style w:type="character" w:styleId="FootnoteReference">
    <w:name w:val="footnote reference"/>
    <w:basedOn w:val="DefaultParagraphFont"/>
    <w:uiPriority w:val="99"/>
    <w:semiHidden/>
    <w:unhideWhenUsed/>
    <w:rsid w:val="004022ED"/>
    <w:rPr>
      <w:vertAlign w:val="superscript"/>
    </w:rPr>
  </w:style>
  <w:style w:type="character" w:styleId="Hyperlink">
    <w:name w:val="Hyperlink"/>
    <w:basedOn w:val="DefaultParagraphFont"/>
    <w:uiPriority w:val="99"/>
    <w:unhideWhenUsed/>
    <w:rsid w:val="00A27ED4"/>
    <w:rPr>
      <w:color w:val="0563C1" w:themeColor="hyperlink"/>
      <w:u w:val="single"/>
    </w:rPr>
  </w:style>
  <w:style w:type="character" w:styleId="UnresolvedMention">
    <w:name w:val="Unresolved Mention"/>
    <w:basedOn w:val="DefaultParagraphFont"/>
    <w:uiPriority w:val="99"/>
    <w:semiHidden/>
    <w:unhideWhenUsed/>
    <w:rsid w:val="00A27ED4"/>
    <w:rPr>
      <w:color w:val="605E5C"/>
      <w:shd w:val="clear" w:color="auto" w:fill="E1DFDD"/>
    </w:rPr>
  </w:style>
  <w:style w:type="paragraph" w:styleId="Bibliography">
    <w:name w:val="Bibliography"/>
    <w:basedOn w:val="Normal"/>
    <w:next w:val="Normal"/>
    <w:uiPriority w:val="37"/>
    <w:unhideWhenUsed/>
    <w:rsid w:val="000B191A"/>
    <w:pPr>
      <w:tabs>
        <w:tab w:val="left" w:pos="264"/>
      </w:tabs>
      <w:spacing w:line="480" w:lineRule="auto"/>
      <w:ind w:left="264" w:hanging="264"/>
    </w:pPr>
  </w:style>
  <w:style w:type="paragraph" w:styleId="CommentSubject">
    <w:name w:val="annotation subject"/>
    <w:basedOn w:val="CommentText"/>
    <w:next w:val="CommentText"/>
    <w:link w:val="CommentSubjectChar"/>
    <w:uiPriority w:val="99"/>
    <w:semiHidden/>
    <w:unhideWhenUsed/>
    <w:rsid w:val="00EC6C3B"/>
    <w:rPr>
      <w:b/>
      <w:bCs/>
    </w:rPr>
  </w:style>
  <w:style w:type="character" w:customStyle="1" w:styleId="CommentSubjectChar">
    <w:name w:val="Comment Subject Char"/>
    <w:basedOn w:val="CommentTextChar"/>
    <w:link w:val="CommentSubject"/>
    <w:uiPriority w:val="99"/>
    <w:semiHidden/>
    <w:rsid w:val="00EC6C3B"/>
    <w:rPr>
      <w:rFonts w:ascii="Times New Roman" w:hAnsi="Times New Roman"/>
      <w:b/>
      <w:bCs/>
      <w:sz w:val="20"/>
      <w:szCs w:val="20"/>
    </w:rPr>
  </w:style>
  <w:style w:type="paragraph" w:styleId="Revision">
    <w:name w:val="Revision"/>
    <w:hidden/>
    <w:uiPriority w:val="99"/>
    <w:semiHidden/>
    <w:rsid w:val="000A3338"/>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ICERO">
  <a:themeElements>
    <a:clrScheme name="CICERO">
      <a:dk1>
        <a:sysClr val="windowText" lastClr="000000"/>
      </a:dk1>
      <a:lt1>
        <a:sysClr val="window" lastClr="FFFFFF"/>
      </a:lt1>
      <a:dk2>
        <a:srgbClr val="44546A"/>
      </a:dk2>
      <a:lt2>
        <a:srgbClr val="E7E6E6"/>
      </a:lt2>
      <a:accent1>
        <a:srgbClr val="000000"/>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CERO">
      <a:majorFont>
        <a:latin typeface="Avenir Next LT Pro"/>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44CB5-CB63-4F4F-AC52-5FF208909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8</Pages>
  <Words>24231</Words>
  <Characters>138121</Characters>
  <Application>Microsoft Office Word</Application>
  <DocSecurity>0</DocSecurity>
  <Lines>1151</Lines>
  <Paragraphs>324</Paragraphs>
  <ScaleCrop>false</ScaleCrop>
  <Company/>
  <LinksUpToDate>false</LinksUpToDate>
  <CharactersWithSpaces>162028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Orlov</dc:creator>
  <cp:keywords/>
  <dc:description/>
  <cp:lastModifiedBy>Anton Orlov</cp:lastModifiedBy>
  <cp:revision>474</cp:revision>
  <dcterms:created xsi:type="dcterms:W3CDTF">2024-03-07T13:02:00Z</dcterms:created>
  <dcterms:modified xsi:type="dcterms:W3CDTF">2026-06-25T06:01:00Z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id="3ZOVSeaf"/&gt;&lt;style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y fmtid="{D5CDD505-2E9C-101B-9397-08002B2CF9AE}" pid="4" name="MSIP_Label_6b1c86d0-ab94-4a76-a7e0-2d85816d58bc_Enabled">
    <vt:lpwstr>True</vt:lpwstr>
  </property>
  <property fmtid="{D5CDD505-2E9C-101B-9397-08002B2CF9AE}" pid="5" name="MSIP_Label_6b1c86d0-ab94-4a76-a7e0-2d85816d58bc_SiteId">
    <vt:lpwstr>87ea3ab6-0d34-424e-a0c4-cda82a2494bc</vt:lpwstr>
  </property>
  <property fmtid="{D5CDD505-2E9C-101B-9397-08002B2CF9AE}" pid="6" name="MSIP_Label_6b1c86d0-ab94-4a76-a7e0-2d85816d58bc_SetDate">
    <vt:lpwstr>2026-03-29T11:43:06Z</vt:lpwstr>
  </property>
  <property fmtid="{D5CDD505-2E9C-101B-9397-08002B2CF9AE}" pid="7" name="MSIP_Label_6b1c86d0-ab94-4a76-a7e0-2d85816d58bc_Name">
    <vt:lpwstr>Restricted</vt:lpwstr>
  </property>
  <property fmtid="{D5CDD505-2E9C-101B-9397-08002B2CF9AE}" pid="8" name="MSIP_Label_6b1c86d0-ab94-4a76-a7e0-2d85816d58bc_ActionId">
    <vt:lpwstr>3be1898e-a5f7-415c-b262-81ad51916761</vt:lpwstr>
  </property>
  <property fmtid="{D5CDD505-2E9C-101B-9397-08002B2CF9AE}" pid="9" name="MSIP_Label_6b1c86d0-ab94-4a76-a7e0-2d85816d58bc_Removed">
    <vt:lpwstr>False</vt:lpwstr>
  </property>
  <property fmtid="{D5CDD505-2E9C-101B-9397-08002B2CF9AE}" pid="10" name="MSIP_Label_6b1c86d0-ab94-4a76-a7e0-2d85816d58bc_Extended_MSFT_Method">
    <vt:lpwstr>Standard</vt:lpwstr>
  </property>
  <property fmtid="{D5CDD505-2E9C-101B-9397-08002B2CF9AE}" pid="11" name="Sensitivity">
    <vt:lpwstr>Restricted</vt:lpwstr>
  </property>
</Properties>
</file>