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0DD79" w14:textId="5E760E00" w:rsidR="00DB5013" w:rsidRDefault="00DB5013" w:rsidP="00DB5013">
      <w:pPr>
        <w:rPr>
          <w:rFonts w:ascii="Times New Roman" w:hAnsi="Times New Roman" w:cs="Times New Roman"/>
          <w:b/>
        </w:rPr>
      </w:pPr>
      <w:r>
        <w:rPr>
          <w:rFonts w:ascii="Times New Roman" w:hAnsi="Times New Roman" w:cs="Times New Roman"/>
          <w:b/>
        </w:rPr>
        <w:t>Online Resource 1</w:t>
      </w:r>
    </w:p>
    <w:p w14:paraId="1D9BCB31" w14:textId="77777777" w:rsidR="00DB5013" w:rsidRDefault="00DB5013" w:rsidP="00DB5013">
      <w:pPr>
        <w:rPr>
          <w:rFonts w:ascii="Times New Roman" w:hAnsi="Times New Roman" w:cs="Times New Roman"/>
          <w:b/>
        </w:rPr>
      </w:pPr>
    </w:p>
    <w:p w14:paraId="26663E1E" w14:textId="1CFE0B69" w:rsidR="00DB5013" w:rsidRDefault="00DB5013" w:rsidP="00DB5013">
      <w:pPr>
        <w:rPr>
          <w:rFonts w:ascii="Times New Roman" w:hAnsi="Times New Roman" w:cs="Times New Roman"/>
          <w:bCs/>
          <w:i/>
          <w:iCs/>
        </w:rPr>
      </w:pPr>
      <w:r>
        <w:rPr>
          <w:rFonts w:ascii="Times New Roman" w:hAnsi="Times New Roman" w:cs="Times New Roman"/>
          <w:bCs/>
          <w:i/>
          <w:iCs/>
        </w:rPr>
        <w:t>Example of analysis from phase 1</w:t>
      </w:r>
    </w:p>
    <w:p w14:paraId="3703575E" w14:textId="77777777" w:rsidR="00DB5013" w:rsidRPr="00DB5013" w:rsidRDefault="00DB5013" w:rsidP="00DB5013">
      <w:pPr>
        <w:rPr>
          <w:rFonts w:ascii="Times New Roman" w:hAnsi="Times New Roman" w:cs="Times New Roman"/>
          <w:bCs/>
          <w:i/>
          <w:iCs/>
        </w:rPr>
      </w:pPr>
    </w:p>
    <w:p w14:paraId="3F20D1D1" w14:textId="635BF91E" w:rsidR="00F3012B" w:rsidRPr="006951D2" w:rsidRDefault="00A5262B">
      <w:pPr>
        <w:jc w:val="center"/>
        <w:rPr>
          <w:rFonts w:ascii="Times New Roman" w:hAnsi="Times New Roman" w:cs="Times New Roman"/>
          <w:b/>
        </w:rPr>
      </w:pPr>
      <w:r w:rsidRPr="006951D2">
        <w:rPr>
          <w:rFonts w:ascii="Times New Roman" w:hAnsi="Times New Roman" w:cs="Times New Roman"/>
          <w:b/>
        </w:rPr>
        <w:t>Faunal Analysis_2.24.22_V3</w:t>
      </w:r>
    </w:p>
    <w:p w14:paraId="3F58EF07" w14:textId="77777777" w:rsidR="00F3012B" w:rsidRDefault="00A5262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Author J</w:t>
      </w:r>
    </w:p>
    <w:p w14:paraId="51D6AD05" w14:textId="77777777" w:rsidR="00F3012B" w:rsidRDefault="00F3012B">
      <w:pPr>
        <w:rPr>
          <w:rFonts w:ascii="Times New Roman" w:eastAsia="Times New Roman" w:hAnsi="Times New Roman" w:cs="Times New Roman"/>
          <w:sz w:val="24"/>
          <w:szCs w:val="24"/>
        </w:rPr>
      </w:pPr>
    </w:p>
    <w:tbl>
      <w:tblPr>
        <w:tblStyle w:val="a"/>
        <w:tblW w:w="9360" w:type="dxa"/>
        <w:tblLayout w:type="fixed"/>
        <w:tblLook w:val="0600" w:firstRow="0" w:lastRow="0" w:firstColumn="0" w:lastColumn="0" w:noHBand="1" w:noVBand="1"/>
      </w:tblPr>
      <w:tblGrid>
        <w:gridCol w:w="4410"/>
        <w:gridCol w:w="4950"/>
      </w:tblGrid>
      <w:tr w:rsidR="00DB5013" w14:paraId="73C9B90E" w14:textId="77777777" w:rsidTr="00DB5013">
        <w:tc>
          <w:tcPr>
            <w:tcW w:w="4410" w:type="dxa"/>
            <w:tcBorders>
              <w:top w:val="single" w:sz="4" w:space="0" w:color="auto"/>
              <w:bottom w:val="single" w:sz="4" w:space="0" w:color="auto"/>
            </w:tcBorders>
            <w:shd w:val="clear" w:color="auto" w:fill="auto"/>
            <w:tcMar>
              <w:top w:w="100" w:type="dxa"/>
              <w:left w:w="100" w:type="dxa"/>
              <w:bottom w:w="100" w:type="dxa"/>
              <w:right w:w="100" w:type="dxa"/>
            </w:tcMar>
          </w:tcPr>
          <w:p w14:paraId="33B86B9D" w14:textId="302C06BE" w:rsidR="00DB5013" w:rsidRPr="00DB5013" w:rsidRDefault="00DB5013" w:rsidP="00DB5013">
            <w:pPr>
              <w:widowControl w:val="0"/>
              <w:spacing w:line="240" w:lineRule="auto"/>
              <w:rPr>
                <w:rFonts w:ascii="Times New Roman" w:eastAsia="Times New Roman" w:hAnsi="Times New Roman" w:cs="Times New Roman"/>
                <w:b/>
                <w:bCs/>
                <w:sz w:val="24"/>
                <w:szCs w:val="24"/>
              </w:rPr>
            </w:pPr>
            <w:r w:rsidRPr="00DB5013">
              <w:rPr>
                <w:rFonts w:ascii="Times New Roman" w:hAnsi="Times New Roman" w:cs="Times New Roman"/>
                <w:b/>
                <w:bCs/>
              </w:rPr>
              <w:t>Video Observations (Evidence)</w:t>
            </w:r>
          </w:p>
        </w:tc>
        <w:tc>
          <w:tcPr>
            <w:tcW w:w="4950" w:type="dxa"/>
            <w:tcBorders>
              <w:top w:val="single" w:sz="4" w:space="0" w:color="auto"/>
              <w:bottom w:val="single" w:sz="4" w:space="0" w:color="auto"/>
            </w:tcBorders>
            <w:shd w:val="clear" w:color="auto" w:fill="auto"/>
            <w:tcMar>
              <w:top w:w="100" w:type="dxa"/>
              <w:left w:w="100" w:type="dxa"/>
              <w:bottom w:w="100" w:type="dxa"/>
              <w:right w:w="100" w:type="dxa"/>
            </w:tcMar>
          </w:tcPr>
          <w:p w14:paraId="450534DC" w14:textId="76AE0537" w:rsidR="00DB5013" w:rsidRPr="00DB5013" w:rsidRDefault="00DB5013" w:rsidP="00DB5013">
            <w:pPr>
              <w:widowControl w:val="0"/>
              <w:spacing w:line="240" w:lineRule="auto"/>
              <w:rPr>
                <w:rFonts w:ascii="Times New Roman" w:eastAsia="Times New Roman" w:hAnsi="Times New Roman" w:cs="Times New Roman"/>
                <w:b/>
                <w:bCs/>
                <w:sz w:val="24"/>
                <w:szCs w:val="24"/>
              </w:rPr>
            </w:pPr>
            <w:r w:rsidRPr="00DB5013">
              <w:rPr>
                <w:rFonts w:ascii="Times New Roman" w:hAnsi="Times New Roman" w:cs="Times New Roman"/>
                <w:b/>
                <w:bCs/>
              </w:rPr>
              <w:t>Interpretation (Who are students expected to be?</w:t>
            </w:r>
            <w:r>
              <w:rPr>
                <w:rFonts w:ascii="Times New Roman" w:hAnsi="Times New Roman" w:cs="Times New Roman"/>
                <w:b/>
                <w:bCs/>
              </w:rPr>
              <w:t>)</w:t>
            </w:r>
          </w:p>
        </w:tc>
      </w:tr>
      <w:tr w:rsidR="00F3012B" w14:paraId="33FAA913" w14:textId="77777777" w:rsidTr="00DB5013">
        <w:tc>
          <w:tcPr>
            <w:tcW w:w="4410" w:type="dxa"/>
            <w:tcBorders>
              <w:top w:val="single" w:sz="4" w:space="0" w:color="auto"/>
            </w:tcBorders>
            <w:shd w:val="clear" w:color="auto" w:fill="auto"/>
            <w:tcMar>
              <w:top w:w="100" w:type="dxa"/>
              <w:left w:w="100" w:type="dxa"/>
              <w:bottom w:w="100" w:type="dxa"/>
              <w:right w:w="100" w:type="dxa"/>
            </w:tcMar>
          </w:tcPr>
          <w:p w14:paraId="1CCD45D3" w14:textId="77777777" w:rsidR="00F3012B" w:rsidRDefault="006951D2">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Aubrey</w:t>
            </w:r>
            <w:r w:rsidR="00A5262B">
              <w:rPr>
                <w:rFonts w:ascii="Times New Roman" w:eastAsia="Times New Roman" w:hAnsi="Times New Roman" w:cs="Times New Roman"/>
                <w:sz w:val="24"/>
                <w:szCs w:val="24"/>
              </w:rPr>
              <w:t xml:space="preserve"> to students: “You can pick up the bones on the table, but you can’t move them”</w:t>
            </w:r>
          </w:p>
        </w:tc>
        <w:tc>
          <w:tcPr>
            <w:tcW w:w="4950" w:type="dxa"/>
            <w:tcBorders>
              <w:top w:val="single" w:sz="4" w:space="0" w:color="auto"/>
            </w:tcBorders>
            <w:shd w:val="clear" w:color="auto" w:fill="auto"/>
            <w:tcMar>
              <w:top w:w="100" w:type="dxa"/>
              <w:left w:w="100" w:type="dxa"/>
              <w:bottom w:w="100" w:type="dxa"/>
              <w:right w:w="100" w:type="dxa"/>
            </w:tcMar>
          </w:tcPr>
          <w:p w14:paraId="09FC6D52" w14:textId="77777777" w:rsidR="00F3012B" w:rsidRDefault="006951D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Aubrey</w:t>
            </w:r>
            <w:r w:rsidR="00A5262B">
              <w:rPr>
                <w:rFonts w:ascii="Times New Roman" w:eastAsia="Times New Roman" w:hAnsi="Times New Roman" w:cs="Times New Roman"/>
                <w:sz w:val="24"/>
                <w:szCs w:val="24"/>
              </w:rPr>
              <w:t>, a guest speaker invited to talk about faunal analysis, spent the beginning of the video telling students what they have to do for the activity as well as how to do it. This is an educator/student expectation. The educators expect the students to complete the activity in a specific way, which does not give them much freedom to explore other options. They also gave them a clear set of rules they had to follow in order to complete the activity (keeping the bones on the table)</w:t>
            </w:r>
          </w:p>
        </w:tc>
      </w:tr>
      <w:tr w:rsidR="00F3012B" w14:paraId="6555EDD2" w14:textId="77777777" w:rsidTr="00DB5013">
        <w:tc>
          <w:tcPr>
            <w:tcW w:w="4410" w:type="dxa"/>
            <w:shd w:val="clear" w:color="auto" w:fill="auto"/>
            <w:tcMar>
              <w:top w:w="100" w:type="dxa"/>
              <w:left w:w="100" w:type="dxa"/>
              <w:bottom w:w="100" w:type="dxa"/>
              <w:right w:w="100" w:type="dxa"/>
            </w:tcMar>
          </w:tcPr>
          <w:p w14:paraId="3234FFEA" w14:textId="77777777" w:rsidR="00F3012B" w:rsidRDefault="00A5262B">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 the students were able to complete the activity on their own, a designated leader seemed to form on camera. One student looked at her friends and said “Okay, let’s look here”. To this, all of her friends followed her to where camera 3 was set up</w:t>
            </w:r>
          </w:p>
        </w:tc>
        <w:tc>
          <w:tcPr>
            <w:tcW w:w="4950" w:type="dxa"/>
            <w:shd w:val="clear" w:color="auto" w:fill="auto"/>
            <w:tcMar>
              <w:top w:w="100" w:type="dxa"/>
              <w:left w:w="100" w:type="dxa"/>
              <w:bottom w:w="100" w:type="dxa"/>
              <w:right w:w="100" w:type="dxa"/>
            </w:tcMar>
          </w:tcPr>
          <w:p w14:paraId="364A8ED2"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 unsure if I am observing the appearance of a designated leader in a group activity, or witnessing the continuation of a leader in a friend group. With many middle-school girls, friendships form around an individual, the leader, who brings people in and is also a key factor in getting people to leave. These individuals are often scared to go against what the leader wants, and often follow their desires. When the student told her friends “let’s look here”, all of her friends followed her without a second thought. In fact, it appeared as if they moved as one, like this was something they do all of the time</w:t>
            </w:r>
          </w:p>
        </w:tc>
      </w:tr>
      <w:tr w:rsidR="00F3012B" w14:paraId="6A25F471" w14:textId="77777777" w:rsidTr="00DB5013">
        <w:tc>
          <w:tcPr>
            <w:tcW w:w="4410" w:type="dxa"/>
            <w:tcBorders>
              <w:bottom w:val="single" w:sz="4" w:space="0" w:color="auto"/>
            </w:tcBorders>
            <w:shd w:val="clear" w:color="auto" w:fill="auto"/>
            <w:tcMar>
              <w:top w:w="100" w:type="dxa"/>
              <w:left w:w="100" w:type="dxa"/>
              <w:bottom w:w="100" w:type="dxa"/>
              <w:right w:w="100" w:type="dxa"/>
            </w:tcMar>
          </w:tcPr>
          <w:p w14:paraId="2C9181D5" w14:textId="77777777" w:rsidR="00F3012B" w:rsidRDefault="00A5262B">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this is from a bigger animal” </w:t>
            </w:r>
          </w:p>
          <w:p w14:paraId="652E9B79" w14:textId="77777777" w:rsidR="00F3012B" w:rsidRDefault="00A5262B">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looks like…”</w:t>
            </w:r>
          </w:p>
          <w:p w14:paraId="480F5BA8" w14:textId="77777777" w:rsidR="00F3012B" w:rsidRDefault="00A5262B">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student uses distinguishing features of a bone to find the match </w:t>
            </w:r>
          </w:p>
        </w:tc>
        <w:tc>
          <w:tcPr>
            <w:tcW w:w="4950" w:type="dxa"/>
            <w:tcBorders>
              <w:bottom w:val="single" w:sz="4" w:space="0" w:color="auto"/>
            </w:tcBorders>
            <w:shd w:val="clear" w:color="auto" w:fill="auto"/>
            <w:tcMar>
              <w:top w:w="100" w:type="dxa"/>
              <w:left w:w="100" w:type="dxa"/>
              <w:bottom w:w="100" w:type="dxa"/>
              <w:right w:w="100" w:type="dxa"/>
            </w:tcMar>
          </w:tcPr>
          <w:p w14:paraId="103C08B0"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students use language that situate themselves as observers. They are forming hypotheses (“I think...”, “...looks like…”) from the observations they have made of their mystery bone. Students might not consciously realize they are acting as observers, which shows how ingrained this identity is in their day to day lives</w:t>
            </w:r>
          </w:p>
        </w:tc>
      </w:tr>
    </w:tbl>
    <w:p w14:paraId="49B49A94" w14:textId="77777777" w:rsidR="00DB5013" w:rsidRDefault="00DB5013">
      <w:r>
        <w:br w:type="page"/>
      </w:r>
    </w:p>
    <w:tbl>
      <w:tblPr>
        <w:tblStyle w:val="a"/>
        <w:tblW w:w="9360" w:type="dxa"/>
        <w:tblLayout w:type="fixed"/>
        <w:tblLook w:val="0600" w:firstRow="0" w:lastRow="0" w:firstColumn="0" w:lastColumn="0" w:noHBand="1" w:noVBand="1"/>
      </w:tblPr>
      <w:tblGrid>
        <w:gridCol w:w="4680"/>
        <w:gridCol w:w="4680"/>
      </w:tblGrid>
      <w:tr w:rsidR="00F3012B" w14:paraId="3B4FF8EC" w14:textId="77777777" w:rsidTr="00DB5013">
        <w:tc>
          <w:tcPr>
            <w:tcW w:w="4680" w:type="dxa"/>
            <w:tcBorders>
              <w:top w:val="single" w:sz="4" w:space="0" w:color="auto"/>
            </w:tcBorders>
            <w:shd w:val="clear" w:color="auto" w:fill="auto"/>
            <w:tcMar>
              <w:top w:w="100" w:type="dxa"/>
              <w:left w:w="100" w:type="dxa"/>
              <w:bottom w:w="100" w:type="dxa"/>
              <w:right w:w="100" w:type="dxa"/>
            </w:tcMar>
          </w:tcPr>
          <w:p w14:paraId="4D1F8F35" w14:textId="13F56F1E" w:rsidR="00F3012B" w:rsidRDefault="00A5262B">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Student A: “I don’t think we’re allowed to sit down”</w:t>
            </w:r>
          </w:p>
          <w:p w14:paraId="4EC5BD45" w14:textId="77777777" w:rsidR="00F3012B" w:rsidRDefault="00A5262B">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Educator A: “I think, well I think if you find a match you can sit with it”</w:t>
            </w:r>
          </w:p>
        </w:tc>
        <w:tc>
          <w:tcPr>
            <w:tcW w:w="4680" w:type="dxa"/>
            <w:tcBorders>
              <w:top w:val="single" w:sz="4" w:space="0" w:color="auto"/>
            </w:tcBorders>
            <w:shd w:val="clear" w:color="auto" w:fill="auto"/>
            <w:tcMar>
              <w:top w:w="100" w:type="dxa"/>
              <w:left w:w="100" w:type="dxa"/>
              <w:bottom w:w="100" w:type="dxa"/>
              <w:right w:w="100" w:type="dxa"/>
            </w:tcMar>
          </w:tcPr>
          <w:p w14:paraId="12FAD1D1"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exchange, student A seems to have placed an unspoken expectation on herself. She believes that in order to participate in the activity she is unable to sit down. Educator A then tells her that this might not be the case. Without saying it, educator A is dispelling these unspoken expectations and lets the student know that this is not an expectation the educators have for the students (also evident in the number of students sitting down in the previous videos)</w:t>
            </w:r>
          </w:p>
        </w:tc>
      </w:tr>
      <w:tr w:rsidR="00F3012B" w14:paraId="31F1B141" w14:textId="77777777" w:rsidTr="00DB5013">
        <w:tc>
          <w:tcPr>
            <w:tcW w:w="4680" w:type="dxa"/>
            <w:shd w:val="clear" w:color="auto" w:fill="auto"/>
            <w:tcMar>
              <w:top w:w="100" w:type="dxa"/>
              <w:left w:w="100" w:type="dxa"/>
              <w:bottom w:w="100" w:type="dxa"/>
              <w:right w:w="100" w:type="dxa"/>
            </w:tcMar>
          </w:tcPr>
          <w:p w14:paraId="060D3FD8" w14:textId="77777777" w:rsidR="00F3012B" w:rsidRDefault="00A5262B">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students appear to discuss a TV show they are both watching while completing the activity </w:t>
            </w:r>
          </w:p>
        </w:tc>
        <w:tc>
          <w:tcPr>
            <w:tcW w:w="4680" w:type="dxa"/>
            <w:shd w:val="clear" w:color="auto" w:fill="auto"/>
            <w:tcMar>
              <w:top w:w="100" w:type="dxa"/>
              <w:left w:w="100" w:type="dxa"/>
              <w:bottom w:w="100" w:type="dxa"/>
              <w:right w:w="100" w:type="dxa"/>
            </w:tcMar>
          </w:tcPr>
          <w:p w14:paraId="4556E73C"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observation highlights who students are in this environment. While it might appear that these two students are distracted discussing the TV show, they are actually speaking while writing down their observations. This shows that students can fulfill the expectations of educators while also being themselves in this environment</w:t>
            </w:r>
          </w:p>
        </w:tc>
      </w:tr>
      <w:tr w:rsidR="00F3012B" w14:paraId="18209D2B" w14:textId="77777777" w:rsidTr="00DB5013">
        <w:tc>
          <w:tcPr>
            <w:tcW w:w="4680" w:type="dxa"/>
            <w:shd w:val="clear" w:color="auto" w:fill="auto"/>
            <w:tcMar>
              <w:top w:w="100" w:type="dxa"/>
              <w:left w:w="100" w:type="dxa"/>
              <w:bottom w:w="100" w:type="dxa"/>
              <w:right w:w="100" w:type="dxa"/>
            </w:tcMar>
          </w:tcPr>
          <w:p w14:paraId="2029D6E4" w14:textId="77777777" w:rsidR="00F3012B" w:rsidRDefault="00A5262B">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student explains what kind of bone he thinks his mystery bone is to educators</w:t>
            </w:r>
          </w:p>
          <w:p w14:paraId="0025BF3A" w14:textId="77777777" w:rsidR="00F3012B" w:rsidRDefault="00A5262B">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is one of the legs, I know that”</w:t>
            </w:r>
          </w:p>
        </w:tc>
        <w:tc>
          <w:tcPr>
            <w:tcW w:w="4680" w:type="dxa"/>
            <w:shd w:val="clear" w:color="auto" w:fill="auto"/>
            <w:tcMar>
              <w:top w:w="100" w:type="dxa"/>
              <w:left w:w="100" w:type="dxa"/>
              <w:bottom w:w="100" w:type="dxa"/>
              <w:right w:w="100" w:type="dxa"/>
            </w:tcMar>
          </w:tcPr>
          <w:p w14:paraId="4325B1BE"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student shows confidence in his observations (“I know it”)</w:t>
            </w:r>
          </w:p>
        </w:tc>
      </w:tr>
      <w:tr w:rsidR="00F3012B" w14:paraId="28F026A0" w14:textId="77777777" w:rsidTr="00DB5013">
        <w:tc>
          <w:tcPr>
            <w:tcW w:w="4680" w:type="dxa"/>
            <w:tcBorders>
              <w:bottom w:val="single" w:sz="4" w:space="0" w:color="auto"/>
            </w:tcBorders>
            <w:shd w:val="clear" w:color="auto" w:fill="auto"/>
            <w:tcMar>
              <w:top w:w="100" w:type="dxa"/>
              <w:left w:w="100" w:type="dxa"/>
              <w:bottom w:w="100" w:type="dxa"/>
              <w:right w:w="100" w:type="dxa"/>
            </w:tcMar>
          </w:tcPr>
          <w:p w14:paraId="363A4600" w14:textId="77777777" w:rsidR="00F3012B" w:rsidRDefault="00A5262B">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two boys who were fooling around with cameras 1 and 2 make another appearance fooling around with camera 3</w:t>
            </w:r>
          </w:p>
        </w:tc>
        <w:tc>
          <w:tcPr>
            <w:tcW w:w="4680" w:type="dxa"/>
            <w:tcBorders>
              <w:bottom w:val="single" w:sz="4" w:space="0" w:color="auto"/>
            </w:tcBorders>
            <w:shd w:val="clear" w:color="auto" w:fill="auto"/>
            <w:tcMar>
              <w:top w:w="100" w:type="dxa"/>
              <w:left w:w="100" w:type="dxa"/>
              <w:bottom w:w="100" w:type="dxa"/>
              <w:right w:w="100" w:type="dxa"/>
            </w:tcMar>
          </w:tcPr>
          <w:p w14:paraId="749C3D7F"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observation highlights who students are in this environment, as well as who they are meant to be. The two boys who are fooling around with the cameras might not want to be following a specific set of rules or guidelines after sitting in a classroom doing the same thing all day. Perhaps they want to have fun and release energy they were unable to during the day. Since the boys have appeared in all of the faunal analysis videos so far, an assumption can be made that they are not just going from camera to camera. They might be moving from table to table looking for a matching bone (as evidence that they are not appearing in the frames all the time, only once they come to the table with their worksheets), and messing with the cameras. With this in mind, these students might be putting their own spin on expectations placed on them by educators</w:t>
            </w:r>
          </w:p>
        </w:tc>
      </w:tr>
    </w:tbl>
    <w:p w14:paraId="0ED11F35" w14:textId="77777777" w:rsidR="00DB5013" w:rsidRDefault="00DB5013">
      <w:r>
        <w:br w:type="page"/>
      </w:r>
    </w:p>
    <w:tbl>
      <w:tblPr>
        <w:tblStyle w:val="a"/>
        <w:tblW w:w="9360" w:type="dxa"/>
        <w:tblLayout w:type="fixed"/>
        <w:tblLook w:val="0600" w:firstRow="0" w:lastRow="0" w:firstColumn="0" w:lastColumn="0" w:noHBand="1" w:noVBand="1"/>
      </w:tblPr>
      <w:tblGrid>
        <w:gridCol w:w="4680"/>
        <w:gridCol w:w="4680"/>
      </w:tblGrid>
      <w:tr w:rsidR="00F3012B" w14:paraId="307E5D4E" w14:textId="77777777" w:rsidTr="00DB5013">
        <w:tc>
          <w:tcPr>
            <w:tcW w:w="4680" w:type="dxa"/>
            <w:tcBorders>
              <w:top w:val="single" w:sz="4" w:space="0" w:color="auto"/>
            </w:tcBorders>
            <w:shd w:val="clear" w:color="auto" w:fill="auto"/>
            <w:tcMar>
              <w:top w:w="100" w:type="dxa"/>
              <w:left w:w="100" w:type="dxa"/>
              <w:bottom w:w="100" w:type="dxa"/>
              <w:right w:w="100" w:type="dxa"/>
            </w:tcMar>
          </w:tcPr>
          <w:p w14:paraId="20069AC6" w14:textId="5E0F5F8A" w:rsidR="00F3012B" w:rsidRDefault="00A5262B">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Designated leader from video 2: “This is my third match”</w:t>
            </w:r>
          </w:p>
        </w:tc>
        <w:tc>
          <w:tcPr>
            <w:tcW w:w="4680" w:type="dxa"/>
            <w:tcBorders>
              <w:top w:val="single" w:sz="4" w:space="0" w:color="auto"/>
            </w:tcBorders>
            <w:shd w:val="clear" w:color="auto" w:fill="auto"/>
            <w:tcMar>
              <w:top w:w="100" w:type="dxa"/>
              <w:left w:w="100" w:type="dxa"/>
              <w:bottom w:w="100" w:type="dxa"/>
              <w:right w:w="100" w:type="dxa"/>
            </w:tcMar>
          </w:tcPr>
          <w:p w14:paraId="386C5ED2"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my explanations for video 2, I stated that this student was perhaps disinterested in the activity based on his body language (sitting down, discussing video games with his friend, etc.). But, here we get evidence that the designated leader might have actually been interested in the activity. </w:t>
            </w:r>
          </w:p>
        </w:tc>
      </w:tr>
      <w:tr w:rsidR="00F3012B" w14:paraId="08FA33BC" w14:textId="77777777" w:rsidTr="00DB5013">
        <w:tc>
          <w:tcPr>
            <w:tcW w:w="4680" w:type="dxa"/>
            <w:shd w:val="clear" w:color="auto" w:fill="auto"/>
            <w:tcMar>
              <w:top w:w="100" w:type="dxa"/>
              <w:left w:w="100" w:type="dxa"/>
              <w:bottom w:w="100" w:type="dxa"/>
              <w:right w:w="100" w:type="dxa"/>
            </w:tcMar>
          </w:tcPr>
          <w:p w14:paraId="7ACE49F5" w14:textId="77777777" w:rsidR="00F3012B" w:rsidRDefault="00A5262B">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to student: “I’m not </w:t>
            </w:r>
            <w:proofErr w:type="spellStart"/>
            <w:r>
              <w:rPr>
                <w:rFonts w:ascii="Times New Roman" w:eastAsia="Times New Roman" w:hAnsi="Times New Roman" w:cs="Times New Roman"/>
                <w:sz w:val="24"/>
                <w:szCs w:val="24"/>
              </w:rPr>
              <w:t>teachering</w:t>
            </w:r>
            <w:proofErr w:type="spellEnd"/>
            <w:r>
              <w:rPr>
                <w:rFonts w:ascii="Times New Roman" w:eastAsia="Times New Roman" w:hAnsi="Times New Roman" w:cs="Times New Roman"/>
                <w:sz w:val="24"/>
                <w:szCs w:val="24"/>
              </w:rPr>
              <w:t xml:space="preserve"> you right now. I genuinely don’t know. What part [bone] is this?”</w:t>
            </w:r>
          </w:p>
        </w:tc>
        <w:tc>
          <w:tcPr>
            <w:tcW w:w="4680" w:type="dxa"/>
            <w:shd w:val="clear" w:color="auto" w:fill="auto"/>
            <w:tcMar>
              <w:top w:w="100" w:type="dxa"/>
              <w:left w:w="100" w:type="dxa"/>
              <w:bottom w:w="100" w:type="dxa"/>
              <w:right w:w="100" w:type="dxa"/>
            </w:tcMar>
          </w:tcPr>
          <w:p w14:paraId="56F826ED"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statement shows a disruption of common roles. In this instance, the teacher becomes the student, and the student becomes the teacher. While it might seem strange, this is a good way to build a student</w:t>
            </w:r>
            <w:r w:rsidR="00013798">
              <w:rPr>
                <w:rFonts w:ascii="Times New Roman" w:eastAsia="Times New Roman" w:hAnsi="Times New Roman" w:cs="Times New Roman"/>
                <w:sz w:val="24"/>
                <w:szCs w:val="24"/>
              </w:rPr>
              <w:t>’</w:t>
            </w:r>
            <w:r>
              <w:rPr>
                <w:rFonts w:ascii="Times New Roman" w:eastAsia="Times New Roman" w:hAnsi="Times New Roman" w:cs="Times New Roman"/>
                <w:sz w:val="24"/>
                <w:szCs w:val="24"/>
              </w:rPr>
              <w:t>s confidence in their knowledge</w:t>
            </w:r>
          </w:p>
        </w:tc>
      </w:tr>
      <w:tr w:rsidR="00F3012B" w14:paraId="4397477A" w14:textId="77777777" w:rsidTr="00DB5013">
        <w:tc>
          <w:tcPr>
            <w:tcW w:w="4680" w:type="dxa"/>
            <w:shd w:val="clear" w:color="auto" w:fill="auto"/>
            <w:tcMar>
              <w:top w:w="100" w:type="dxa"/>
              <w:left w:w="100" w:type="dxa"/>
              <w:bottom w:w="100" w:type="dxa"/>
              <w:right w:w="100" w:type="dxa"/>
            </w:tcMar>
          </w:tcPr>
          <w:p w14:paraId="019F5A6A" w14:textId="77777777" w:rsidR="00F3012B" w:rsidRDefault="00A5262B">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Educators asking students questions about bones</w:t>
            </w:r>
          </w:p>
          <w:p w14:paraId="595C40F0" w14:textId="77777777" w:rsidR="00F3012B" w:rsidRDefault="00A5262B">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Nina helping student make observations about the bones </w:t>
            </w:r>
          </w:p>
        </w:tc>
        <w:tc>
          <w:tcPr>
            <w:tcW w:w="4680" w:type="dxa"/>
            <w:shd w:val="clear" w:color="auto" w:fill="auto"/>
            <w:tcMar>
              <w:top w:w="100" w:type="dxa"/>
              <w:left w:w="100" w:type="dxa"/>
              <w:bottom w:w="100" w:type="dxa"/>
              <w:right w:w="100" w:type="dxa"/>
            </w:tcMar>
          </w:tcPr>
          <w:p w14:paraId="43342C60"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educators are helping students expand their observations by asking questions and guiding their thinking. By doing this, they could allow the students to gain confidence in their abilities</w:t>
            </w:r>
          </w:p>
        </w:tc>
      </w:tr>
      <w:tr w:rsidR="00F3012B" w14:paraId="5AC0F8CA" w14:textId="77777777" w:rsidTr="00DB5013">
        <w:tc>
          <w:tcPr>
            <w:tcW w:w="4680" w:type="dxa"/>
            <w:tcBorders>
              <w:bottom w:val="single" w:sz="4" w:space="0" w:color="auto"/>
            </w:tcBorders>
            <w:shd w:val="clear" w:color="auto" w:fill="auto"/>
            <w:tcMar>
              <w:top w:w="100" w:type="dxa"/>
              <w:left w:w="100" w:type="dxa"/>
              <w:bottom w:w="100" w:type="dxa"/>
              <w:right w:w="100" w:type="dxa"/>
            </w:tcMar>
          </w:tcPr>
          <w:p w14:paraId="1D9DDCAD" w14:textId="77777777" w:rsidR="00F3012B" w:rsidRDefault="00A5262B">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“Are we supposed to do anything with this [the worksheet] when we’re done?”</w:t>
            </w:r>
          </w:p>
          <w:p w14:paraId="4C27AC05" w14:textId="77777777" w:rsidR="00F3012B" w:rsidRDefault="00A5262B">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Nina: “You can leave it right here”</w:t>
            </w:r>
          </w:p>
        </w:tc>
        <w:tc>
          <w:tcPr>
            <w:tcW w:w="4680" w:type="dxa"/>
            <w:tcBorders>
              <w:bottom w:val="single" w:sz="4" w:space="0" w:color="auto"/>
            </w:tcBorders>
            <w:shd w:val="clear" w:color="auto" w:fill="auto"/>
            <w:tcMar>
              <w:top w:w="100" w:type="dxa"/>
              <w:left w:w="100" w:type="dxa"/>
              <w:bottom w:w="100" w:type="dxa"/>
              <w:right w:w="100" w:type="dxa"/>
            </w:tcMar>
          </w:tcPr>
          <w:p w14:paraId="28FF071F" w14:textId="77777777" w:rsidR="00F3012B" w:rsidRDefault="00A526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an educator is furthering the formality of the program. The handing in of work is a commonplace in a formal classroom. Students and educators are carrying this formal aspect over into the informal setting of the after school</w:t>
            </w:r>
          </w:p>
        </w:tc>
      </w:tr>
    </w:tbl>
    <w:p w14:paraId="381556FE" w14:textId="77777777" w:rsidR="00F3012B" w:rsidRDefault="00F3012B">
      <w:pPr>
        <w:rPr>
          <w:rFonts w:ascii="Times New Roman" w:eastAsia="Times New Roman" w:hAnsi="Times New Roman" w:cs="Times New Roman"/>
          <w:sz w:val="24"/>
          <w:szCs w:val="24"/>
        </w:rPr>
      </w:pPr>
    </w:p>
    <w:p w14:paraId="25B7208C" w14:textId="77777777" w:rsidR="00F3012B" w:rsidRPr="00A5262B" w:rsidRDefault="00A5262B">
      <w:pPr>
        <w:rPr>
          <w:i/>
        </w:rPr>
      </w:pPr>
      <w:r>
        <w:rPr>
          <w:i/>
        </w:rPr>
        <w:t>Author A</w:t>
      </w:r>
    </w:p>
    <w:p w14:paraId="7D685F44" w14:textId="77777777" w:rsidR="00F3012B" w:rsidRDefault="00F3012B">
      <w:pPr>
        <w:rPr>
          <w:b/>
        </w:rPr>
      </w:pPr>
    </w:p>
    <w:tbl>
      <w:tblPr>
        <w:tblStyle w:val="a0"/>
        <w:tblW w:w="9705" w:type="dxa"/>
        <w:tblLayout w:type="fixed"/>
        <w:tblLook w:val="0600" w:firstRow="0" w:lastRow="0" w:firstColumn="0" w:lastColumn="0" w:noHBand="1" w:noVBand="1"/>
      </w:tblPr>
      <w:tblGrid>
        <w:gridCol w:w="4590"/>
        <w:gridCol w:w="5115"/>
      </w:tblGrid>
      <w:tr w:rsidR="00F3012B" w:rsidRPr="006951D2" w14:paraId="48AAC11B" w14:textId="77777777" w:rsidTr="00DB5013">
        <w:tc>
          <w:tcPr>
            <w:tcW w:w="4590" w:type="dxa"/>
            <w:tcBorders>
              <w:top w:val="single" w:sz="4" w:space="0" w:color="auto"/>
              <w:bottom w:val="single" w:sz="4" w:space="0" w:color="auto"/>
            </w:tcBorders>
            <w:shd w:val="clear" w:color="auto" w:fill="auto"/>
            <w:tcMar>
              <w:top w:w="100" w:type="dxa"/>
              <w:left w:w="100" w:type="dxa"/>
              <w:bottom w:w="100" w:type="dxa"/>
              <w:right w:w="100" w:type="dxa"/>
            </w:tcMar>
          </w:tcPr>
          <w:p w14:paraId="281BADB0" w14:textId="77777777" w:rsidR="006951D2" w:rsidRPr="00DB5013" w:rsidRDefault="00A5262B">
            <w:pPr>
              <w:widowControl w:val="0"/>
              <w:pBdr>
                <w:top w:val="nil"/>
                <w:left w:val="nil"/>
                <w:bottom w:val="nil"/>
                <w:right w:val="nil"/>
                <w:between w:val="nil"/>
              </w:pBdr>
              <w:spacing w:line="240" w:lineRule="auto"/>
              <w:rPr>
                <w:rFonts w:ascii="Times New Roman" w:hAnsi="Times New Roman" w:cs="Times New Roman"/>
                <w:b/>
                <w:bCs/>
              </w:rPr>
            </w:pPr>
            <w:r w:rsidRPr="00DB5013">
              <w:rPr>
                <w:rFonts w:ascii="Times New Roman" w:hAnsi="Times New Roman" w:cs="Times New Roman"/>
                <w:b/>
                <w:bCs/>
              </w:rPr>
              <w:t>Video Observations (Evidence)</w:t>
            </w:r>
          </w:p>
        </w:tc>
        <w:tc>
          <w:tcPr>
            <w:tcW w:w="5115" w:type="dxa"/>
            <w:tcBorders>
              <w:top w:val="single" w:sz="4" w:space="0" w:color="auto"/>
              <w:bottom w:val="single" w:sz="4" w:space="0" w:color="auto"/>
            </w:tcBorders>
            <w:shd w:val="clear" w:color="auto" w:fill="auto"/>
            <w:tcMar>
              <w:top w:w="100" w:type="dxa"/>
              <w:left w:w="100" w:type="dxa"/>
              <w:bottom w:w="100" w:type="dxa"/>
              <w:right w:w="100" w:type="dxa"/>
            </w:tcMar>
          </w:tcPr>
          <w:p w14:paraId="48E307B0" w14:textId="77777777" w:rsidR="00F3012B" w:rsidRPr="00DB5013" w:rsidRDefault="00A5262B">
            <w:pPr>
              <w:widowControl w:val="0"/>
              <w:pBdr>
                <w:top w:val="nil"/>
                <w:left w:val="nil"/>
                <w:bottom w:val="nil"/>
                <w:right w:val="nil"/>
                <w:between w:val="nil"/>
              </w:pBdr>
              <w:spacing w:line="240" w:lineRule="auto"/>
              <w:rPr>
                <w:rFonts w:ascii="Times New Roman" w:hAnsi="Times New Roman" w:cs="Times New Roman"/>
                <w:b/>
                <w:bCs/>
              </w:rPr>
            </w:pPr>
            <w:r w:rsidRPr="00DB5013">
              <w:rPr>
                <w:rFonts w:ascii="Times New Roman" w:hAnsi="Times New Roman" w:cs="Times New Roman"/>
                <w:b/>
                <w:bCs/>
              </w:rPr>
              <w:t>Interpretation (Who are students expected to be?</w:t>
            </w:r>
          </w:p>
        </w:tc>
      </w:tr>
      <w:tr w:rsidR="00F3012B" w:rsidRPr="006951D2" w14:paraId="21E46E2D" w14:textId="77777777" w:rsidTr="00DB5013">
        <w:tc>
          <w:tcPr>
            <w:tcW w:w="4590" w:type="dxa"/>
            <w:tcBorders>
              <w:top w:val="single" w:sz="4" w:space="0" w:color="auto"/>
              <w:bottom w:val="single" w:sz="4" w:space="0" w:color="auto"/>
            </w:tcBorders>
            <w:shd w:val="clear" w:color="auto" w:fill="auto"/>
            <w:tcMar>
              <w:top w:w="100" w:type="dxa"/>
              <w:left w:w="100" w:type="dxa"/>
              <w:bottom w:w="100" w:type="dxa"/>
              <w:right w:w="100" w:type="dxa"/>
            </w:tcMar>
          </w:tcPr>
          <w:p w14:paraId="59BEFE4D"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Directions were provided prior to the activity. ‘Animals are on the table, you can move your archaeological bone and when you are done put it back and get another. You can pick the bones up at the table but do not carry them to other tables. And keep them over the table.’ “Come fill it out.” “Come get a bone.”</w:t>
            </w:r>
          </w:p>
          <w:p w14:paraId="0F2EB37B"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0DA8318E"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Students were observed carrying around sheets to document information. (Sheet has 6 columns - element, animal, age, marks, comments, count). “What does the category element mean?</w:t>
            </w:r>
          </w:p>
          <w:p w14:paraId="0881CD16"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Nine told one student to “put that down,” meaning put their discovery in the table.</w:t>
            </w:r>
          </w:p>
          <w:p w14:paraId="76A576D1"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44CC281C"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At the end, one student seemed to ask about where to turn in their paper.</w:t>
            </w:r>
          </w:p>
        </w:tc>
        <w:tc>
          <w:tcPr>
            <w:tcW w:w="5115" w:type="dxa"/>
            <w:tcBorders>
              <w:top w:val="single" w:sz="4" w:space="0" w:color="auto"/>
              <w:bottom w:val="single" w:sz="4" w:space="0" w:color="auto"/>
            </w:tcBorders>
            <w:shd w:val="clear" w:color="auto" w:fill="auto"/>
            <w:tcMar>
              <w:top w:w="100" w:type="dxa"/>
              <w:left w:w="100" w:type="dxa"/>
              <w:bottom w:w="100" w:type="dxa"/>
              <w:right w:w="100" w:type="dxa"/>
            </w:tcMar>
          </w:tcPr>
          <w:p w14:paraId="672BA17F" w14:textId="77777777" w:rsidR="00F3012B" w:rsidRPr="006951D2" w:rsidRDefault="00A5262B">
            <w:pPr>
              <w:widowControl w:val="0"/>
              <w:spacing w:line="240" w:lineRule="auto"/>
              <w:rPr>
                <w:rFonts w:ascii="Times New Roman" w:hAnsi="Times New Roman" w:cs="Times New Roman"/>
              </w:rPr>
            </w:pPr>
            <w:r w:rsidRPr="006951D2">
              <w:rPr>
                <w:rFonts w:ascii="Times New Roman" w:hAnsi="Times New Roman" w:cs="Times New Roman"/>
              </w:rPr>
              <w:t>Directions provide students with expectations or how they should engage in the activity that is acceptable. Students are invited and expected to complete a worksheet and to initiate getting a bone from the table.</w:t>
            </w:r>
          </w:p>
          <w:p w14:paraId="0FDF717C" w14:textId="77777777" w:rsidR="00F3012B" w:rsidRPr="006951D2" w:rsidRDefault="00F3012B">
            <w:pPr>
              <w:widowControl w:val="0"/>
              <w:spacing w:line="240" w:lineRule="auto"/>
              <w:rPr>
                <w:rFonts w:ascii="Times New Roman" w:hAnsi="Times New Roman" w:cs="Times New Roman"/>
              </w:rPr>
            </w:pPr>
          </w:p>
          <w:p w14:paraId="0A116E8D" w14:textId="77777777" w:rsidR="00F3012B" w:rsidRPr="006951D2" w:rsidRDefault="00F3012B">
            <w:pPr>
              <w:widowControl w:val="0"/>
              <w:spacing w:line="240" w:lineRule="auto"/>
              <w:rPr>
                <w:rFonts w:ascii="Times New Roman" w:hAnsi="Times New Roman" w:cs="Times New Roman"/>
              </w:rPr>
            </w:pPr>
          </w:p>
          <w:p w14:paraId="59CADC28" w14:textId="77777777" w:rsidR="00F3012B" w:rsidRPr="006951D2" w:rsidRDefault="00F3012B">
            <w:pPr>
              <w:widowControl w:val="0"/>
              <w:spacing w:line="240" w:lineRule="auto"/>
              <w:rPr>
                <w:rFonts w:ascii="Times New Roman" w:hAnsi="Times New Roman" w:cs="Times New Roman"/>
              </w:rPr>
            </w:pPr>
          </w:p>
          <w:p w14:paraId="566CC891" w14:textId="77777777" w:rsidR="00F3012B" w:rsidRPr="006951D2" w:rsidRDefault="00F3012B">
            <w:pPr>
              <w:widowControl w:val="0"/>
              <w:spacing w:line="240" w:lineRule="auto"/>
              <w:rPr>
                <w:rFonts w:ascii="Times New Roman" w:hAnsi="Times New Roman" w:cs="Times New Roman"/>
              </w:rPr>
            </w:pPr>
          </w:p>
          <w:p w14:paraId="26573AF1" w14:textId="77777777" w:rsidR="00F3012B" w:rsidRPr="006951D2" w:rsidRDefault="00A5262B">
            <w:pPr>
              <w:widowControl w:val="0"/>
              <w:spacing w:line="240" w:lineRule="auto"/>
              <w:rPr>
                <w:rFonts w:ascii="Times New Roman" w:hAnsi="Times New Roman" w:cs="Times New Roman"/>
              </w:rPr>
            </w:pPr>
            <w:r w:rsidRPr="006951D2">
              <w:rPr>
                <w:rFonts w:ascii="Times New Roman" w:hAnsi="Times New Roman" w:cs="Times New Roman"/>
              </w:rPr>
              <w:t xml:space="preserve">Students were expected to document their observations in a table. The column headings provided direction on what they should consider when trying to find the animal that their individual bone belongs to. </w:t>
            </w:r>
          </w:p>
          <w:p w14:paraId="7B7D0856" w14:textId="77777777" w:rsidR="00F3012B" w:rsidRPr="006951D2" w:rsidRDefault="00F3012B">
            <w:pPr>
              <w:widowControl w:val="0"/>
              <w:spacing w:line="240" w:lineRule="auto"/>
              <w:rPr>
                <w:rFonts w:ascii="Times New Roman" w:hAnsi="Times New Roman" w:cs="Times New Roman"/>
              </w:rPr>
            </w:pPr>
          </w:p>
          <w:p w14:paraId="06B5D4D0" w14:textId="77777777" w:rsidR="00F3012B" w:rsidRPr="006951D2" w:rsidRDefault="00F3012B">
            <w:pPr>
              <w:widowControl w:val="0"/>
              <w:spacing w:line="240" w:lineRule="auto"/>
              <w:rPr>
                <w:rFonts w:ascii="Times New Roman" w:hAnsi="Times New Roman" w:cs="Times New Roman"/>
              </w:rPr>
            </w:pPr>
          </w:p>
          <w:p w14:paraId="08B1F5ED" w14:textId="77777777" w:rsidR="00F3012B" w:rsidRPr="006951D2" w:rsidRDefault="00F3012B">
            <w:pPr>
              <w:widowControl w:val="0"/>
              <w:spacing w:line="240" w:lineRule="auto"/>
              <w:rPr>
                <w:rFonts w:ascii="Times New Roman" w:hAnsi="Times New Roman" w:cs="Times New Roman"/>
              </w:rPr>
            </w:pPr>
          </w:p>
          <w:p w14:paraId="2E3427B7" w14:textId="77777777" w:rsidR="00F3012B" w:rsidRPr="006951D2" w:rsidRDefault="00A5262B">
            <w:pPr>
              <w:widowControl w:val="0"/>
              <w:spacing w:line="240" w:lineRule="auto"/>
              <w:rPr>
                <w:rFonts w:ascii="Times New Roman" w:hAnsi="Times New Roman" w:cs="Times New Roman"/>
              </w:rPr>
            </w:pPr>
            <w:r w:rsidRPr="006951D2">
              <w:rPr>
                <w:rFonts w:ascii="Times New Roman" w:hAnsi="Times New Roman" w:cs="Times New Roman"/>
              </w:rPr>
              <w:t>Classroom norm that transferred to this setting in that a student expected to turn the paper in.</w:t>
            </w:r>
          </w:p>
        </w:tc>
      </w:tr>
    </w:tbl>
    <w:p w14:paraId="5234F0EC" w14:textId="77777777" w:rsidR="00DB5013" w:rsidRDefault="00DB5013">
      <w:r>
        <w:br w:type="page"/>
      </w:r>
    </w:p>
    <w:tbl>
      <w:tblPr>
        <w:tblStyle w:val="a0"/>
        <w:tblW w:w="9705" w:type="dxa"/>
        <w:tblLayout w:type="fixed"/>
        <w:tblLook w:val="0600" w:firstRow="0" w:lastRow="0" w:firstColumn="0" w:lastColumn="0" w:noHBand="1" w:noVBand="1"/>
      </w:tblPr>
      <w:tblGrid>
        <w:gridCol w:w="4590"/>
        <w:gridCol w:w="5115"/>
      </w:tblGrid>
      <w:tr w:rsidR="00F3012B" w:rsidRPr="006951D2" w14:paraId="6F766B74" w14:textId="77777777" w:rsidTr="00DB5013">
        <w:tc>
          <w:tcPr>
            <w:tcW w:w="4590" w:type="dxa"/>
            <w:tcBorders>
              <w:top w:val="single" w:sz="4" w:space="0" w:color="auto"/>
            </w:tcBorders>
            <w:shd w:val="clear" w:color="auto" w:fill="auto"/>
            <w:tcMar>
              <w:top w:w="100" w:type="dxa"/>
              <w:left w:w="100" w:type="dxa"/>
              <w:bottom w:w="100" w:type="dxa"/>
              <w:right w:w="100" w:type="dxa"/>
            </w:tcMar>
          </w:tcPr>
          <w:p w14:paraId="53636DE4" w14:textId="1E1CCEC4"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lastRenderedPageBreak/>
              <w:t>Observations</w:t>
            </w:r>
          </w:p>
          <w:p w14:paraId="287BB0DA"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“Okay, let’s look here. Okay, this is way too big…I think may go to a bigger animal.”</w:t>
            </w:r>
          </w:p>
          <w:p w14:paraId="2C3C59B0"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Observed examining/observing their own bones</w:t>
            </w:r>
          </w:p>
          <w:p w14:paraId="22497B26"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“I’m trying to find the same grain.” Picked up bone from table.</w:t>
            </w:r>
          </w:p>
          <w:p w14:paraId="78061BD8"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“We’re looking for the shape. This one looks similar.”</w:t>
            </w:r>
          </w:p>
          <w:p w14:paraId="1D6732C5"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“What are you looking for? It looks really small. It’s not going to fit there.” Picks up another bone from the table. “That’s really close.”</w:t>
            </w:r>
          </w:p>
          <w:p w14:paraId="1B136871" w14:textId="77777777" w:rsidR="00F3012B" w:rsidRPr="006951D2" w:rsidRDefault="00A5262B">
            <w:pPr>
              <w:widowControl w:val="0"/>
              <w:numPr>
                <w:ilvl w:val="0"/>
                <w:numId w:val="6"/>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 xml:space="preserve">“This is a deer. The ends look alike. This has a triangular look to it. And it’s hollow? Is </w:t>
            </w:r>
            <w:proofErr w:type="spellStart"/>
            <w:r w:rsidRPr="006951D2">
              <w:rPr>
                <w:rFonts w:ascii="Times New Roman" w:hAnsi="Times New Roman" w:cs="Times New Roman"/>
              </w:rPr>
              <w:t>your’s</w:t>
            </w:r>
            <w:proofErr w:type="spellEnd"/>
            <w:r w:rsidRPr="006951D2">
              <w:rPr>
                <w:rFonts w:ascii="Times New Roman" w:hAnsi="Times New Roman" w:cs="Times New Roman"/>
              </w:rPr>
              <w:t xml:space="preserve"> hollow?”</w:t>
            </w:r>
          </w:p>
          <w:p w14:paraId="529A655B"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Explore</w:t>
            </w:r>
            <w:proofErr w:type="gramStart"/>
            <w:r w:rsidRPr="006951D2">
              <w:rPr>
                <w:rFonts w:ascii="Times New Roman" w:hAnsi="Times New Roman" w:cs="Times New Roman"/>
              </w:rPr>
              <w:t>/”Experiment</w:t>
            </w:r>
            <w:proofErr w:type="gramEnd"/>
            <w:r w:rsidRPr="006951D2">
              <w:rPr>
                <w:rFonts w:ascii="Times New Roman" w:hAnsi="Times New Roman" w:cs="Times New Roman"/>
              </w:rPr>
              <w:t>”/Compare and Contrast</w:t>
            </w:r>
          </w:p>
          <w:p w14:paraId="082F37A4" w14:textId="77777777" w:rsidR="00F3012B" w:rsidRPr="006951D2" w:rsidRDefault="00A5262B">
            <w:pPr>
              <w:widowControl w:val="0"/>
              <w:numPr>
                <w:ilvl w:val="0"/>
                <w:numId w:val="7"/>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Picking objects up from table to see if there was a “fit” between their bone and a bone from the table.</w:t>
            </w:r>
          </w:p>
          <w:p w14:paraId="1676516B" w14:textId="77777777" w:rsidR="00F3012B" w:rsidRPr="006951D2" w:rsidRDefault="00A5262B">
            <w:pPr>
              <w:widowControl w:val="0"/>
              <w:numPr>
                <w:ilvl w:val="0"/>
                <w:numId w:val="7"/>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Is this a leg or an arm? Student set them side by side to compare. “This one is longer so it’s the leg.”</w:t>
            </w:r>
          </w:p>
          <w:p w14:paraId="541E2A3F" w14:textId="77777777" w:rsidR="00F3012B" w:rsidRPr="006951D2" w:rsidRDefault="00A5262B">
            <w:pPr>
              <w:widowControl w:val="0"/>
              <w:numPr>
                <w:ilvl w:val="0"/>
                <w:numId w:val="7"/>
              </w:numPr>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“Yeah, I think that’s a match. This is my third match.”</w:t>
            </w:r>
          </w:p>
          <w:p w14:paraId="24478B74"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67BDAF70"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In general, students do not spend a lot of time at one animal/table. They may pick up 1 or 2 bones before walking away.</w:t>
            </w:r>
          </w:p>
        </w:tc>
        <w:tc>
          <w:tcPr>
            <w:tcW w:w="5115" w:type="dxa"/>
            <w:tcBorders>
              <w:top w:val="single" w:sz="4" w:space="0" w:color="auto"/>
            </w:tcBorders>
            <w:shd w:val="clear" w:color="auto" w:fill="auto"/>
            <w:tcMar>
              <w:top w:w="100" w:type="dxa"/>
              <w:left w:w="100" w:type="dxa"/>
              <w:bottom w:w="100" w:type="dxa"/>
              <w:right w:w="100" w:type="dxa"/>
            </w:tcMar>
          </w:tcPr>
          <w:p w14:paraId="730054C5"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 xml:space="preserve">Students were expected to participate as scientists. The directions provided them some guidance as to how to engage in the activity. Some of the quotes and information in the evidence column was from students, which indicates that they participated as scientists - observation and exploration - on their own free will. </w:t>
            </w:r>
          </w:p>
          <w:p w14:paraId="6EC0F7C9"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7BEEBB59"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109643BD"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6FB16D9E"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04C73CF0"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6A798473"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52DB11A2"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3940563C"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7439023A"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4A176162"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7DFFBF3E"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5758BB23"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0210133F"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3DBF1015"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65D8D84F"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4AEF4802"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 wanted to include this last bullet point because it reminded me of this notion that an A means you are competent. Or that competency is a competition in who can get done the fastest.</w:t>
            </w:r>
          </w:p>
          <w:p w14:paraId="58AA517D"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p w14:paraId="1904FD4E"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 xml:space="preserve">Students expect a “quick” answer. </w:t>
            </w:r>
          </w:p>
        </w:tc>
      </w:tr>
      <w:tr w:rsidR="00F3012B" w:rsidRPr="006951D2" w14:paraId="400F3452" w14:textId="77777777" w:rsidTr="00DB5013">
        <w:tc>
          <w:tcPr>
            <w:tcW w:w="4590" w:type="dxa"/>
            <w:shd w:val="clear" w:color="auto" w:fill="auto"/>
            <w:tcMar>
              <w:top w:w="100" w:type="dxa"/>
              <w:left w:w="100" w:type="dxa"/>
              <w:bottom w:w="100" w:type="dxa"/>
              <w:right w:w="100" w:type="dxa"/>
            </w:tcMar>
          </w:tcPr>
          <w:p w14:paraId="2D054457"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One student was not observed in possession of a bone. He identified parts of the bone on the table - spinal cord, leg, spine. Example statement, “This is one of the legs. I know that.”</w:t>
            </w:r>
          </w:p>
        </w:tc>
        <w:tc>
          <w:tcPr>
            <w:tcW w:w="5115" w:type="dxa"/>
            <w:shd w:val="clear" w:color="auto" w:fill="auto"/>
            <w:tcMar>
              <w:top w:w="100" w:type="dxa"/>
              <w:left w:w="100" w:type="dxa"/>
              <w:bottom w:w="100" w:type="dxa"/>
              <w:right w:w="100" w:type="dxa"/>
            </w:tcMar>
          </w:tcPr>
          <w:p w14:paraId="3E1B998B"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This is an example of not participating as expected but participating in naming the bones on the tables.</w:t>
            </w:r>
          </w:p>
          <w:p w14:paraId="43DE3E77"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 xml:space="preserve">The student is confident in their answer. </w:t>
            </w:r>
          </w:p>
        </w:tc>
      </w:tr>
      <w:tr w:rsidR="00F3012B" w:rsidRPr="006951D2" w14:paraId="6CCA32EC" w14:textId="77777777" w:rsidTr="00DB5013">
        <w:tc>
          <w:tcPr>
            <w:tcW w:w="4590" w:type="dxa"/>
            <w:shd w:val="clear" w:color="auto" w:fill="auto"/>
            <w:tcMar>
              <w:top w:w="100" w:type="dxa"/>
              <w:left w:w="100" w:type="dxa"/>
              <w:bottom w:w="100" w:type="dxa"/>
              <w:right w:w="100" w:type="dxa"/>
            </w:tcMar>
          </w:tcPr>
          <w:p w14:paraId="22570682"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 don’t like this. It’s gross.” Student was barely holding on to the bone.</w:t>
            </w:r>
          </w:p>
        </w:tc>
        <w:tc>
          <w:tcPr>
            <w:tcW w:w="5115" w:type="dxa"/>
            <w:shd w:val="clear" w:color="auto" w:fill="auto"/>
            <w:tcMar>
              <w:top w:w="100" w:type="dxa"/>
              <w:left w:w="100" w:type="dxa"/>
              <w:bottom w:w="100" w:type="dxa"/>
              <w:right w:w="100" w:type="dxa"/>
            </w:tcMar>
          </w:tcPr>
          <w:p w14:paraId="7FA15F19"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This is an example of not participating as expected.</w:t>
            </w:r>
          </w:p>
        </w:tc>
      </w:tr>
      <w:tr w:rsidR="00F3012B" w:rsidRPr="006951D2" w14:paraId="4088091C" w14:textId="77777777" w:rsidTr="00DB5013">
        <w:tc>
          <w:tcPr>
            <w:tcW w:w="4590" w:type="dxa"/>
            <w:shd w:val="clear" w:color="auto" w:fill="auto"/>
            <w:tcMar>
              <w:top w:w="100" w:type="dxa"/>
              <w:left w:w="100" w:type="dxa"/>
              <w:bottom w:w="100" w:type="dxa"/>
              <w:right w:w="100" w:type="dxa"/>
            </w:tcMar>
          </w:tcPr>
          <w:p w14:paraId="241076DB"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“I don’t think we can sit down.” Amy reframed as you can sit down if you find the animal of your bone.</w:t>
            </w:r>
          </w:p>
        </w:tc>
        <w:tc>
          <w:tcPr>
            <w:tcW w:w="5115" w:type="dxa"/>
            <w:shd w:val="clear" w:color="auto" w:fill="auto"/>
            <w:tcMar>
              <w:top w:w="100" w:type="dxa"/>
              <w:left w:w="100" w:type="dxa"/>
              <w:bottom w:w="100" w:type="dxa"/>
              <w:right w:w="100" w:type="dxa"/>
            </w:tcMar>
          </w:tcPr>
          <w:p w14:paraId="26AC716C"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tc>
      </w:tr>
      <w:tr w:rsidR="00F3012B" w:rsidRPr="006951D2" w14:paraId="452B4EE5" w14:textId="77777777" w:rsidTr="00DB5013">
        <w:tc>
          <w:tcPr>
            <w:tcW w:w="4590" w:type="dxa"/>
            <w:shd w:val="clear" w:color="auto" w:fill="auto"/>
            <w:tcMar>
              <w:top w:w="100" w:type="dxa"/>
              <w:left w:w="100" w:type="dxa"/>
              <w:bottom w:w="100" w:type="dxa"/>
              <w:right w:w="100" w:type="dxa"/>
            </w:tcMar>
          </w:tcPr>
          <w:p w14:paraId="3DD25EF3"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“This is cool. You’re not telling me I’m a geek.”</w:t>
            </w:r>
          </w:p>
        </w:tc>
        <w:tc>
          <w:tcPr>
            <w:tcW w:w="5115" w:type="dxa"/>
            <w:shd w:val="clear" w:color="auto" w:fill="auto"/>
            <w:tcMar>
              <w:top w:w="100" w:type="dxa"/>
              <w:left w:w="100" w:type="dxa"/>
              <w:bottom w:w="100" w:type="dxa"/>
              <w:right w:w="100" w:type="dxa"/>
            </w:tcMar>
          </w:tcPr>
          <w:p w14:paraId="4A9159B5"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This student did not expect to be labeled as geek because of their interest in the animal bones. This seems to imply that the student is not typically associated or labeled as a geek and in that saying this cool might lower her social status????</w:t>
            </w:r>
          </w:p>
        </w:tc>
      </w:tr>
      <w:tr w:rsidR="00F3012B" w:rsidRPr="006951D2" w14:paraId="79E5C560" w14:textId="77777777" w:rsidTr="00DB5013">
        <w:tc>
          <w:tcPr>
            <w:tcW w:w="4590" w:type="dxa"/>
            <w:tcBorders>
              <w:bottom w:val="single" w:sz="4" w:space="0" w:color="auto"/>
            </w:tcBorders>
            <w:shd w:val="clear" w:color="auto" w:fill="auto"/>
            <w:tcMar>
              <w:top w:w="100" w:type="dxa"/>
              <w:left w:w="100" w:type="dxa"/>
              <w:bottom w:w="100" w:type="dxa"/>
              <w:right w:w="100" w:type="dxa"/>
            </w:tcMar>
          </w:tcPr>
          <w:p w14:paraId="297E6E60"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Perry asked a question if the tool in his hand matched one of two bones. Student responded it looks like the rib bone as it is more curved so more believable.</w:t>
            </w:r>
          </w:p>
        </w:tc>
        <w:tc>
          <w:tcPr>
            <w:tcW w:w="5115" w:type="dxa"/>
            <w:tcBorders>
              <w:bottom w:val="single" w:sz="4" w:space="0" w:color="auto"/>
            </w:tcBorders>
            <w:shd w:val="clear" w:color="auto" w:fill="auto"/>
            <w:tcMar>
              <w:top w:w="100" w:type="dxa"/>
              <w:left w:w="100" w:type="dxa"/>
              <w:bottom w:w="100" w:type="dxa"/>
              <w:right w:w="100" w:type="dxa"/>
            </w:tcMar>
          </w:tcPr>
          <w:p w14:paraId="725D21C7"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 xml:space="preserve">Student justified without being asked for their reasoning. </w:t>
            </w:r>
          </w:p>
        </w:tc>
      </w:tr>
    </w:tbl>
    <w:p w14:paraId="2A21B526" w14:textId="77777777" w:rsidR="00DB5013" w:rsidRDefault="00DB5013">
      <w:r>
        <w:br w:type="page"/>
      </w:r>
    </w:p>
    <w:tbl>
      <w:tblPr>
        <w:tblStyle w:val="a0"/>
        <w:tblW w:w="9705" w:type="dxa"/>
        <w:tblLayout w:type="fixed"/>
        <w:tblLook w:val="0600" w:firstRow="0" w:lastRow="0" w:firstColumn="0" w:lastColumn="0" w:noHBand="1" w:noVBand="1"/>
      </w:tblPr>
      <w:tblGrid>
        <w:gridCol w:w="4590"/>
        <w:gridCol w:w="5115"/>
      </w:tblGrid>
      <w:tr w:rsidR="00F3012B" w:rsidRPr="006951D2" w14:paraId="7E3715A6" w14:textId="77777777" w:rsidTr="00DB5013">
        <w:tc>
          <w:tcPr>
            <w:tcW w:w="4590" w:type="dxa"/>
            <w:tcBorders>
              <w:top w:val="single" w:sz="4" w:space="0" w:color="auto"/>
            </w:tcBorders>
            <w:shd w:val="clear" w:color="auto" w:fill="auto"/>
            <w:tcMar>
              <w:top w:w="100" w:type="dxa"/>
              <w:left w:w="100" w:type="dxa"/>
              <w:bottom w:w="100" w:type="dxa"/>
              <w:right w:w="100" w:type="dxa"/>
            </w:tcMar>
          </w:tcPr>
          <w:p w14:paraId="7ED1FE44" w14:textId="31C9E9F9"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lastRenderedPageBreak/>
              <w:t xml:space="preserve">“What part of the deer is this? I am not </w:t>
            </w:r>
            <w:proofErr w:type="spellStart"/>
            <w:r w:rsidRPr="006951D2">
              <w:rPr>
                <w:rFonts w:ascii="Times New Roman" w:hAnsi="Times New Roman" w:cs="Times New Roman"/>
              </w:rPr>
              <w:t>teachering</w:t>
            </w:r>
            <w:proofErr w:type="spellEnd"/>
            <w:r w:rsidRPr="006951D2">
              <w:rPr>
                <w:rFonts w:ascii="Times New Roman" w:hAnsi="Times New Roman" w:cs="Times New Roman"/>
              </w:rPr>
              <w:t xml:space="preserve"> you right now. I honestly don’t know.”</w:t>
            </w:r>
          </w:p>
        </w:tc>
        <w:tc>
          <w:tcPr>
            <w:tcW w:w="5115" w:type="dxa"/>
            <w:tcBorders>
              <w:top w:val="single" w:sz="4" w:space="0" w:color="auto"/>
            </w:tcBorders>
            <w:shd w:val="clear" w:color="auto" w:fill="auto"/>
            <w:tcMar>
              <w:top w:w="100" w:type="dxa"/>
              <w:left w:w="100" w:type="dxa"/>
              <w:bottom w:w="100" w:type="dxa"/>
              <w:right w:w="100" w:type="dxa"/>
            </w:tcMar>
          </w:tcPr>
          <w:p w14:paraId="5914636C"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Expected to engage with some adults (art teacher for example) as co-learners. The statement is also counter to what one expects from a teacher as teachers are expected to possess more knowledge than students. This shows vulnerability in a way.</w:t>
            </w:r>
          </w:p>
        </w:tc>
      </w:tr>
      <w:tr w:rsidR="00F3012B" w:rsidRPr="006951D2" w14:paraId="6ED80E1B" w14:textId="77777777" w:rsidTr="00DB5013">
        <w:tc>
          <w:tcPr>
            <w:tcW w:w="4590" w:type="dxa"/>
            <w:tcBorders>
              <w:bottom w:val="single" w:sz="4" w:space="0" w:color="auto"/>
            </w:tcBorders>
            <w:shd w:val="clear" w:color="auto" w:fill="auto"/>
            <w:tcMar>
              <w:top w:w="100" w:type="dxa"/>
              <w:left w:w="100" w:type="dxa"/>
              <w:bottom w:w="100" w:type="dxa"/>
              <w:right w:w="100" w:type="dxa"/>
            </w:tcMar>
          </w:tcPr>
          <w:p w14:paraId="22468555" w14:textId="77777777" w:rsidR="00F3012B" w:rsidRPr="006951D2" w:rsidRDefault="00F3012B">
            <w:pPr>
              <w:widowControl w:val="0"/>
              <w:pBdr>
                <w:top w:val="nil"/>
                <w:left w:val="nil"/>
                <w:bottom w:val="nil"/>
                <w:right w:val="nil"/>
                <w:between w:val="nil"/>
              </w:pBdr>
              <w:spacing w:line="240" w:lineRule="auto"/>
              <w:rPr>
                <w:rFonts w:ascii="Times New Roman" w:hAnsi="Times New Roman" w:cs="Times New Roman"/>
              </w:rPr>
            </w:pPr>
          </w:p>
        </w:tc>
        <w:tc>
          <w:tcPr>
            <w:tcW w:w="5115" w:type="dxa"/>
            <w:tcBorders>
              <w:bottom w:val="single" w:sz="4" w:space="0" w:color="auto"/>
            </w:tcBorders>
            <w:shd w:val="clear" w:color="auto" w:fill="auto"/>
            <w:tcMar>
              <w:top w:w="100" w:type="dxa"/>
              <w:left w:w="100" w:type="dxa"/>
              <w:bottom w:w="100" w:type="dxa"/>
              <w:right w:w="100" w:type="dxa"/>
            </w:tcMar>
          </w:tcPr>
          <w:p w14:paraId="0675C375" w14:textId="77777777" w:rsidR="00F3012B" w:rsidRPr="006951D2" w:rsidRDefault="00A5262B">
            <w:pPr>
              <w:widowControl w:val="0"/>
              <w:pBdr>
                <w:top w:val="nil"/>
                <w:left w:val="nil"/>
                <w:bottom w:val="nil"/>
                <w:right w:val="nil"/>
                <w:between w:val="nil"/>
              </w:pBdr>
              <w:spacing w:line="240" w:lineRule="auto"/>
              <w:rPr>
                <w:rFonts w:ascii="Times New Roman" w:hAnsi="Times New Roman" w:cs="Times New Roman"/>
              </w:rPr>
            </w:pPr>
            <w:r w:rsidRPr="006951D2">
              <w:rPr>
                <w:rFonts w:ascii="Times New Roman" w:hAnsi="Times New Roman" w:cs="Times New Roman"/>
              </w:rPr>
              <w:t>Collaboration was not expected. They were expected to “own” an individual bone and engage with adults when posed a question or when an adult initiated a conversation.</w:t>
            </w:r>
          </w:p>
        </w:tc>
      </w:tr>
    </w:tbl>
    <w:p w14:paraId="71A22142" w14:textId="77777777" w:rsidR="00F3012B" w:rsidRDefault="00F3012B"/>
    <w:sectPr w:rsidR="00F3012B">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9002F"/>
    <w:multiLevelType w:val="multilevel"/>
    <w:tmpl w:val="8E3AC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326CAE"/>
    <w:multiLevelType w:val="multilevel"/>
    <w:tmpl w:val="4F168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E8523F"/>
    <w:multiLevelType w:val="multilevel"/>
    <w:tmpl w:val="1B8C1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795E7E"/>
    <w:multiLevelType w:val="multilevel"/>
    <w:tmpl w:val="C3787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1C74D0"/>
    <w:multiLevelType w:val="multilevel"/>
    <w:tmpl w:val="24DA3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CB6E9A"/>
    <w:multiLevelType w:val="multilevel"/>
    <w:tmpl w:val="BF8E5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531E1E"/>
    <w:multiLevelType w:val="multilevel"/>
    <w:tmpl w:val="2F80C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B951C5"/>
    <w:multiLevelType w:val="multilevel"/>
    <w:tmpl w:val="514AE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BBD51B7"/>
    <w:multiLevelType w:val="multilevel"/>
    <w:tmpl w:val="211A3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2C03B75"/>
    <w:multiLevelType w:val="multilevel"/>
    <w:tmpl w:val="73E0D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7EF013E"/>
    <w:multiLevelType w:val="multilevel"/>
    <w:tmpl w:val="89CCC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201ABE"/>
    <w:multiLevelType w:val="multilevel"/>
    <w:tmpl w:val="46709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6036C5"/>
    <w:multiLevelType w:val="multilevel"/>
    <w:tmpl w:val="C0F28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5249340">
    <w:abstractNumId w:val="11"/>
  </w:num>
  <w:num w:numId="2" w16cid:durableId="1567719160">
    <w:abstractNumId w:val="6"/>
  </w:num>
  <w:num w:numId="3" w16cid:durableId="41178353">
    <w:abstractNumId w:val="3"/>
  </w:num>
  <w:num w:numId="4" w16cid:durableId="699548562">
    <w:abstractNumId w:val="0"/>
  </w:num>
  <w:num w:numId="5" w16cid:durableId="1197238612">
    <w:abstractNumId w:val="5"/>
  </w:num>
  <w:num w:numId="6" w16cid:durableId="1547327500">
    <w:abstractNumId w:val="2"/>
  </w:num>
  <w:num w:numId="7" w16cid:durableId="1916816802">
    <w:abstractNumId w:val="9"/>
  </w:num>
  <w:num w:numId="8" w16cid:durableId="1878540421">
    <w:abstractNumId w:val="7"/>
  </w:num>
  <w:num w:numId="9" w16cid:durableId="1408922209">
    <w:abstractNumId w:val="8"/>
  </w:num>
  <w:num w:numId="10" w16cid:durableId="1480222047">
    <w:abstractNumId w:val="4"/>
  </w:num>
  <w:num w:numId="11" w16cid:durableId="236521424">
    <w:abstractNumId w:val="12"/>
  </w:num>
  <w:num w:numId="12" w16cid:durableId="442261198">
    <w:abstractNumId w:val="1"/>
  </w:num>
  <w:num w:numId="13" w16cid:durableId="126360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12B"/>
    <w:rsid w:val="00013798"/>
    <w:rsid w:val="006951D2"/>
    <w:rsid w:val="009708F3"/>
    <w:rsid w:val="00A5262B"/>
    <w:rsid w:val="00D569EE"/>
    <w:rsid w:val="00DB5013"/>
    <w:rsid w:val="00F30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16578"/>
  <w15:docId w15:val="{A2B11C15-390D-4986-88E4-3F0F277E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1487</Words>
  <Characters>8478</Characters>
  <Application>Microsoft Office Word</Application>
  <DocSecurity>0</DocSecurity>
  <Lines>70</Lines>
  <Paragraphs>19</Paragraphs>
  <ScaleCrop>false</ScaleCrop>
  <Company>Binghamton University</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Amber Simpson</cp:lastModifiedBy>
  <cp:revision>6</cp:revision>
  <dcterms:created xsi:type="dcterms:W3CDTF">2023-10-19T00:07:00Z</dcterms:created>
  <dcterms:modified xsi:type="dcterms:W3CDTF">2025-08-20T18:29:00Z</dcterms:modified>
</cp:coreProperties>
</file>