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CC20" w14:textId="6928D9F1" w:rsidR="00FA36A3" w:rsidRPr="00FA36A3" w:rsidRDefault="00643784" w:rsidP="00BF696F">
      <w:pPr>
        <w:spacing w:after="120" w:line="240" w:lineRule="auto"/>
        <w:rPr>
          <w:rFonts w:eastAsia="Calibri"/>
          <w:b/>
        </w:rPr>
      </w:pPr>
      <w:r>
        <w:rPr>
          <w:rFonts w:eastAsia="Calibri"/>
          <w:b/>
        </w:rPr>
        <w:t>SUPPLEMENTAL INFORMATION</w:t>
      </w:r>
    </w:p>
    <w:tbl>
      <w:tblPr>
        <w:tblW w:w="0" w:type="auto"/>
        <w:tblLayout w:type="fixed"/>
        <w:tblLook w:val="04A0" w:firstRow="1" w:lastRow="0" w:firstColumn="1" w:lastColumn="0" w:noHBand="0" w:noVBand="1"/>
      </w:tblPr>
      <w:tblGrid>
        <w:gridCol w:w="1260"/>
        <w:gridCol w:w="3340"/>
        <w:gridCol w:w="3620"/>
        <w:gridCol w:w="2600"/>
      </w:tblGrid>
      <w:tr w:rsidR="00BF696F" w:rsidRPr="00FA36A3" w14:paraId="169962B2" w14:textId="77777777" w:rsidTr="00BF696F">
        <w:trPr>
          <w:trHeight w:val="285"/>
        </w:trPr>
        <w:tc>
          <w:tcPr>
            <w:tcW w:w="10820" w:type="dxa"/>
            <w:gridSpan w:val="4"/>
            <w:tcBorders>
              <w:top w:val="single" w:sz="4" w:space="0" w:color="auto"/>
              <w:bottom w:val="single" w:sz="4" w:space="0" w:color="auto"/>
            </w:tcBorders>
            <w:tcMar>
              <w:left w:w="108" w:type="dxa"/>
              <w:right w:w="108" w:type="dxa"/>
            </w:tcMar>
            <w:vAlign w:val="bottom"/>
          </w:tcPr>
          <w:p w14:paraId="0C32DEC8" w14:textId="4F902D5B" w:rsidR="00BF696F" w:rsidRPr="00FA36A3" w:rsidRDefault="00BF696F" w:rsidP="00BF696F">
            <w:pPr>
              <w:spacing w:after="0" w:line="240" w:lineRule="auto"/>
              <w:rPr>
                <w:rFonts w:eastAsia="Times New Roman"/>
                <w:color w:val="000000"/>
              </w:rPr>
            </w:pPr>
            <w:r w:rsidRPr="00FA36A3">
              <w:rPr>
                <w:rFonts w:eastAsia="Times New Roman"/>
                <w:b/>
                <w:bCs/>
              </w:rPr>
              <w:t>Table A1</w:t>
            </w:r>
            <w:r w:rsidRPr="00FA36A3">
              <w:rPr>
                <w:rFonts w:eastAsia="Times New Roman"/>
              </w:rPr>
              <w:t xml:space="preserve"> </w:t>
            </w:r>
            <w:r w:rsidRPr="00FA36A3">
              <w:rPr>
                <w:rFonts w:eastAsia="Times New Roman"/>
                <w:color w:val="000000"/>
              </w:rPr>
              <w:t>Number of STEM graduates, Bachelor’s degree graduates, and proportion of STEM graduates, 2001-2024 </w:t>
            </w:r>
          </w:p>
        </w:tc>
      </w:tr>
      <w:tr w:rsidR="00FA36A3" w:rsidRPr="00FA36A3" w14:paraId="3D8301F0" w14:textId="77777777" w:rsidTr="00BF696F">
        <w:trPr>
          <w:trHeight w:val="285"/>
        </w:trPr>
        <w:tc>
          <w:tcPr>
            <w:tcW w:w="1260" w:type="dxa"/>
            <w:tcBorders>
              <w:top w:val="single" w:sz="4" w:space="0" w:color="auto"/>
              <w:bottom w:val="single" w:sz="4" w:space="0" w:color="auto"/>
            </w:tcBorders>
            <w:tcMar>
              <w:left w:w="108" w:type="dxa"/>
              <w:right w:w="108" w:type="dxa"/>
            </w:tcMar>
            <w:vAlign w:val="bottom"/>
          </w:tcPr>
          <w:p w14:paraId="2FBACCD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Year</w:t>
            </w:r>
          </w:p>
        </w:tc>
        <w:tc>
          <w:tcPr>
            <w:tcW w:w="3340" w:type="dxa"/>
            <w:tcBorders>
              <w:top w:val="single" w:sz="4" w:space="0" w:color="auto"/>
              <w:bottom w:val="single" w:sz="4" w:space="0" w:color="auto"/>
            </w:tcBorders>
            <w:tcMar>
              <w:left w:w="108" w:type="dxa"/>
              <w:right w:w="108" w:type="dxa"/>
            </w:tcMar>
            <w:vAlign w:val="bottom"/>
          </w:tcPr>
          <w:p w14:paraId="2C51B03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 xml:space="preserve"># </w:t>
            </w:r>
            <w:proofErr w:type="gramStart"/>
            <w:r w:rsidRPr="00FA36A3">
              <w:rPr>
                <w:rFonts w:eastAsia="Times New Roman"/>
                <w:color w:val="000000"/>
              </w:rPr>
              <w:t>of</w:t>
            </w:r>
            <w:proofErr w:type="gramEnd"/>
            <w:r w:rsidRPr="00FA36A3">
              <w:rPr>
                <w:rFonts w:eastAsia="Times New Roman"/>
                <w:color w:val="000000"/>
              </w:rPr>
              <w:t xml:space="preserve"> STEM Graduates</w:t>
            </w:r>
          </w:p>
        </w:tc>
        <w:tc>
          <w:tcPr>
            <w:tcW w:w="3620" w:type="dxa"/>
            <w:tcBorders>
              <w:top w:val="single" w:sz="4" w:space="0" w:color="auto"/>
              <w:bottom w:val="single" w:sz="4" w:space="0" w:color="auto"/>
            </w:tcBorders>
            <w:tcMar>
              <w:left w:w="108" w:type="dxa"/>
              <w:right w:w="108" w:type="dxa"/>
            </w:tcMar>
            <w:vAlign w:val="bottom"/>
          </w:tcPr>
          <w:p w14:paraId="54E32DB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 xml:space="preserve"># </w:t>
            </w:r>
            <w:proofErr w:type="gramStart"/>
            <w:r w:rsidRPr="00FA36A3">
              <w:rPr>
                <w:rFonts w:eastAsia="Times New Roman"/>
                <w:color w:val="000000"/>
              </w:rPr>
              <w:t>of</w:t>
            </w:r>
            <w:proofErr w:type="gramEnd"/>
            <w:r w:rsidRPr="00FA36A3">
              <w:rPr>
                <w:rFonts w:eastAsia="Times New Roman"/>
                <w:color w:val="000000"/>
              </w:rPr>
              <w:t xml:space="preserve"> Bachelor's Degree Graduates</w:t>
            </w:r>
          </w:p>
        </w:tc>
        <w:tc>
          <w:tcPr>
            <w:tcW w:w="2600" w:type="dxa"/>
            <w:tcBorders>
              <w:top w:val="single" w:sz="4" w:space="0" w:color="auto"/>
              <w:bottom w:val="single" w:sz="4" w:space="0" w:color="auto"/>
            </w:tcBorders>
            <w:tcMar>
              <w:left w:w="108" w:type="dxa"/>
              <w:right w:w="108" w:type="dxa"/>
            </w:tcMar>
            <w:vAlign w:val="bottom"/>
          </w:tcPr>
          <w:p w14:paraId="2A5C99B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 xml:space="preserve">% </w:t>
            </w:r>
            <w:proofErr w:type="gramStart"/>
            <w:r w:rsidRPr="00FA36A3">
              <w:rPr>
                <w:rFonts w:eastAsia="Times New Roman"/>
                <w:color w:val="000000"/>
              </w:rPr>
              <w:t>of</w:t>
            </w:r>
            <w:proofErr w:type="gramEnd"/>
            <w:r w:rsidRPr="00FA36A3">
              <w:rPr>
                <w:rFonts w:eastAsia="Times New Roman"/>
                <w:color w:val="000000"/>
              </w:rPr>
              <w:t xml:space="preserve"> STEM Graduates</w:t>
            </w:r>
          </w:p>
        </w:tc>
      </w:tr>
      <w:tr w:rsidR="00FA36A3" w:rsidRPr="00FA36A3" w14:paraId="120BDC0C" w14:textId="77777777" w:rsidTr="00BF696F">
        <w:trPr>
          <w:trHeight w:val="285"/>
        </w:trPr>
        <w:tc>
          <w:tcPr>
            <w:tcW w:w="1260" w:type="dxa"/>
            <w:tcBorders>
              <w:top w:val="single" w:sz="4" w:space="0" w:color="auto"/>
            </w:tcBorders>
            <w:tcMar>
              <w:left w:w="108" w:type="dxa"/>
              <w:right w:w="108" w:type="dxa"/>
            </w:tcMar>
            <w:vAlign w:val="bottom"/>
          </w:tcPr>
          <w:p w14:paraId="65EE2DF3"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2001</w:t>
            </w:r>
          </w:p>
        </w:tc>
        <w:tc>
          <w:tcPr>
            <w:tcW w:w="3340" w:type="dxa"/>
            <w:tcBorders>
              <w:top w:val="single" w:sz="4" w:space="0" w:color="auto"/>
            </w:tcBorders>
            <w:tcMar>
              <w:left w:w="108" w:type="dxa"/>
              <w:right w:w="108" w:type="dxa"/>
            </w:tcMar>
            <w:vAlign w:val="bottom"/>
          </w:tcPr>
          <w:p w14:paraId="7D65B45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224,712</w:t>
            </w:r>
          </w:p>
        </w:tc>
        <w:tc>
          <w:tcPr>
            <w:tcW w:w="3620" w:type="dxa"/>
            <w:tcBorders>
              <w:top w:val="single" w:sz="4" w:space="0" w:color="auto"/>
            </w:tcBorders>
            <w:tcMar>
              <w:left w:w="108" w:type="dxa"/>
              <w:right w:w="108" w:type="dxa"/>
            </w:tcMar>
            <w:vAlign w:val="bottom"/>
          </w:tcPr>
          <w:p w14:paraId="41C4717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1,334,098</w:t>
            </w:r>
          </w:p>
        </w:tc>
        <w:tc>
          <w:tcPr>
            <w:tcW w:w="2600" w:type="dxa"/>
            <w:tcBorders>
              <w:top w:val="single" w:sz="4" w:space="0" w:color="auto"/>
            </w:tcBorders>
            <w:tcMar>
              <w:left w:w="108" w:type="dxa"/>
              <w:right w:w="108" w:type="dxa"/>
            </w:tcMar>
            <w:vAlign w:val="bottom"/>
          </w:tcPr>
          <w:p w14:paraId="28424989"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16.8%</w:t>
            </w:r>
          </w:p>
        </w:tc>
      </w:tr>
      <w:tr w:rsidR="00FA36A3" w:rsidRPr="00FA36A3" w14:paraId="4970299E" w14:textId="77777777" w:rsidTr="00BF696F">
        <w:trPr>
          <w:trHeight w:val="285"/>
        </w:trPr>
        <w:tc>
          <w:tcPr>
            <w:tcW w:w="1260" w:type="dxa"/>
            <w:tcMar>
              <w:left w:w="108" w:type="dxa"/>
              <w:right w:w="108" w:type="dxa"/>
            </w:tcMar>
            <w:vAlign w:val="bottom"/>
          </w:tcPr>
          <w:p w14:paraId="6C057294"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2002</w:t>
            </w:r>
          </w:p>
        </w:tc>
        <w:tc>
          <w:tcPr>
            <w:tcW w:w="3340" w:type="dxa"/>
            <w:tcMar>
              <w:left w:w="108" w:type="dxa"/>
              <w:right w:w="108" w:type="dxa"/>
            </w:tcMar>
            <w:vAlign w:val="bottom"/>
          </w:tcPr>
          <w:p w14:paraId="280976C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232,229</w:t>
            </w:r>
          </w:p>
        </w:tc>
        <w:tc>
          <w:tcPr>
            <w:tcW w:w="3620" w:type="dxa"/>
            <w:tcMar>
              <w:left w:w="108" w:type="dxa"/>
              <w:right w:w="108" w:type="dxa"/>
            </w:tcMar>
            <w:vAlign w:val="bottom"/>
          </w:tcPr>
          <w:p w14:paraId="0E1E700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1,391,846</w:t>
            </w:r>
          </w:p>
        </w:tc>
        <w:tc>
          <w:tcPr>
            <w:tcW w:w="2600" w:type="dxa"/>
            <w:tcMar>
              <w:left w:w="108" w:type="dxa"/>
              <w:right w:w="108" w:type="dxa"/>
            </w:tcMar>
            <w:vAlign w:val="bottom"/>
          </w:tcPr>
          <w:p w14:paraId="40BDB90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16.7%</w:t>
            </w:r>
          </w:p>
        </w:tc>
      </w:tr>
      <w:tr w:rsidR="00FA36A3" w:rsidRPr="00FA36A3" w14:paraId="570C38CA" w14:textId="77777777" w:rsidTr="00BF696F">
        <w:trPr>
          <w:trHeight w:val="285"/>
        </w:trPr>
        <w:tc>
          <w:tcPr>
            <w:tcW w:w="1260" w:type="dxa"/>
            <w:tcMar>
              <w:left w:w="108" w:type="dxa"/>
              <w:right w:w="108" w:type="dxa"/>
            </w:tcMar>
            <w:vAlign w:val="bottom"/>
          </w:tcPr>
          <w:p w14:paraId="6EF977B3"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2003</w:t>
            </w:r>
          </w:p>
        </w:tc>
        <w:tc>
          <w:tcPr>
            <w:tcW w:w="3340" w:type="dxa"/>
            <w:tcMar>
              <w:left w:w="108" w:type="dxa"/>
              <w:right w:w="108" w:type="dxa"/>
            </w:tcMar>
            <w:vAlign w:val="bottom"/>
          </w:tcPr>
          <w:p w14:paraId="7371FE0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245,199</w:t>
            </w:r>
          </w:p>
        </w:tc>
        <w:tc>
          <w:tcPr>
            <w:tcW w:w="3620" w:type="dxa"/>
            <w:tcMar>
              <w:left w:w="108" w:type="dxa"/>
              <w:right w:w="108" w:type="dxa"/>
            </w:tcMar>
            <w:vAlign w:val="bottom"/>
          </w:tcPr>
          <w:p w14:paraId="772BDB1D"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1,450,761</w:t>
            </w:r>
          </w:p>
        </w:tc>
        <w:tc>
          <w:tcPr>
            <w:tcW w:w="2600" w:type="dxa"/>
            <w:tcMar>
              <w:left w:w="108" w:type="dxa"/>
              <w:right w:w="108" w:type="dxa"/>
            </w:tcMar>
            <w:vAlign w:val="bottom"/>
          </w:tcPr>
          <w:p w14:paraId="6881CFC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16.9%</w:t>
            </w:r>
          </w:p>
        </w:tc>
      </w:tr>
      <w:tr w:rsidR="00FA36A3" w:rsidRPr="00FA36A3" w14:paraId="5C734B42" w14:textId="77777777" w:rsidTr="00BF696F">
        <w:trPr>
          <w:trHeight w:val="285"/>
        </w:trPr>
        <w:tc>
          <w:tcPr>
            <w:tcW w:w="1260" w:type="dxa"/>
            <w:tcMar>
              <w:left w:w="108" w:type="dxa"/>
              <w:right w:w="108" w:type="dxa"/>
            </w:tcMar>
            <w:vAlign w:val="bottom"/>
          </w:tcPr>
          <w:p w14:paraId="0AEB8C21"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2004</w:t>
            </w:r>
          </w:p>
        </w:tc>
        <w:tc>
          <w:tcPr>
            <w:tcW w:w="3340" w:type="dxa"/>
            <w:tcMar>
              <w:left w:w="108" w:type="dxa"/>
              <w:right w:w="108" w:type="dxa"/>
            </w:tcMar>
            <w:vAlign w:val="bottom"/>
          </w:tcPr>
          <w:p w14:paraId="096B934D"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250,593</w:t>
            </w:r>
          </w:p>
        </w:tc>
        <w:tc>
          <w:tcPr>
            <w:tcW w:w="3620" w:type="dxa"/>
            <w:tcMar>
              <w:left w:w="108" w:type="dxa"/>
              <w:right w:w="108" w:type="dxa"/>
            </w:tcMar>
            <w:vAlign w:val="bottom"/>
          </w:tcPr>
          <w:p w14:paraId="7EFEA51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1,512,311</w:t>
            </w:r>
          </w:p>
        </w:tc>
        <w:tc>
          <w:tcPr>
            <w:tcW w:w="2600" w:type="dxa"/>
            <w:tcMar>
              <w:left w:w="108" w:type="dxa"/>
              <w:right w:w="108" w:type="dxa"/>
            </w:tcMar>
            <w:vAlign w:val="bottom"/>
          </w:tcPr>
          <w:p w14:paraId="0A11804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16.6%</w:t>
            </w:r>
          </w:p>
        </w:tc>
      </w:tr>
      <w:tr w:rsidR="00FA36A3" w:rsidRPr="00FA36A3" w14:paraId="6A067F20" w14:textId="77777777" w:rsidTr="00BF696F">
        <w:trPr>
          <w:trHeight w:val="285"/>
        </w:trPr>
        <w:tc>
          <w:tcPr>
            <w:tcW w:w="1260" w:type="dxa"/>
            <w:tcMar>
              <w:left w:w="108" w:type="dxa"/>
              <w:right w:w="108" w:type="dxa"/>
            </w:tcMar>
            <w:vAlign w:val="bottom"/>
          </w:tcPr>
          <w:p w14:paraId="4E1AFB8B"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2005</w:t>
            </w:r>
          </w:p>
        </w:tc>
        <w:tc>
          <w:tcPr>
            <w:tcW w:w="3340" w:type="dxa"/>
            <w:tcMar>
              <w:left w:w="108" w:type="dxa"/>
              <w:right w:w="108" w:type="dxa"/>
            </w:tcMar>
            <w:vAlign w:val="bottom"/>
          </w:tcPr>
          <w:p w14:paraId="7C30D1C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252,631</w:t>
            </w:r>
          </w:p>
        </w:tc>
        <w:tc>
          <w:tcPr>
            <w:tcW w:w="3620" w:type="dxa"/>
            <w:tcMar>
              <w:left w:w="108" w:type="dxa"/>
              <w:right w:w="108" w:type="dxa"/>
            </w:tcMar>
            <w:vAlign w:val="bottom"/>
          </w:tcPr>
          <w:p w14:paraId="77ED51D4"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1,557,584</w:t>
            </w:r>
          </w:p>
        </w:tc>
        <w:tc>
          <w:tcPr>
            <w:tcW w:w="2600" w:type="dxa"/>
            <w:tcMar>
              <w:left w:w="108" w:type="dxa"/>
              <w:right w:w="108" w:type="dxa"/>
            </w:tcMar>
            <w:vAlign w:val="bottom"/>
          </w:tcPr>
          <w:p w14:paraId="6669203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16.2%</w:t>
            </w:r>
          </w:p>
        </w:tc>
      </w:tr>
      <w:tr w:rsidR="00FA36A3" w:rsidRPr="00FA36A3" w14:paraId="40F08DA0" w14:textId="77777777" w:rsidTr="00BF696F">
        <w:trPr>
          <w:trHeight w:val="285"/>
        </w:trPr>
        <w:tc>
          <w:tcPr>
            <w:tcW w:w="1260" w:type="dxa"/>
            <w:tcMar>
              <w:left w:w="108" w:type="dxa"/>
              <w:right w:w="108" w:type="dxa"/>
            </w:tcMar>
            <w:vAlign w:val="bottom"/>
          </w:tcPr>
          <w:p w14:paraId="1647ECF5"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2006</w:t>
            </w:r>
          </w:p>
        </w:tc>
        <w:tc>
          <w:tcPr>
            <w:tcW w:w="3340" w:type="dxa"/>
            <w:tcMar>
              <w:left w:w="108" w:type="dxa"/>
              <w:right w:w="108" w:type="dxa"/>
            </w:tcMar>
            <w:vAlign w:val="bottom"/>
          </w:tcPr>
          <w:p w14:paraId="605A2FE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253,954</w:t>
            </w:r>
          </w:p>
        </w:tc>
        <w:tc>
          <w:tcPr>
            <w:tcW w:w="3620" w:type="dxa"/>
            <w:tcMar>
              <w:left w:w="108" w:type="dxa"/>
              <w:right w:w="108" w:type="dxa"/>
            </w:tcMar>
            <w:vAlign w:val="bottom"/>
          </w:tcPr>
          <w:p w14:paraId="7EED3E0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1,605,334</w:t>
            </w:r>
          </w:p>
        </w:tc>
        <w:tc>
          <w:tcPr>
            <w:tcW w:w="2600" w:type="dxa"/>
            <w:tcMar>
              <w:left w:w="108" w:type="dxa"/>
              <w:right w:w="108" w:type="dxa"/>
            </w:tcMar>
            <w:vAlign w:val="bottom"/>
          </w:tcPr>
          <w:p w14:paraId="6E72B0A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15.8%</w:t>
            </w:r>
          </w:p>
        </w:tc>
      </w:tr>
      <w:tr w:rsidR="00FA36A3" w:rsidRPr="00FA36A3" w14:paraId="29B7F495" w14:textId="77777777" w:rsidTr="00BF696F">
        <w:trPr>
          <w:trHeight w:val="285"/>
        </w:trPr>
        <w:tc>
          <w:tcPr>
            <w:tcW w:w="1260" w:type="dxa"/>
            <w:tcMar>
              <w:left w:w="108" w:type="dxa"/>
              <w:right w:w="108" w:type="dxa"/>
            </w:tcMar>
            <w:vAlign w:val="bottom"/>
          </w:tcPr>
          <w:p w14:paraId="6776168E"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2007</w:t>
            </w:r>
          </w:p>
        </w:tc>
        <w:tc>
          <w:tcPr>
            <w:tcW w:w="3340" w:type="dxa"/>
            <w:tcMar>
              <w:left w:w="108" w:type="dxa"/>
              <w:right w:w="108" w:type="dxa"/>
            </w:tcMar>
            <w:vAlign w:val="bottom"/>
          </w:tcPr>
          <w:p w14:paraId="384C20D9"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256,037</w:t>
            </w:r>
          </w:p>
        </w:tc>
        <w:tc>
          <w:tcPr>
            <w:tcW w:w="3620" w:type="dxa"/>
            <w:tcMar>
              <w:left w:w="108" w:type="dxa"/>
              <w:right w:w="108" w:type="dxa"/>
            </w:tcMar>
            <w:vAlign w:val="bottom"/>
          </w:tcPr>
          <w:p w14:paraId="5B9507D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1,647,882</w:t>
            </w:r>
          </w:p>
        </w:tc>
        <w:tc>
          <w:tcPr>
            <w:tcW w:w="2600" w:type="dxa"/>
            <w:tcMar>
              <w:left w:w="108" w:type="dxa"/>
              <w:right w:w="108" w:type="dxa"/>
            </w:tcMar>
            <w:vAlign w:val="bottom"/>
          </w:tcPr>
          <w:p w14:paraId="7F598E6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15.5%</w:t>
            </w:r>
          </w:p>
        </w:tc>
      </w:tr>
      <w:tr w:rsidR="00FA36A3" w:rsidRPr="00FA36A3" w14:paraId="05D96582" w14:textId="77777777" w:rsidTr="00BF696F">
        <w:trPr>
          <w:trHeight w:val="285"/>
        </w:trPr>
        <w:tc>
          <w:tcPr>
            <w:tcW w:w="1260" w:type="dxa"/>
            <w:tcMar>
              <w:left w:w="108" w:type="dxa"/>
              <w:right w:w="108" w:type="dxa"/>
            </w:tcMar>
            <w:vAlign w:val="bottom"/>
          </w:tcPr>
          <w:p w14:paraId="112ECDC6"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2008</w:t>
            </w:r>
          </w:p>
        </w:tc>
        <w:tc>
          <w:tcPr>
            <w:tcW w:w="3340" w:type="dxa"/>
            <w:tcMar>
              <w:left w:w="108" w:type="dxa"/>
              <w:right w:w="108" w:type="dxa"/>
            </w:tcMar>
            <w:vAlign w:val="bottom"/>
          </w:tcPr>
          <w:p w14:paraId="4B98F00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258,646</w:t>
            </w:r>
          </w:p>
        </w:tc>
        <w:tc>
          <w:tcPr>
            <w:tcW w:w="3620" w:type="dxa"/>
            <w:tcMar>
              <w:left w:w="108" w:type="dxa"/>
              <w:right w:w="108" w:type="dxa"/>
            </w:tcMar>
            <w:vAlign w:val="bottom"/>
          </w:tcPr>
          <w:p w14:paraId="453C56B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1,685,300</w:t>
            </w:r>
          </w:p>
        </w:tc>
        <w:tc>
          <w:tcPr>
            <w:tcW w:w="2600" w:type="dxa"/>
            <w:tcMar>
              <w:left w:w="108" w:type="dxa"/>
              <w:right w:w="108" w:type="dxa"/>
            </w:tcMar>
            <w:vAlign w:val="bottom"/>
          </w:tcPr>
          <w:p w14:paraId="36D78A1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15.3%</w:t>
            </w:r>
          </w:p>
        </w:tc>
      </w:tr>
      <w:tr w:rsidR="00FA36A3" w:rsidRPr="00FA36A3" w14:paraId="404488AF" w14:textId="77777777" w:rsidTr="00BF696F">
        <w:trPr>
          <w:trHeight w:val="285"/>
        </w:trPr>
        <w:tc>
          <w:tcPr>
            <w:tcW w:w="1260" w:type="dxa"/>
            <w:tcMar>
              <w:left w:w="108" w:type="dxa"/>
              <w:right w:w="108" w:type="dxa"/>
            </w:tcMar>
            <w:vAlign w:val="bottom"/>
          </w:tcPr>
          <w:p w14:paraId="0017D4D8"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2009</w:t>
            </w:r>
          </w:p>
        </w:tc>
        <w:tc>
          <w:tcPr>
            <w:tcW w:w="3340" w:type="dxa"/>
            <w:tcMar>
              <w:left w:w="108" w:type="dxa"/>
              <w:right w:w="108" w:type="dxa"/>
            </w:tcMar>
            <w:vAlign w:val="bottom"/>
          </w:tcPr>
          <w:p w14:paraId="2D4D00D1"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264,356</w:t>
            </w:r>
          </w:p>
        </w:tc>
        <w:tc>
          <w:tcPr>
            <w:tcW w:w="3620" w:type="dxa"/>
            <w:tcMar>
              <w:left w:w="108" w:type="dxa"/>
              <w:right w:w="108" w:type="dxa"/>
            </w:tcMar>
            <w:vAlign w:val="bottom"/>
          </w:tcPr>
          <w:p w14:paraId="7E251B0E"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1,731,911</w:t>
            </w:r>
          </w:p>
        </w:tc>
        <w:tc>
          <w:tcPr>
            <w:tcW w:w="2600" w:type="dxa"/>
            <w:tcMar>
              <w:left w:w="108" w:type="dxa"/>
              <w:right w:w="108" w:type="dxa"/>
            </w:tcMar>
            <w:vAlign w:val="bottom"/>
          </w:tcPr>
          <w:p w14:paraId="708BDA59"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15.3%</w:t>
            </w:r>
          </w:p>
        </w:tc>
      </w:tr>
      <w:tr w:rsidR="00FA36A3" w:rsidRPr="00FA36A3" w14:paraId="5E9E5504" w14:textId="77777777" w:rsidTr="00BF696F">
        <w:trPr>
          <w:trHeight w:val="285"/>
        </w:trPr>
        <w:tc>
          <w:tcPr>
            <w:tcW w:w="1260" w:type="dxa"/>
            <w:tcMar>
              <w:left w:w="108" w:type="dxa"/>
              <w:right w:w="108" w:type="dxa"/>
            </w:tcMar>
            <w:vAlign w:val="bottom"/>
          </w:tcPr>
          <w:p w14:paraId="203C8143"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2010</w:t>
            </w:r>
          </w:p>
        </w:tc>
        <w:tc>
          <w:tcPr>
            <w:tcW w:w="3340" w:type="dxa"/>
            <w:tcMar>
              <w:left w:w="108" w:type="dxa"/>
              <w:right w:w="108" w:type="dxa"/>
            </w:tcMar>
            <w:vAlign w:val="bottom"/>
          </w:tcPr>
          <w:p w14:paraId="4C379918"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278,789</w:t>
            </w:r>
          </w:p>
        </w:tc>
        <w:tc>
          <w:tcPr>
            <w:tcW w:w="3620" w:type="dxa"/>
            <w:tcMar>
              <w:left w:w="108" w:type="dxa"/>
              <w:right w:w="108" w:type="dxa"/>
            </w:tcMar>
            <w:vAlign w:val="bottom"/>
          </w:tcPr>
          <w:p w14:paraId="0BF8F893"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1,789,333</w:t>
            </w:r>
          </w:p>
        </w:tc>
        <w:tc>
          <w:tcPr>
            <w:tcW w:w="2600" w:type="dxa"/>
            <w:tcMar>
              <w:left w:w="108" w:type="dxa"/>
              <w:right w:w="108" w:type="dxa"/>
            </w:tcMar>
            <w:vAlign w:val="bottom"/>
          </w:tcPr>
          <w:p w14:paraId="6964E47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15.6%</w:t>
            </w:r>
          </w:p>
        </w:tc>
      </w:tr>
      <w:tr w:rsidR="00FA36A3" w:rsidRPr="00FA36A3" w14:paraId="273A3E68" w14:textId="77777777" w:rsidTr="00BF696F">
        <w:trPr>
          <w:trHeight w:val="285"/>
        </w:trPr>
        <w:tc>
          <w:tcPr>
            <w:tcW w:w="1260" w:type="dxa"/>
            <w:tcMar>
              <w:left w:w="108" w:type="dxa"/>
              <w:right w:w="108" w:type="dxa"/>
            </w:tcMar>
            <w:vAlign w:val="bottom"/>
          </w:tcPr>
          <w:p w14:paraId="7B3070D6"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2011</w:t>
            </w:r>
          </w:p>
        </w:tc>
        <w:tc>
          <w:tcPr>
            <w:tcW w:w="3340" w:type="dxa"/>
            <w:tcMar>
              <w:left w:w="108" w:type="dxa"/>
              <w:right w:w="108" w:type="dxa"/>
            </w:tcMar>
            <w:vAlign w:val="bottom"/>
          </w:tcPr>
          <w:p w14:paraId="0C65C1A6"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295,958</w:t>
            </w:r>
          </w:p>
        </w:tc>
        <w:tc>
          <w:tcPr>
            <w:tcW w:w="3620" w:type="dxa"/>
            <w:tcMar>
              <w:left w:w="108" w:type="dxa"/>
              <w:right w:w="108" w:type="dxa"/>
            </w:tcMar>
            <w:vAlign w:val="bottom"/>
          </w:tcPr>
          <w:p w14:paraId="36C2B32E"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1,863,594</w:t>
            </w:r>
          </w:p>
        </w:tc>
        <w:tc>
          <w:tcPr>
            <w:tcW w:w="2600" w:type="dxa"/>
            <w:tcMar>
              <w:left w:w="108" w:type="dxa"/>
              <w:right w:w="108" w:type="dxa"/>
            </w:tcMar>
            <w:vAlign w:val="bottom"/>
          </w:tcPr>
          <w:p w14:paraId="6660B63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15.9%</w:t>
            </w:r>
          </w:p>
        </w:tc>
      </w:tr>
      <w:tr w:rsidR="00FA36A3" w:rsidRPr="00FA36A3" w14:paraId="3C23CF91" w14:textId="77777777" w:rsidTr="00BF696F">
        <w:trPr>
          <w:trHeight w:val="285"/>
        </w:trPr>
        <w:tc>
          <w:tcPr>
            <w:tcW w:w="1260" w:type="dxa"/>
            <w:tcMar>
              <w:left w:w="108" w:type="dxa"/>
              <w:right w:w="108" w:type="dxa"/>
            </w:tcMar>
            <w:vAlign w:val="bottom"/>
          </w:tcPr>
          <w:p w14:paraId="0078F600"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2012</w:t>
            </w:r>
          </w:p>
        </w:tc>
        <w:tc>
          <w:tcPr>
            <w:tcW w:w="3340" w:type="dxa"/>
            <w:tcMar>
              <w:left w:w="108" w:type="dxa"/>
              <w:right w:w="108" w:type="dxa"/>
            </w:tcMar>
            <w:vAlign w:val="bottom"/>
          </w:tcPr>
          <w:p w14:paraId="3B8205C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318,154</w:t>
            </w:r>
          </w:p>
        </w:tc>
        <w:tc>
          <w:tcPr>
            <w:tcW w:w="3620" w:type="dxa"/>
            <w:tcMar>
              <w:left w:w="108" w:type="dxa"/>
              <w:right w:w="108" w:type="dxa"/>
            </w:tcMar>
            <w:vAlign w:val="bottom"/>
          </w:tcPr>
          <w:p w14:paraId="0624DB2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1,946,105</w:t>
            </w:r>
          </w:p>
        </w:tc>
        <w:tc>
          <w:tcPr>
            <w:tcW w:w="2600" w:type="dxa"/>
            <w:tcMar>
              <w:left w:w="108" w:type="dxa"/>
              <w:right w:w="108" w:type="dxa"/>
            </w:tcMar>
            <w:vAlign w:val="bottom"/>
          </w:tcPr>
          <w:p w14:paraId="4EF8DC2F"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16.3%</w:t>
            </w:r>
          </w:p>
        </w:tc>
      </w:tr>
      <w:tr w:rsidR="00FA36A3" w:rsidRPr="00FA36A3" w14:paraId="29CB8166" w14:textId="77777777" w:rsidTr="00BF696F">
        <w:trPr>
          <w:trHeight w:val="285"/>
        </w:trPr>
        <w:tc>
          <w:tcPr>
            <w:tcW w:w="1260" w:type="dxa"/>
            <w:tcMar>
              <w:left w:w="108" w:type="dxa"/>
              <w:right w:w="108" w:type="dxa"/>
            </w:tcMar>
            <w:vAlign w:val="bottom"/>
          </w:tcPr>
          <w:p w14:paraId="44DEB502"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2013</w:t>
            </w:r>
          </w:p>
        </w:tc>
        <w:tc>
          <w:tcPr>
            <w:tcW w:w="3340" w:type="dxa"/>
            <w:tcMar>
              <w:left w:w="108" w:type="dxa"/>
              <w:right w:w="108" w:type="dxa"/>
            </w:tcMar>
            <w:vAlign w:val="bottom"/>
          </w:tcPr>
          <w:p w14:paraId="2ED2E49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338,133</w:t>
            </w:r>
          </w:p>
        </w:tc>
        <w:tc>
          <w:tcPr>
            <w:tcW w:w="3620" w:type="dxa"/>
            <w:tcMar>
              <w:left w:w="108" w:type="dxa"/>
              <w:right w:w="108" w:type="dxa"/>
            </w:tcMar>
            <w:vAlign w:val="bottom"/>
          </w:tcPr>
          <w:p w14:paraId="6B977C85"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1,995,547</w:t>
            </w:r>
          </w:p>
        </w:tc>
        <w:tc>
          <w:tcPr>
            <w:tcW w:w="2600" w:type="dxa"/>
            <w:tcMar>
              <w:left w:w="108" w:type="dxa"/>
              <w:right w:w="108" w:type="dxa"/>
            </w:tcMar>
            <w:vAlign w:val="bottom"/>
          </w:tcPr>
          <w:p w14:paraId="2D90DF19"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16.9%</w:t>
            </w:r>
          </w:p>
        </w:tc>
      </w:tr>
      <w:tr w:rsidR="00FA36A3" w:rsidRPr="00FA36A3" w14:paraId="4CA5635F" w14:textId="77777777" w:rsidTr="00BF696F">
        <w:trPr>
          <w:trHeight w:val="285"/>
        </w:trPr>
        <w:tc>
          <w:tcPr>
            <w:tcW w:w="1260" w:type="dxa"/>
            <w:tcMar>
              <w:left w:w="108" w:type="dxa"/>
              <w:right w:w="108" w:type="dxa"/>
            </w:tcMar>
            <w:vAlign w:val="bottom"/>
          </w:tcPr>
          <w:p w14:paraId="7F2FEC2F"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2014</w:t>
            </w:r>
          </w:p>
        </w:tc>
        <w:tc>
          <w:tcPr>
            <w:tcW w:w="3340" w:type="dxa"/>
            <w:tcMar>
              <w:left w:w="108" w:type="dxa"/>
              <w:right w:w="108" w:type="dxa"/>
            </w:tcMar>
            <w:vAlign w:val="bottom"/>
          </w:tcPr>
          <w:p w14:paraId="6C84C7E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358,020</w:t>
            </w:r>
          </w:p>
        </w:tc>
        <w:tc>
          <w:tcPr>
            <w:tcW w:w="3620" w:type="dxa"/>
            <w:tcMar>
              <w:left w:w="108" w:type="dxa"/>
              <w:right w:w="108" w:type="dxa"/>
            </w:tcMar>
            <w:vAlign w:val="bottom"/>
          </w:tcPr>
          <w:p w14:paraId="3CF4BF81"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2,026,745</w:t>
            </w:r>
          </w:p>
        </w:tc>
        <w:tc>
          <w:tcPr>
            <w:tcW w:w="2600" w:type="dxa"/>
            <w:tcMar>
              <w:left w:w="108" w:type="dxa"/>
              <w:right w:w="108" w:type="dxa"/>
            </w:tcMar>
            <w:vAlign w:val="bottom"/>
          </w:tcPr>
          <w:p w14:paraId="14639DB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17.7%</w:t>
            </w:r>
          </w:p>
        </w:tc>
      </w:tr>
      <w:tr w:rsidR="00FA36A3" w:rsidRPr="00FA36A3" w14:paraId="1F6A9B8A" w14:textId="77777777" w:rsidTr="00BF696F">
        <w:trPr>
          <w:trHeight w:val="285"/>
        </w:trPr>
        <w:tc>
          <w:tcPr>
            <w:tcW w:w="1260" w:type="dxa"/>
            <w:tcMar>
              <w:left w:w="108" w:type="dxa"/>
              <w:right w:w="108" w:type="dxa"/>
            </w:tcMar>
            <w:vAlign w:val="bottom"/>
          </w:tcPr>
          <w:p w14:paraId="7FE205B4"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2015</w:t>
            </w:r>
          </w:p>
        </w:tc>
        <w:tc>
          <w:tcPr>
            <w:tcW w:w="3340" w:type="dxa"/>
            <w:tcMar>
              <w:left w:w="108" w:type="dxa"/>
              <w:right w:w="108" w:type="dxa"/>
            </w:tcMar>
            <w:vAlign w:val="bottom"/>
          </w:tcPr>
          <w:p w14:paraId="1D01D49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376,699</w:t>
            </w:r>
          </w:p>
        </w:tc>
        <w:tc>
          <w:tcPr>
            <w:tcW w:w="3620" w:type="dxa"/>
            <w:tcMar>
              <w:left w:w="108" w:type="dxa"/>
              <w:right w:w="108" w:type="dxa"/>
            </w:tcMar>
            <w:vAlign w:val="bottom"/>
          </w:tcPr>
          <w:p w14:paraId="6A4449B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2,054,878</w:t>
            </w:r>
          </w:p>
        </w:tc>
        <w:tc>
          <w:tcPr>
            <w:tcW w:w="2600" w:type="dxa"/>
            <w:tcMar>
              <w:left w:w="108" w:type="dxa"/>
              <w:right w:w="108" w:type="dxa"/>
            </w:tcMar>
            <w:vAlign w:val="bottom"/>
          </w:tcPr>
          <w:p w14:paraId="58CBD9AD"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18.3%</w:t>
            </w:r>
          </w:p>
        </w:tc>
      </w:tr>
      <w:tr w:rsidR="00FA36A3" w:rsidRPr="00FA36A3" w14:paraId="2E3C90DF" w14:textId="77777777" w:rsidTr="00BF696F">
        <w:trPr>
          <w:trHeight w:val="285"/>
        </w:trPr>
        <w:tc>
          <w:tcPr>
            <w:tcW w:w="1260" w:type="dxa"/>
            <w:tcMar>
              <w:left w:w="108" w:type="dxa"/>
              <w:right w:w="108" w:type="dxa"/>
            </w:tcMar>
            <w:vAlign w:val="bottom"/>
          </w:tcPr>
          <w:p w14:paraId="57DDC0DE"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2016</w:t>
            </w:r>
          </w:p>
        </w:tc>
        <w:tc>
          <w:tcPr>
            <w:tcW w:w="3340" w:type="dxa"/>
            <w:tcMar>
              <w:left w:w="108" w:type="dxa"/>
              <w:right w:w="108" w:type="dxa"/>
            </w:tcMar>
            <w:vAlign w:val="bottom"/>
          </w:tcPr>
          <w:p w14:paraId="713CE64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397,669</w:t>
            </w:r>
          </w:p>
        </w:tc>
        <w:tc>
          <w:tcPr>
            <w:tcW w:w="3620" w:type="dxa"/>
            <w:tcMar>
              <w:left w:w="108" w:type="dxa"/>
              <w:right w:w="108" w:type="dxa"/>
            </w:tcMar>
            <w:vAlign w:val="bottom"/>
          </w:tcPr>
          <w:p w14:paraId="485B25A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2,085,203</w:t>
            </w:r>
          </w:p>
        </w:tc>
        <w:tc>
          <w:tcPr>
            <w:tcW w:w="2600" w:type="dxa"/>
            <w:tcMar>
              <w:left w:w="108" w:type="dxa"/>
              <w:right w:w="108" w:type="dxa"/>
            </w:tcMar>
            <w:vAlign w:val="bottom"/>
          </w:tcPr>
          <w:p w14:paraId="6BBF8AC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19.1%</w:t>
            </w:r>
          </w:p>
        </w:tc>
      </w:tr>
      <w:tr w:rsidR="00FA36A3" w:rsidRPr="00FA36A3" w14:paraId="66A9B30E" w14:textId="77777777" w:rsidTr="00BF696F">
        <w:trPr>
          <w:trHeight w:val="285"/>
        </w:trPr>
        <w:tc>
          <w:tcPr>
            <w:tcW w:w="1260" w:type="dxa"/>
            <w:tcMar>
              <w:left w:w="108" w:type="dxa"/>
              <w:right w:w="108" w:type="dxa"/>
            </w:tcMar>
            <w:vAlign w:val="bottom"/>
          </w:tcPr>
          <w:p w14:paraId="648E900E"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2017</w:t>
            </w:r>
          </w:p>
        </w:tc>
        <w:tc>
          <w:tcPr>
            <w:tcW w:w="3340" w:type="dxa"/>
            <w:tcMar>
              <w:left w:w="108" w:type="dxa"/>
              <w:right w:w="108" w:type="dxa"/>
            </w:tcMar>
            <w:vAlign w:val="bottom"/>
          </w:tcPr>
          <w:p w14:paraId="4C394925"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420,796</w:t>
            </w:r>
          </w:p>
        </w:tc>
        <w:tc>
          <w:tcPr>
            <w:tcW w:w="3620" w:type="dxa"/>
            <w:tcMar>
              <w:left w:w="108" w:type="dxa"/>
              <w:right w:w="108" w:type="dxa"/>
            </w:tcMar>
            <w:vAlign w:val="bottom"/>
          </w:tcPr>
          <w:p w14:paraId="4CB7E509"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2,123,652</w:t>
            </w:r>
          </w:p>
        </w:tc>
        <w:tc>
          <w:tcPr>
            <w:tcW w:w="2600" w:type="dxa"/>
            <w:tcMar>
              <w:left w:w="108" w:type="dxa"/>
              <w:right w:w="108" w:type="dxa"/>
            </w:tcMar>
            <w:vAlign w:val="bottom"/>
          </w:tcPr>
          <w:p w14:paraId="45DA66E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19.8%</w:t>
            </w:r>
          </w:p>
        </w:tc>
      </w:tr>
      <w:tr w:rsidR="00FA36A3" w:rsidRPr="00FA36A3" w14:paraId="0C0954B3" w14:textId="77777777" w:rsidTr="00BF696F">
        <w:trPr>
          <w:trHeight w:val="285"/>
        </w:trPr>
        <w:tc>
          <w:tcPr>
            <w:tcW w:w="1260" w:type="dxa"/>
            <w:tcMar>
              <w:left w:w="108" w:type="dxa"/>
              <w:right w:w="108" w:type="dxa"/>
            </w:tcMar>
            <w:vAlign w:val="bottom"/>
          </w:tcPr>
          <w:p w14:paraId="174720D1"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2018</w:t>
            </w:r>
          </w:p>
        </w:tc>
        <w:tc>
          <w:tcPr>
            <w:tcW w:w="3340" w:type="dxa"/>
            <w:tcMar>
              <w:left w:w="108" w:type="dxa"/>
              <w:right w:w="108" w:type="dxa"/>
            </w:tcMar>
            <w:vAlign w:val="bottom"/>
          </w:tcPr>
          <w:p w14:paraId="1EC2A7A7"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441,387</w:t>
            </w:r>
          </w:p>
        </w:tc>
        <w:tc>
          <w:tcPr>
            <w:tcW w:w="3620" w:type="dxa"/>
            <w:tcMar>
              <w:left w:w="108" w:type="dxa"/>
              <w:right w:w="108" w:type="dxa"/>
            </w:tcMar>
            <w:vAlign w:val="bottom"/>
          </w:tcPr>
          <w:p w14:paraId="2CA66E36"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2,158,584</w:t>
            </w:r>
          </w:p>
        </w:tc>
        <w:tc>
          <w:tcPr>
            <w:tcW w:w="2600" w:type="dxa"/>
            <w:tcMar>
              <w:left w:w="108" w:type="dxa"/>
              <w:right w:w="108" w:type="dxa"/>
            </w:tcMar>
            <w:vAlign w:val="bottom"/>
          </w:tcPr>
          <w:p w14:paraId="07DEDE78"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20.4%</w:t>
            </w:r>
          </w:p>
        </w:tc>
      </w:tr>
      <w:tr w:rsidR="00FA36A3" w:rsidRPr="00FA36A3" w14:paraId="56B5A023" w14:textId="77777777" w:rsidTr="00BF696F">
        <w:trPr>
          <w:trHeight w:val="285"/>
        </w:trPr>
        <w:tc>
          <w:tcPr>
            <w:tcW w:w="1260" w:type="dxa"/>
            <w:tcMar>
              <w:left w:w="108" w:type="dxa"/>
              <w:right w:w="108" w:type="dxa"/>
            </w:tcMar>
            <w:vAlign w:val="bottom"/>
          </w:tcPr>
          <w:p w14:paraId="5D0305DB"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2019</w:t>
            </w:r>
          </w:p>
        </w:tc>
        <w:tc>
          <w:tcPr>
            <w:tcW w:w="3340" w:type="dxa"/>
            <w:tcMar>
              <w:left w:w="108" w:type="dxa"/>
              <w:right w:w="108" w:type="dxa"/>
            </w:tcMar>
            <w:vAlign w:val="bottom"/>
          </w:tcPr>
          <w:p w14:paraId="5804908D"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460,117</w:t>
            </w:r>
          </w:p>
        </w:tc>
        <w:tc>
          <w:tcPr>
            <w:tcW w:w="3620" w:type="dxa"/>
            <w:tcMar>
              <w:left w:w="108" w:type="dxa"/>
              <w:right w:w="108" w:type="dxa"/>
            </w:tcMar>
            <w:vAlign w:val="bottom"/>
          </w:tcPr>
          <w:p w14:paraId="422A63F0"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2,188,847</w:t>
            </w:r>
          </w:p>
        </w:tc>
        <w:tc>
          <w:tcPr>
            <w:tcW w:w="2600" w:type="dxa"/>
            <w:tcMar>
              <w:left w:w="108" w:type="dxa"/>
              <w:right w:w="108" w:type="dxa"/>
            </w:tcMar>
            <w:vAlign w:val="bottom"/>
          </w:tcPr>
          <w:p w14:paraId="6F48CB8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21.0%</w:t>
            </w:r>
          </w:p>
        </w:tc>
      </w:tr>
      <w:tr w:rsidR="00FA36A3" w:rsidRPr="00FA36A3" w14:paraId="4B875F8F" w14:textId="77777777" w:rsidTr="00BF696F">
        <w:trPr>
          <w:trHeight w:val="285"/>
        </w:trPr>
        <w:tc>
          <w:tcPr>
            <w:tcW w:w="1260" w:type="dxa"/>
            <w:tcMar>
              <w:left w:w="108" w:type="dxa"/>
              <w:right w:w="108" w:type="dxa"/>
            </w:tcMar>
            <w:vAlign w:val="bottom"/>
          </w:tcPr>
          <w:p w14:paraId="10CD364F"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2020</w:t>
            </w:r>
          </w:p>
        </w:tc>
        <w:tc>
          <w:tcPr>
            <w:tcW w:w="3340" w:type="dxa"/>
            <w:tcMar>
              <w:left w:w="108" w:type="dxa"/>
              <w:right w:w="108" w:type="dxa"/>
            </w:tcMar>
            <w:vAlign w:val="bottom"/>
          </w:tcPr>
          <w:p w14:paraId="2BA93524"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479,776</w:t>
            </w:r>
          </w:p>
        </w:tc>
        <w:tc>
          <w:tcPr>
            <w:tcW w:w="3620" w:type="dxa"/>
            <w:tcMar>
              <w:left w:w="108" w:type="dxa"/>
              <w:right w:w="108" w:type="dxa"/>
            </w:tcMar>
            <w:vAlign w:val="bottom"/>
          </w:tcPr>
          <w:p w14:paraId="156861A6"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2,221,564</w:t>
            </w:r>
          </w:p>
        </w:tc>
        <w:tc>
          <w:tcPr>
            <w:tcW w:w="2600" w:type="dxa"/>
            <w:tcMar>
              <w:left w:w="108" w:type="dxa"/>
              <w:right w:w="108" w:type="dxa"/>
            </w:tcMar>
            <w:vAlign w:val="bottom"/>
          </w:tcPr>
          <w:p w14:paraId="6076E04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21.6%</w:t>
            </w:r>
          </w:p>
        </w:tc>
      </w:tr>
      <w:tr w:rsidR="00FA36A3" w:rsidRPr="00FA36A3" w14:paraId="7EBF4BBF" w14:textId="77777777" w:rsidTr="00BF696F">
        <w:trPr>
          <w:trHeight w:val="285"/>
        </w:trPr>
        <w:tc>
          <w:tcPr>
            <w:tcW w:w="1260" w:type="dxa"/>
            <w:tcMar>
              <w:left w:w="108" w:type="dxa"/>
              <w:right w:w="108" w:type="dxa"/>
            </w:tcMar>
            <w:vAlign w:val="bottom"/>
          </w:tcPr>
          <w:p w14:paraId="2369C146"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2021</w:t>
            </w:r>
          </w:p>
        </w:tc>
        <w:tc>
          <w:tcPr>
            <w:tcW w:w="3340" w:type="dxa"/>
            <w:tcMar>
              <w:left w:w="108" w:type="dxa"/>
              <w:right w:w="108" w:type="dxa"/>
            </w:tcMar>
            <w:vAlign w:val="bottom"/>
          </w:tcPr>
          <w:p w14:paraId="2B28697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490,579</w:t>
            </w:r>
          </w:p>
        </w:tc>
        <w:tc>
          <w:tcPr>
            <w:tcW w:w="3620" w:type="dxa"/>
            <w:tcMar>
              <w:left w:w="108" w:type="dxa"/>
              <w:right w:w="108" w:type="dxa"/>
            </w:tcMar>
            <w:vAlign w:val="bottom"/>
          </w:tcPr>
          <w:p w14:paraId="48635F5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2,255,479</w:t>
            </w:r>
          </w:p>
        </w:tc>
        <w:tc>
          <w:tcPr>
            <w:tcW w:w="2600" w:type="dxa"/>
            <w:tcMar>
              <w:left w:w="108" w:type="dxa"/>
              <w:right w:w="108" w:type="dxa"/>
            </w:tcMar>
            <w:vAlign w:val="bottom"/>
          </w:tcPr>
          <w:p w14:paraId="274E37C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21.8%</w:t>
            </w:r>
          </w:p>
        </w:tc>
      </w:tr>
      <w:tr w:rsidR="00FA36A3" w:rsidRPr="00FA36A3" w14:paraId="4A9E2922" w14:textId="77777777" w:rsidTr="00BF696F">
        <w:trPr>
          <w:trHeight w:val="285"/>
        </w:trPr>
        <w:tc>
          <w:tcPr>
            <w:tcW w:w="1260" w:type="dxa"/>
            <w:tcMar>
              <w:left w:w="108" w:type="dxa"/>
              <w:right w:w="108" w:type="dxa"/>
            </w:tcMar>
            <w:vAlign w:val="bottom"/>
          </w:tcPr>
          <w:p w14:paraId="0BC9D8E6"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2022</w:t>
            </w:r>
          </w:p>
        </w:tc>
        <w:tc>
          <w:tcPr>
            <w:tcW w:w="3340" w:type="dxa"/>
            <w:tcMar>
              <w:left w:w="108" w:type="dxa"/>
              <w:right w:w="108" w:type="dxa"/>
            </w:tcMar>
            <w:vAlign w:val="bottom"/>
          </w:tcPr>
          <w:p w14:paraId="5992A26E"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488,483</w:t>
            </w:r>
          </w:p>
        </w:tc>
        <w:tc>
          <w:tcPr>
            <w:tcW w:w="3620" w:type="dxa"/>
            <w:tcMar>
              <w:left w:w="108" w:type="dxa"/>
              <w:right w:w="108" w:type="dxa"/>
            </w:tcMar>
            <w:vAlign w:val="bottom"/>
          </w:tcPr>
          <w:p w14:paraId="696E3C9C"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2,205,513</w:t>
            </w:r>
          </w:p>
        </w:tc>
        <w:tc>
          <w:tcPr>
            <w:tcW w:w="2600" w:type="dxa"/>
            <w:tcMar>
              <w:left w:w="108" w:type="dxa"/>
              <w:right w:w="108" w:type="dxa"/>
            </w:tcMar>
            <w:vAlign w:val="bottom"/>
          </w:tcPr>
          <w:p w14:paraId="45182708"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22.1%</w:t>
            </w:r>
          </w:p>
        </w:tc>
      </w:tr>
      <w:tr w:rsidR="00FA36A3" w:rsidRPr="00FA36A3" w14:paraId="5FB2DE12" w14:textId="77777777" w:rsidTr="00BF696F">
        <w:trPr>
          <w:trHeight w:val="285"/>
        </w:trPr>
        <w:tc>
          <w:tcPr>
            <w:tcW w:w="1260" w:type="dxa"/>
            <w:tcMar>
              <w:left w:w="108" w:type="dxa"/>
              <w:right w:w="108" w:type="dxa"/>
            </w:tcMar>
            <w:vAlign w:val="bottom"/>
          </w:tcPr>
          <w:p w14:paraId="309CE547"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2023</w:t>
            </w:r>
          </w:p>
        </w:tc>
        <w:tc>
          <w:tcPr>
            <w:tcW w:w="3340" w:type="dxa"/>
            <w:tcMar>
              <w:left w:w="108" w:type="dxa"/>
              <w:right w:w="108" w:type="dxa"/>
            </w:tcMar>
            <w:vAlign w:val="bottom"/>
          </w:tcPr>
          <w:p w14:paraId="0E14AC2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486,490</w:t>
            </w:r>
          </w:p>
        </w:tc>
        <w:tc>
          <w:tcPr>
            <w:tcW w:w="3620" w:type="dxa"/>
            <w:tcMar>
              <w:left w:w="108" w:type="dxa"/>
              <w:right w:w="108" w:type="dxa"/>
            </w:tcMar>
            <w:vAlign w:val="bottom"/>
          </w:tcPr>
          <w:p w14:paraId="4A1D72C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2,150,990</w:t>
            </w:r>
          </w:p>
        </w:tc>
        <w:tc>
          <w:tcPr>
            <w:tcW w:w="2600" w:type="dxa"/>
            <w:tcMar>
              <w:left w:w="108" w:type="dxa"/>
              <w:right w:w="108" w:type="dxa"/>
            </w:tcMar>
            <w:vAlign w:val="bottom"/>
          </w:tcPr>
          <w:p w14:paraId="66C99DAD"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22.6%</w:t>
            </w:r>
          </w:p>
        </w:tc>
      </w:tr>
      <w:tr w:rsidR="00FA36A3" w:rsidRPr="00FA36A3" w14:paraId="5B0412DE" w14:textId="77777777" w:rsidTr="00BF696F">
        <w:trPr>
          <w:trHeight w:val="285"/>
        </w:trPr>
        <w:tc>
          <w:tcPr>
            <w:tcW w:w="1260" w:type="dxa"/>
            <w:tcBorders>
              <w:bottom w:val="single" w:sz="4" w:space="0" w:color="auto"/>
            </w:tcBorders>
            <w:tcMar>
              <w:left w:w="108" w:type="dxa"/>
              <w:right w:w="108" w:type="dxa"/>
            </w:tcMar>
            <w:vAlign w:val="bottom"/>
          </w:tcPr>
          <w:p w14:paraId="6BFE4BC7" w14:textId="77777777" w:rsidR="00FA36A3" w:rsidRPr="00FA36A3" w:rsidRDefault="00FA36A3" w:rsidP="00FA36A3">
            <w:pPr>
              <w:spacing w:after="0" w:line="240" w:lineRule="auto"/>
              <w:jc w:val="right"/>
              <w:rPr>
                <w:rFonts w:eastAsia="Times New Roman"/>
                <w:sz w:val="24"/>
                <w:szCs w:val="24"/>
              </w:rPr>
            </w:pPr>
            <w:r w:rsidRPr="00FA36A3">
              <w:rPr>
                <w:rFonts w:eastAsia="Times New Roman"/>
                <w:color w:val="000000"/>
              </w:rPr>
              <w:t>2024</w:t>
            </w:r>
          </w:p>
        </w:tc>
        <w:tc>
          <w:tcPr>
            <w:tcW w:w="3340" w:type="dxa"/>
            <w:tcBorders>
              <w:bottom w:val="single" w:sz="4" w:space="0" w:color="auto"/>
            </w:tcBorders>
            <w:tcMar>
              <w:left w:w="108" w:type="dxa"/>
              <w:right w:w="108" w:type="dxa"/>
            </w:tcMar>
            <w:vAlign w:val="bottom"/>
          </w:tcPr>
          <w:p w14:paraId="15ADF912"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486,935</w:t>
            </w:r>
          </w:p>
        </w:tc>
        <w:tc>
          <w:tcPr>
            <w:tcW w:w="3620" w:type="dxa"/>
            <w:tcBorders>
              <w:bottom w:val="single" w:sz="4" w:space="0" w:color="auto"/>
            </w:tcBorders>
            <w:tcMar>
              <w:left w:w="108" w:type="dxa"/>
              <w:right w:w="108" w:type="dxa"/>
            </w:tcMar>
            <w:vAlign w:val="bottom"/>
          </w:tcPr>
          <w:p w14:paraId="4E38F10B"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2,139,592</w:t>
            </w:r>
          </w:p>
        </w:tc>
        <w:tc>
          <w:tcPr>
            <w:tcW w:w="2600" w:type="dxa"/>
            <w:tcBorders>
              <w:bottom w:val="single" w:sz="4" w:space="0" w:color="auto"/>
            </w:tcBorders>
            <w:tcMar>
              <w:left w:w="108" w:type="dxa"/>
              <w:right w:w="108" w:type="dxa"/>
            </w:tcMar>
            <w:vAlign w:val="bottom"/>
          </w:tcPr>
          <w:p w14:paraId="7984141A" w14:textId="77777777" w:rsidR="00FA36A3" w:rsidRPr="00FA36A3" w:rsidRDefault="00FA36A3" w:rsidP="00FA36A3">
            <w:pPr>
              <w:spacing w:after="0" w:line="240" w:lineRule="auto"/>
              <w:jc w:val="center"/>
              <w:rPr>
                <w:rFonts w:eastAsia="Times New Roman"/>
                <w:sz w:val="24"/>
                <w:szCs w:val="24"/>
              </w:rPr>
            </w:pPr>
            <w:r w:rsidRPr="00FA36A3">
              <w:rPr>
                <w:rFonts w:eastAsia="Times New Roman"/>
                <w:color w:val="000000"/>
              </w:rPr>
              <w:t>22.8%</w:t>
            </w:r>
          </w:p>
        </w:tc>
      </w:tr>
    </w:tbl>
    <w:p w14:paraId="4654BE5E" w14:textId="77777777" w:rsidR="00FA36A3" w:rsidRPr="00FA36A3" w:rsidRDefault="00FA36A3" w:rsidP="00FA36A3">
      <w:pPr>
        <w:spacing w:line="257" w:lineRule="auto"/>
        <w:rPr>
          <w:rFonts w:eastAsia="Times New Roman"/>
          <w:color w:val="000000"/>
          <w:sz w:val="20"/>
          <w:szCs w:val="20"/>
        </w:rPr>
      </w:pPr>
      <w:r w:rsidRPr="00FA36A3">
        <w:rPr>
          <w:rFonts w:eastAsia="Times New Roman"/>
          <w:color w:val="000000"/>
          <w:sz w:val="20"/>
          <w:szCs w:val="20"/>
        </w:rPr>
        <w:t>Source: Integrated Postsecondary Education Data System (IPEDS), Authors’ tabulations</w:t>
      </w:r>
    </w:p>
    <w:p w14:paraId="2A8DB244" w14:textId="2BD8F1E4" w:rsidR="00643784" w:rsidRDefault="00643784" w:rsidP="00643784">
      <w:pPr>
        <w:spacing w:after="120" w:line="240" w:lineRule="auto"/>
        <w:rPr>
          <w:rFonts w:eastAsia="Calibri"/>
          <w:b/>
        </w:rPr>
      </w:pPr>
    </w:p>
    <w:p w14:paraId="3CC493EA" w14:textId="77777777" w:rsidR="00BF696F" w:rsidRDefault="00BF696F" w:rsidP="00643784">
      <w:pPr>
        <w:spacing w:after="120" w:line="240" w:lineRule="auto"/>
        <w:rPr>
          <w:rFonts w:eastAsia="Calibri"/>
          <w:b/>
        </w:rPr>
      </w:pPr>
    </w:p>
    <w:p w14:paraId="062C50C0" w14:textId="2FA3A20D" w:rsidR="00FA36A3" w:rsidRPr="00FA36A3" w:rsidRDefault="00FA36A3" w:rsidP="00FA36A3">
      <w:pPr>
        <w:spacing w:after="0" w:line="240" w:lineRule="auto"/>
        <w:rPr>
          <w:rFonts w:eastAsia="Times New Roman"/>
          <w:color w:val="000000"/>
          <w:sz w:val="24"/>
          <w:szCs w:val="24"/>
          <w:shd w:val="clear" w:color="auto" w:fill="FFFFFF"/>
        </w:rPr>
      </w:pPr>
    </w:p>
    <w:tbl>
      <w:tblPr>
        <w:tblW w:w="12950" w:type="dxa"/>
        <w:tblLayout w:type="fixed"/>
        <w:tblLook w:val="04A0" w:firstRow="1" w:lastRow="0" w:firstColumn="1" w:lastColumn="0" w:noHBand="0" w:noVBand="1"/>
      </w:tblPr>
      <w:tblGrid>
        <w:gridCol w:w="960"/>
        <w:gridCol w:w="999"/>
        <w:gridCol w:w="999"/>
        <w:gridCol w:w="999"/>
        <w:gridCol w:w="999"/>
        <w:gridCol w:w="999"/>
        <w:gridCol w:w="1000"/>
        <w:gridCol w:w="999"/>
        <w:gridCol w:w="999"/>
        <w:gridCol w:w="999"/>
        <w:gridCol w:w="999"/>
        <w:gridCol w:w="999"/>
        <w:gridCol w:w="1000"/>
      </w:tblGrid>
      <w:tr w:rsidR="00BF696F" w:rsidRPr="00FA36A3" w14:paraId="2CC08CED" w14:textId="77777777" w:rsidTr="00BF696F">
        <w:trPr>
          <w:trHeight w:val="290"/>
        </w:trPr>
        <w:tc>
          <w:tcPr>
            <w:tcW w:w="12950" w:type="dxa"/>
            <w:gridSpan w:val="13"/>
            <w:tcBorders>
              <w:top w:val="single" w:sz="4" w:space="0" w:color="auto"/>
              <w:bottom w:val="single" w:sz="4" w:space="0" w:color="auto"/>
            </w:tcBorders>
            <w:shd w:val="clear" w:color="auto" w:fill="auto"/>
            <w:noWrap/>
            <w:vAlign w:val="bottom"/>
          </w:tcPr>
          <w:p w14:paraId="7E9ECA37" w14:textId="36490F33" w:rsidR="00BF696F" w:rsidRPr="00FA36A3" w:rsidRDefault="00BF696F" w:rsidP="00BF696F">
            <w:pPr>
              <w:spacing w:after="0" w:line="240" w:lineRule="auto"/>
              <w:rPr>
                <w:rFonts w:eastAsia="Times New Roman"/>
                <w:color w:val="000000"/>
                <w:sz w:val="24"/>
                <w:szCs w:val="24"/>
              </w:rPr>
            </w:pPr>
            <w:r w:rsidRPr="00FA36A3">
              <w:rPr>
                <w:rFonts w:eastAsia="Times New Roman"/>
                <w:b/>
                <w:bCs/>
                <w:color w:val="000000"/>
                <w:shd w:val="clear" w:color="auto" w:fill="FFFFFF"/>
              </w:rPr>
              <w:lastRenderedPageBreak/>
              <w:t>Table A2</w:t>
            </w:r>
            <w:r w:rsidRPr="00FA36A3">
              <w:rPr>
                <w:rFonts w:eastAsia="Times New Roman"/>
                <w:color w:val="000000"/>
                <w:shd w:val="clear" w:color="auto" w:fill="FFFFFF"/>
              </w:rPr>
              <w:t xml:space="preserve"> Number and share of all Bachelor’s degree graduates by major, 2001-2024</w:t>
            </w:r>
          </w:p>
        </w:tc>
      </w:tr>
      <w:tr w:rsidR="00FA36A3" w:rsidRPr="00FA36A3" w14:paraId="2B995BB5" w14:textId="77777777" w:rsidTr="00BF696F">
        <w:trPr>
          <w:trHeight w:val="290"/>
        </w:trPr>
        <w:tc>
          <w:tcPr>
            <w:tcW w:w="960" w:type="dxa"/>
            <w:tcBorders>
              <w:top w:val="single" w:sz="4" w:space="0" w:color="auto"/>
              <w:bottom w:val="single" w:sz="4" w:space="0" w:color="auto"/>
            </w:tcBorders>
            <w:shd w:val="clear" w:color="auto" w:fill="auto"/>
            <w:noWrap/>
            <w:vAlign w:val="bottom"/>
            <w:hideMark/>
          </w:tcPr>
          <w:p w14:paraId="6D227E9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Year</w:t>
            </w:r>
          </w:p>
        </w:tc>
        <w:tc>
          <w:tcPr>
            <w:tcW w:w="1998" w:type="dxa"/>
            <w:gridSpan w:val="2"/>
            <w:tcBorders>
              <w:top w:val="single" w:sz="4" w:space="0" w:color="auto"/>
              <w:bottom w:val="single" w:sz="4" w:space="0" w:color="auto"/>
            </w:tcBorders>
            <w:shd w:val="clear" w:color="auto" w:fill="auto"/>
            <w:noWrap/>
            <w:vAlign w:val="bottom"/>
            <w:hideMark/>
          </w:tcPr>
          <w:p w14:paraId="5F5F1A1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Agriculture/Natural Resources</w:t>
            </w:r>
          </w:p>
        </w:tc>
        <w:tc>
          <w:tcPr>
            <w:tcW w:w="1998" w:type="dxa"/>
            <w:gridSpan w:val="2"/>
            <w:tcBorders>
              <w:top w:val="single" w:sz="4" w:space="0" w:color="auto"/>
              <w:bottom w:val="single" w:sz="4" w:space="0" w:color="auto"/>
            </w:tcBorders>
            <w:shd w:val="clear" w:color="auto" w:fill="auto"/>
            <w:noWrap/>
            <w:vAlign w:val="bottom"/>
            <w:hideMark/>
          </w:tcPr>
          <w:p w14:paraId="5E7960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Biology and Biomedical Sciences</w:t>
            </w:r>
          </w:p>
        </w:tc>
        <w:tc>
          <w:tcPr>
            <w:tcW w:w="1999" w:type="dxa"/>
            <w:gridSpan w:val="2"/>
            <w:tcBorders>
              <w:top w:val="single" w:sz="4" w:space="0" w:color="auto"/>
              <w:bottom w:val="single" w:sz="4" w:space="0" w:color="auto"/>
            </w:tcBorders>
            <w:shd w:val="clear" w:color="auto" w:fill="auto"/>
            <w:noWrap/>
            <w:vAlign w:val="bottom"/>
            <w:hideMark/>
          </w:tcPr>
          <w:p w14:paraId="7188BC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Physical Sciences</w:t>
            </w:r>
          </w:p>
        </w:tc>
        <w:tc>
          <w:tcPr>
            <w:tcW w:w="1998" w:type="dxa"/>
            <w:gridSpan w:val="2"/>
            <w:tcBorders>
              <w:top w:val="single" w:sz="4" w:space="0" w:color="auto"/>
              <w:bottom w:val="single" w:sz="4" w:space="0" w:color="auto"/>
            </w:tcBorders>
          </w:tcPr>
          <w:p w14:paraId="25C536A7" w14:textId="77777777" w:rsidR="00FA36A3" w:rsidRPr="00FA36A3" w:rsidRDefault="00FA36A3" w:rsidP="00FA36A3">
            <w:pPr>
              <w:spacing w:after="0" w:line="240" w:lineRule="auto"/>
              <w:jc w:val="center"/>
              <w:rPr>
                <w:rFonts w:eastAsia="Times New Roman"/>
                <w:color w:val="000000"/>
                <w:sz w:val="24"/>
                <w:szCs w:val="24"/>
              </w:rPr>
            </w:pPr>
          </w:p>
          <w:p w14:paraId="19CE7B10" w14:textId="77777777" w:rsidR="00FA36A3" w:rsidRPr="00FA36A3" w:rsidRDefault="00FA36A3" w:rsidP="00FA36A3">
            <w:pPr>
              <w:spacing w:after="0" w:line="240" w:lineRule="auto"/>
              <w:jc w:val="center"/>
              <w:rPr>
                <w:rFonts w:eastAsia="Times New Roman"/>
                <w:color w:val="000000"/>
                <w:sz w:val="24"/>
                <w:szCs w:val="24"/>
              </w:rPr>
            </w:pPr>
          </w:p>
          <w:p w14:paraId="2153D8D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Engineering</w:t>
            </w:r>
          </w:p>
        </w:tc>
        <w:tc>
          <w:tcPr>
            <w:tcW w:w="1998" w:type="dxa"/>
            <w:gridSpan w:val="2"/>
            <w:tcBorders>
              <w:top w:val="single" w:sz="4" w:space="0" w:color="auto"/>
              <w:bottom w:val="single" w:sz="4" w:space="0" w:color="auto"/>
            </w:tcBorders>
          </w:tcPr>
          <w:p w14:paraId="28B2D3FA" w14:textId="77777777" w:rsidR="00FA36A3" w:rsidRPr="00FA36A3" w:rsidRDefault="00FA36A3" w:rsidP="00FA36A3">
            <w:pPr>
              <w:spacing w:after="0" w:line="240" w:lineRule="auto"/>
              <w:jc w:val="center"/>
              <w:rPr>
                <w:rFonts w:eastAsia="Times New Roman"/>
                <w:color w:val="000000"/>
                <w:sz w:val="24"/>
                <w:szCs w:val="24"/>
              </w:rPr>
            </w:pPr>
          </w:p>
          <w:p w14:paraId="6F7ADACF" w14:textId="77777777" w:rsidR="00FA36A3" w:rsidRPr="00FA36A3" w:rsidRDefault="00FA36A3" w:rsidP="00FA36A3">
            <w:pPr>
              <w:spacing w:after="0" w:line="240" w:lineRule="auto"/>
              <w:jc w:val="center"/>
              <w:rPr>
                <w:rFonts w:eastAsia="Times New Roman"/>
                <w:color w:val="000000"/>
                <w:sz w:val="24"/>
                <w:szCs w:val="24"/>
              </w:rPr>
            </w:pPr>
          </w:p>
          <w:p w14:paraId="572931D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Computer Science</w:t>
            </w:r>
          </w:p>
        </w:tc>
        <w:tc>
          <w:tcPr>
            <w:tcW w:w="1999" w:type="dxa"/>
            <w:gridSpan w:val="2"/>
            <w:tcBorders>
              <w:top w:val="single" w:sz="4" w:space="0" w:color="auto"/>
              <w:bottom w:val="single" w:sz="4" w:space="0" w:color="auto"/>
            </w:tcBorders>
          </w:tcPr>
          <w:p w14:paraId="626A85B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br/>
              <w:t>Mathematics and Statistics</w:t>
            </w:r>
          </w:p>
        </w:tc>
      </w:tr>
      <w:tr w:rsidR="00FA36A3" w:rsidRPr="00FA36A3" w14:paraId="5C499920" w14:textId="77777777" w:rsidTr="00BF696F">
        <w:trPr>
          <w:trHeight w:val="290"/>
        </w:trPr>
        <w:tc>
          <w:tcPr>
            <w:tcW w:w="960" w:type="dxa"/>
            <w:tcBorders>
              <w:top w:val="single" w:sz="4" w:space="0" w:color="auto"/>
            </w:tcBorders>
            <w:shd w:val="clear" w:color="auto" w:fill="auto"/>
            <w:noWrap/>
            <w:vAlign w:val="bottom"/>
            <w:hideMark/>
          </w:tcPr>
          <w:p w14:paraId="35600380"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2001</w:t>
            </w:r>
          </w:p>
        </w:tc>
        <w:tc>
          <w:tcPr>
            <w:tcW w:w="999" w:type="dxa"/>
            <w:tcBorders>
              <w:top w:val="single" w:sz="4" w:space="0" w:color="auto"/>
            </w:tcBorders>
            <w:shd w:val="clear" w:color="auto" w:fill="auto"/>
            <w:noWrap/>
            <w:vAlign w:val="bottom"/>
          </w:tcPr>
          <w:p w14:paraId="3F7309A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24,227</w:t>
            </w:r>
          </w:p>
        </w:tc>
        <w:tc>
          <w:tcPr>
            <w:tcW w:w="999" w:type="dxa"/>
            <w:tcBorders>
              <w:top w:val="single" w:sz="4" w:space="0" w:color="auto"/>
            </w:tcBorders>
            <w:shd w:val="clear" w:color="auto" w:fill="auto"/>
            <w:vAlign w:val="bottom"/>
          </w:tcPr>
          <w:p w14:paraId="3B4763A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1.8%</w:t>
            </w:r>
          </w:p>
        </w:tc>
        <w:tc>
          <w:tcPr>
            <w:tcW w:w="999" w:type="dxa"/>
            <w:tcBorders>
              <w:top w:val="single" w:sz="4" w:space="0" w:color="auto"/>
            </w:tcBorders>
            <w:shd w:val="clear" w:color="auto" w:fill="auto"/>
            <w:noWrap/>
            <w:vAlign w:val="bottom"/>
          </w:tcPr>
          <w:p w14:paraId="3CC6D8C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63,875</w:t>
            </w:r>
          </w:p>
        </w:tc>
        <w:tc>
          <w:tcPr>
            <w:tcW w:w="999" w:type="dxa"/>
            <w:tcBorders>
              <w:top w:val="single" w:sz="4" w:space="0" w:color="auto"/>
            </w:tcBorders>
            <w:shd w:val="clear" w:color="auto" w:fill="auto"/>
            <w:vAlign w:val="bottom"/>
          </w:tcPr>
          <w:p w14:paraId="337745B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4.8%</w:t>
            </w:r>
          </w:p>
        </w:tc>
        <w:tc>
          <w:tcPr>
            <w:tcW w:w="999" w:type="dxa"/>
            <w:tcBorders>
              <w:top w:val="single" w:sz="4" w:space="0" w:color="auto"/>
            </w:tcBorders>
            <w:shd w:val="clear" w:color="auto" w:fill="auto"/>
            <w:noWrap/>
            <w:vAlign w:val="bottom"/>
          </w:tcPr>
          <w:p w14:paraId="01B9C41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19,206</w:t>
            </w:r>
          </w:p>
        </w:tc>
        <w:tc>
          <w:tcPr>
            <w:tcW w:w="1000" w:type="dxa"/>
            <w:tcBorders>
              <w:top w:val="single" w:sz="4" w:space="0" w:color="auto"/>
            </w:tcBorders>
            <w:shd w:val="clear" w:color="auto" w:fill="auto"/>
            <w:vAlign w:val="bottom"/>
          </w:tcPr>
          <w:p w14:paraId="4EA4549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single" w:sz="4" w:space="0" w:color="auto"/>
            </w:tcBorders>
            <w:vAlign w:val="bottom"/>
          </w:tcPr>
          <w:p w14:paraId="114DDB1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59,919</w:t>
            </w:r>
          </w:p>
        </w:tc>
        <w:tc>
          <w:tcPr>
            <w:tcW w:w="999" w:type="dxa"/>
            <w:tcBorders>
              <w:top w:val="single" w:sz="4" w:space="0" w:color="auto"/>
            </w:tcBorders>
            <w:vAlign w:val="bottom"/>
          </w:tcPr>
          <w:p w14:paraId="72DB78C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4.5%</w:t>
            </w:r>
          </w:p>
        </w:tc>
        <w:tc>
          <w:tcPr>
            <w:tcW w:w="999" w:type="dxa"/>
            <w:tcBorders>
              <w:top w:val="single" w:sz="4" w:space="0" w:color="auto"/>
            </w:tcBorders>
            <w:vAlign w:val="bottom"/>
          </w:tcPr>
          <w:p w14:paraId="68B4EED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44,479</w:t>
            </w:r>
          </w:p>
        </w:tc>
        <w:tc>
          <w:tcPr>
            <w:tcW w:w="999" w:type="dxa"/>
            <w:tcBorders>
              <w:top w:val="single" w:sz="4" w:space="0" w:color="auto"/>
            </w:tcBorders>
            <w:vAlign w:val="bottom"/>
          </w:tcPr>
          <w:p w14:paraId="003C714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3.3%</w:t>
            </w:r>
          </w:p>
        </w:tc>
        <w:tc>
          <w:tcPr>
            <w:tcW w:w="999" w:type="dxa"/>
            <w:tcBorders>
              <w:top w:val="single" w:sz="4" w:space="0" w:color="auto"/>
            </w:tcBorders>
            <w:vAlign w:val="bottom"/>
          </w:tcPr>
          <w:p w14:paraId="29D24DD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13,006</w:t>
            </w:r>
          </w:p>
        </w:tc>
        <w:tc>
          <w:tcPr>
            <w:tcW w:w="1000" w:type="dxa"/>
            <w:tcBorders>
              <w:top w:val="single" w:sz="4" w:space="0" w:color="auto"/>
            </w:tcBorders>
            <w:vAlign w:val="bottom"/>
          </w:tcPr>
          <w:p w14:paraId="0402036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2E68B392" w14:textId="77777777" w:rsidTr="00BF696F">
        <w:trPr>
          <w:trHeight w:val="290"/>
        </w:trPr>
        <w:tc>
          <w:tcPr>
            <w:tcW w:w="960" w:type="dxa"/>
            <w:tcBorders>
              <w:top w:val="nil"/>
            </w:tcBorders>
            <w:shd w:val="clear" w:color="auto" w:fill="auto"/>
            <w:noWrap/>
            <w:vAlign w:val="bottom"/>
            <w:hideMark/>
          </w:tcPr>
          <w:p w14:paraId="0E84537E"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2002</w:t>
            </w:r>
          </w:p>
        </w:tc>
        <w:tc>
          <w:tcPr>
            <w:tcW w:w="999" w:type="dxa"/>
            <w:tcBorders>
              <w:top w:val="nil"/>
            </w:tcBorders>
            <w:shd w:val="clear" w:color="auto" w:fill="auto"/>
            <w:noWrap/>
            <w:vAlign w:val="bottom"/>
          </w:tcPr>
          <w:p w14:paraId="0583CDB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24,328</w:t>
            </w:r>
          </w:p>
        </w:tc>
        <w:tc>
          <w:tcPr>
            <w:tcW w:w="999" w:type="dxa"/>
            <w:tcBorders>
              <w:top w:val="nil"/>
            </w:tcBorders>
            <w:shd w:val="clear" w:color="auto" w:fill="auto"/>
            <w:vAlign w:val="bottom"/>
          </w:tcPr>
          <w:p w14:paraId="2C7776C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w:t>
            </w:r>
          </w:p>
        </w:tc>
        <w:tc>
          <w:tcPr>
            <w:tcW w:w="999" w:type="dxa"/>
            <w:tcBorders>
              <w:top w:val="nil"/>
            </w:tcBorders>
            <w:shd w:val="clear" w:color="auto" w:fill="auto"/>
            <w:noWrap/>
            <w:vAlign w:val="bottom"/>
          </w:tcPr>
          <w:p w14:paraId="7E14FBA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63,790</w:t>
            </w:r>
          </w:p>
        </w:tc>
        <w:tc>
          <w:tcPr>
            <w:tcW w:w="999" w:type="dxa"/>
            <w:tcBorders>
              <w:top w:val="nil"/>
            </w:tcBorders>
            <w:shd w:val="clear" w:color="auto" w:fill="auto"/>
            <w:vAlign w:val="bottom"/>
          </w:tcPr>
          <w:p w14:paraId="0606E81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4.6%</w:t>
            </w:r>
          </w:p>
        </w:tc>
        <w:tc>
          <w:tcPr>
            <w:tcW w:w="999" w:type="dxa"/>
            <w:tcBorders>
              <w:top w:val="nil"/>
            </w:tcBorders>
            <w:shd w:val="clear" w:color="auto" w:fill="auto"/>
            <w:noWrap/>
            <w:vAlign w:val="bottom"/>
          </w:tcPr>
          <w:p w14:paraId="5202C3F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19,203</w:t>
            </w:r>
          </w:p>
        </w:tc>
        <w:tc>
          <w:tcPr>
            <w:tcW w:w="1000" w:type="dxa"/>
            <w:tcBorders>
              <w:top w:val="nil"/>
            </w:tcBorders>
            <w:shd w:val="clear" w:color="auto" w:fill="auto"/>
            <w:vAlign w:val="bottom"/>
          </w:tcPr>
          <w:p w14:paraId="4F26015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000DB86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61,464</w:t>
            </w:r>
          </w:p>
        </w:tc>
        <w:tc>
          <w:tcPr>
            <w:tcW w:w="999" w:type="dxa"/>
            <w:tcBorders>
              <w:top w:val="nil"/>
            </w:tcBorders>
            <w:vAlign w:val="bottom"/>
          </w:tcPr>
          <w:p w14:paraId="296711F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w:t>
            </w:r>
          </w:p>
        </w:tc>
        <w:tc>
          <w:tcPr>
            <w:tcW w:w="999" w:type="dxa"/>
            <w:tcBorders>
              <w:top w:val="nil"/>
            </w:tcBorders>
            <w:vAlign w:val="bottom"/>
          </w:tcPr>
          <w:p w14:paraId="722826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49,607</w:t>
            </w:r>
          </w:p>
        </w:tc>
        <w:tc>
          <w:tcPr>
            <w:tcW w:w="999" w:type="dxa"/>
            <w:tcBorders>
              <w:top w:val="nil"/>
            </w:tcBorders>
            <w:vAlign w:val="bottom"/>
          </w:tcPr>
          <w:p w14:paraId="096AAB3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3.6%</w:t>
            </w:r>
          </w:p>
        </w:tc>
        <w:tc>
          <w:tcPr>
            <w:tcW w:w="999" w:type="dxa"/>
            <w:tcBorders>
              <w:top w:val="nil"/>
            </w:tcBorders>
            <w:vAlign w:val="bottom"/>
          </w:tcPr>
          <w:p w14:paraId="5C382C4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13,837</w:t>
            </w:r>
          </w:p>
        </w:tc>
        <w:tc>
          <w:tcPr>
            <w:tcW w:w="1000" w:type="dxa"/>
            <w:tcBorders>
              <w:top w:val="nil"/>
            </w:tcBorders>
            <w:vAlign w:val="bottom"/>
          </w:tcPr>
          <w:p w14:paraId="7207C04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78B3AC43" w14:textId="77777777" w:rsidTr="00BF696F">
        <w:trPr>
          <w:trHeight w:val="290"/>
        </w:trPr>
        <w:tc>
          <w:tcPr>
            <w:tcW w:w="960" w:type="dxa"/>
            <w:tcBorders>
              <w:top w:val="nil"/>
            </w:tcBorders>
            <w:shd w:val="clear" w:color="auto" w:fill="auto"/>
            <w:noWrap/>
            <w:vAlign w:val="bottom"/>
            <w:hideMark/>
          </w:tcPr>
          <w:p w14:paraId="01BDB60B"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2003</w:t>
            </w:r>
          </w:p>
        </w:tc>
        <w:tc>
          <w:tcPr>
            <w:tcW w:w="999" w:type="dxa"/>
            <w:tcBorders>
              <w:top w:val="nil"/>
            </w:tcBorders>
            <w:shd w:val="clear" w:color="auto" w:fill="auto"/>
            <w:noWrap/>
            <w:vAlign w:val="bottom"/>
          </w:tcPr>
          <w:p w14:paraId="65FD7AD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24,194</w:t>
            </w:r>
          </w:p>
        </w:tc>
        <w:tc>
          <w:tcPr>
            <w:tcW w:w="999" w:type="dxa"/>
            <w:tcBorders>
              <w:top w:val="nil"/>
            </w:tcBorders>
            <w:shd w:val="clear" w:color="auto" w:fill="auto"/>
            <w:vAlign w:val="bottom"/>
          </w:tcPr>
          <w:p w14:paraId="485E88D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w:t>
            </w:r>
          </w:p>
        </w:tc>
        <w:tc>
          <w:tcPr>
            <w:tcW w:w="999" w:type="dxa"/>
            <w:tcBorders>
              <w:top w:val="nil"/>
            </w:tcBorders>
            <w:shd w:val="clear" w:color="auto" w:fill="auto"/>
            <w:noWrap/>
            <w:vAlign w:val="bottom"/>
          </w:tcPr>
          <w:p w14:paraId="6DB363F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63,178</w:t>
            </w:r>
          </w:p>
        </w:tc>
        <w:tc>
          <w:tcPr>
            <w:tcW w:w="999" w:type="dxa"/>
            <w:tcBorders>
              <w:top w:val="nil"/>
            </w:tcBorders>
            <w:shd w:val="clear" w:color="auto" w:fill="auto"/>
            <w:vAlign w:val="bottom"/>
          </w:tcPr>
          <w:p w14:paraId="160EAA6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w:t>
            </w:r>
          </w:p>
        </w:tc>
        <w:tc>
          <w:tcPr>
            <w:tcW w:w="999" w:type="dxa"/>
            <w:tcBorders>
              <w:top w:val="nil"/>
            </w:tcBorders>
            <w:shd w:val="clear" w:color="auto" w:fill="auto"/>
            <w:noWrap/>
            <w:vAlign w:val="bottom"/>
          </w:tcPr>
          <w:p w14:paraId="4BAB5F8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19,186</w:t>
            </w:r>
          </w:p>
        </w:tc>
        <w:tc>
          <w:tcPr>
            <w:tcW w:w="1000" w:type="dxa"/>
            <w:tcBorders>
              <w:top w:val="nil"/>
            </w:tcBorders>
            <w:shd w:val="clear" w:color="auto" w:fill="auto"/>
            <w:vAlign w:val="bottom"/>
          </w:tcPr>
          <w:p w14:paraId="087C5D1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c>
          <w:tcPr>
            <w:tcW w:w="999" w:type="dxa"/>
            <w:tcBorders>
              <w:top w:val="nil"/>
            </w:tcBorders>
            <w:vAlign w:val="bottom"/>
          </w:tcPr>
          <w:p w14:paraId="260B104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64,657</w:t>
            </w:r>
          </w:p>
        </w:tc>
        <w:tc>
          <w:tcPr>
            <w:tcW w:w="999" w:type="dxa"/>
            <w:tcBorders>
              <w:top w:val="nil"/>
            </w:tcBorders>
            <w:vAlign w:val="bottom"/>
          </w:tcPr>
          <w:p w14:paraId="117CF32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4.5%</w:t>
            </w:r>
          </w:p>
        </w:tc>
        <w:tc>
          <w:tcPr>
            <w:tcW w:w="999" w:type="dxa"/>
            <w:tcBorders>
              <w:top w:val="nil"/>
            </w:tcBorders>
            <w:vAlign w:val="bottom"/>
          </w:tcPr>
          <w:p w14:paraId="0188D3D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59,878</w:t>
            </w:r>
          </w:p>
        </w:tc>
        <w:tc>
          <w:tcPr>
            <w:tcW w:w="999" w:type="dxa"/>
            <w:tcBorders>
              <w:top w:val="nil"/>
            </w:tcBorders>
            <w:vAlign w:val="bottom"/>
          </w:tcPr>
          <w:p w14:paraId="7933D38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4.1%</w:t>
            </w:r>
          </w:p>
        </w:tc>
        <w:tc>
          <w:tcPr>
            <w:tcW w:w="999" w:type="dxa"/>
            <w:tcBorders>
              <w:top w:val="nil"/>
            </w:tcBorders>
            <w:vAlign w:val="bottom"/>
          </w:tcPr>
          <w:p w14:paraId="54475FA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14,106</w:t>
            </w:r>
          </w:p>
        </w:tc>
        <w:tc>
          <w:tcPr>
            <w:tcW w:w="1000" w:type="dxa"/>
            <w:tcBorders>
              <w:top w:val="nil"/>
            </w:tcBorders>
            <w:vAlign w:val="bottom"/>
          </w:tcPr>
          <w:p w14:paraId="512E4FA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23A90D68" w14:textId="77777777" w:rsidTr="00BF696F">
        <w:trPr>
          <w:trHeight w:val="290"/>
        </w:trPr>
        <w:tc>
          <w:tcPr>
            <w:tcW w:w="960" w:type="dxa"/>
            <w:tcBorders>
              <w:top w:val="nil"/>
            </w:tcBorders>
            <w:shd w:val="clear" w:color="auto" w:fill="auto"/>
            <w:noWrap/>
            <w:vAlign w:val="bottom"/>
            <w:hideMark/>
          </w:tcPr>
          <w:p w14:paraId="1FE46F51"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2004</w:t>
            </w:r>
          </w:p>
        </w:tc>
        <w:tc>
          <w:tcPr>
            <w:tcW w:w="999" w:type="dxa"/>
            <w:tcBorders>
              <w:top w:val="nil"/>
            </w:tcBorders>
            <w:shd w:val="clear" w:color="auto" w:fill="auto"/>
            <w:noWrap/>
            <w:vAlign w:val="bottom"/>
          </w:tcPr>
          <w:p w14:paraId="198F3C5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23,725</w:t>
            </w:r>
          </w:p>
        </w:tc>
        <w:tc>
          <w:tcPr>
            <w:tcW w:w="999" w:type="dxa"/>
            <w:tcBorders>
              <w:top w:val="nil"/>
            </w:tcBorders>
            <w:shd w:val="clear" w:color="auto" w:fill="auto"/>
            <w:vAlign w:val="bottom"/>
          </w:tcPr>
          <w:p w14:paraId="270A74C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1.6%</w:t>
            </w:r>
          </w:p>
        </w:tc>
        <w:tc>
          <w:tcPr>
            <w:tcW w:w="999" w:type="dxa"/>
            <w:tcBorders>
              <w:top w:val="nil"/>
            </w:tcBorders>
            <w:shd w:val="clear" w:color="auto" w:fill="auto"/>
            <w:noWrap/>
            <w:vAlign w:val="bottom"/>
          </w:tcPr>
          <w:p w14:paraId="572EBF5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64,388</w:t>
            </w:r>
          </w:p>
        </w:tc>
        <w:tc>
          <w:tcPr>
            <w:tcW w:w="999" w:type="dxa"/>
            <w:tcBorders>
              <w:top w:val="nil"/>
            </w:tcBorders>
            <w:shd w:val="clear" w:color="auto" w:fill="auto"/>
            <w:vAlign w:val="bottom"/>
          </w:tcPr>
          <w:p w14:paraId="376F96F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w:t>
            </w:r>
          </w:p>
        </w:tc>
        <w:tc>
          <w:tcPr>
            <w:tcW w:w="999" w:type="dxa"/>
            <w:tcBorders>
              <w:top w:val="nil"/>
            </w:tcBorders>
            <w:shd w:val="clear" w:color="auto" w:fill="auto"/>
            <w:noWrap/>
            <w:vAlign w:val="bottom"/>
          </w:tcPr>
          <w:p w14:paraId="4F006A0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19,432</w:t>
            </w:r>
          </w:p>
        </w:tc>
        <w:tc>
          <w:tcPr>
            <w:tcW w:w="1000" w:type="dxa"/>
            <w:tcBorders>
              <w:top w:val="nil"/>
            </w:tcBorders>
            <w:shd w:val="clear" w:color="auto" w:fill="auto"/>
            <w:vAlign w:val="bottom"/>
          </w:tcPr>
          <w:p w14:paraId="5DF1AED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c>
          <w:tcPr>
            <w:tcW w:w="999" w:type="dxa"/>
            <w:tcBorders>
              <w:top w:val="nil"/>
            </w:tcBorders>
            <w:vAlign w:val="bottom"/>
          </w:tcPr>
          <w:p w14:paraId="1BCD75C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65,957</w:t>
            </w:r>
          </w:p>
        </w:tc>
        <w:tc>
          <w:tcPr>
            <w:tcW w:w="999" w:type="dxa"/>
            <w:tcBorders>
              <w:top w:val="nil"/>
            </w:tcBorders>
            <w:vAlign w:val="bottom"/>
          </w:tcPr>
          <w:p w14:paraId="342D117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w:t>
            </w:r>
          </w:p>
        </w:tc>
        <w:tc>
          <w:tcPr>
            <w:tcW w:w="999" w:type="dxa"/>
            <w:tcBorders>
              <w:top w:val="nil"/>
            </w:tcBorders>
            <w:vAlign w:val="bottom"/>
          </w:tcPr>
          <w:p w14:paraId="4002D8F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61,892</w:t>
            </w:r>
          </w:p>
        </w:tc>
        <w:tc>
          <w:tcPr>
            <w:tcW w:w="999" w:type="dxa"/>
            <w:tcBorders>
              <w:top w:val="nil"/>
            </w:tcBorders>
            <w:vAlign w:val="bottom"/>
          </w:tcPr>
          <w:p w14:paraId="484A6F6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4.1%</w:t>
            </w:r>
          </w:p>
        </w:tc>
        <w:tc>
          <w:tcPr>
            <w:tcW w:w="999" w:type="dxa"/>
            <w:tcBorders>
              <w:top w:val="nil"/>
            </w:tcBorders>
            <w:vAlign w:val="bottom"/>
          </w:tcPr>
          <w:p w14:paraId="6AA1471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15,199</w:t>
            </w:r>
          </w:p>
        </w:tc>
        <w:tc>
          <w:tcPr>
            <w:tcW w:w="1000" w:type="dxa"/>
            <w:tcBorders>
              <w:top w:val="nil"/>
            </w:tcBorders>
            <w:vAlign w:val="bottom"/>
          </w:tcPr>
          <w:p w14:paraId="48313AC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1A0323D4" w14:textId="77777777" w:rsidTr="00BF696F">
        <w:trPr>
          <w:trHeight w:val="290"/>
        </w:trPr>
        <w:tc>
          <w:tcPr>
            <w:tcW w:w="960" w:type="dxa"/>
            <w:tcBorders>
              <w:top w:val="nil"/>
            </w:tcBorders>
            <w:shd w:val="clear" w:color="auto" w:fill="auto"/>
            <w:noWrap/>
            <w:vAlign w:val="bottom"/>
            <w:hideMark/>
          </w:tcPr>
          <w:p w14:paraId="27742733"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2005</w:t>
            </w:r>
          </w:p>
        </w:tc>
        <w:tc>
          <w:tcPr>
            <w:tcW w:w="999" w:type="dxa"/>
            <w:tcBorders>
              <w:top w:val="nil"/>
            </w:tcBorders>
            <w:shd w:val="clear" w:color="auto" w:fill="auto"/>
            <w:noWrap/>
            <w:vAlign w:val="bottom"/>
          </w:tcPr>
          <w:p w14:paraId="2E108FE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24,037</w:t>
            </w:r>
          </w:p>
        </w:tc>
        <w:tc>
          <w:tcPr>
            <w:tcW w:w="999" w:type="dxa"/>
            <w:tcBorders>
              <w:top w:val="nil"/>
            </w:tcBorders>
            <w:shd w:val="clear" w:color="auto" w:fill="auto"/>
            <w:vAlign w:val="bottom"/>
          </w:tcPr>
          <w:p w14:paraId="4C6CF8C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0B914AD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67,771</w:t>
            </w:r>
          </w:p>
        </w:tc>
        <w:tc>
          <w:tcPr>
            <w:tcW w:w="999" w:type="dxa"/>
            <w:tcBorders>
              <w:top w:val="nil"/>
            </w:tcBorders>
            <w:shd w:val="clear" w:color="auto" w:fill="auto"/>
            <w:vAlign w:val="bottom"/>
          </w:tcPr>
          <w:p w14:paraId="5FF1757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w:t>
            </w:r>
          </w:p>
        </w:tc>
        <w:tc>
          <w:tcPr>
            <w:tcW w:w="999" w:type="dxa"/>
            <w:tcBorders>
              <w:top w:val="nil"/>
            </w:tcBorders>
            <w:shd w:val="clear" w:color="auto" w:fill="auto"/>
            <w:noWrap/>
            <w:vAlign w:val="bottom"/>
          </w:tcPr>
          <w:p w14:paraId="4D355CF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20,409</w:t>
            </w:r>
          </w:p>
        </w:tc>
        <w:tc>
          <w:tcPr>
            <w:tcW w:w="1000" w:type="dxa"/>
            <w:tcBorders>
              <w:top w:val="nil"/>
            </w:tcBorders>
            <w:shd w:val="clear" w:color="auto" w:fill="auto"/>
            <w:vAlign w:val="bottom"/>
          </w:tcPr>
          <w:p w14:paraId="133CECD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c>
          <w:tcPr>
            <w:tcW w:w="999" w:type="dxa"/>
            <w:tcBorders>
              <w:top w:val="nil"/>
            </w:tcBorders>
            <w:vAlign w:val="bottom"/>
          </w:tcPr>
          <w:p w14:paraId="2356BDE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67,323</w:t>
            </w:r>
          </w:p>
        </w:tc>
        <w:tc>
          <w:tcPr>
            <w:tcW w:w="999" w:type="dxa"/>
            <w:tcBorders>
              <w:top w:val="nil"/>
            </w:tcBorders>
            <w:vAlign w:val="bottom"/>
          </w:tcPr>
          <w:p w14:paraId="51C06A4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w:t>
            </w:r>
          </w:p>
        </w:tc>
        <w:tc>
          <w:tcPr>
            <w:tcW w:w="999" w:type="dxa"/>
            <w:tcBorders>
              <w:top w:val="nil"/>
            </w:tcBorders>
            <w:vAlign w:val="bottom"/>
          </w:tcPr>
          <w:p w14:paraId="5DB9654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56,805</w:t>
            </w:r>
          </w:p>
        </w:tc>
        <w:tc>
          <w:tcPr>
            <w:tcW w:w="999" w:type="dxa"/>
            <w:tcBorders>
              <w:top w:val="nil"/>
            </w:tcBorders>
            <w:vAlign w:val="bottom"/>
          </w:tcPr>
          <w:p w14:paraId="2C6F45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3.6%</w:t>
            </w:r>
          </w:p>
        </w:tc>
        <w:tc>
          <w:tcPr>
            <w:tcW w:w="999" w:type="dxa"/>
            <w:tcBorders>
              <w:top w:val="nil"/>
            </w:tcBorders>
            <w:vAlign w:val="bottom"/>
          </w:tcPr>
          <w:p w14:paraId="43DAC64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16,286</w:t>
            </w:r>
          </w:p>
        </w:tc>
        <w:tc>
          <w:tcPr>
            <w:tcW w:w="1000" w:type="dxa"/>
            <w:tcBorders>
              <w:top w:val="nil"/>
            </w:tcBorders>
            <w:vAlign w:val="bottom"/>
          </w:tcPr>
          <w:p w14:paraId="3AF6681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5BF8EFF3" w14:textId="77777777" w:rsidTr="00BF696F">
        <w:trPr>
          <w:trHeight w:val="290"/>
        </w:trPr>
        <w:tc>
          <w:tcPr>
            <w:tcW w:w="960" w:type="dxa"/>
            <w:tcBorders>
              <w:top w:val="nil"/>
            </w:tcBorders>
            <w:shd w:val="clear" w:color="auto" w:fill="auto"/>
            <w:noWrap/>
            <w:vAlign w:val="bottom"/>
            <w:hideMark/>
          </w:tcPr>
          <w:p w14:paraId="058232B8"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2006</w:t>
            </w:r>
          </w:p>
        </w:tc>
        <w:tc>
          <w:tcPr>
            <w:tcW w:w="999" w:type="dxa"/>
            <w:tcBorders>
              <w:top w:val="nil"/>
            </w:tcBorders>
            <w:shd w:val="clear" w:color="auto" w:fill="auto"/>
            <w:noWrap/>
            <w:vAlign w:val="bottom"/>
          </w:tcPr>
          <w:p w14:paraId="6EE060E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23,968</w:t>
            </w:r>
          </w:p>
        </w:tc>
        <w:tc>
          <w:tcPr>
            <w:tcW w:w="999" w:type="dxa"/>
            <w:tcBorders>
              <w:top w:val="nil"/>
            </w:tcBorders>
            <w:shd w:val="clear" w:color="auto" w:fill="auto"/>
            <w:vAlign w:val="bottom"/>
          </w:tcPr>
          <w:p w14:paraId="30F1A61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417E11C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72,541</w:t>
            </w:r>
          </w:p>
        </w:tc>
        <w:tc>
          <w:tcPr>
            <w:tcW w:w="999" w:type="dxa"/>
            <w:tcBorders>
              <w:top w:val="nil"/>
            </w:tcBorders>
            <w:shd w:val="clear" w:color="auto" w:fill="auto"/>
            <w:vAlign w:val="bottom"/>
          </w:tcPr>
          <w:p w14:paraId="1C7CF36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4.5%</w:t>
            </w:r>
          </w:p>
        </w:tc>
        <w:tc>
          <w:tcPr>
            <w:tcW w:w="999" w:type="dxa"/>
            <w:tcBorders>
              <w:top w:val="nil"/>
            </w:tcBorders>
            <w:shd w:val="clear" w:color="auto" w:fill="auto"/>
            <w:noWrap/>
            <w:vAlign w:val="bottom"/>
          </w:tcPr>
          <w:p w14:paraId="0093B1A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21,719</w:t>
            </w:r>
          </w:p>
        </w:tc>
        <w:tc>
          <w:tcPr>
            <w:tcW w:w="1000" w:type="dxa"/>
            <w:tcBorders>
              <w:top w:val="nil"/>
            </w:tcBorders>
            <w:shd w:val="clear" w:color="auto" w:fill="auto"/>
            <w:vAlign w:val="bottom"/>
          </w:tcPr>
          <w:p w14:paraId="3D12523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02E8007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69,381</w:t>
            </w:r>
          </w:p>
        </w:tc>
        <w:tc>
          <w:tcPr>
            <w:tcW w:w="999" w:type="dxa"/>
            <w:tcBorders>
              <w:top w:val="nil"/>
            </w:tcBorders>
            <w:vAlign w:val="bottom"/>
          </w:tcPr>
          <w:p w14:paraId="1965977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w:t>
            </w:r>
          </w:p>
        </w:tc>
        <w:tc>
          <w:tcPr>
            <w:tcW w:w="999" w:type="dxa"/>
            <w:tcBorders>
              <w:top w:val="nil"/>
            </w:tcBorders>
            <w:vAlign w:val="bottom"/>
          </w:tcPr>
          <w:p w14:paraId="696F79D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49,494</w:t>
            </w:r>
          </w:p>
        </w:tc>
        <w:tc>
          <w:tcPr>
            <w:tcW w:w="999" w:type="dxa"/>
            <w:tcBorders>
              <w:top w:val="nil"/>
            </w:tcBorders>
            <w:vAlign w:val="bottom"/>
          </w:tcPr>
          <w:p w14:paraId="74A2B30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w:t>
            </w:r>
          </w:p>
        </w:tc>
        <w:tc>
          <w:tcPr>
            <w:tcW w:w="999" w:type="dxa"/>
            <w:tcBorders>
              <w:top w:val="nil"/>
            </w:tcBorders>
            <w:vAlign w:val="bottom"/>
          </w:tcPr>
          <w:p w14:paraId="20BBFA8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16,851</w:t>
            </w:r>
          </w:p>
        </w:tc>
        <w:tc>
          <w:tcPr>
            <w:tcW w:w="1000" w:type="dxa"/>
            <w:tcBorders>
              <w:top w:val="nil"/>
            </w:tcBorders>
            <w:vAlign w:val="bottom"/>
          </w:tcPr>
          <w:p w14:paraId="6686C9C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10F12925" w14:textId="77777777" w:rsidTr="00BF696F">
        <w:trPr>
          <w:trHeight w:val="290"/>
        </w:trPr>
        <w:tc>
          <w:tcPr>
            <w:tcW w:w="960" w:type="dxa"/>
            <w:tcBorders>
              <w:top w:val="nil"/>
            </w:tcBorders>
            <w:shd w:val="clear" w:color="auto" w:fill="auto"/>
            <w:noWrap/>
            <w:vAlign w:val="bottom"/>
            <w:hideMark/>
          </w:tcPr>
          <w:p w14:paraId="781A30BD"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2007</w:t>
            </w:r>
          </w:p>
        </w:tc>
        <w:tc>
          <w:tcPr>
            <w:tcW w:w="999" w:type="dxa"/>
            <w:tcBorders>
              <w:top w:val="nil"/>
            </w:tcBorders>
            <w:shd w:val="clear" w:color="auto" w:fill="auto"/>
            <w:noWrap/>
            <w:vAlign w:val="bottom"/>
          </w:tcPr>
          <w:p w14:paraId="1FCCBF5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24,154</w:t>
            </w:r>
          </w:p>
        </w:tc>
        <w:tc>
          <w:tcPr>
            <w:tcW w:w="999" w:type="dxa"/>
            <w:tcBorders>
              <w:top w:val="nil"/>
            </w:tcBorders>
            <w:shd w:val="clear" w:color="auto" w:fill="auto"/>
            <w:vAlign w:val="bottom"/>
          </w:tcPr>
          <w:p w14:paraId="0CD5500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6E6C448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78,634</w:t>
            </w:r>
          </w:p>
        </w:tc>
        <w:tc>
          <w:tcPr>
            <w:tcW w:w="999" w:type="dxa"/>
            <w:tcBorders>
              <w:top w:val="nil"/>
            </w:tcBorders>
            <w:shd w:val="clear" w:color="auto" w:fill="auto"/>
            <w:vAlign w:val="bottom"/>
          </w:tcPr>
          <w:p w14:paraId="4A8DF86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4.8%</w:t>
            </w:r>
          </w:p>
        </w:tc>
        <w:tc>
          <w:tcPr>
            <w:tcW w:w="999" w:type="dxa"/>
            <w:tcBorders>
              <w:top w:val="nil"/>
            </w:tcBorders>
            <w:shd w:val="clear" w:color="auto" w:fill="auto"/>
            <w:noWrap/>
            <w:vAlign w:val="bottom"/>
          </w:tcPr>
          <w:p w14:paraId="437EC5D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22,488</w:t>
            </w:r>
          </w:p>
        </w:tc>
        <w:tc>
          <w:tcPr>
            <w:tcW w:w="1000" w:type="dxa"/>
            <w:tcBorders>
              <w:top w:val="nil"/>
            </w:tcBorders>
            <w:shd w:val="clear" w:color="auto" w:fill="auto"/>
            <w:vAlign w:val="bottom"/>
          </w:tcPr>
          <w:p w14:paraId="71793ED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536DC27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69,557</w:t>
            </w:r>
          </w:p>
        </w:tc>
        <w:tc>
          <w:tcPr>
            <w:tcW w:w="999" w:type="dxa"/>
            <w:tcBorders>
              <w:top w:val="nil"/>
            </w:tcBorders>
            <w:vAlign w:val="bottom"/>
          </w:tcPr>
          <w:p w14:paraId="34C9ED6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4.2%</w:t>
            </w:r>
          </w:p>
        </w:tc>
        <w:tc>
          <w:tcPr>
            <w:tcW w:w="999" w:type="dxa"/>
            <w:tcBorders>
              <w:top w:val="nil"/>
            </w:tcBorders>
            <w:vAlign w:val="bottom"/>
          </w:tcPr>
          <w:p w14:paraId="41A6502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44,062</w:t>
            </w:r>
          </w:p>
        </w:tc>
        <w:tc>
          <w:tcPr>
            <w:tcW w:w="999" w:type="dxa"/>
            <w:tcBorders>
              <w:top w:val="nil"/>
            </w:tcBorders>
            <w:vAlign w:val="bottom"/>
          </w:tcPr>
          <w:p w14:paraId="245DD50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2.7%</w:t>
            </w:r>
          </w:p>
        </w:tc>
        <w:tc>
          <w:tcPr>
            <w:tcW w:w="999" w:type="dxa"/>
            <w:tcBorders>
              <w:top w:val="nil"/>
            </w:tcBorders>
            <w:vAlign w:val="bottom"/>
          </w:tcPr>
          <w:p w14:paraId="3EC2B78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17,142</w:t>
            </w:r>
          </w:p>
        </w:tc>
        <w:tc>
          <w:tcPr>
            <w:tcW w:w="1000" w:type="dxa"/>
            <w:tcBorders>
              <w:top w:val="nil"/>
            </w:tcBorders>
            <w:vAlign w:val="bottom"/>
          </w:tcPr>
          <w:p w14:paraId="4F086AA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0B52B2EA" w14:textId="77777777" w:rsidTr="00BF696F">
        <w:trPr>
          <w:trHeight w:val="290"/>
        </w:trPr>
        <w:tc>
          <w:tcPr>
            <w:tcW w:w="960" w:type="dxa"/>
            <w:tcBorders>
              <w:top w:val="nil"/>
            </w:tcBorders>
            <w:shd w:val="clear" w:color="auto" w:fill="auto"/>
            <w:noWrap/>
            <w:vAlign w:val="bottom"/>
            <w:hideMark/>
          </w:tcPr>
          <w:p w14:paraId="0EC4300F"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2008</w:t>
            </w:r>
          </w:p>
        </w:tc>
        <w:tc>
          <w:tcPr>
            <w:tcW w:w="999" w:type="dxa"/>
            <w:tcBorders>
              <w:top w:val="nil"/>
            </w:tcBorders>
            <w:shd w:val="clear" w:color="auto" w:fill="auto"/>
            <w:noWrap/>
            <w:vAlign w:val="bottom"/>
          </w:tcPr>
          <w:p w14:paraId="17746B1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25,065</w:t>
            </w:r>
          </w:p>
        </w:tc>
        <w:tc>
          <w:tcPr>
            <w:tcW w:w="999" w:type="dxa"/>
            <w:tcBorders>
              <w:top w:val="nil"/>
            </w:tcBorders>
            <w:shd w:val="clear" w:color="auto" w:fill="auto"/>
            <w:vAlign w:val="bottom"/>
          </w:tcPr>
          <w:p w14:paraId="683D41A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110D480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81,278</w:t>
            </w:r>
          </w:p>
        </w:tc>
        <w:tc>
          <w:tcPr>
            <w:tcW w:w="999" w:type="dxa"/>
            <w:tcBorders>
              <w:top w:val="nil"/>
            </w:tcBorders>
            <w:shd w:val="clear" w:color="auto" w:fill="auto"/>
            <w:vAlign w:val="bottom"/>
          </w:tcPr>
          <w:p w14:paraId="4591785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4.8%</w:t>
            </w:r>
          </w:p>
        </w:tc>
        <w:tc>
          <w:tcPr>
            <w:tcW w:w="999" w:type="dxa"/>
            <w:tcBorders>
              <w:top w:val="nil"/>
            </w:tcBorders>
            <w:shd w:val="clear" w:color="auto" w:fill="auto"/>
            <w:noWrap/>
            <w:vAlign w:val="bottom"/>
          </w:tcPr>
          <w:p w14:paraId="78C2206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23,311</w:t>
            </w:r>
          </w:p>
        </w:tc>
        <w:tc>
          <w:tcPr>
            <w:tcW w:w="1000" w:type="dxa"/>
            <w:tcBorders>
              <w:top w:val="nil"/>
            </w:tcBorders>
            <w:shd w:val="clear" w:color="auto" w:fill="auto"/>
            <w:vAlign w:val="bottom"/>
          </w:tcPr>
          <w:p w14:paraId="4A62133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2F88124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71,255</w:t>
            </w:r>
          </w:p>
        </w:tc>
        <w:tc>
          <w:tcPr>
            <w:tcW w:w="999" w:type="dxa"/>
            <w:tcBorders>
              <w:top w:val="nil"/>
            </w:tcBorders>
            <w:vAlign w:val="bottom"/>
          </w:tcPr>
          <w:p w14:paraId="1232EE5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4.2%</w:t>
            </w:r>
          </w:p>
        </w:tc>
        <w:tc>
          <w:tcPr>
            <w:tcW w:w="999" w:type="dxa"/>
            <w:tcBorders>
              <w:top w:val="nil"/>
            </w:tcBorders>
            <w:vAlign w:val="bottom"/>
          </w:tcPr>
          <w:p w14:paraId="46EE355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40,428</w:t>
            </w:r>
          </w:p>
        </w:tc>
        <w:tc>
          <w:tcPr>
            <w:tcW w:w="999" w:type="dxa"/>
            <w:tcBorders>
              <w:top w:val="nil"/>
            </w:tcBorders>
            <w:vAlign w:val="bottom"/>
          </w:tcPr>
          <w:p w14:paraId="3B80BA6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w:t>
            </w:r>
          </w:p>
        </w:tc>
        <w:tc>
          <w:tcPr>
            <w:tcW w:w="999" w:type="dxa"/>
            <w:tcBorders>
              <w:top w:val="nil"/>
            </w:tcBorders>
            <w:vAlign w:val="bottom"/>
          </w:tcPr>
          <w:p w14:paraId="547C921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17,309</w:t>
            </w:r>
          </w:p>
        </w:tc>
        <w:tc>
          <w:tcPr>
            <w:tcW w:w="1000" w:type="dxa"/>
            <w:tcBorders>
              <w:top w:val="nil"/>
            </w:tcBorders>
            <w:vAlign w:val="bottom"/>
          </w:tcPr>
          <w:p w14:paraId="49FD091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25619E65" w14:textId="77777777" w:rsidTr="00BF696F">
        <w:trPr>
          <w:trHeight w:val="290"/>
        </w:trPr>
        <w:tc>
          <w:tcPr>
            <w:tcW w:w="960" w:type="dxa"/>
            <w:tcBorders>
              <w:top w:val="nil"/>
            </w:tcBorders>
            <w:shd w:val="clear" w:color="auto" w:fill="auto"/>
            <w:noWrap/>
            <w:vAlign w:val="bottom"/>
            <w:hideMark/>
          </w:tcPr>
          <w:p w14:paraId="7EA682A3"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2009</w:t>
            </w:r>
          </w:p>
        </w:tc>
        <w:tc>
          <w:tcPr>
            <w:tcW w:w="999" w:type="dxa"/>
            <w:tcBorders>
              <w:top w:val="nil"/>
            </w:tcBorders>
            <w:shd w:val="clear" w:color="auto" w:fill="auto"/>
            <w:noWrap/>
            <w:vAlign w:val="bottom"/>
          </w:tcPr>
          <w:p w14:paraId="54EE99E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26,050</w:t>
            </w:r>
          </w:p>
        </w:tc>
        <w:tc>
          <w:tcPr>
            <w:tcW w:w="999" w:type="dxa"/>
            <w:tcBorders>
              <w:top w:val="nil"/>
            </w:tcBorders>
            <w:shd w:val="clear" w:color="auto" w:fill="auto"/>
            <w:vAlign w:val="bottom"/>
          </w:tcPr>
          <w:p w14:paraId="60941CE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2D256A7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84,269</w:t>
            </w:r>
          </w:p>
        </w:tc>
        <w:tc>
          <w:tcPr>
            <w:tcW w:w="999" w:type="dxa"/>
            <w:tcBorders>
              <w:top w:val="nil"/>
            </w:tcBorders>
            <w:shd w:val="clear" w:color="auto" w:fill="auto"/>
            <w:vAlign w:val="bottom"/>
          </w:tcPr>
          <w:p w14:paraId="0F711E1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4.9%</w:t>
            </w:r>
          </w:p>
        </w:tc>
        <w:tc>
          <w:tcPr>
            <w:tcW w:w="999" w:type="dxa"/>
            <w:tcBorders>
              <w:top w:val="nil"/>
            </w:tcBorders>
            <w:shd w:val="clear" w:color="auto" w:fill="auto"/>
            <w:noWrap/>
            <w:vAlign w:val="bottom"/>
          </w:tcPr>
          <w:p w14:paraId="019BEBD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24,014</w:t>
            </w:r>
          </w:p>
        </w:tc>
        <w:tc>
          <w:tcPr>
            <w:tcW w:w="1000" w:type="dxa"/>
            <w:tcBorders>
              <w:top w:val="nil"/>
            </w:tcBorders>
            <w:shd w:val="clear" w:color="auto" w:fill="auto"/>
            <w:vAlign w:val="bottom"/>
          </w:tcPr>
          <w:p w14:paraId="55B3534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5B8E78C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72,166</w:t>
            </w:r>
          </w:p>
        </w:tc>
        <w:tc>
          <w:tcPr>
            <w:tcW w:w="999" w:type="dxa"/>
            <w:tcBorders>
              <w:top w:val="nil"/>
            </w:tcBorders>
            <w:vAlign w:val="bottom"/>
          </w:tcPr>
          <w:p w14:paraId="03BD23A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4.2%</w:t>
            </w:r>
          </w:p>
        </w:tc>
        <w:tc>
          <w:tcPr>
            <w:tcW w:w="999" w:type="dxa"/>
            <w:tcBorders>
              <w:top w:val="nil"/>
            </w:tcBorders>
            <w:vAlign w:val="bottom"/>
          </w:tcPr>
          <w:p w14:paraId="0A0D3C3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40,105</w:t>
            </w:r>
          </w:p>
        </w:tc>
        <w:tc>
          <w:tcPr>
            <w:tcW w:w="999" w:type="dxa"/>
            <w:tcBorders>
              <w:top w:val="nil"/>
            </w:tcBorders>
            <w:vAlign w:val="bottom"/>
          </w:tcPr>
          <w:p w14:paraId="38CD056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2.3%</w:t>
            </w:r>
          </w:p>
        </w:tc>
        <w:tc>
          <w:tcPr>
            <w:tcW w:w="999" w:type="dxa"/>
            <w:tcBorders>
              <w:top w:val="nil"/>
            </w:tcBorders>
            <w:vAlign w:val="bottom"/>
          </w:tcPr>
          <w:p w14:paraId="2C55AD1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17,752</w:t>
            </w:r>
          </w:p>
        </w:tc>
        <w:tc>
          <w:tcPr>
            <w:tcW w:w="1000" w:type="dxa"/>
            <w:tcBorders>
              <w:top w:val="nil"/>
            </w:tcBorders>
            <w:vAlign w:val="bottom"/>
          </w:tcPr>
          <w:p w14:paraId="6DDF2A2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7606FDAC" w14:textId="77777777" w:rsidTr="00BF696F">
        <w:trPr>
          <w:trHeight w:val="290"/>
        </w:trPr>
        <w:tc>
          <w:tcPr>
            <w:tcW w:w="960" w:type="dxa"/>
            <w:tcBorders>
              <w:top w:val="nil"/>
            </w:tcBorders>
            <w:shd w:val="clear" w:color="auto" w:fill="auto"/>
            <w:noWrap/>
            <w:vAlign w:val="bottom"/>
            <w:hideMark/>
          </w:tcPr>
          <w:p w14:paraId="2D065C63"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2010</w:t>
            </w:r>
          </w:p>
        </w:tc>
        <w:tc>
          <w:tcPr>
            <w:tcW w:w="999" w:type="dxa"/>
            <w:tcBorders>
              <w:top w:val="nil"/>
            </w:tcBorders>
            <w:shd w:val="clear" w:color="auto" w:fill="auto"/>
            <w:noWrap/>
            <w:vAlign w:val="bottom"/>
          </w:tcPr>
          <w:p w14:paraId="681317A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27,620</w:t>
            </w:r>
          </w:p>
        </w:tc>
        <w:tc>
          <w:tcPr>
            <w:tcW w:w="999" w:type="dxa"/>
            <w:tcBorders>
              <w:top w:val="nil"/>
            </w:tcBorders>
            <w:shd w:val="clear" w:color="auto" w:fill="auto"/>
            <w:vAlign w:val="bottom"/>
          </w:tcPr>
          <w:p w14:paraId="3F80669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shd w:val="clear" w:color="auto" w:fill="auto"/>
            <w:noWrap/>
            <w:vAlign w:val="bottom"/>
          </w:tcPr>
          <w:p w14:paraId="3BEDB7A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90,380</w:t>
            </w:r>
          </w:p>
        </w:tc>
        <w:tc>
          <w:tcPr>
            <w:tcW w:w="999" w:type="dxa"/>
            <w:tcBorders>
              <w:top w:val="nil"/>
            </w:tcBorders>
            <w:shd w:val="clear" w:color="auto" w:fill="auto"/>
            <w:vAlign w:val="bottom"/>
          </w:tcPr>
          <w:p w14:paraId="29AA7B7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5.1%</w:t>
            </w:r>
          </w:p>
        </w:tc>
        <w:tc>
          <w:tcPr>
            <w:tcW w:w="999" w:type="dxa"/>
            <w:tcBorders>
              <w:top w:val="nil"/>
            </w:tcBorders>
            <w:shd w:val="clear" w:color="auto" w:fill="auto"/>
            <w:noWrap/>
            <w:vAlign w:val="bottom"/>
          </w:tcPr>
          <w:p w14:paraId="0C4F9E9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24,886</w:t>
            </w:r>
          </w:p>
        </w:tc>
        <w:tc>
          <w:tcPr>
            <w:tcW w:w="1000" w:type="dxa"/>
            <w:tcBorders>
              <w:top w:val="nil"/>
            </w:tcBorders>
            <w:shd w:val="clear" w:color="auto" w:fill="auto"/>
            <w:vAlign w:val="bottom"/>
          </w:tcPr>
          <w:p w14:paraId="65839AD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04D8D6D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75,806</w:t>
            </w:r>
          </w:p>
        </w:tc>
        <w:tc>
          <w:tcPr>
            <w:tcW w:w="999" w:type="dxa"/>
            <w:tcBorders>
              <w:top w:val="nil"/>
            </w:tcBorders>
            <w:vAlign w:val="bottom"/>
          </w:tcPr>
          <w:p w14:paraId="0DB7E08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4.2%</w:t>
            </w:r>
          </w:p>
        </w:tc>
        <w:tc>
          <w:tcPr>
            <w:tcW w:w="999" w:type="dxa"/>
            <w:tcBorders>
              <w:top w:val="nil"/>
            </w:tcBorders>
            <w:vAlign w:val="bottom"/>
          </w:tcPr>
          <w:p w14:paraId="622DB21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41,635</w:t>
            </w:r>
          </w:p>
        </w:tc>
        <w:tc>
          <w:tcPr>
            <w:tcW w:w="999" w:type="dxa"/>
            <w:tcBorders>
              <w:top w:val="nil"/>
            </w:tcBorders>
            <w:vAlign w:val="bottom"/>
          </w:tcPr>
          <w:p w14:paraId="0E164A1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2.3%</w:t>
            </w:r>
          </w:p>
        </w:tc>
        <w:tc>
          <w:tcPr>
            <w:tcW w:w="999" w:type="dxa"/>
            <w:tcBorders>
              <w:top w:val="nil"/>
            </w:tcBorders>
            <w:vAlign w:val="bottom"/>
          </w:tcPr>
          <w:p w14:paraId="08261CF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18,462</w:t>
            </w:r>
          </w:p>
        </w:tc>
        <w:tc>
          <w:tcPr>
            <w:tcW w:w="1000" w:type="dxa"/>
            <w:tcBorders>
              <w:top w:val="nil"/>
            </w:tcBorders>
            <w:vAlign w:val="bottom"/>
          </w:tcPr>
          <w:p w14:paraId="393309A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w:t>
            </w:r>
          </w:p>
        </w:tc>
      </w:tr>
      <w:tr w:rsidR="00FA36A3" w:rsidRPr="00FA36A3" w14:paraId="76AA03C2" w14:textId="77777777" w:rsidTr="00BF696F">
        <w:trPr>
          <w:trHeight w:val="290"/>
        </w:trPr>
        <w:tc>
          <w:tcPr>
            <w:tcW w:w="960" w:type="dxa"/>
            <w:tcBorders>
              <w:top w:val="nil"/>
            </w:tcBorders>
            <w:shd w:val="clear" w:color="auto" w:fill="auto"/>
            <w:noWrap/>
            <w:vAlign w:val="bottom"/>
            <w:hideMark/>
          </w:tcPr>
          <w:p w14:paraId="053EA8CC"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2011</w:t>
            </w:r>
          </w:p>
        </w:tc>
        <w:tc>
          <w:tcPr>
            <w:tcW w:w="999" w:type="dxa"/>
            <w:tcBorders>
              <w:top w:val="nil"/>
            </w:tcBorders>
            <w:shd w:val="clear" w:color="auto" w:fill="auto"/>
            <w:noWrap/>
            <w:vAlign w:val="bottom"/>
          </w:tcPr>
          <w:p w14:paraId="4FDE509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30,021</w:t>
            </w:r>
          </w:p>
        </w:tc>
        <w:tc>
          <w:tcPr>
            <w:tcW w:w="999" w:type="dxa"/>
            <w:tcBorders>
              <w:top w:val="nil"/>
            </w:tcBorders>
            <w:shd w:val="clear" w:color="auto" w:fill="auto"/>
            <w:vAlign w:val="bottom"/>
          </w:tcPr>
          <w:p w14:paraId="1EC63FF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1.6%</w:t>
            </w:r>
          </w:p>
        </w:tc>
        <w:tc>
          <w:tcPr>
            <w:tcW w:w="999" w:type="dxa"/>
            <w:tcBorders>
              <w:top w:val="nil"/>
            </w:tcBorders>
            <w:shd w:val="clear" w:color="auto" w:fill="auto"/>
            <w:noWrap/>
            <w:vAlign w:val="bottom"/>
          </w:tcPr>
          <w:p w14:paraId="3691C14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94,311</w:t>
            </w:r>
          </w:p>
        </w:tc>
        <w:tc>
          <w:tcPr>
            <w:tcW w:w="999" w:type="dxa"/>
            <w:tcBorders>
              <w:top w:val="nil"/>
            </w:tcBorders>
            <w:shd w:val="clear" w:color="auto" w:fill="auto"/>
            <w:vAlign w:val="bottom"/>
          </w:tcPr>
          <w:p w14:paraId="10B077A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5.1%</w:t>
            </w:r>
          </w:p>
        </w:tc>
        <w:tc>
          <w:tcPr>
            <w:tcW w:w="999" w:type="dxa"/>
            <w:tcBorders>
              <w:top w:val="nil"/>
            </w:tcBorders>
            <w:shd w:val="clear" w:color="auto" w:fill="auto"/>
            <w:noWrap/>
            <w:vAlign w:val="bottom"/>
          </w:tcPr>
          <w:p w14:paraId="5CEAA6E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26,302</w:t>
            </w:r>
          </w:p>
        </w:tc>
        <w:tc>
          <w:tcPr>
            <w:tcW w:w="1000" w:type="dxa"/>
            <w:tcBorders>
              <w:top w:val="nil"/>
            </w:tcBorders>
            <w:shd w:val="clear" w:color="auto" w:fill="auto"/>
            <w:vAlign w:val="bottom"/>
          </w:tcPr>
          <w:p w14:paraId="3112652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29BE821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79,559</w:t>
            </w:r>
          </w:p>
        </w:tc>
        <w:tc>
          <w:tcPr>
            <w:tcW w:w="999" w:type="dxa"/>
            <w:tcBorders>
              <w:top w:val="nil"/>
            </w:tcBorders>
            <w:vAlign w:val="bottom"/>
          </w:tcPr>
          <w:p w14:paraId="0C90D9A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w:t>
            </w:r>
          </w:p>
        </w:tc>
        <w:tc>
          <w:tcPr>
            <w:tcW w:w="999" w:type="dxa"/>
            <w:tcBorders>
              <w:top w:val="nil"/>
            </w:tcBorders>
            <w:vAlign w:val="bottom"/>
          </w:tcPr>
          <w:p w14:paraId="2BFA07A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45,641</w:t>
            </w:r>
          </w:p>
        </w:tc>
        <w:tc>
          <w:tcPr>
            <w:tcW w:w="999" w:type="dxa"/>
            <w:tcBorders>
              <w:top w:val="nil"/>
            </w:tcBorders>
            <w:vAlign w:val="bottom"/>
          </w:tcPr>
          <w:p w14:paraId="320539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w:t>
            </w:r>
          </w:p>
        </w:tc>
        <w:tc>
          <w:tcPr>
            <w:tcW w:w="999" w:type="dxa"/>
            <w:tcBorders>
              <w:top w:val="nil"/>
            </w:tcBorders>
            <w:vAlign w:val="bottom"/>
          </w:tcPr>
          <w:p w14:paraId="0D8C679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20,124</w:t>
            </w:r>
          </w:p>
        </w:tc>
        <w:tc>
          <w:tcPr>
            <w:tcW w:w="1000" w:type="dxa"/>
            <w:tcBorders>
              <w:top w:val="nil"/>
            </w:tcBorders>
            <w:vAlign w:val="bottom"/>
          </w:tcPr>
          <w:p w14:paraId="5E6F80B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w:t>
            </w:r>
          </w:p>
        </w:tc>
      </w:tr>
      <w:tr w:rsidR="00FA36A3" w:rsidRPr="00FA36A3" w14:paraId="2E6DBAF8" w14:textId="77777777" w:rsidTr="00BF696F">
        <w:trPr>
          <w:trHeight w:val="290"/>
        </w:trPr>
        <w:tc>
          <w:tcPr>
            <w:tcW w:w="960" w:type="dxa"/>
            <w:tcBorders>
              <w:top w:val="nil"/>
            </w:tcBorders>
            <w:shd w:val="clear" w:color="auto" w:fill="auto"/>
            <w:noWrap/>
            <w:vAlign w:val="bottom"/>
            <w:hideMark/>
          </w:tcPr>
          <w:p w14:paraId="735F1F69"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2012</w:t>
            </w:r>
          </w:p>
        </w:tc>
        <w:tc>
          <w:tcPr>
            <w:tcW w:w="999" w:type="dxa"/>
            <w:tcBorders>
              <w:top w:val="nil"/>
            </w:tcBorders>
            <w:shd w:val="clear" w:color="auto" w:fill="auto"/>
            <w:noWrap/>
            <w:vAlign w:val="bottom"/>
          </w:tcPr>
          <w:p w14:paraId="2344FBC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32,536</w:t>
            </w:r>
          </w:p>
        </w:tc>
        <w:tc>
          <w:tcPr>
            <w:tcW w:w="999" w:type="dxa"/>
            <w:tcBorders>
              <w:top w:val="nil"/>
            </w:tcBorders>
            <w:shd w:val="clear" w:color="auto" w:fill="auto"/>
            <w:vAlign w:val="bottom"/>
          </w:tcPr>
          <w:p w14:paraId="287AD14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1.7%</w:t>
            </w:r>
          </w:p>
        </w:tc>
        <w:tc>
          <w:tcPr>
            <w:tcW w:w="999" w:type="dxa"/>
            <w:tcBorders>
              <w:top w:val="nil"/>
            </w:tcBorders>
            <w:shd w:val="clear" w:color="auto" w:fill="auto"/>
            <w:noWrap/>
            <w:vAlign w:val="bottom"/>
          </w:tcPr>
          <w:p w14:paraId="0ABBC3E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100,506</w:t>
            </w:r>
          </w:p>
        </w:tc>
        <w:tc>
          <w:tcPr>
            <w:tcW w:w="999" w:type="dxa"/>
            <w:tcBorders>
              <w:top w:val="nil"/>
            </w:tcBorders>
            <w:shd w:val="clear" w:color="auto" w:fill="auto"/>
            <w:vAlign w:val="bottom"/>
          </w:tcPr>
          <w:p w14:paraId="6056207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5.2%</w:t>
            </w:r>
          </w:p>
        </w:tc>
        <w:tc>
          <w:tcPr>
            <w:tcW w:w="999" w:type="dxa"/>
            <w:tcBorders>
              <w:top w:val="nil"/>
            </w:tcBorders>
            <w:shd w:val="clear" w:color="auto" w:fill="auto"/>
            <w:noWrap/>
            <w:vAlign w:val="bottom"/>
          </w:tcPr>
          <w:p w14:paraId="632983D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28,221</w:t>
            </w:r>
          </w:p>
        </w:tc>
        <w:tc>
          <w:tcPr>
            <w:tcW w:w="1000" w:type="dxa"/>
            <w:tcBorders>
              <w:top w:val="nil"/>
            </w:tcBorders>
            <w:shd w:val="clear" w:color="auto" w:fill="auto"/>
            <w:vAlign w:val="bottom"/>
          </w:tcPr>
          <w:p w14:paraId="4AB4024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76C7836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84,498</w:t>
            </w:r>
          </w:p>
        </w:tc>
        <w:tc>
          <w:tcPr>
            <w:tcW w:w="999" w:type="dxa"/>
            <w:tcBorders>
              <w:top w:val="nil"/>
            </w:tcBorders>
            <w:vAlign w:val="bottom"/>
          </w:tcPr>
          <w:p w14:paraId="5F09EA8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w:t>
            </w:r>
          </w:p>
        </w:tc>
        <w:tc>
          <w:tcPr>
            <w:tcW w:w="999" w:type="dxa"/>
            <w:tcBorders>
              <w:top w:val="nil"/>
            </w:tcBorders>
            <w:vAlign w:val="bottom"/>
          </w:tcPr>
          <w:p w14:paraId="1A780A1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50,251</w:t>
            </w:r>
          </w:p>
        </w:tc>
        <w:tc>
          <w:tcPr>
            <w:tcW w:w="999" w:type="dxa"/>
            <w:tcBorders>
              <w:top w:val="nil"/>
            </w:tcBorders>
            <w:vAlign w:val="bottom"/>
          </w:tcPr>
          <w:p w14:paraId="0A2849F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2.6%</w:t>
            </w:r>
          </w:p>
        </w:tc>
        <w:tc>
          <w:tcPr>
            <w:tcW w:w="999" w:type="dxa"/>
            <w:tcBorders>
              <w:top w:val="nil"/>
            </w:tcBorders>
            <w:vAlign w:val="bottom"/>
          </w:tcPr>
          <w:p w14:paraId="46AB076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22,142</w:t>
            </w:r>
          </w:p>
        </w:tc>
        <w:tc>
          <w:tcPr>
            <w:tcW w:w="1000" w:type="dxa"/>
            <w:tcBorders>
              <w:top w:val="nil"/>
            </w:tcBorders>
            <w:vAlign w:val="bottom"/>
          </w:tcPr>
          <w:p w14:paraId="2A48303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w:t>
            </w:r>
          </w:p>
        </w:tc>
      </w:tr>
      <w:tr w:rsidR="00FA36A3" w:rsidRPr="00FA36A3" w14:paraId="55410495" w14:textId="77777777" w:rsidTr="00BF696F">
        <w:trPr>
          <w:trHeight w:val="290"/>
        </w:trPr>
        <w:tc>
          <w:tcPr>
            <w:tcW w:w="960" w:type="dxa"/>
            <w:tcBorders>
              <w:top w:val="nil"/>
            </w:tcBorders>
            <w:shd w:val="clear" w:color="auto" w:fill="auto"/>
            <w:noWrap/>
            <w:vAlign w:val="bottom"/>
            <w:hideMark/>
          </w:tcPr>
          <w:p w14:paraId="42AA768A"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2013</w:t>
            </w:r>
          </w:p>
        </w:tc>
        <w:tc>
          <w:tcPr>
            <w:tcW w:w="999" w:type="dxa"/>
            <w:tcBorders>
              <w:top w:val="nil"/>
            </w:tcBorders>
            <w:shd w:val="clear" w:color="auto" w:fill="auto"/>
            <w:noWrap/>
            <w:vAlign w:val="bottom"/>
          </w:tcPr>
          <w:p w14:paraId="209259B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35,309</w:t>
            </w:r>
          </w:p>
        </w:tc>
        <w:tc>
          <w:tcPr>
            <w:tcW w:w="999" w:type="dxa"/>
            <w:tcBorders>
              <w:top w:val="nil"/>
            </w:tcBorders>
            <w:shd w:val="clear" w:color="auto" w:fill="auto"/>
            <w:vAlign w:val="bottom"/>
          </w:tcPr>
          <w:p w14:paraId="2987685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1.8%</w:t>
            </w:r>
          </w:p>
        </w:tc>
        <w:tc>
          <w:tcPr>
            <w:tcW w:w="999" w:type="dxa"/>
            <w:tcBorders>
              <w:top w:val="nil"/>
            </w:tcBorders>
            <w:shd w:val="clear" w:color="auto" w:fill="auto"/>
            <w:noWrap/>
            <w:vAlign w:val="bottom"/>
          </w:tcPr>
          <w:p w14:paraId="4ABA9C4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105,118</w:t>
            </w:r>
          </w:p>
        </w:tc>
        <w:tc>
          <w:tcPr>
            <w:tcW w:w="999" w:type="dxa"/>
            <w:tcBorders>
              <w:top w:val="nil"/>
            </w:tcBorders>
            <w:shd w:val="clear" w:color="auto" w:fill="auto"/>
            <w:vAlign w:val="bottom"/>
          </w:tcPr>
          <w:p w14:paraId="740B603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5.3%</w:t>
            </w:r>
          </w:p>
        </w:tc>
        <w:tc>
          <w:tcPr>
            <w:tcW w:w="999" w:type="dxa"/>
            <w:tcBorders>
              <w:top w:val="nil"/>
            </w:tcBorders>
            <w:shd w:val="clear" w:color="auto" w:fill="auto"/>
            <w:noWrap/>
            <w:vAlign w:val="bottom"/>
          </w:tcPr>
          <w:p w14:paraId="7376C57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29,602</w:t>
            </w:r>
          </w:p>
        </w:tc>
        <w:tc>
          <w:tcPr>
            <w:tcW w:w="1000" w:type="dxa"/>
            <w:tcBorders>
              <w:top w:val="nil"/>
            </w:tcBorders>
            <w:shd w:val="clear" w:color="auto" w:fill="auto"/>
            <w:vAlign w:val="bottom"/>
          </w:tcPr>
          <w:p w14:paraId="2E825BF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5A0E142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89,523</w:t>
            </w:r>
          </w:p>
        </w:tc>
        <w:tc>
          <w:tcPr>
            <w:tcW w:w="999" w:type="dxa"/>
            <w:tcBorders>
              <w:top w:val="nil"/>
            </w:tcBorders>
            <w:vAlign w:val="bottom"/>
          </w:tcPr>
          <w:p w14:paraId="6928E43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4.5%</w:t>
            </w:r>
          </w:p>
        </w:tc>
        <w:tc>
          <w:tcPr>
            <w:tcW w:w="999" w:type="dxa"/>
            <w:tcBorders>
              <w:top w:val="nil"/>
            </w:tcBorders>
            <w:vAlign w:val="bottom"/>
          </w:tcPr>
          <w:p w14:paraId="60C7814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54,454</w:t>
            </w:r>
          </w:p>
        </w:tc>
        <w:tc>
          <w:tcPr>
            <w:tcW w:w="999" w:type="dxa"/>
            <w:tcBorders>
              <w:top w:val="nil"/>
            </w:tcBorders>
            <w:vAlign w:val="bottom"/>
          </w:tcPr>
          <w:p w14:paraId="60B720D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2.7%</w:t>
            </w:r>
          </w:p>
        </w:tc>
        <w:tc>
          <w:tcPr>
            <w:tcW w:w="999" w:type="dxa"/>
            <w:tcBorders>
              <w:top w:val="nil"/>
            </w:tcBorders>
            <w:vAlign w:val="bottom"/>
          </w:tcPr>
          <w:p w14:paraId="6C748E3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24,127</w:t>
            </w:r>
          </w:p>
        </w:tc>
        <w:tc>
          <w:tcPr>
            <w:tcW w:w="1000" w:type="dxa"/>
            <w:tcBorders>
              <w:top w:val="nil"/>
            </w:tcBorders>
            <w:vAlign w:val="bottom"/>
          </w:tcPr>
          <w:p w14:paraId="4E81665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w:t>
            </w:r>
          </w:p>
        </w:tc>
      </w:tr>
      <w:tr w:rsidR="00FA36A3" w:rsidRPr="00FA36A3" w14:paraId="717A7234" w14:textId="77777777" w:rsidTr="00BF696F">
        <w:trPr>
          <w:trHeight w:val="290"/>
        </w:trPr>
        <w:tc>
          <w:tcPr>
            <w:tcW w:w="960" w:type="dxa"/>
            <w:tcBorders>
              <w:top w:val="nil"/>
            </w:tcBorders>
            <w:shd w:val="clear" w:color="auto" w:fill="auto"/>
            <w:noWrap/>
            <w:vAlign w:val="bottom"/>
            <w:hideMark/>
          </w:tcPr>
          <w:p w14:paraId="3A599934"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2014</w:t>
            </w:r>
          </w:p>
        </w:tc>
        <w:tc>
          <w:tcPr>
            <w:tcW w:w="999" w:type="dxa"/>
            <w:tcBorders>
              <w:top w:val="nil"/>
            </w:tcBorders>
            <w:shd w:val="clear" w:color="auto" w:fill="auto"/>
            <w:noWrap/>
            <w:vAlign w:val="bottom"/>
          </w:tcPr>
          <w:p w14:paraId="1A5727E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36,851</w:t>
            </w:r>
          </w:p>
        </w:tc>
        <w:tc>
          <w:tcPr>
            <w:tcW w:w="999" w:type="dxa"/>
            <w:tcBorders>
              <w:top w:val="nil"/>
            </w:tcBorders>
            <w:shd w:val="clear" w:color="auto" w:fill="auto"/>
            <w:vAlign w:val="bottom"/>
          </w:tcPr>
          <w:p w14:paraId="1CA26B6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1.8%</w:t>
            </w:r>
          </w:p>
        </w:tc>
        <w:tc>
          <w:tcPr>
            <w:tcW w:w="999" w:type="dxa"/>
            <w:tcBorders>
              <w:top w:val="nil"/>
            </w:tcBorders>
            <w:shd w:val="clear" w:color="auto" w:fill="auto"/>
            <w:noWrap/>
            <w:vAlign w:val="bottom"/>
          </w:tcPr>
          <w:p w14:paraId="1DFE7DB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109,906</w:t>
            </w:r>
          </w:p>
        </w:tc>
        <w:tc>
          <w:tcPr>
            <w:tcW w:w="999" w:type="dxa"/>
            <w:tcBorders>
              <w:top w:val="nil"/>
            </w:tcBorders>
            <w:shd w:val="clear" w:color="auto" w:fill="auto"/>
            <w:vAlign w:val="bottom"/>
          </w:tcPr>
          <w:p w14:paraId="4729E3F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5.4%</w:t>
            </w:r>
          </w:p>
        </w:tc>
        <w:tc>
          <w:tcPr>
            <w:tcW w:w="999" w:type="dxa"/>
            <w:tcBorders>
              <w:top w:val="nil"/>
            </w:tcBorders>
            <w:shd w:val="clear" w:color="auto" w:fill="auto"/>
            <w:noWrap/>
            <w:vAlign w:val="bottom"/>
          </w:tcPr>
          <w:p w14:paraId="2D1C738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31,035</w:t>
            </w:r>
          </w:p>
        </w:tc>
        <w:tc>
          <w:tcPr>
            <w:tcW w:w="1000" w:type="dxa"/>
            <w:tcBorders>
              <w:top w:val="nil"/>
            </w:tcBorders>
            <w:shd w:val="clear" w:color="auto" w:fill="auto"/>
            <w:vAlign w:val="bottom"/>
          </w:tcPr>
          <w:p w14:paraId="3789876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321BF6B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95,927</w:t>
            </w:r>
          </w:p>
        </w:tc>
        <w:tc>
          <w:tcPr>
            <w:tcW w:w="999" w:type="dxa"/>
            <w:tcBorders>
              <w:top w:val="nil"/>
            </w:tcBorders>
            <w:vAlign w:val="bottom"/>
          </w:tcPr>
          <w:p w14:paraId="75D5DB0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4.7%</w:t>
            </w:r>
          </w:p>
        </w:tc>
        <w:tc>
          <w:tcPr>
            <w:tcW w:w="999" w:type="dxa"/>
            <w:tcBorders>
              <w:top w:val="nil"/>
            </w:tcBorders>
            <w:vAlign w:val="bottom"/>
          </w:tcPr>
          <w:p w14:paraId="2841372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59,513</w:t>
            </w:r>
          </w:p>
        </w:tc>
        <w:tc>
          <w:tcPr>
            <w:tcW w:w="999" w:type="dxa"/>
            <w:tcBorders>
              <w:top w:val="nil"/>
            </w:tcBorders>
            <w:vAlign w:val="bottom"/>
          </w:tcPr>
          <w:p w14:paraId="68ED73E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2.9%</w:t>
            </w:r>
          </w:p>
        </w:tc>
        <w:tc>
          <w:tcPr>
            <w:tcW w:w="999" w:type="dxa"/>
            <w:tcBorders>
              <w:top w:val="nil"/>
            </w:tcBorders>
            <w:vAlign w:val="bottom"/>
          </w:tcPr>
          <w:p w14:paraId="788499F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24,788</w:t>
            </w:r>
          </w:p>
        </w:tc>
        <w:tc>
          <w:tcPr>
            <w:tcW w:w="1000" w:type="dxa"/>
            <w:tcBorders>
              <w:top w:val="nil"/>
            </w:tcBorders>
            <w:vAlign w:val="bottom"/>
          </w:tcPr>
          <w:p w14:paraId="1212ACC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w:t>
            </w:r>
          </w:p>
        </w:tc>
      </w:tr>
      <w:tr w:rsidR="00FA36A3" w:rsidRPr="00FA36A3" w14:paraId="499F6B48" w14:textId="77777777" w:rsidTr="00BF696F">
        <w:trPr>
          <w:trHeight w:val="290"/>
        </w:trPr>
        <w:tc>
          <w:tcPr>
            <w:tcW w:w="960" w:type="dxa"/>
            <w:tcBorders>
              <w:top w:val="nil"/>
            </w:tcBorders>
            <w:shd w:val="clear" w:color="auto" w:fill="auto"/>
            <w:noWrap/>
            <w:vAlign w:val="bottom"/>
            <w:hideMark/>
          </w:tcPr>
          <w:p w14:paraId="017C2C08"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2015</w:t>
            </w:r>
          </w:p>
        </w:tc>
        <w:tc>
          <w:tcPr>
            <w:tcW w:w="999" w:type="dxa"/>
            <w:tcBorders>
              <w:top w:val="nil"/>
            </w:tcBorders>
            <w:shd w:val="clear" w:color="auto" w:fill="auto"/>
            <w:noWrap/>
            <w:vAlign w:val="bottom"/>
          </w:tcPr>
          <w:p w14:paraId="13B1DB3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38,091</w:t>
            </w:r>
          </w:p>
        </w:tc>
        <w:tc>
          <w:tcPr>
            <w:tcW w:w="999" w:type="dxa"/>
            <w:tcBorders>
              <w:top w:val="nil"/>
            </w:tcBorders>
            <w:shd w:val="clear" w:color="auto" w:fill="auto"/>
            <w:vAlign w:val="bottom"/>
          </w:tcPr>
          <w:p w14:paraId="2932A7B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w:t>
            </w:r>
          </w:p>
        </w:tc>
        <w:tc>
          <w:tcPr>
            <w:tcW w:w="999" w:type="dxa"/>
            <w:tcBorders>
              <w:top w:val="nil"/>
            </w:tcBorders>
            <w:shd w:val="clear" w:color="auto" w:fill="auto"/>
            <w:noWrap/>
            <w:vAlign w:val="bottom"/>
          </w:tcPr>
          <w:p w14:paraId="1757FBD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115,457</w:t>
            </w:r>
          </w:p>
        </w:tc>
        <w:tc>
          <w:tcPr>
            <w:tcW w:w="999" w:type="dxa"/>
            <w:tcBorders>
              <w:top w:val="nil"/>
            </w:tcBorders>
            <w:shd w:val="clear" w:color="auto" w:fill="auto"/>
            <w:vAlign w:val="bottom"/>
          </w:tcPr>
          <w:p w14:paraId="2564603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5.6%</w:t>
            </w:r>
          </w:p>
        </w:tc>
        <w:tc>
          <w:tcPr>
            <w:tcW w:w="999" w:type="dxa"/>
            <w:tcBorders>
              <w:top w:val="nil"/>
            </w:tcBorders>
            <w:shd w:val="clear" w:color="auto" w:fill="auto"/>
            <w:noWrap/>
            <w:vAlign w:val="bottom"/>
          </w:tcPr>
          <w:p w14:paraId="16CB498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31,785</w:t>
            </w:r>
          </w:p>
        </w:tc>
        <w:tc>
          <w:tcPr>
            <w:tcW w:w="1000" w:type="dxa"/>
            <w:tcBorders>
              <w:top w:val="nil"/>
            </w:tcBorders>
            <w:shd w:val="clear" w:color="auto" w:fill="auto"/>
            <w:vAlign w:val="bottom"/>
          </w:tcPr>
          <w:p w14:paraId="0FCF81D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26B4D82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101,742</w:t>
            </w:r>
          </w:p>
        </w:tc>
        <w:tc>
          <w:tcPr>
            <w:tcW w:w="999" w:type="dxa"/>
            <w:tcBorders>
              <w:top w:val="nil"/>
            </w:tcBorders>
            <w:vAlign w:val="bottom"/>
          </w:tcPr>
          <w:p w14:paraId="02D442F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5.0%</w:t>
            </w:r>
          </w:p>
        </w:tc>
        <w:tc>
          <w:tcPr>
            <w:tcW w:w="999" w:type="dxa"/>
            <w:tcBorders>
              <w:top w:val="nil"/>
            </w:tcBorders>
            <w:vAlign w:val="bottom"/>
          </w:tcPr>
          <w:p w14:paraId="2419DF2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63,707</w:t>
            </w:r>
          </w:p>
        </w:tc>
        <w:tc>
          <w:tcPr>
            <w:tcW w:w="999" w:type="dxa"/>
            <w:tcBorders>
              <w:top w:val="nil"/>
            </w:tcBorders>
            <w:vAlign w:val="bottom"/>
          </w:tcPr>
          <w:p w14:paraId="0F93909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w:t>
            </w:r>
          </w:p>
        </w:tc>
        <w:tc>
          <w:tcPr>
            <w:tcW w:w="999" w:type="dxa"/>
            <w:tcBorders>
              <w:top w:val="nil"/>
            </w:tcBorders>
            <w:vAlign w:val="bottom"/>
          </w:tcPr>
          <w:p w14:paraId="2B1EAB6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25,917</w:t>
            </w:r>
          </w:p>
        </w:tc>
        <w:tc>
          <w:tcPr>
            <w:tcW w:w="1000" w:type="dxa"/>
            <w:tcBorders>
              <w:top w:val="nil"/>
            </w:tcBorders>
            <w:vAlign w:val="bottom"/>
          </w:tcPr>
          <w:p w14:paraId="52A2C65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r>
      <w:tr w:rsidR="00FA36A3" w:rsidRPr="00FA36A3" w14:paraId="602B89B1" w14:textId="77777777" w:rsidTr="00BF696F">
        <w:trPr>
          <w:trHeight w:val="290"/>
        </w:trPr>
        <w:tc>
          <w:tcPr>
            <w:tcW w:w="960" w:type="dxa"/>
            <w:tcBorders>
              <w:top w:val="nil"/>
            </w:tcBorders>
            <w:shd w:val="clear" w:color="auto" w:fill="auto"/>
            <w:noWrap/>
            <w:vAlign w:val="bottom"/>
            <w:hideMark/>
          </w:tcPr>
          <w:p w14:paraId="03E37463"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2016</w:t>
            </w:r>
          </w:p>
        </w:tc>
        <w:tc>
          <w:tcPr>
            <w:tcW w:w="999" w:type="dxa"/>
            <w:tcBorders>
              <w:top w:val="nil"/>
            </w:tcBorders>
            <w:shd w:val="clear" w:color="auto" w:fill="auto"/>
            <w:noWrap/>
            <w:vAlign w:val="bottom"/>
          </w:tcPr>
          <w:p w14:paraId="47F4BB8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38,857</w:t>
            </w:r>
          </w:p>
        </w:tc>
        <w:tc>
          <w:tcPr>
            <w:tcW w:w="999" w:type="dxa"/>
            <w:tcBorders>
              <w:top w:val="nil"/>
            </w:tcBorders>
            <w:shd w:val="clear" w:color="auto" w:fill="auto"/>
            <w:vAlign w:val="bottom"/>
          </w:tcPr>
          <w:p w14:paraId="12CB016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w:t>
            </w:r>
          </w:p>
        </w:tc>
        <w:tc>
          <w:tcPr>
            <w:tcW w:w="999" w:type="dxa"/>
            <w:tcBorders>
              <w:top w:val="nil"/>
            </w:tcBorders>
            <w:shd w:val="clear" w:color="auto" w:fill="auto"/>
            <w:noWrap/>
            <w:vAlign w:val="bottom"/>
          </w:tcPr>
          <w:p w14:paraId="1101EB0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119,236</w:t>
            </w:r>
          </w:p>
        </w:tc>
        <w:tc>
          <w:tcPr>
            <w:tcW w:w="999" w:type="dxa"/>
            <w:tcBorders>
              <w:top w:val="nil"/>
            </w:tcBorders>
            <w:shd w:val="clear" w:color="auto" w:fill="auto"/>
            <w:vAlign w:val="bottom"/>
          </w:tcPr>
          <w:p w14:paraId="11A2CCE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5.7%</w:t>
            </w:r>
          </w:p>
        </w:tc>
        <w:tc>
          <w:tcPr>
            <w:tcW w:w="999" w:type="dxa"/>
            <w:tcBorders>
              <w:top w:val="nil"/>
            </w:tcBorders>
            <w:shd w:val="clear" w:color="auto" w:fill="auto"/>
            <w:noWrap/>
            <w:vAlign w:val="bottom"/>
          </w:tcPr>
          <w:p w14:paraId="2D9C885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32,212</w:t>
            </w:r>
          </w:p>
        </w:tc>
        <w:tc>
          <w:tcPr>
            <w:tcW w:w="1000" w:type="dxa"/>
            <w:tcBorders>
              <w:top w:val="nil"/>
            </w:tcBorders>
            <w:shd w:val="clear" w:color="auto" w:fill="auto"/>
            <w:vAlign w:val="bottom"/>
          </w:tcPr>
          <w:p w14:paraId="6926A50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0A95E55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110,941</w:t>
            </w:r>
          </w:p>
        </w:tc>
        <w:tc>
          <w:tcPr>
            <w:tcW w:w="999" w:type="dxa"/>
            <w:tcBorders>
              <w:top w:val="nil"/>
            </w:tcBorders>
            <w:vAlign w:val="bottom"/>
          </w:tcPr>
          <w:p w14:paraId="338B443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5.3%</w:t>
            </w:r>
          </w:p>
        </w:tc>
        <w:tc>
          <w:tcPr>
            <w:tcW w:w="999" w:type="dxa"/>
            <w:tcBorders>
              <w:top w:val="nil"/>
            </w:tcBorders>
            <w:vAlign w:val="bottom"/>
          </w:tcPr>
          <w:p w14:paraId="00C4F27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69,366</w:t>
            </w:r>
          </w:p>
        </w:tc>
        <w:tc>
          <w:tcPr>
            <w:tcW w:w="999" w:type="dxa"/>
            <w:tcBorders>
              <w:top w:val="nil"/>
            </w:tcBorders>
            <w:vAlign w:val="bottom"/>
          </w:tcPr>
          <w:p w14:paraId="1E97463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3.3%</w:t>
            </w:r>
          </w:p>
        </w:tc>
        <w:tc>
          <w:tcPr>
            <w:tcW w:w="999" w:type="dxa"/>
            <w:tcBorders>
              <w:top w:val="nil"/>
            </w:tcBorders>
            <w:vAlign w:val="bottom"/>
          </w:tcPr>
          <w:p w14:paraId="2C6E0E5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27,057</w:t>
            </w:r>
          </w:p>
        </w:tc>
        <w:tc>
          <w:tcPr>
            <w:tcW w:w="1000" w:type="dxa"/>
            <w:tcBorders>
              <w:top w:val="nil"/>
            </w:tcBorders>
            <w:vAlign w:val="bottom"/>
          </w:tcPr>
          <w:p w14:paraId="1528FAD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r>
      <w:tr w:rsidR="00FA36A3" w:rsidRPr="00FA36A3" w14:paraId="355A6804" w14:textId="77777777" w:rsidTr="00BF696F">
        <w:trPr>
          <w:trHeight w:val="290"/>
        </w:trPr>
        <w:tc>
          <w:tcPr>
            <w:tcW w:w="960" w:type="dxa"/>
            <w:tcBorders>
              <w:top w:val="nil"/>
            </w:tcBorders>
            <w:shd w:val="clear" w:color="auto" w:fill="auto"/>
            <w:noWrap/>
            <w:vAlign w:val="bottom"/>
            <w:hideMark/>
          </w:tcPr>
          <w:p w14:paraId="014E385D"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2017</w:t>
            </w:r>
          </w:p>
        </w:tc>
        <w:tc>
          <w:tcPr>
            <w:tcW w:w="999" w:type="dxa"/>
            <w:tcBorders>
              <w:top w:val="nil"/>
            </w:tcBorders>
            <w:shd w:val="clear" w:color="auto" w:fill="auto"/>
            <w:noWrap/>
            <w:vAlign w:val="bottom"/>
          </w:tcPr>
          <w:p w14:paraId="30D4F68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39,585</w:t>
            </w:r>
          </w:p>
        </w:tc>
        <w:tc>
          <w:tcPr>
            <w:tcW w:w="999" w:type="dxa"/>
            <w:tcBorders>
              <w:top w:val="nil"/>
            </w:tcBorders>
            <w:shd w:val="clear" w:color="auto" w:fill="auto"/>
            <w:vAlign w:val="bottom"/>
          </w:tcPr>
          <w:p w14:paraId="7502F32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w:t>
            </w:r>
          </w:p>
        </w:tc>
        <w:tc>
          <w:tcPr>
            <w:tcW w:w="999" w:type="dxa"/>
            <w:tcBorders>
              <w:top w:val="nil"/>
            </w:tcBorders>
            <w:shd w:val="clear" w:color="auto" w:fill="auto"/>
            <w:noWrap/>
            <w:vAlign w:val="bottom"/>
          </w:tcPr>
          <w:p w14:paraId="0D3747D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122,564</w:t>
            </w:r>
          </w:p>
        </w:tc>
        <w:tc>
          <w:tcPr>
            <w:tcW w:w="999" w:type="dxa"/>
            <w:tcBorders>
              <w:top w:val="nil"/>
            </w:tcBorders>
            <w:shd w:val="clear" w:color="auto" w:fill="auto"/>
            <w:vAlign w:val="bottom"/>
          </w:tcPr>
          <w:p w14:paraId="1CCCFB5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shd w:val="clear" w:color="auto" w:fill="auto"/>
            <w:noWrap/>
            <w:vAlign w:val="bottom"/>
          </w:tcPr>
          <w:p w14:paraId="7ED2534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33,079</w:t>
            </w:r>
          </w:p>
        </w:tc>
        <w:tc>
          <w:tcPr>
            <w:tcW w:w="1000" w:type="dxa"/>
            <w:tcBorders>
              <w:top w:val="nil"/>
            </w:tcBorders>
            <w:shd w:val="clear" w:color="auto" w:fill="auto"/>
            <w:vAlign w:val="bottom"/>
          </w:tcPr>
          <w:p w14:paraId="65D29AF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1.6%</w:t>
            </w:r>
          </w:p>
        </w:tc>
        <w:tc>
          <w:tcPr>
            <w:tcW w:w="999" w:type="dxa"/>
            <w:tcBorders>
              <w:top w:val="nil"/>
            </w:tcBorders>
            <w:vAlign w:val="bottom"/>
          </w:tcPr>
          <w:p w14:paraId="5B91036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119,766</w:t>
            </w:r>
          </w:p>
        </w:tc>
        <w:tc>
          <w:tcPr>
            <w:tcW w:w="999" w:type="dxa"/>
            <w:tcBorders>
              <w:top w:val="nil"/>
            </w:tcBorders>
            <w:vAlign w:val="bottom"/>
          </w:tcPr>
          <w:p w14:paraId="653B527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5.6%</w:t>
            </w:r>
          </w:p>
        </w:tc>
        <w:tc>
          <w:tcPr>
            <w:tcW w:w="999" w:type="dxa"/>
            <w:tcBorders>
              <w:top w:val="nil"/>
            </w:tcBorders>
            <w:vAlign w:val="bottom"/>
          </w:tcPr>
          <w:p w14:paraId="2FD6875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77,264</w:t>
            </w:r>
          </w:p>
        </w:tc>
        <w:tc>
          <w:tcPr>
            <w:tcW w:w="999" w:type="dxa"/>
            <w:tcBorders>
              <w:top w:val="nil"/>
            </w:tcBorders>
            <w:vAlign w:val="bottom"/>
          </w:tcPr>
          <w:p w14:paraId="54135A6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3.6%</w:t>
            </w:r>
          </w:p>
        </w:tc>
        <w:tc>
          <w:tcPr>
            <w:tcW w:w="999" w:type="dxa"/>
            <w:tcBorders>
              <w:top w:val="nil"/>
            </w:tcBorders>
            <w:vAlign w:val="bottom"/>
          </w:tcPr>
          <w:p w14:paraId="058082B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28,538</w:t>
            </w:r>
          </w:p>
        </w:tc>
        <w:tc>
          <w:tcPr>
            <w:tcW w:w="1000" w:type="dxa"/>
            <w:tcBorders>
              <w:top w:val="nil"/>
            </w:tcBorders>
            <w:vAlign w:val="bottom"/>
          </w:tcPr>
          <w:p w14:paraId="2E23FAD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r>
      <w:tr w:rsidR="00FA36A3" w:rsidRPr="00FA36A3" w14:paraId="68FF1F9A" w14:textId="77777777" w:rsidTr="00BF696F">
        <w:trPr>
          <w:trHeight w:val="290"/>
        </w:trPr>
        <w:tc>
          <w:tcPr>
            <w:tcW w:w="960" w:type="dxa"/>
            <w:tcBorders>
              <w:top w:val="nil"/>
            </w:tcBorders>
            <w:shd w:val="clear" w:color="auto" w:fill="auto"/>
            <w:noWrap/>
            <w:vAlign w:val="bottom"/>
            <w:hideMark/>
          </w:tcPr>
          <w:p w14:paraId="6855227D"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2018</w:t>
            </w:r>
          </w:p>
        </w:tc>
        <w:tc>
          <w:tcPr>
            <w:tcW w:w="999" w:type="dxa"/>
            <w:tcBorders>
              <w:top w:val="nil"/>
            </w:tcBorders>
            <w:shd w:val="clear" w:color="auto" w:fill="auto"/>
            <w:noWrap/>
            <w:vAlign w:val="bottom"/>
          </w:tcPr>
          <w:p w14:paraId="251908B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41,317</w:t>
            </w:r>
          </w:p>
        </w:tc>
        <w:tc>
          <w:tcPr>
            <w:tcW w:w="999" w:type="dxa"/>
            <w:tcBorders>
              <w:top w:val="nil"/>
            </w:tcBorders>
            <w:shd w:val="clear" w:color="auto" w:fill="auto"/>
            <w:vAlign w:val="bottom"/>
          </w:tcPr>
          <w:p w14:paraId="4C708FF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w:t>
            </w:r>
          </w:p>
        </w:tc>
        <w:tc>
          <w:tcPr>
            <w:tcW w:w="999" w:type="dxa"/>
            <w:tcBorders>
              <w:top w:val="nil"/>
            </w:tcBorders>
            <w:shd w:val="clear" w:color="auto" w:fill="auto"/>
            <w:noWrap/>
            <w:vAlign w:val="bottom"/>
          </w:tcPr>
          <w:p w14:paraId="154F48F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124,603</w:t>
            </w:r>
          </w:p>
        </w:tc>
        <w:tc>
          <w:tcPr>
            <w:tcW w:w="999" w:type="dxa"/>
            <w:tcBorders>
              <w:top w:val="nil"/>
            </w:tcBorders>
            <w:shd w:val="clear" w:color="auto" w:fill="auto"/>
            <w:vAlign w:val="bottom"/>
          </w:tcPr>
          <w:p w14:paraId="1DAE6CC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shd w:val="clear" w:color="auto" w:fill="auto"/>
            <w:noWrap/>
            <w:vAlign w:val="bottom"/>
          </w:tcPr>
          <w:p w14:paraId="47906B6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33,260</w:t>
            </w:r>
          </w:p>
        </w:tc>
        <w:tc>
          <w:tcPr>
            <w:tcW w:w="1000" w:type="dxa"/>
            <w:tcBorders>
              <w:top w:val="nil"/>
            </w:tcBorders>
            <w:shd w:val="clear" w:color="auto" w:fill="auto"/>
            <w:vAlign w:val="bottom"/>
          </w:tcPr>
          <w:p w14:paraId="0A754F7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51759A0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125,991</w:t>
            </w:r>
          </w:p>
        </w:tc>
        <w:tc>
          <w:tcPr>
            <w:tcW w:w="999" w:type="dxa"/>
            <w:tcBorders>
              <w:top w:val="nil"/>
            </w:tcBorders>
            <w:vAlign w:val="bottom"/>
          </w:tcPr>
          <w:p w14:paraId="27A2378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vAlign w:val="bottom"/>
          </w:tcPr>
          <w:p w14:paraId="15386EF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86,108</w:t>
            </w:r>
          </w:p>
        </w:tc>
        <w:tc>
          <w:tcPr>
            <w:tcW w:w="999" w:type="dxa"/>
            <w:tcBorders>
              <w:top w:val="nil"/>
            </w:tcBorders>
            <w:vAlign w:val="bottom"/>
          </w:tcPr>
          <w:p w14:paraId="3104B89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4.0%</w:t>
            </w:r>
          </w:p>
        </w:tc>
        <w:tc>
          <w:tcPr>
            <w:tcW w:w="999" w:type="dxa"/>
            <w:tcBorders>
              <w:top w:val="nil"/>
            </w:tcBorders>
            <w:vAlign w:val="bottom"/>
          </w:tcPr>
          <w:p w14:paraId="1D29622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30,108</w:t>
            </w:r>
          </w:p>
        </w:tc>
        <w:tc>
          <w:tcPr>
            <w:tcW w:w="1000" w:type="dxa"/>
            <w:tcBorders>
              <w:top w:val="nil"/>
            </w:tcBorders>
            <w:vAlign w:val="bottom"/>
          </w:tcPr>
          <w:p w14:paraId="57A8277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r>
      <w:tr w:rsidR="00FA36A3" w:rsidRPr="00FA36A3" w14:paraId="5F9DBBAE" w14:textId="77777777" w:rsidTr="00BF696F">
        <w:trPr>
          <w:trHeight w:val="290"/>
        </w:trPr>
        <w:tc>
          <w:tcPr>
            <w:tcW w:w="960" w:type="dxa"/>
            <w:tcBorders>
              <w:top w:val="nil"/>
            </w:tcBorders>
            <w:shd w:val="clear" w:color="auto" w:fill="auto"/>
            <w:noWrap/>
            <w:vAlign w:val="bottom"/>
            <w:hideMark/>
          </w:tcPr>
          <w:p w14:paraId="1E6C3E33"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2019</w:t>
            </w:r>
          </w:p>
        </w:tc>
        <w:tc>
          <w:tcPr>
            <w:tcW w:w="999" w:type="dxa"/>
            <w:tcBorders>
              <w:top w:val="nil"/>
            </w:tcBorders>
            <w:shd w:val="clear" w:color="auto" w:fill="auto"/>
            <w:noWrap/>
            <w:vAlign w:val="bottom"/>
          </w:tcPr>
          <w:p w14:paraId="399AE98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42,604</w:t>
            </w:r>
          </w:p>
        </w:tc>
        <w:tc>
          <w:tcPr>
            <w:tcW w:w="999" w:type="dxa"/>
            <w:tcBorders>
              <w:top w:val="nil"/>
            </w:tcBorders>
            <w:shd w:val="clear" w:color="auto" w:fill="auto"/>
            <w:vAlign w:val="bottom"/>
          </w:tcPr>
          <w:p w14:paraId="06FE4A1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1.9%</w:t>
            </w:r>
          </w:p>
        </w:tc>
        <w:tc>
          <w:tcPr>
            <w:tcW w:w="999" w:type="dxa"/>
            <w:tcBorders>
              <w:top w:val="nil"/>
            </w:tcBorders>
            <w:shd w:val="clear" w:color="auto" w:fill="auto"/>
            <w:noWrap/>
            <w:vAlign w:val="bottom"/>
          </w:tcPr>
          <w:p w14:paraId="646E4BD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127,364</w:t>
            </w:r>
          </w:p>
        </w:tc>
        <w:tc>
          <w:tcPr>
            <w:tcW w:w="999" w:type="dxa"/>
            <w:tcBorders>
              <w:top w:val="nil"/>
            </w:tcBorders>
            <w:shd w:val="clear" w:color="auto" w:fill="auto"/>
            <w:vAlign w:val="bottom"/>
          </w:tcPr>
          <w:p w14:paraId="765F98D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shd w:val="clear" w:color="auto" w:fill="auto"/>
            <w:noWrap/>
            <w:vAlign w:val="bottom"/>
          </w:tcPr>
          <w:p w14:paraId="4C77835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32,701</w:t>
            </w:r>
          </w:p>
        </w:tc>
        <w:tc>
          <w:tcPr>
            <w:tcW w:w="1000" w:type="dxa"/>
            <w:tcBorders>
              <w:top w:val="nil"/>
            </w:tcBorders>
            <w:shd w:val="clear" w:color="auto" w:fill="auto"/>
            <w:vAlign w:val="bottom"/>
          </w:tcPr>
          <w:p w14:paraId="1FF6779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4D56FE0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130,781</w:t>
            </w:r>
          </w:p>
        </w:tc>
        <w:tc>
          <w:tcPr>
            <w:tcW w:w="999" w:type="dxa"/>
            <w:tcBorders>
              <w:top w:val="nil"/>
            </w:tcBorders>
            <w:vAlign w:val="bottom"/>
          </w:tcPr>
          <w:p w14:paraId="1D5B228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6.0%</w:t>
            </w:r>
          </w:p>
        </w:tc>
        <w:tc>
          <w:tcPr>
            <w:tcW w:w="999" w:type="dxa"/>
            <w:tcBorders>
              <w:top w:val="nil"/>
            </w:tcBorders>
            <w:vAlign w:val="bottom"/>
          </w:tcPr>
          <w:p w14:paraId="4C48C81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95,306</w:t>
            </w:r>
          </w:p>
        </w:tc>
        <w:tc>
          <w:tcPr>
            <w:tcW w:w="999" w:type="dxa"/>
            <w:tcBorders>
              <w:top w:val="nil"/>
            </w:tcBorders>
            <w:vAlign w:val="bottom"/>
          </w:tcPr>
          <w:p w14:paraId="1F322BC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w:t>
            </w:r>
          </w:p>
        </w:tc>
        <w:tc>
          <w:tcPr>
            <w:tcW w:w="999" w:type="dxa"/>
            <w:tcBorders>
              <w:top w:val="nil"/>
            </w:tcBorders>
            <w:vAlign w:val="bottom"/>
          </w:tcPr>
          <w:p w14:paraId="62C51A1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31,361</w:t>
            </w:r>
          </w:p>
        </w:tc>
        <w:tc>
          <w:tcPr>
            <w:tcW w:w="1000" w:type="dxa"/>
            <w:tcBorders>
              <w:top w:val="nil"/>
            </w:tcBorders>
            <w:vAlign w:val="bottom"/>
          </w:tcPr>
          <w:p w14:paraId="3E87178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r>
      <w:tr w:rsidR="00FA36A3" w:rsidRPr="00FA36A3" w14:paraId="56BF04C9" w14:textId="77777777" w:rsidTr="00BF696F">
        <w:trPr>
          <w:trHeight w:val="290"/>
        </w:trPr>
        <w:tc>
          <w:tcPr>
            <w:tcW w:w="960" w:type="dxa"/>
            <w:tcBorders>
              <w:top w:val="nil"/>
            </w:tcBorders>
            <w:shd w:val="clear" w:color="auto" w:fill="auto"/>
            <w:noWrap/>
            <w:vAlign w:val="bottom"/>
            <w:hideMark/>
          </w:tcPr>
          <w:p w14:paraId="4135D9CD"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2020</w:t>
            </w:r>
          </w:p>
        </w:tc>
        <w:tc>
          <w:tcPr>
            <w:tcW w:w="999" w:type="dxa"/>
            <w:tcBorders>
              <w:top w:val="nil"/>
            </w:tcBorders>
            <w:shd w:val="clear" w:color="auto" w:fill="auto"/>
            <w:noWrap/>
            <w:vAlign w:val="bottom"/>
          </w:tcPr>
          <w:p w14:paraId="49F1744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44,357</w:t>
            </w:r>
          </w:p>
        </w:tc>
        <w:tc>
          <w:tcPr>
            <w:tcW w:w="999" w:type="dxa"/>
            <w:tcBorders>
              <w:top w:val="nil"/>
            </w:tcBorders>
            <w:shd w:val="clear" w:color="auto" w:fill="auto"/>
            <w:vAlign w:val="bottom"/>
          </w:tcPr>
          <w:p w14:paraId="4F06835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2.0%</w:t>
            </w:r>
          </w:p>
        </w:tc>
        <w:tc>
          <w:tcPr>
            <w:tcW w:w="999" w:type="dxa"/>
            <w:tcBorders>
              <w:top w:val="nil"/>
            </w:tcBorders>
            <w:shd w:val="clear" w:color="auto" w:fill="auto"/>
            <w:noWrap/>
            <w:vAlign w:val="bottom"/>
          </w:tcPr>
          <w:p w14:paraId="47EA49C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133,186</w:t>
            </w:r>
          </w:p>
        </w:tc>
        <w:tc>
          <w:tcPr>
            <w:tcW w:w="999" w:type="dxa"/>
            <w:tcBorders>
              <w:top w:val="nil"/>
            </w:tcBorders>
            <w:shd w:val="clear" w:color="auto" w:fill="auto"/>
            <w:vAlign w:val="bottom"/>
          </w:tcPr>
          <w:p w14:paraId="021CF33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6.0%</w:t>
            </w:r>
          </w:p>
        </w:tc>
        <w:tc>
          <w:tcPr>
            <w:tcW w:w="999" w:type="dxa"/>
            <w:tcBorders>
              <w:top w:val="nil"/>
            </w:tcBorders>
            <w:shd w:val="clear" w:color="auto" w:fill="auto"/>
            <w:noWrap/>
            <w:vAlign w:val="bottom"/>
          </w:tcPr>
          <w:p w14:paraId="2BAC61D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32,574</w:t>
            </w:r>
          </w:p>
        </w:tc>
        <w:tc>
          <w:tcPr>
            <w:tcW w:w="1000" w:type="dxa"/>
            <w:tcBorders>
              <w:top w:val="nil"/>
            </w:tcBorders>
            <w:shd w:val="clear" w:color="auto" w:fill="auto"/>
            <w:vAlign w:val="bottom"/>
          </w:tcPr>
          <w:p w14:paraId="0F3290E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c>
          <w:tcPr>
            <w:tcW w:w="999" w:type="dxa"/>
            <w:tcBorders>
              <w:top w:val="nil"/>
            </w:tcBorders>
            <w:vAlign w:val="bottom"/>
          </w:tcPr>
          <w:p w14:paraId="21ED10C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132,608</w:t>
            </w:r>
          </w:p>
        </w:tc>
        <w:tc>
          <w:tcPr>
            <w:tcW w:w="999" w:type="dxa"/>
            <w:tcBorders>
              <w:top w:val="nil"/>
            </w:tcBorders>
            <w:vAlign w:val="bottom"/>
          </w:tcPr>
          <w:p w14:paraId="1EA9AAF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6.0%</w:t>
            </w:r>
          </w:p>
        </w:tc>
        <w:tc>
          <w:tcPr>
            <w:tcW w:w="999" w:type="dxa"/>
            <w:tcBorders>
              <w:top w:val="nil"/>
            </w:tcBorders>
            <w:vAlign w:val="bottom"/>
          </w:tcPr>
          <w:p w14:paraId="6E10853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104,579</w:t>
            </w:r>
          </w:p>
        </w:tc>
        <w:tc>
          <w:tcPr>
            <w:tcW w:w="999" w:type="dxa"/>
            <w:tcBorders>
              <w:top w:val="nil"/>
            </w:tcBorders>
            <w:vAlign w:val="bottom"/>
          </w:tcPr>
          <w:p w14:paraId="0AD2A33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4.7%</w:t>
            </w:r>
          </w:p>
        </w:tc>
        <w:tc>
          <w:tcPr>
            <w:tcW w:w="999" w:type="dxa"/>
            <w:tcBorders>
              <w:top w:val="nil"/>
            </w:tcBorders>
            <w:vAlign w:val="bottom"/>
          </w:tcPr>
          <w:p w14:paraId="4DCD072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32,472</w:t>
            </w:r>
          </w:p>
        </w:tc>
        <w:tc>
          <w:tcPr>
            <w:tcW w:w="1000" w:type="dxa"/>
            <w:tcBorders>
              <w:top w:val="nil"/>
            </w:tcBorders>
            <w:vAlign w:val="bottom"/>
          </w:tcPr>
          <w:p w14:paraId="4D97E1D2"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1.5%</w:t>
            </w:r>
          </w:p>
        </w:tc>
      </w:tr>
      <w:tr w:rsidR="00FA36A3" w:rsidRPr="00FA36A3" w14:paraId="0350BFFA" w14:textId="77777777" w:rsidTr="00BF696F">
        <w:trPr>
          <w:trHeight w:val="290"/>
        </w:trPr>
        <w:tc>
          <w:tcPr>
            <w:tcW w:w="960" w:type="dxa"/>
            <w:tcBorders>
              <w:top w:val="nil"/>
            </w:tcBorders>
            <w:shd w:val="clear" w:color="auto" w:fill="auto"/>
            <w:noWrap/>
            <w:vAlign w:val="bottom"/>
            <w:hideMark/>
          </w:tcPr>
          <w:p w14:paraId="79278881"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2021</w:t>
            </w:r>
          </w:p>
        </w:tc>
        <w:tc>
          <w:tcPr>
            <w:tcW w:w="999" w:type="dxa"/>
            <w:tcBorders>
              <w:top w:val="nil"/>
            </w:tcBorders>
            <w:shd w:val="clear" w:color="auto" w:fill="auto"/>
            <w:noWrap/>
            <w:vAlign w:val="bottom"/>
          </w:tcPr>
          <w:p w14:paraId="7CACB5D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44,683</w:t>
            </w:r>
          </w:p>
        </w:tc>
        <w:tc>
          <w:tcPr>
            <w:tcW w:w="999" w:type="dxa"/>
            <w:tcBorders>
              <w:top w:val="nil"/>
            </w:tcBorders>
            <w:shd w:val="clear" w:color="auto" w:fill="auto"/>
            <w:vAlign w:val="bottom"/>
          </w:tcPr>
          <w:p w14:paraId="08CA135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2.0%</w:t>
            </w:r>
          </w:p>
        </w:tc>
        <w:tc>
          <w:tcPr>
            <w:tcW w:w="999" w:type="dxa"/>
            <w:tcBorders>
              <w:top w:val="nil"/>
            </w:tcBorders>
            <w:shd w:val="clear" w:color="auto" w:fill="auto"/>
            <w:noWrap/>
            <w:vAlign w:val="bottom"/>
          </w:tcPr>
          <w:p w14:paraId="4B54B6AA"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138,218</w:t>
            </w:r>
          </w:p>
        </w:tc>
        <w:tc>
          <w:tcPr>
            <w:tcW w:w="999" w:type="dxa"/>
            <w:tcBorders>
              <w:top w:val="nil"/>
            </w:tcBorders>
            <w:shd w:val="clear" w:color="auto" w:fill="auto"/>
            <w:vAlign w:val="bottom"/>
          </w:tcPr>
          <w:p w14:paraId="0BF06B3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6.1%</w:t>
            </w:r>
          </w:p>
        </w:tc>
        <w:tc>
          <w:tcPr>
            <w:tcW w:w="999" w:type="dxa"/>
            <w:tcBorders>
              <w:top w:val="nil"/>
            </w:tcBorders>
            <w:shd w:val="clear" w:color="auto" w:fill="auto"/>
            <w:noWrap/>
            <w:vAlign w:val="bottom"/>
          </w:tcPr>
          <w:p w14:paraId="214E774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31,043</w:t>
            </w:r>
          </w:p>
        </w:tc>
        <w:tc>
          <w:tcPr>
            <w:tcW w:w="1000" w:type="dxa"/>
            <w:tcBorders>
              <w:top w:val="nil"/>
            </w:tcBorders>
            <w:shd w:val="clear" w:color="auto" w:fill="auto"/>
            <w:vAlign w:val="bottom"/>
          </w:tcPr>
          <w:p w14:paraId="5A418A4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1F635A5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130,948</w:t>
            </w:r>
          </w:p>
        </w:tc>
        <w:tc>
          <w:tcPr>
            <w:tcW w:w="999" w:type="dxa"/>
            <w:tcBorders>
              <w:top w:val="nil"/>
            </w:tcBorders>
            <w:vAlign w:val="bottom"/>
          </w:tcPr>
          <w:p w14:paraId="418E193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vAlign w:val="bottom"/>
          </w:tcPr>
          <w:p w14:paraId="036B449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113,203</w:t>
            </w:r>
          </w:p>
        </w:tc>
        <w:tc>
          <w:tcPr>
            <w:tcW w:w="999" w:type="dxa"/>
            <w:tcBorders>
              <w:top w:val="nil"/>
            </w:tcBorders>
            <w:vAlign w:val="bottom"/>
          </w:tcPr>
          <w:p w14:paraId="4533A30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5.0%</w:t>
            </w:r>
          </w:p>
        </w:tc>
        <w:tc>
          <w:tcPr>
            <w:tcW w:w="999" w:type="dxa"/>
            <w:tcBorders>
              <w:top w:val="nil"/>
            </w:tcBorders>
            <w:vAlign w:val="bottom"/>
          </w:tcPr>
          <w:p w14:paraId="69034B7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32,484</w:t>
            </w:r>
          </w:p>
        </w:tc>
        <w:tc>
          <w:tcPr>
            <w:tcW w:w="1000" w:type="dxa"/>
            <w:tcBorders>
              <w:top w:val="nil"/>
            </w:tcBorders>
            <w:vAlign w:val="bottom"/>
          </w:tcPr>
          <w:p w14:paraId="3E7400D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r>
      <w:tr w:rsidR="00FA36A3" w:rsidRPr="00FA36A3" w14:paraId="2025018F" w14:textId="77777777" w:rsidTr="00BF696F">
        <w:trPr>
          <w:trHeight w:val="290"/>
        </w:trPr>
        <w:tc>
          <w:tcPr>
            <w:tcW w:w="960" w:type="dxa"/>
            <w:tcBorders>
              <w:top w:val="nil"/>
            </w:tcBorders>
            <w:shd w:val="clear" w:color="auto" w:fill="auto"/>
            <w:noWrap/>
            <w:vAlign w:val="bottom"/>
            <w:hideMark/>
          </w:tcPr>
          <w:p w14:paraId="4BE19011"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2022</w:t>
            </w:r>
          </w:p>
        </w:tc>
        <w:tc>
          <w:tcPr>
            <w:tcW w:w="999" w:type="dxa"/>
            <w:tcBorders>
              <w:top w:val="nil"/>
            </w:tcBorders>
            <w:shd w:val="clear" w:color="auto" w:fill="auto"/>
            <w:noWrap/>
            <w:vAlign w:val="bottom"/>
          </w:tcPr>
          <w:p w14:paraId="2760C98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43,697</w:t>
            </w:r>
          </w:p>
        </w:tc>
        <w:tc>
          <w:tcPr>
            <w:tcW w:w="999" w:type="dxa"/>
            <w:tcBorders>
              <w:top w:val="nil"/>
            </w:tcBorders>
            <w:shd w:val="clear" w:color="auto" w:fill="auto"/>
            <w:vAlign w:val="bottom"/>
          </w:tcPr>
          <w:p w14:paraId="471EFE8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2.0%</w:t>
            </w:r>
          </w:p>
        </w:tc>
        <w:tc>
          <w:tcPr>
            <w:tcW w:w="999" w:type="dxa"/>
            <w:tcBorders>
              <w:top w:val="nil"/>
            </w:tcBorders>
            <w:shd w:val="clear" w:color="auto" w:fill="auto"/>
            <w:noWrap/>
            <w:vAlign w:val="bottom"/>
          </w:tcPr>
          <w:p w14:paraId="0B166DE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138,354</w:t>
            </w:r>
          </w:p>
        </w:tc>
        <w:tc>
          <w:tcPr>
            <w:tcW w:w="999" w:type="dxa"/>
            <w:tcBorders>
              <w:top w:val="nil"/>
            </w:tcBorders>
            <w:shd w:val="clear" w:color="auto" w:fill="auto"/>
            <w:vAlign w:val="bottom"/>
          </w:tcPr>
          <w:p w14:paraId="76825AD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w:t>
            </w:r>
          </w:p>
        </w:tc>
        <w:tc>
          <w:tcPr>
            <w:tcW w:w="999" w:type="dxa"/>
            <w:tcBorders>
              <w:top w:val="nil"/>
            </w:tcBorders>
            <w:shd w:val="clear" w:color="auto" w:fill="auto"/>
            <w:noWrap/>
            <w:vAlign w:val="bottom"/>
          </w:tcPr>
          <w:p w14:paraId="01E36E2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30,135</w:t>
            </w:r>
          </w:p>
        </w:tc>
        <w:tc>
          <w:tcPr>
            <w:tcW w:w="1000" w:type="dxa"/>
            <w:tcBorders>
              <w:top w:val="nil"/>
            </w:tcBorders>
            <w:shd w:val="clear" w:color="auto" w:fill="auto"/>
            <w:vAlign w:val="bottom"/>
          </w:tcPr>
          <w:p w14:paraId="0D05A0D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c>
          <w:tcPr>
            <w:tcW w:w="999" w:type="dxa"/>
            <w:tcBorders>
              <w:top w:val="nil"/>
            </w:tcBorders>
            <w:vAlign w:val="bottom"/>
          </w:tcPr>
          <w:p w14:paraId="2BF732D1"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127,849</w:t>
            </w:r>
          </w:p>
        </w:tc>
        <w:tc>
          <w:tcPr>
            <w:tcW w:w="999" w:type="dxa"/>
            <w:tcBorders>
              <w:top w:val="nil"/>
            </w:tcBorders>
            <w:vAlign w:val="bottom"/>
          </w:tcPr>
          <w:p w14:paraId="456551E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vAlign w:val="bottom"/>
          </w:tcPr>
          <w:p w14:paraId="5B051C7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116,835</w:t>
            </w:r>
          </w:p>
        </w:tc>
        <w:tc>
          <w:tcPr>
            <w:tcW w:w="999" w:type="dxa"/>
            <w:tcBorders>
              <w:top w:val="nil"/>
            </w:tcBorders>
            <w:vAlign w:val="bottom"/>
          </w:tcPr>
          <w:p w14:paraId="6E230E0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5.3%</w:t>
            </w:r>
          </w:p>
        </w:tc>
        <w:tc>
          <w:tcPr>
            <w:tcW w:w="999" w:type="dxa"/>
            <w:tcBorders>
              <w:top w:val="nil"/>
            </w:tcBorders>
            <w:vAlign w:val="bottom"/>
          </w:tcPr>
          <w:p w14:paraId="51DEE15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31,613</w:t>
            </w:r>
          </w:p>
        </w:tc>
        <w:tc>
          <w:tcPr>
            <w:tcW w:w="1000" w:type="dxa"/>
            <w:tcBorders>
              <w:top w:val="nil"/>
            </w:tcBorders>
            <w:vAlign w:val="bottom"/>
          </w:tcPr>
          <w:p w14:paraId="6E78822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r>
      <w:tr w:rsidR="00FA36A3" w:rsidRPr="00FA36A3" w14:paraId="5AABEE6E" w14:textId="77777777" w:rsidTr="00BF696F">
        <w:trPr>
          <w:trHeight w:val="290"/>
        </w:trPr>
        <w:tc>
          <w:tcPr>
            <w:tcW w:w="960" w:type="dxa"/>
            <w:tcBorders>
              <w:top w:val="nil"/>
            </w:tcBorders>
            <w:shd w:val="clear" w:color="auto" w:fill="auto"/>
            <w:noWrap/>
            <w:vAlign w:val="bottom"/>
            <w:hideMark/>
          </w:tcPr>
          <w:p w14:paraId="46B98F35"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2023</w:t>
            </w:r>
          </w:p>
        </w:tc>
        <w:tc>
          <w:tcPr>
            <w:tcW w:w="999" w:type="dxa"/>
            <w:tcBorders>
              <w:top w:val="nil"/>
            </w:tcBorders>
            <w:shd w:val="clear" w:color="auto" w:fill="auto"/>
            <w:noWrap/>
            <w:vAlign w:val="bottom"/>
          </w:tcPr>
          <w:p w14:paraId="57B7D04D"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44,226</w:t>
            </w:r>
          </w:p>
        </w:tc>
        <w:tc>
          <w:tcPr>
            <w:tcW w:w="999" w:type="dxa"/>
            <w:tcBorders>
              <w:top w:val="nil"/>
            </w:tcBorders>
            <w:shd w:val="clear" w:color="auto" w:fill="auto"/>
            <w:vAlign w:val="bottom"/>
          </w:tcPr>
          <w:p w14:paraId="41BEF0F7"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2.1%</w:t>
            </w:r>
          </w:p>
        </w:tc>
        <w:tc>
          <w:tcPr>
            <w:tcW w:w="999" w:type="dxa"/>
            <w:tcBorders>
              <w:top w:val="nil"/>
            </w:tcBorders>
            <w:shd w:val="clear" w:color="auto" w:fill="auto"/>
            <w:noWrap/>
            <w:vAlign w:val="bottom"/>
          </w:tcPr>
          <w:p w14:paraId="552F092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136,859</w:t>
            </w:r>
          </w:p>
        </w:tc>
        <w:tc>
          <w:tcPr>
            <w:tcW w:w="999" w:type="dxa"/>
            <w:tcBorders>
              <w:top w:val="nil"/>
            </w:tcBorders>
            <w:shd w:val="clear" w:color="auto" w:fill="auto"/>
            <w:vAlign w:val="bottom"/>
          </w:tcPr>
          <w:p w14:paraId="087ED35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6.4%</w:t>
            </w:r>
          </w:p>
        </w:tc>
        <w:tc>
          <w:tcPr>
            <w:tcW w:w="999" w:type="dxa"/>
            <w:tcBorders>
              <w:top w:val="nil"/>
            </w:tcBorders>
            <w:shd w:val="clear" w:color="auto" w:fill="auto"/>
            <w:noWrap/>
            <w:vAlign w:val="bottom"/>
          </w:tcPr>
          <w:p w14:paraId="047E96F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28,747</w:t>
            </w:r>
          </w:p>
        </w:tc>
        <w:tc>
          <w:tcPr>
            <w:tcW w:w="1000" w:type="dxa"/>
            <w:tcBorders>
              <w:top w:val="nil"/>
            </w:tcBorders>
            <w:shd w:val="clear" w:color="auto" w:fill="auto"/>
            <w:vAlign w:val="bottom"/>
          </w:tcPr>
          <w:p w14:paraId="0772137E"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c>
          <w:tcPr>
            <w:tcW w:w="999" w:type="dxa"/>
            <w:tcBorders>
              <w:top w:val="nil"/>
            </w:tcBorders>
            <w:vAlign w:val="bottom"/>
          </w:tcPr>
          <w:p w14:paraId="3E627E1F"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123,915</w:t>
            </w:r>
          </w:p>
        </w:tc>
        <w:tc>
          <w:tcPr>
            <w:tcW w:w="999" w:type="dxa"/>
            <w:tcBorders>
              <w:top w:val="nil"/>
            </w:tcBorders>
            <w:vAlign w:val="bottom"/>
          </w:tcPr>
          <w:p w14:paraId="638D51B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5.8%</w:t>
            </w:r>
          </w:p>
        </w:tc>
        <w:tc>
          <w:tcPr>
            <w:tcW w:w="999" w:type="dxa"/>
            <w:tcBorders>
              <w:top w:val="nil"/>
            </w:tcBorders>
            <w:vAlign w:val="bottom"/>
          </w:tcPr>
          <w:p w14:paraId="3F83B26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122,457</w:t>
            </w:r>
          </w:p>
        </w:tc>
        <w:tc>
          <w:tcPr>
            <w:tcW w:w="999" w:type="dxa"/>
            <w:tcBorders>
              <w:top w:val="nil"/>
            </w:tcBorders>
            <w:vAlign w:val="bottom"/>
          </w:tcPr>
          <w:p w14:paraId="3A5F7DE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5.7%</w:t>
            </w:r>
          </w:p>
        </w:tc>
        <w:tc>
          <w:tcPr>
            <w:tcW w:w="999" w:type="dxa"/>
            <w:tcBorders>
              <w:top w:val="nil"/>
            </w:tcBorders>
            <w:vAlign w:val="bottom"/>
          </w:tcPr>
          <w:p w14:paraId="7C6E872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30,286</w:t>
            </w:r>
          </w:p>
        </w:tc>
        <w:tc>
          <w:tcPr>
            <w:tcW w:w="1000" w:type="dxa"/>
            <w:tcBorders>
              <w:top w:val="nil"/>
            </w:tcBorders>
            <w:vAlign w:val="bottom"/>
          </w:tcPr>
          <w:p w14:paraId="374484EB"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1.4%</w:t>
            </w:r>
          </w:p>
        </w:tc>
      </w:tr>
      <w:tr w:rsidR="00FA36A3" w:rsidRPr="00FA36A3" w14:paraId="038ECCF3" w14:textId="77777777" w:rsidTr="00BF696F">
        <w:trPr>
          <w:trHeight w:val="290"/>
        </w:trPr>
        <w:tc>
          <w:tcPr>
            <w:tcW w:w="960" w:type="dxa"/>
            <w:tcBorders>
              <w:top w:val="nil"/>
              <w:bottom w:val="single" w:sz="4" w:space="0" w:color="auto"/>
            </w:tcBorders>
            <w:shd w:val="clear" w:color="auto" w:fill="auto"/>
            <w:noWrap/>
            <w:vAlign w:val="bottom"/>
            <w:hideMark/>
          </w:tcPr>
          <w:p w14:paraId="10E6E19B" w14:textId="77777777" w:rsidR="00FA36A3" w:rsidRPr="00FA36A3" w:rsidRDefault="00FA36A3" w:rsidP="00FA36A3">
            <w:pPr>
              <w:spacing w:after="0" w:line="240" w:lineRule="auto"/>
              <w:jc w:val="right"/>
              <w:rPr>
                <w:rFonts w:eastAsia="Times New Roman"/>
                <w:color w:val="000000"/>
                <w:sz w:val="24"/>
                <w:szCs w:val="24"/>
              </w:rPr>
            </w:pPr>
            <w:r w:rsidRPr="00FA36A3">
              <w:rPr>
                <w:rFonts w:eastAsia="Times New Roman"/>
                <w:color w:val="000000"/>
                <w:sz w:val="24"/>
                <w:szCs w:val="24"/>
              </w:rPr>
              <w:t>2024</w:t>
            </w:r>
          </w:p>
        </w:tc>
        <w:tc>
          <w:tcPr>
            <w:tcW w:w="999" w:type="dxa"/>
            <w:tcBorders>
              <w:top w:val="nil"/>
              <w:bottom w:val="single" w:sz="4" w:space="0" w:color="auto"/>
            </w:tcBorders>
            <w:shd w:val="clear" w:color="auto" w:fill="auto"/>
            <w:noWrap/>
            <w:vAlign w:val="bottom"/>
          </w:tcPr>
          <w:p w14:paraId="0469C384"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44,461</w:t>
            </w:r>
          </w:p>
        </w:tc>
        <w:tc>
          <w:tcPr>
            <w:tcW w:w="999" w:type="dxa"/>
            <w:tcBorders>
              <w:top w:val="nil"/>
              <w:bottom w:val="single" w:sz="4" w:space="0" w:color="auto"/>
            </w:tcBorders>
            <w:shd w:val="clear" w:color="auto" w:fill="auto"/>
            <w:vAlign w:val="bottom"/>
          </w:tcPr>
          <w:p w14:paraId="687E4803"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2.1%</w:t>
            </w:r>
          </w:p>
        </w:tc>
        <w:tc>
          <w:tcPr>
            <w:tcW w:w="999" w:type="dxa"/>
            <w:tcBorders>
              <w:top w:val="nil"/>
              <w:bottom w:val="single" w:sz="4" w:space="0" w:color="auto"/>
            </w:tcBorders>
            <w:shd w:val="clear" w:color="auto" w:fill="auto"/>
            <w:noWrap/>
            <w:vAlign w:val="bottom"/>
          </w:tcPr>
          <w:p w14:paraId="4F9D899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134,928</w:t>
            </w:r>
          </w:p>
        </w:tc>
        <w:tc>
          <w:tcPr>
            <w:tcW w:w="999" w:type="dxa"/>
            <w:tcBorders>
              <w:top w:val="nil"/>
              <w:bottom w:val="single" w:sz="4" w:space="0" w:color="auto"/>
            </w:tcBorders>
            <w:shd w:val="clear" w:color="auto" w:fill="auto"/>
            <w:vAlign w:val="bottom"/>
          </w:tcPr>
          <w:p w14:paraId="69B4FC7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6.3%</w:t>
            </w:r>
          </w:p>
        </w:tc>
        <w:tc>
          <w:tcPr>
            <w:tcW w:w="999" w:type="dxa"/>
            <w:tcBorders>
              <w:top w:val="nil"/>
              <w:bottom w:val="single" w:sz="4" w:space="0" w:color="auto"/>
            </w:tcBorders>
            <w:shd w:val="clear" w:color="auto" w:fill="auto"/>
            <w:noWrap/>
            <w:vAlign w:val="bottom"/>
          </w:tcPr>
          <w:p w14:paraId="5F453B90"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27,353</w:t>
            </w:r>
          </w:p>
        </w:tc>
        <w:tc>
          <w:tcPr>
            <w:tcW w:w="1000" w:type="dxa"/>
            <w:tcBorders>
              <w:top w:val="nil"/>
              <w:bottom w:val="single" w:sz="4" w:space="0" w:color="auto"/>
            </w:tcBorders>
            <w:shd w:val="clear" w:color="auto" w:fill="auto"/>
            <w:vAlign w:val="bottom"/>
          </w:tcPr>
          <w:p w14:paraId="7E0AEC35"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c>
          <w:tcPr>
            <w:tcW w:w="999" w:type="dxa"/>
            <w:tcBorders>
              <w:top w:val="nil"/>
              <w:bottom w:val="single" w:sz="4" w:space="0" w:color="auto"/>
            </w:tcBorders>
            <w:vAlign w:val="bottom"/>
          </w:tcPr>
          <w:p w14:paraId="0414B8D9"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121,025</w:t>
            </w:r>
          </w:p>
        </w:tc>
        <w:tc>
          <w:tcPr>
            <w:tcW w:w="999" w:type="dxa"/>
            <w:tcBorders>
              <w:top w:val="nil"/>
              <w:bottom w:val="single" w:sz="4" w:space="0" w:color="auto"/>
            </w:tcBorders>
            <w:vAlign w:val="bottom"/>
          </w:tcPr>
          <w:p w14:paraId="2A041F9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5.7%</w:t>
            </w:r>
          </w:p>
        </w:tc>
        <w:tc>
          <w:tcPr>
            <w:tcW w:w="999" w:type="dxa"/>
            <w:tcBorders>
              <w:top w:val="nil"/>
              <w:bottom w:val="single" w:sz="4" w:space="0" w:color="auto"/>
            </w:tcBorders>
            <w:vAlign w:val="bottom"/>
          </w:tcPr>
          <w:p w14:paraId="7B3CDDFC"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131,114</w:t>
            </w:r>
          </w:p>
        </w:tc>
        <w:tc>
          <w:tcPr>
            <w:tcW w:w="999" w:type="dxa"/>
            <w:tcBorders>
              <w:top w:val="nil"/>
              <w:bottom w:val="single" w:sz="4" w:space="0" w:color="auto"/>
            </w:tcBorders>
            <w:vAlign w:val="bottom"/>
          </w:tcPr>
          <w:p w14:paraId="691D0F98"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6.1%</w:t>
            </w:r>
          </w:p>
        </w:tc>
        <w:tc>
          <w:tcPr>
            <w:tcW w:w="999" w:type="dxa"/>
            <w:tcBorders>
              <w:top w:val="nil"/>
              <w:bottom w:val="single" w:sz="4" w:space="0" w:color="auto"/>
            </w:tcBorders>
            <w:vAlign w:val="bottom"/>
          </w:tcPr>
          <w:p w14:paraId="1AEC2E9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28,054</w:t>
            </w:r>
          </w:p>
        </w:tc>
        <w:tc>
          <w:tcPr>
            <w:tcW w:w="1000" w:type="dxa"/>
            <w:tcBorders>
              <w:top w:val="nil"/>
              <w:bottom w:val="single" w:sz="4" w:space="0" w:color="auto"/>
            </w:tcBorders>
            <w:vAlign w:val="bottom"/>
          </w:tcPr>
          <w:p w14:paraId="71C3E756" w14:textId="77777777" w:rsidR="00FA36A3" w:rsidRPr="00FA36A3" w:rsidRDefault="00FA36A3" w:rsidP="00FA36A3">
            <w:pPr>
              <w:spacing w:after="0" w:line="240" w:lineRule="auto"/>
              <w:jc w:val="center"/>
              <w:rPr>
                <w:rFonts w:eastAsia="Times New Roman"/>
                <w:color w:val="000000"/>
                <w:sz w:val="24"/>
                <w:szCs w:val="24"/>
              </w:rPr>
            </w:pPr>
            <w:r w:rsidRPr="00FA36A3">
              <w:rPr>
                <w:rFonts w:eastAsia="Times New Roman"/>
                <w:color w:val="000000"/>
                <w:sz w:val="24"/>
                <w:szCs w:val="24"/>
              </w:rPr>
              <w:t>1.3%</w:t>
            </w:r>
          </w:p>
        </w:tc>
      </w:tr>
    </w:tbl>
    <w:p w14:paraId="18593FC0" w14:textId="77777777" w:rsidR="00FA36A3" w:rsidRPr="00FA36A3" w:rsidRDefault="00FA36A3" w:rsidP="00FA36A3">
      <w:pPr>
        <w:spacing w:after="0" w:line="240" w:lineRule="auto"/>
        <w:rPr>
          <w:rFonts w:eastAsia="Times New Roman"/>
          <w:color w:val="000000"/>
          <w:sz w:val="20"/>
          <w:szCs w:val="20"/>
          <w:shd w:val="clear" w:color="auto" w:fill="FFFFFF"/>
        </w:rPr>
      </w:pPr>
      <w:r w:rsidRPr="00FA36A3">
        <w:rPr>
          <w:rFonts w:eastAsia="Times New Roman"/>
          <w:color w:val="000000"/>
          <w:sz w:val="20"/>
          <w:szCs w:val="20"/>
          <w:shd w:val="clear" w:color="auto" w:fill="FFFFFF"/>
        </w:rPr>
        <w:t>Source: Integrated Postsecondary Education Data System (IPEDS), Authors’ tabulations </w:t>
      </w:r>
    </w:p>
    <w:p w14:paraId="06A32B50" w14:textId="32F63498" w:rsidR="00FA36A3" w:rsidRDefault="00FA36A3" w:rsidP="00643784">
      <w:pPr>
        <w:spacing w:after="120" w:line="240" w:lineRule="auto"/>
        <w:rPr>
          <w:rFonts w:eastAsia="Calibri"/>
          <w:b/>
        </w:rPr>
      </w:pPr>
    </w:p>
    <w:p w14:paraId="2A4C69C9" w14:textId="77777777" w:rsidR="00FA36A3" w:rsidRDefault="00FA36A3" w:rsidP="00643784">
      <w:pPr>
        <w:spacing w:after="120" w:line="240" w:lineRule="auto"/>
        <w:rPr>
          <w:rFonts w:eastAsia="Calibri"/>
          <w:b/>
        </w:rPr>
      </w:pPr>
    </w:p>
    <w:p w14:paraId="0E2C7ADC" w14:textId="77777777" w:rsidR="00BF696F" w:rsidRDefault="00BF696F" w:rsidP="00643784">
      <w:pPr>
        <w:spacing w:after="120" w:line="240" w:lineRule="auto"/>
        <w:rPr>
          <w:rFonts w:eastAsia="Calibri"/>
          <w:b/>
        </w:rPr>
      </w:pPr>
    </w:p>
    <w:p w14:paraId="7D64BD6E" w14:textId="5601627F" w:rsidR="00643784" w:rsidRPr="00643784" w:rsidRDefault="00643784" w:rsidP="00643784">
      <w:pPr>
        <w:spacing w:after="120" w:line="240" w:lineRule="auto"/>
        <w:rPr>
          <w:rFonts w:eastAsia="Calibri"/>
          <w:b/>
        </w:rPr>
      </w:pPr>
      <w:r w:rsidRPr="00643784">
        <w:rPr>
          <w:rFonts w:eastAsia="Calibri"/>
          <w:b/>
        </w:rPr>
        <w:lastRenderedPageBreak/>
        <w:t xml:space="preserve">Appendix A: Analysis of “Undeclared” and “STEM-Intending”  </w:t>
      </w:r>
    </w:p>
    <w:p w14:paraId="1CC42CF5" w14:textId="77777777" w:rsidR="00643784" w:rsidRPr="00643784" w:rsidRDefault="00643784" w:rsidP="00643784">
      <w:pPr>
        <w:spacing w:after="120" w:line="240" w:lineRule="auto"/>
        <w:rPr>
          <w:rFonts w:eastAsia="Calibri"/>
        </w:rPr>
      </w:pPr>
      <w:r w:rsidRPr="00643784">
        <w:rPr>
          <w:rFonts w:eastAsia="Calibri"/>
        </w:rPr>
        <w:t>As noted, a large in-flow of late STEM declarants (i.e., those declaring a STEM major after freshman year) comes from those initially identified as “undeclared” (28.5% of all freshman starting at four-year colleges are undeclared). Unfortunately, the survey does not differentiate between those who are truly undecided and those who are in colleges where they cannot declare a major as freshman and were “STEM-intending” but did not identify themselves as a STEM major on the survey. To the extent that some of the undeclared “in-flow” were essentially STEM majors, this analysis will overstate in-flow and understate out-flow. We conducted several analyses to assess how the flow estimates would vary depending on how the undeclared population was parsed to account for potential undercounting of initial STEM majors.</w:t>
      </w:r>
    </w:p>
    <w:p w14:paraId="2CFD808E" w14:textId="77777777" w:rsidR="00643784" w:rsidRPr="00643784" w:rsidRDefault="00643784" w:rsidP="00643784">
      <w:pPr>
        <w:spacing w:after="120" w:line="240" w:lineRule="auto"/>
        <w:rPr>
          <w:rFonts w:eastAsia="Calibri"/>
        </w:rPr>
      </w:pPr>
      <w:r w:rsidRPr="00643784">
        <w:rPr>
          <w:rFonts w:eastAsia="Calibri"/>
        </w:rPr>
        <w:t>Analyzing the undeclared population to assess the robustness of our findings was done in several steps.</w:t>
      </w:r>
    </w:p>
    <w:p w14:paraId="1439A15A" w14:textId="77777777" w:rsidR="00643784" w:rsidRPr="00643784" w:rsidRDefault="00643784" w:rsidP="00643784">
      <w:pPr>
        <w:spacing w:after="120" w:line="240" w:lineRule="auto"/>
        <w:rPr>
          <w:rFonts w:eastAsia="Calibri"/>
        </w:rPr>
      </w:pPr>
      <w:r w:rsidRPr="00643784">
        <w:rPr>
          <w:rFonts w:eastAsia="Calibri"/>
        </w:rPr>
        <w:t>The first step was to estimate the number of STEM majors in the undeclared pool of freshmen. We examined the BPS respondents to identify those in colleges in which it could reasonably be inferred that students were not permitted to formally declare majors as freshmen. This approach allowed us to allocate a portion of the undeclared who could potentially have been STEM majors, but responded that they were undeclared because they were unable to formally declare a major. The second step was to develop an estimate of undeclared based on the findings of another survey, the long-running “American Freshman” survey conducted by the Cooperative Institutional Research Program (CIRP) at UCLA.</w:t>
      </w:r>
    </w:p>
    <w:p w14:paraId="01EFC467" w14:textId="77777777" w:rsidR="00643784" w:rsidRPr="00643784" w:rsidRDefault="00643784" w:rsidP="00643784">
      <w:pPr>
        <w:spacing w:after="120" w:line="240" w:lineRule="auto"/>
        <w:rPr>
          <w:rFonts w:eastAsia="Calibri"/>
        </w:rPr>
      </w:pPr>
      <w:r w:rsidRPr="00643784">
        <w:rPr>
          <w:rFonts w:eastAsia="Calibri"/>
        </w:rPr>
        <w:t xml:space="preserve">Using these two estimates, we calculated a range of the number of freshman STEM majors and thus of the impact on net increase of the STEM graduating cohort size (i.e., of reallocating a share of “undeclared” to the STEM freshmen pool). Based on these adjusted freshman STEM major estimates (of increasing the number of freshman STEM majors and decreasing the size of “undeclared”), the net change in size of the freshman to graduating STEM cohort ranged from -0.3 percent net decrease to </w:t>
      </w:r>
      <w:proofErr w:type="gramStart"/>
      <w:r w:rsidRPr="00643784">
        <w:rPr>
          <w:rFonts w:eastAsia="Calibri"/>
        </w:rPr>
        <w:t>a</w:t>
      </w:r>
      <w:proofErr w:type="gramEnd"/>
      <w:r w:rsidRPr="00643784">
        <w:rPr>
          <w:rFonts w:eastAsia="Calibri"/>
        </w:rPr>
        <w:t xml:space="preserve"> 8.1percent net increase (i.e., a variance of less than 9 percentage points). The overall change in cohort size is the net change of two flows: </w:t>
      </w:r>
      <w:r w:rsidRPr="00643784">
        <w:rPr>
          <w:rFonts w:eastAsia="Calibri"/>
          <w:i/>
        </w:rPr>
        <w:t>out-flows</w:t>
      </w:r>
      <w:r w:rsidRPr="00643784">
        <w:rPr>
          <w:rFonts w:eastAsia="Calibri"/>
        </w:rPr>
        <w:t xml:space="preserve"> –those who start in STEM and leave—and </w:t>
      </w:r>
      <w:r w:rsidRPr="00643784">
        <w:rPr>
          <w:rFonts w:eastAsia="Calibri"/>
          <w:i/>
        </w:rPr>
        <w:t>in-flows</w:t>
      </w:r>
      <w:r w:rsidRPr="00643784">
        <w:rPr>
          <w:rFonts w:eastAsia="Calibri"/>
        </w:rPr>
        <w:t>—of those who do not start in STEM but enter after freshman year. Using the adjustments to the “undeclared,” we then calculated the range of in-flows of late declarants, which ranged from 72,000 to 85,000 students who were not STEM majors in their freshman year but graduated as STEM majors, and adjusted the “loss rates” or out-flows of STEM freshmen who graduated with a non-STEM major ranging from 67,000 to 73,000.</w:t>
      </w:r>
    </w:p>
    <w:p w14:paraId="664E5A90" w14:textId="77777777" w:rsidR="00643784" w:rsidRPr="00643784" w:rsidRDefault="00643784" w:rsidP="00643784">
      <w:pPr>
        <w:spacing w:after="120" w:line="240" w:lineRule="auto"/>
        <w:rPr>
          <w:rFonts w:eastAsia="Calibri"/>
        </w:rPr>
      </w:pPr>
      <w:r w:rsidRPr="00643784">
        <w:rPr>
          <w:rFonts w:eastAsia="Calibri"/>
        </w:rPr>
        <w:t>The analysis proceeded as follows:</w:t>
      </w:r>
    </w:p>
    <w:p w14:paraId="66F53A87" w14:textId="77777777" w:rsidR="00643784" w:rsidRPr="00643784" w:rsidRDefault="00643784" w:rsidP="00643784">
      <w:pPr>
        <w:numPr>
          <w:ilvl w:val="0"/>
          <w:numId w:val="1"/>
        </w:numPr>
        <w:spacing w:after="120" w:line="240" w:lineRule="auto"/>
        <w:ind w:left="180" w:firstLine="180"/>
        <w:rPr>
          <w:rFonts w:eastAsia="Calibri"/>
        </w:rPr>
      </w:pPr>
      <w:r w:rsidRPr="00643784">
        <w:rPr>
          <w:rFonts w:eastAsia="Calibri"/>
        </w:rPr>
        <w:t>We define Net Flow Rate as the net changes in size of the STEM cohort between freshman year and graduation (of those graduating within 6 years). This is calculated as:</w:t>
      </w:r>
    </w:p>
    <w:p w14:paraId="68D33351" w14:textId="77777777" w:rsidR="00643784" w:rsidRPr="00643784" w:rsidRDefault="007F000B" w:rsidP="00643784">
      <w:pPr>
        <w:spacing w:after="120" w:line="240" w:lineRule="auto"/>
        <w:ind w:left="360"/>
        <w:rPr>
          <w:rFonts w:eastAsia="Calibri"/>
          <w:vertAlign w:val="subscript"/>
        </w:rPr>
      </w:pPr>
      <m:oMathPara>
        <m:oMath>
          <m:sSub>
            <m:sSubPr>
              <m:ctrlPr>
                <w:rPr>
                  <w:rFonts w:ascii="Cambria Math" w:eastAsia="Calibri" w:hAnsi="Cambria Math"/>
                  <w:vertAlign w:val="subscript"/>
                </w:rPr>
              </m:ctrlPr>
            </m:sSubPr>
            <m:e>
              <m:r>
                <m:rPr>
                  <m:sty m:val="p"/>
                </m:rPr>
                <w:rPr>
                  <w:rFonts w:ascii="Cambria Math" w:eastAsia="Calibri" w:hAnsi="Cambria Math"/>
                </w:rPr>
                <m:t>Δ</m:t>
              </m:r>
            </m:e>
            <m:sub>
              <m:r>
                <w:rPr>
                  <w:rFonts w:ascii="Cambria Math" w:eastAsia="Calibri" w:hAnsi="Cambria Math"/>
                  <w:vertAlign w:val="subscript"/>
                </w:rPr>
                <m:t>STEM</m:t>
              </m:r>
            </m:sub>
          </m:sSub>
          <m:r>
            <m:rPr>
              <m:sty m:val="p"/>
            </m:rPr>
            <w:rPr>
              <w:rFonts w:ascii="Cambria Math" w:eastAsia="Calibri" w:hAnsi="Cambria Math"/>
            </w:rPr>
            <m:t xml:space="preserve">= </m:t>
          </m:r>
          <m:f>
            <m:fPr>
              <m:ctrlPr>
                <w:rPr>
                  <w:rFonts w:ascii="Cambria Math" w:eastAsia="Calibri" w:hAnsi="Cambria Math"/>
                  <w:vertAlign w:val="subscript"/>
                </w:rPr>
              </m:ctrlPr>
            </m:fPr>
            <m:num>
              <m:sSub>
                <m:sSubPr>
                  <m:ctrlPr>
                    <w:rPr>
                      <w:rFonts w:ascii="Cambria Math" w:eastAsia="Calibri" w:hAnsi="Cambria Math"/>
                      <w:vertAlign w:val="subscript"/>
                    </w:rPr>
                  </m:ctrlPr>
                </m:sSubPr>
                <m:e>
                  <m:r>
                    <w:rPr>
                      <w:rFonts w:ascii="Cambria Math" w:eastAsia="Calibri" w:hAnsi="Cambria Math"/>
                      <w:vertAlign w:val="subscript"/>
                    </w:rPr>
                    <m:t>G</m:t>
                  </m:r>
                </m:e>
                <m:sub>
                  <m:r>
                    <w:rPr>
                      <w:rFonts w:ascii="Cambria Math" w:eastAsia="Calibri" w:hAnsi="Cambria Math"/>
                      <w:vertAlign w:val="subscript"/>
                    </w:rPr>
                    <m:t>STEM</m:t>
                  </m:r>
                </m:sub>
              </m:sSub>
              <m:r>
                <m:rPr>
                  <m:sty m:val="p"/>
                </m:rPr>
                <w:rPr>
                  <w:rFonts w:ascii="Cambria Math" w:eastAsia="Calibri" w:hAnsi="Cambria Math"/>
                </w:rPr>
                <m:t xml:space="preserve"> - </m:t>
              </m:r>
              <m:sSub>
                <m:sSubPr>
                  <m:ctrlPr>
                    <w:rPr>
                      <w:rFonts w:ascii="Cambria Math" w:eastAsia="Calibri" w:hAnsi="Cambria Math"/>
                    </w:rPr>
                  </m:ctrlPr>
                </m:sSubPr>
                <m:e>
                  <m:r>
                    <w:rPr>
                      <w:rFonts w:ascii="Cambria Math" w:eastAsia="Calibri" w:hAnsi="Cambria Math"/>
                    </w:rPr>
                    <m:t>F</m:t>
                  </m:r>
                </m:e>
                <m:sub>
                  <m:r>
                    <w:rPr>
                      <w:rFonts w:ascii="Cambria Math" w:eastAsia="Calibri" w:hAnsi="Cambria Math"/>
                    </w:rPr>
                    <m:t>STEM</m:t>
                  </m:r>
                </m:sub>
              </m:sSub>
            </m:num>
            <m:den>
              <m:sSub>
                <m:sSubPr>
                  <m:ctrlPr>
                    <w:rPr>
                      <w:rFonts w:ascii="Cambria Math" w:eastAsia="Calibri" w:hAnsi="Cambria Math"/>
                      <w:i/>
                      <w:vertAlign w:val="subscript"/>
                    </w:rPr>
                  </m:ctrlPr>
                </m:sSubPr>
                <m:e>
                  <m:r>
                    <w:rPr>
                      <w:rFonts w:ascii="Cambria Math" w:eastAsia="Calibri" w:hAnsi="Cambria Math"/>
                      <w:vertAlign w:val="subscript"/>
                    </w:rPr>
                    <m:t>F</m:t>
                  </m:r>
                </m:e>
                <m:sub>
                  <m:r>
                    <w:rPr>
                      <w:rFonts w:ascii="Cambria Math" w:eastAsia="Calibri" w:hAnsi="Cambria Math"/>
                      <w:vertAlign w:val="subscript"/>
                    </w:rPr>
                    <m:t>STEM</m:t>
                  </m:r>
                </m:sub>
              </m:sSub>
            </m:den>
          </m:f>
          <m:r>
            <m:rPr>
              <m:sty m:val="p"/>
            </m:rPr>
            <w:rPr>
              <w:rFonts w:ascii="Cambria Math" w:eastAsia="Calibri" w:hAnsi="Cambria Math"/>
            </w:rPr>
            <w:br/>
          </m:r>
        </m:oMath>
      </m:oMathPara>
    </w:p>
    <w:p w14:paraId="0964A84F" w14:textId="77777777" w:rsidR="00643784" w:rsidRPr="00643784" w:rsidRDefault="00643784" w:rsidP="00643784">
      <w:pPr>
        <w:numPr>
          <w:ilvl w:val="0"/>
          <w:numId w:val="1"/>
        </w:numPr>
        <w:spacing w:after="120" w:line="240" w:lineRule="auto"/>
        <w:ind w:hanging="359"/>
        <w:contextualSpacing/>
        <w:rPr>
          <w:rFonts w:eastAsia="Arial"/>
          <w:color w:val="000000"/>
        </w:rPr>
      </w:pPr>
      <w:r w:rsidRPr="00643784">
        <w:rPr>
          <w:rFonts w:eastAsia="Arial"/>
          <w:color w:val="000000"/>
        </w:rPr>
        <w:t xml:space="preserve">To estimate the adjusted in-flow, accounting for undeclared who might have been intending STEM majors, we first decomposed the “undeclared” into those who were truly undeclared/undecided and those who would have declared if they could have. Of this latter group (“intenders” classified as undeclared in the BPS) we determined the percentage who would have declared STEM and allocate those to the initial, freshman STEM population. </w:t>
      </w:r>
    </w:p>
    <w:p w14:paraId="7599982B" w14:textId="77777777" w:rsidR="00643784" w:rsidRPr="00643784" w:rsidRDefault="00643784" w:rsidP="00643784">
      <w:pPr>
        <w:spacing w:after="120" w:line="240" w:lineRule="auto"/>
        <w:rPr>
          <w:rFonts w:eastAsia="Calibri"/>
        </w:rPr>
      </w:pPr>
      <w:r w:rsidRPr="00643784">
        <w:rPr>
          <w:rFonts w:eastAsia="Calibri"/>
        </w:rPr>
        <w:t>We conducted a threshold analysis to calculate the Net STEM flow rate under various estimates about the composition of the “undeclared.” The logic was to adjust the size of STEM Freshman population so that:</w:t>
      </w:r>
    </w:p>
    <w:p w14:paraId="206F8FAD" w14:textId="77777777" w:rsidR="00643784" w:rsidRPr="00643784" w:rsidRDefault="007F000B" w:rsidP="00643784">
      <w:pPr>
        <w:spacing w:after="120" w:line="240" w:lineRule="auto"/>
        <w:rPr>
          <w:rFonts w:eastAsia="MS Mincho"/>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STEM</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ds</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oMath>
      </m:oMathPara>
    </w:p>
    <w:p w14:paraId="72E7A29B" w14:textId="77777777" w:rsidR="00643784" w:rsidRPr="00643784" w:rsidRDefault="00643784" w:rsidP="00643784">
      <w:pPr>
        <w:spacing w:after="120" w:line="240" w:lineRule="auto"/>
        <w:rPr>
          <w:rFonts w:eastAsia="Calibri"/>
        </w:rPr>
      </w:pPr>
      <w:r w:rsidRPr="00643784">
        <w:rPr>
          <w:rFonts w:eastAsia="Calibri"/>
        </w:rPr>
        <w:t xml:space="preserve">In which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STEM</m:t>
            </m:r>
          </m:sub>
        </m:sSub>
      </m:oMath>
      <w:r w:rsidRPr="00643784">
        <w:rPr>
          <w:rFonts w:eastAsia="MS Mincho"/>
        </w:rPr>
        <w:t xml:space="preserve"> is the </w:t>
      </w:r>
      <w:r w:rsidRPr="00643784">
        <w:rPr>
          <w:rFonts w:eastAsia="Calibri"/>
        </w:rPr>
        <w:t xml:space="preserve">total starting in STEM,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ds</m:t>
            </m:r>
          </m:sub>
        </m:sSub>
      </m:oMath>
      <w:r w:rsidRPr="00643784">
        <w:rPr>
          <w:rFonts w:eastAsia="MS Mincho"/>
        </w:rPr>
        <w:t xml:space="preserve"> is the </w:t>
      </w:r>
      <w:r w:rsidRPr="00643784">
        <w:rPr>
          <w:rFonts w:eastAsia="Calibri"/>
        </w:rPr>
        <w:t xml:space="preserve">total with a declared STEM major in their first year, and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r>
          <w:rPr>
            <w:rFonts w:ascii="Cambria Math" w:eastAsia="Calibri" w:hAnsi="Cambria Math"/>
          </w:rPr>
          <m:t xml:space="preserve"> </m:t>
        </m:r>
      </m:oMath>
      <w:r w:rsidRPr="00643784">
        <w:rPr>
          <w:rFonts w:eastAsia="MS Mincho"/>
        </w:rPr>
        <w:t xml:space="preserve">is the </w:t>
      </w:r>
      <w:r w:rsidRPr="00643784">
        <w:rPr>
          <w:rFonts w:eastAsia="Calibri"/>
        </w:rPr>
        <w:t>total number of “undeclared” who would have declared a STEM major if they could have declared a major (i.e., in a college that did not allow freshmen to declare a major so they were undeclared but intending to be a STEM major).</w:t>
      </w:r>
    </w:p>
    <w:p w14:paraId="3B560E71" w14:textId="77777777" w:rsidR="00643784" w:rsidRPr="00643784" w:rsidRDefault="00643784" w:rsidP="00643784">
      <w:pPr>
        <w:spacing w:after="120" w:line="240" w:lineRule="auto"/>
        <w:rPr>
          <w:rFonts w:eastAsia="Calibri"/>
        </w:rPr>
      </w:pPr>
      <w:r w:rsidRPr="00643784">
        <w:rPr>
          <w:rFonts w:eastAsia="Calibri"/>
        </w:rPr>
        <w:t>The share of “undeclared” who would have been STEM declarants was calculated by decomposing the “undeclared” freshman cohort as follows:</w:t>
      </w:r>
    </w:p>
    <w:p w14:paraId="6F74E1E2" w14:textId="77777777" w:rsidR="00643784" w:rsidRPr="00643784" w:rsidRDefault="007F000B" w:rsidP="00643784">
      <w:pPr>
        <w:spacing w:after="120" w:line="240" w:lineRule="auto"/>
        <w:rPr>
          <w:rFonts w:eastAsia="Calibri"/>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uu</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m:t>
              </m:r>
            </m:sub>
          </m:sSub>
        </m:oMath>
      </m:oMathPara>
    </w:p>
    <w:p w14:paraId="720A9D53" w14:textId="77777777" w:rsidR="00643784" w:rsidRPr="00643784" w:rsidRDefault="00643784" w:rsidP="00643784">
      <w:pPr>
        <w:spacing w:after="120" w:line="240" w:lineRule="auto"/>
        <w:rPr>
          <w:rFonts w:eastAsia="Calibri"/>
        </w:rPr>
      </w:pPr>
      <w:r w:rsidRPr="00643784">
        <w:rPr>
          <w:rFonts w:eastAsia="Calibri"/>
        </w:rPr>
        <w:t>The freshman pool of undeclared in the BPS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m:t>
            </m:r>
          </m:sub>
        </m:sSub>
      </m:oMath>
      <w:r w:rsidRPr="00643784">
        <w:rPr>
          <w:rFonts w:eastAsia="Calibri"/>
        </w:rPr>
        <w:t>] is composed of those who were truly undeclared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uu</m:t>
            </m:r>
          </m:sub>
        </m:sSub>
      </m:oMath>
      <w:r w:rsidRPr="00643784">
        <w:rPr>
          <w:rFonts w:eastAsia="Calibri"/>
        </w:rPr>
        <w:t>] and those who were in a college where they could not declare a major but would have if they could, that is, they were “undeclared but intending”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m:t>
            </m:r>
          </m:sub>
        </m:sSub>
      </m:oMath>
      <w:r w:rsidRPr="00643784">
        <w:rPr>
          <w:rFonts w:eastAsia="Calibri"/>
        </w:rPr>
        <w:t xml:space="preserve">]. </w:t>
      </w:r>
    </w:p>
    <w:p w14:paraId="1C426DAB" w14:textId="77777777" w:rsidR="00643784" w:rsidRPr="00643784" w:rsidRDefault="00643784" w:rsidP="00643784">
      <w:pPr>
        <w:spacing w:after="120" w:line="240" w:lineRule="auto"/>
        <w:rPr>
          <w:rFonts w:eastAsia="Calibri"/>
        </w:rPr>
      </w:pPr>
      <w:r w:rsidRPr="00643784">
        <w:rPr>
          <w:rFonts w:eastAsia="Calibri"/>
        </w:rPr>
        <w:t>To calculate the estimate of STEM intending among the undeclared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oMath>
      <w:r w:rsidRPr="00643784">
        <w:rPr>
          <w:rFonts w:eastAsia="MS Mincho"/>
        </w:rPr>
        <w:t>]</w:t>
      </w:r>
      <w:r w:rsidRPr="00643784">
        <w:rPr>
          <w:rFonts w:eastAsia="Calibri"/>
        </w:rPr>
        <w:t>, we identified students in colleges in which all students surveyed were undeclared and colleges in which 75% or more of all the surveyed students were undeclared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≥.75)</m:t>
        </m:r>
      </m:oMath>
      <w:r w:rsidRPr="00643784">
        <w:rPr>
          <w:rFonts w:eastAsia="Calibri"/>
        </w:rPr>
        <w:t>. (The restricted BPS dataset includes an institutional identifier for each student.) The 75% boundary was chosen as an upper bound (i.e., yielding the largest number of “undeclared” who would have declared a major but were in a college in which they could not declare a major as freshman) on the premise that even in colleges in which majors could not be formally declared in freshman year, some students would nevertheless answer the survey based on their intended major (the BPS question asked about declared majors but cognitive testing was not done on this question and, based on our assessment, some students would answer based on their intended major).</w:t>
      </w:r>
    </w:p>
    <w:p w14:paraId="3B75FDFB" w14:textId="77777777" w:rsidR="00643784" w:rsidRPr="00643784" w:rsidRDefault="007F000B" w:rsidP="00643784">
      <w:pPr>
        <w:spacing w:after="120" w:line="240" w:lineRule="auto"/>
        <w:jc w:val="center"/>
        <w:rPr>
          <w:rFonts w:eastAsia="Calibri"/>
        </w:rPr>
      </w:pP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r>
          <w:rPr>
            <w:rFonts w:ascii="Cambria Math" w:eastAsia="Calibri" w:hAnsi="Cambria Math"/>
          </w:rPr>
          <m:t>=</m:t>
        </m:r>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m:t>
                </m:r>
              </m:sub>
            </m:sSub>
          </m:e>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&lt;1</m:t>
            </m:r>
          </m:e>
        </m:d>
        <m:r>
          <w:rPr>
            <w:rFonts w:ascii="Cambria Math" w:eastAsia="Calibri" w:hAnsi="Cambria Math"/>
          </w:rPr>
          <m:t>*</m:t>
        </m:r>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m:t>
                </m:r>
              </m:sub>
            </m:sSub>
          </m:e>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=1</m:t>
            </m:r>
          </m:e>
        </m:d>
      </m:oMath>
      <w:r w:rsidR="00643784" w:rsidRPr="00643784">
        <w:rPr>
          <w:rFonts w:eastAsia="MS Mincho"/>
        </w:rPr>
        <w:t>, and alternatively</w:t>
      </w:r>
    </w:p>
    <w:p w14:paraId="389D5D40" w14:textId="77777777" w:rsidR="00643784" w:rsidRPr="00643784" w:rsidRDefault="007F000B" w:rsidP="00643784">
      <w:pPr>
        <w:spacing w:after="120" w:line="240" w:lineRule="auto"/>
        <w:rPr>
          <w:rFonts w:eastAsia="Calibri"/>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r>
            <w:rPr>
              <w:rFonts w:ascii="Cambria Math" w:eastAsia="Calibri" w:hAnsi="Cambria Math"/>
            </w:rPr>
            <m:t>=</m:t>
          </m:r>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m:t>
                  </m:r>
                </m:sub>
              </m:sSub>
            </m:e>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&lt;.75</m:t>
              </m:r>
            </m:e>
          </m:d>
          <m:r>
            <w:rPr>
              <w:rFonts w:ascii="Cambria Math" w:eastAsia="Calibri" w:hAnsi="Cambria Math"/>
            </w:rPr>
            <m:t>*</m:t>
          </m:r>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m:t>
                  </m:r>
                </m:sub>
              </m:sSub>
            </m:e>
            <m:e>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≥.75</m:t>
              </m:r>
            </m:e>
          </m:d>
        </m:oMath>
      </m:oMathPara>
    </w:p>
    <w:p w14:paraId="080F3CA4" w14:textId="77777777" w:rsidR="00643784" w:rsidRPr="00643784" w:rsidRDefault="00643784" w:rsidP="00643784">
      <w:pPr>
        <w:spacing w:after="120" w:line="240" w:lineRule="auto"/>
        <w:rPr>
          <w:rFonts w:eastAsia="Calibri"/>
        </w:rPr>
      </w:pPr>
      <w:r w:rsidRPr="00643784">
        <w:rPr>
          <w:rFonts w:eastAsia="Calibri"/>
        </w:rPr>
        <w:t>Colleges in which all surveyed students were undeclared accounted for 10.6% of the undeclared population; colleges in which 75% or more of students were undeclared accounted for 23% of the undeclared (calculated as the weighted number of undeclared students in colleges where 75% or more of respondents were undeclared as a percentage of the total number of students who were undeclared). We then calculated the share of these students who were “undeclared” and those who would have declared. To do this we removed students in the undeclared colleges (at the 100% and 75% levels) from the sample and recalculated the percentage of “undeclared,” which was 24.4%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&lt;1</m:t>
        </m:r>
      </m:oMath>
      <w:r w:rsidRPr="00643784">
        <w:rPr>
          <w:rFonts w:eastAsia="Calibri"/>
        </w:rPr>
        <w:t>] (removing all students only at 100% undeclared colleges) to 21.8%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m:t>
            </m:r>
          </m:sub>
        </m:sSub>
        <m:r>
          <w:rPr>
            <w:rFonts w:ascii="Cambria Math" w:eastAsia="Calibri" w:hAnsi="Cambria Math"/>
          </w:rPr>
          <m:t>&lt;.75]</m:t>
        </m:r>
      </m:oMath>
      <w:r w:rsidRPr="00643784">
        <w:rPr>
          <w:rFonts w:eastAsia="Calibri"/>
        </w:rPr>
        <w:t xml:space="preserve"> (removing all students at the 75%+ undeclared colleges) of the freshman (as compared to 28.5% undeclared in the total population). </w:t>
      </w:r>
    </w:p>
    <w:p w14:paraId="4B9611A1" w14:textId="77777777" w:rsidR="00643784" w:rsidRPr="00643784" w:rsidRDefault="00643784" w:rsidP="00643784">
      <w:pPr>
        <w:spacing w:after="120" w:line="240" w:lineRule="auto"/>
        <w:rPr>
          <w:rFonts w:eastAsia="Calibri"/>
        </w:rPr>
      </w:pPr>
      <w:r w:rsidRPr="00643784">
        <w:rPr>
          <w:rFonts w:eastAsia="Calibri"/>
        </w:rPr>
        <w:t xml:space="preserve">The undeclared population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m:t>
            </m:r>
          </m:sub>
        </m:sSub>
      </m:oMath>
      <w:r w:rsidRPr="00643784">
        <w:rPr>
          <w:rFonts w:eastAsia="Calibri"/>
        </w:rPr>
        <w:t xml:space="preserve"> was then apportioned into truly undeclared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uu</m:t>
            </m:r>
          </m:sub>
        </m:sSub>
      </m:oMath>
      <w:r w:rsidRPr="00643784">
        <w:rPr>
          <w:rFonts w:eastAsia="Calibri"/>
        </w:rPr>
        <w:t xml:space="preserve"> and those with an intended major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m:t>
            </m:r>
          </m:sub>
        </m:sSub>
      </m:oMath>
      <w:r w:rsidRPr="00643784">
        <w:rPr>
          <w:rFonts w:eastAsia="MS Mincho"/>
        </w:rPr>
        <w:t xml:space="preserve">. </w:t>
      </w:r>
      <w:r w:rsidRPr="00643784">
        <w:rPr>
          <w:rFonts w:eastAsia="Calibri"/>
        </w:rPr>
        <w:t>The share who were STEM intending of the undeclared pool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uis</m:t>
            </m:r>
          </m:sub>
        </m:sSub>
      </m:oMath>
      <w:r w:rsidRPr="00643784">
        <w:rPr>
          <w:rFonts w:eastAsia="Calibri"/>
        </w:rPr>
        <w:t>] was estimated using the percentage of STEM declarants among the declared students in the colleges not identified as “undeclared” at the 100%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ds1</m:t>
            </m:r>
          </m:sub>
        </m:sSub>
      </m:oMath>
      <w:r w:rsidRPr="00643784">
        <w:rPr>
          <w:rFonts w:eastAsia="Calibri"/>
        </w:rPr>
        <w:t>] and 75%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ds2</m:t>
            </m:r>
          </m:sub>
        </m:sSub>
      </m:oMath>
      <w:r w:rsidRPr="00643784">
        <w:rPr>
          <w:rFonts w:eastAsia="Calibri"/>
        </w:rPr>
        <w:t>] levels 19.1%, and 19.6% at the sample of colleges excluding colleges where 100% were undeclared and where 75%+ were undeclared, respectively.</w:t>
      </w:r>
    </w:p>
    <w:p w14:paraId="572F3437" w14:textId="77777777" w:rsidR="00643784" w:rsidRPr="00643784" w:rsidRDefault="00643784" w:rsidP="00643784">
      <w:pPr>
        <w:spacing w:after="120" w:line="240" w:lineRule="auto"/>
        <w:rPr>
          <w:rFonts w:eastAsia="Calibri"/>
        </w:rPr>
      </w:pPr>
      <w:r w:rsidRPr="00643784">
        <w:rPr>
          <w:rFonts w:eastAsia="Calibri"/>
        </w:rPr>
        <w:t>This decomposition resulted in these estimates:</w:t>
      </w:r>
    </w:p>
    <w:p w14:paraId="48F2FCF1"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uu</m:t>
            </m:r>
          </m:sub>
        </m:sSub>
      </m:oMath>
      <w:r w:rsidR="00643784" w:rsidRPr="00643784">
        <w:rPr>
          <w:rFonts w:eastAsia="Calibri"/>
        </w:rPr>
        <w:t>= 23.1%, the observed proportion of the total BPS weighted sample of graduates who are undeclared, as the weighted average of those at schools where less than 75 percent of students are undeclared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uu1</m:t>
            </m:r>
          </m:sub>
        </m:sSub>
      </m:oMath>
      <w:r w:rsidR="00643784" w:rsidRPr="00643784">
        <w:rPr>
          <w:rFonts w:eastAsia="Calibri"/>
        </w:rPr>
        <w:t xml:space="preserve"> = 21.8%) and those at schools where 100% of the students are undeclared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uu2</m:t>
            </m:r>
          </m:sub>
        </m:sSub>
      </m:oMath>
      <w:r w:rsidR="00643784" w:rsidRPr="00643784">
        <w:rPr>
          <w:rFonts w:eastAsia="Calibri"/>
        </w:rPr>
        <w:t xml:space="preserve"> = 24.3%).</w:t>
      </w:r>
    </w:p>
    <w:p w14:paraId="2CDE9706"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m:t>
            </m:r>
          </m:sub>
        </m:sSub>
      </m:oMath>
      <w:r w:rsidR="00643784" w:rsidRPr="00643784">
        <w:rPr>
          <w:rFonts w:eastAsia="Calibri"/>
        </w:rPr>
        <w:t>= 28.5-23.1=5.4%, the share of the BPS weighted sample of graduates that are intending any major; this equals an 18.9% reduction of the BPS undeclared pool [5.4/28.5=18.9%]</w:t>
      </w:r>
    </w:p>
    <w:p w14:paraId="7254831D"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m:t>
            </m:r>
          </m:sub>
        </m:sSub>
      </m:oMath>
      <w:r w:rsidR="00643784" w:rsidRPr="00643784">
        <w:rPr>
          <w:rFonts w:eastAsia="Calibri"/>
        </w:rPr>
        <w:t xml:space="preserve">= 28.1%, the weighted average of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ds1</m:t>
            </m:r>
          </m:sub>
        </m:sSub>
      </m:oMath>
      <w:r w:rsidR="00643784" w:rsidRPr="00643784">
        <w:rPr>
          <w:rFonts w:eastAsia="MS Mincho"/>
        </w:rPr>
        <w:t xml:space="preserve"> (19.1%) and</w:t>
      </w:r>
      <w:r w:rsidR="00643784" w:rsidRPr="00643784">
        <w:rPr>
          <w:rFonts w:eastAsia="Calibri"/>
        </w:rPr>
        <w:t xml:space="preserve">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ds2</m:t>
            </m:r>
          </m:sub>
        </m:sSub>
      </m:oMath>
      <w:r w:rsidR="00643784" w:rsidRPr="00643784">
        <w:rPr>
          <w:rFonts w:eastAsia="MS Mincho"/>
        </w:rPr>
        <w:t xml:space="preserve"> (19.6%)</w:t>
      </w:r>
    </w:p>
    <w:p w14:paraId="2F36E9BF"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uis</m:t>
            </m:r>
          </m:sub>
        </m:sSub>
      </m:oMath>
      <w:r w:rsidR="00643784" w:rsidRPr="00643784">
        <w:rPr>
          <w:rFonts w:eastAsia="Calibri"/>
        </w:rPr>
        <w:t xml:space="preserve">=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m:t>
            </m:r>
          </m:sub>
        </m:sSub>
      </m:oMath>
      <w:r w:rsidR="00643784" w:rsidRPr="00643784">
        <w:rPr>
          <w:rFonts w:eastAsia="Calibri"/>
        </w:rPr>
        <w:t>*</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m:t>
            </m:r>
          </m:sub>
        </m:sSub>
      </m:oMath>
      <w:r w:rsidR="00643784" w:rsidRPr="00643784">
        <w:rPr>
          <w:rFonts w:eastAsia="MS Mincho"/>
        </w:rPr>
        <w:t>=</w:t>
      </w:r>
      <w:r w:rsidR="00643784" w:rsidRPr="00643784">
        <w:rPr>
          <w:rFonts w:eastAsia="Calibri"/>
        </w:rPr>
        <w:t xml:space="preserve"> 5.4% * 19.35%=1.04%</w:t>
      </w:r>
    </w:p>
    <w:p w14:paraId="68B201C0" w14:textId="77777777" w:rsidR="00643784" w:rsidRPr="00643784" w:rsidRDefault="00643784" w:rsidP="00643784">
      <w:pPr>
        <w:spacing w:after="120" w:line="240" w:lineRule="auto"/>
        <w:rPr>
          <w:rFonts w:eastAsia="Calibri"/>
        </w:rPr>
      </w:pPr>
      <w:r w:rsidRPr="00643784">
        <w:rPr>
          <w:rFonts w:eastAsia="Calibri"/>
        </w:rPr>
        <w:t>This gives us an estimate to adjust the freshman STEM population:</w:t>
      </w:r>
    </w:p>
    <w:p w14:paraId="0FFA19E4"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total</m:t>
            </m:r>
          </m:sub>
        </m:sSub>
      </m:oMath>
      <w:r w:rsidR="00643784" w:rsidRPr="00643784">
        <w:rPr>
          <w:rFonts w:eastAsia="Calibri"/>
        </w:rPr>
        <w:t>= 902,236 (BPS sample of graduates)</w:t>
      </w:r>
    </w:p>
    <w:p w14:paraId="08BFEBF7"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oMath>
      <w:r w:rsidR="00643784" w:rsidRPr="00643784">
        <w:rPr>
          <w:rFonts w:eastAsia="Calibri"/>
        </w:rPr>
        <w:t xml:space="preserve">=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total</m:t>
            </m:r>
          </m:sub>
        </m:sSub>
      </m:oMath>
      <w:r w:rsidR="00643784" w:rsidRPr="00643784">
        <w:rPr>
          <w:rFonts w:eastAsia="Calibri"/>
        </w:rPr>
        <w:t xml:space="preserve"> *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uis</m:t>
            </m:r>
          </m:sub>
        </m:sSub>
        <m:r>
          <w:rPr>
            <w:rFonts w:ascii="Cambria Math" w:eastAsia="Calibri" w:hAnsi="Cambria Math"/>
          </w:rPr>
          <m:t>=9,427</m:t>
        </m:r>
      </m:oMath>
      <w:r w:rsidR="00643784" w:rsidRPr="00643784">
        <w:rPr>
          <w:rFonts w:eastAsia="MS Mincho"/>
        </w:rPr>
        <w:t xml:space="preserve"> (number of STEM-intending students in the “undeclared” population)</w:t>
      </w:r>
    </w:p>
    <w:p w14:paraId="45CC15AF" w14:textId="77777777" w:rsidR="00643784" w:rsidRPr="00643784" w:rsidRDefault="00643784" w:rsidP="00643784">
      <w:pPr>
        <w:spacing w:after="120" w:line="240" w:lineRule="auto"/>
        <w:rPr>
          <w:rFonts w:eastAsia="Calibri"/>
        </w:rPr>
      </w:pPr>
      <w:r w:rsidRPr="00643784">
        <w:rPr>
          <w:rFonts w:eastAsia="Calibri"/>
        </w:rPr>
        <w:t>The adjusted freshman STEM population now is 229,177 (vs. unadjusted STEM population of 219,750, or an increase of 4 percent)</w:t>
      </w:r>
    </w:p>
    <w:p w14:paraId="4168A1D5"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STEM</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ds</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m:t>
            </m:r>
          </m:sub>
        </m:sSub>
      </m:oMath>
      <w:r w:rsidR="00643784" w:rsidRPr="00643784">
        <w:rPr>
          <w:rFonts w:eastAsia="MS Mincho"/>
        </w:rPr>
        <w:t>=</w:t>
      </w:r>
      <w:r w:rsidR="00643784" w:rsidRPr="00643784">
        <w:rPr>
          <w:rFonts w:eastAsia="Calibri"/>
        </w:rPr>
        <w:t>219,750 + 9,427=229,177</w:t>
      </w:r>
    </w:p>
    <w:p w14:paraId="66153840" w14:textId="77777777" w:rsidR="00643784" w:rsidRPr="00643784" w:rsidRDefault="00643784" w:rsidP="00643784">
      <w:pPr>
        <w:spacing w:after="120" w:line="240" w:lineRule="auto"/>
        <w:rPr>
          <w:rFonts w:eastAsia="Calibri"/>
        </w:rPr>
      </w:pPr>
      <w:proofErr w:type="gramStart"/>
      <w:r w:rsidRPr="00643784">
        <w:rPr>
          <w:rFonts w:eastAsia="Calibri"/>
        </w:rPr>
        <w:t>Thus</w:t>
      </w:r>
      <w:proofErr w:type="gramEnd"/>
      <w:r w:rsidRPr="00643784">
        <w:rPr>
          <w:rFonts w:eastAsia="Calibri"/>
        </w:rPr>
        <w:t xml:space="preserve"> our adjusted net flow of STEM majors, from freshman year [F(s)] to graduation [G(s)] can be estimated as:</w:t>
      </w:r>
    </w:p>
    <w:p w14:paraId="571BE137" w14:textId="77777777" w:rsidR="00643784" w:rsidRPr="00643784" w:rsidRDefault="007F000B" w:rsidP="00643784">
      <w:pPr>
        <w:spacing w:after="120" w:line="240" w:lineRule="auto"/>
        <w:rPr>
          <w:rFonts w:eastAsia="Calibri"/>
        </w:rPr>
      </w:pPr>
      <m:oMath>
        <m:sSub>
          <m:sSubPr>
            <m:ctrlPr>
              <w:rPr>
                <w:rFonts w:ascii="Cambria Math" w:eastAsia="Calibri" w:hAnsi="Cambria Math"/>
                <w:vertAlign w:val="subscript"/>
              </w:rPr>
            </m:ctrlPr>
          </m:sSubPr>
          <m:e>
            <m:r>
              <m:rPr>
                <m:sty m:val="p"/>
              </m:rPr>
              <w:rPr>
                <w:rFonts w:ascii="Cambria Math" w:eastAsia="Calibri" w:hAnsi="Cambria Math"/>
              </w:rPr>
              <m:t>Δ</m:t>
            </m:r>
          </m:e>
          <m:sub>
            <m:r>
              <w:rPr>
                <w:rFonts w:ascii="Cambria Math" w:eastAsia="Calibri" w:hAnsi="Cambria Math"/>
                <w:vertAlign w:val="subscript"/>
              </w:rPr>
              <m:t>STEM-Adjusted</m:t>
            </m:r>
          </m:sub>
        </m:sSub>
        <m:r>
          <m:rPr>
            <m:sty m:val="p"/>
          </m:rPr>
          <w:rPr>
            <w:rFonts w:ascii="Cambria Math" w:eastAsia="Calibri" w:hAnsi="Cambria Math"/>
          </w:rPr>
          <m:t xml:space="preserve">= </m:t>
        </m:r>
        <m:f>
          <m:fPr>
            <m:ctrlPr>
              <w:rPr>
                <w:rFonts w:ascii="Cambria Math" w:eastAsia="Calibri" w:hAnsi="Cambria Math"/>
                <w:vertAlign w:val="subscript"/>
              </w:rPr>
            </m:ctrlPr>
          </m:fPr>
          <m:num>
            <m:sSub>
              <m:sSubPr>
                <m:ctrlPr>
                  <w:rPr>
                    <w:rFonts w:ascii="Cambria Math" w:eastAsia="Calibri" w:hAnsi="Cambria Math"/>
                    <w:vertAlign w:val="subscript"/>
                  </w:rPr>
                </m:ctrlPr>
              </m:sSubPr>
              <m:e>
                <m:r>
                  <w:rPr>
                    <w:rFonts w:ascii="Cambria Math" w:eastAsia="Calibri" w:hAnsi="Cambria Math"/>
                    <w:vertAlign w:val="subscript"/>
                  </w:rPr>
                  <m:t>G</m:t>
                </m:r>
              </m:e>
              <m:sub>
                <m:r>
                  <w:rPr>
                    <w:rFonts w:ascii="Cambria Math" w:eastAsia="Calibri" w:hAnsi="Cambria Math"/>
                    <w:vertAlign w:val="subscript"/>
                  </w:rPr>
                  <m:t>STEM</m:t>
                </m:r>
              </m:sub>
            </m:sSub>
            <m:r>
              <m:rPr>
                <m:sty m:val="p"/>
              </m:rPr>
              <w:rPr>
                <w:rFonts w:ascii="Cambria Math" w:eastAsia="Calibri" w:hAnsi="Cambria Math"/>
              </w:rPr>
              <m:t xml:space="preserve"> - </m:t>
            </m:r>
            <m:sSub>
              <m:sSubPr>
                <m:ctrlPr>
                  <w:rPr>
                    <w:rFonts w:ascii="Cambria Math" w:eastAsia="Calibri" w:hAnsi="Cambria Math"/>
                  </w:rPr>
                </m:ctrlPr>
              </m:sSubPr>
              <m:e>
                <m:r>
                  <w:rPr>
                    <w:rFonts w:ascii="Cambria Math" w:eastAsia="Calibri" w:hAnsi="Cambria Math"/>
                  </w:rPr>
                  <m:t>F</m:t>
                </m:r>
              </m:e>
              <m:sub>
                <m:r>
                  <w:rPr>
                    <w:rFonts w:ascii="Cambria Math" w:eastAsia="Calibri" w:hAnsi="Cambria Math"/>
                  </w:rPr>
                  <m:t>STEM</m:t>
                </m:r>
              </m:sub>
            </m:sSub>
          </m:num>
          <m:den>
            <m:sSub>
              <m:sSubPr>
                <m:ctrlPr>
                  <w:rPr>
                    <w:rFonts w:ascii="Cambria Math" w:eastAsia="Calibri" w:hAnsi="Cambria Math"/>
                    <w:i/>
                    <w:vertAlign w:val="subscript"/>
                  </w:rPr>
                </m:ctrlPr>
              </m:sSubPr>
              <m:e>
                <m:r>
                  <w:rPr>
                    <w:rFonts w:ascii="Cambria Math" w:eastAsia="Calibri" w:hAnsi="Cambria Math"/>
                    <w:vertAlign w:val="subscript"/>
                  </w:rPr>
                  <m:t>F</m:t>
                </m:r>
              </m:e>
              <m:sub>
                <m:r>
                  <w:rPr>
                    <w:rFonts w:ascii="Cambria Math" w:eastAsia="Calibri" w:hAnsi="Cambria Math"/>
                    <w:vertAlign w:val="subscript"/>
                  </w:rPr>
                  <m:t>STEM</m:t>
                </m:r>
              </m:sub>
            </m:sSub>
          </m:den>
        </m:f>
      </m:oMath>
      <w:r w:rsidR="00643784" w:rsidRPr="00643784">
        <w:rPr>
          <w:rFonts w:eastAsia="MS Mincho"/>
          <w:vertAlign w:val="subscript"/>
        </w:rPr>
        <w:t>=</w:t>
      </w:r>
      <m:oMath>
        <m:f>
          <m:fPr>
            <m:ctrlPr>
              <w:rPr>
                <w:rFonts w:ascii="Cambria Math" w:eastAsia="MS Mincho" w:hAnsi="Cambria Math"/>
                <w:i/>
                <w:vertAlign w:val="subscript"/>
              </w:rPr>
            </m:ctrlPr>
          </m:fPr>
          <m:num>
            <m:r>
              <w:rPr>
                <w:rFonts w:ascii="Cambria Math" w:eastAsia="MS Mincho" w:hAnsi="Cambria Math"/>
                <w:vertAlign w:val="subscript"/>
              </w:rPr>
              <m:t>237,568-229,177</m:t>
            </m:r>
          </m:num>
          <m:den>
            <m:r>
              <w:rPr>
                <w:rFonts w:ascii="Cambria Math" w:eastAsia="MS Mincho" w:hAnsi="Cambria Math"/>
                <w:vertAlign w:val="subscript"/>
              </w:rPr>
              <m:t>229,177</m:t>
            </m:r>
          </m:den>
        </m:f>
        <m:r>
          <w:rPr>
            <w:rFonts w:ascii="Cambria Math" w:eastAsia="MS Mincho" w:hAnsi="Cambria Math"/>
            <w:vertAlign w:val="subscript"/>
          </w:rPr>
          <m:t>=3.7%</m:t>
        </m:r>
      </m:oMath>
    </w:p>
    <w:p w14:paraId="639BDF62" w14:textId="77777777" w:rsidR="00643784" w:rsidRPr="00643784" w:rsidRDefault="00643784" w:rsidP="00643784">
      <w:pPr>
        <w:spacing w:after="120" w:line="240" w:lineRule="auto"/>
        <w:rPr>
          <w:rFonts w:eastAsia="Calibri"/>
        </w:rPr>
      </w:pPr>
      <w:r w:rsidRPr="00643784">
        <w:rPr>
          <w:rFonts w:eastAsia="Calibri"/>
        </w:rPr>
        <w:t xml:space="preserve">This is compared to the observed flow, </w:t>
      </w:r>
      <m:oMath>
        <m:sSub>
          <m:sSubPr>
            <m:ctrlPr>
              <w:rPr>
                <w:rFonts w:ascii="Cambria Math" w:eastAsia="Calibri" w:hAnsi="Cambria Math"/>
                <w:vertAlign w:val="subscript"/>
              </w:rPr>
            </m:ctrlPr>
          </m:sSubPr>
          <m:e>
            <m:r>
              <m:rPr>
                <m:sty m:val="p"/>
              </m:rPr>
              <w:rPr>
                <w:rFonts w:ascii="Cambria Math" w:eastAsia="Calibri" w:hAnsi="Cambria Math"/>
              </w:rPr>
              <m:t>Δ</m:t>
            </m:r>
          </m:e>
          <m:sub>
            <m:r>
              <w:rPr>
                <w:rFonts w:ascii="Cambria Math" w:eastAsia="Calibri" w:hAnsi="Cambria Math"/>
                <w:vertAlign w:val="subscript"/>
              </w:rPr>
              <m:t>STEM-Observed</m:t>
            </m:r>
          </m:sub>
        </m:sSub>
      </m:oMath>
      <w:r w:rsidRPr="00643784">
        <w:rPr>
          <w:rFonts w:eastAsia="Calibri"/>
        </w:rPr>
        <w:t>, without accounting for undeclared students intending on STEM majors:</w:t>
      </w:r>
    </w:p>
    <w:p w14:paraId="6DD59BB9" w14:textId="77777777" w:rsidR="00643784" w:rsidRPr="00643784" w:rsidRDefault="007F000B" w:rsidP="00643784">
      <w:pPr>
        <w:spacing w:after="120" w:line="240" w:lineRule="auto"/>
        <w:rPr>
          <w:rFonts w:eastAsia="Calibri"/>
        </w:rPr>
      </w:pPr>
      <m:oMath>
        <m:sSub>
          <m:sSubPr>
            <m:ctrlPr>
              <w:rPr>
                <w:rFonts w:ascii="Cambria Math" w:eastAsia="Calibri" w:hAnsi="Cambria Math"/>
                <w:vertAlign w:val="subscript"/>
              </w:rPr>
            </m:ctrlPr>
          </m:sSubPr>
          <m:e>
            <m:r>
              <m:rPr>
                <m:sty m:val="p"/>
              </m:rPr>
              <w:rPr>
                <w:rFonts w:ascii="Cambria Math" w:eastAsia="Calibri" w:hAnsi="Cambria Math"/>
              </w:rPr>
              <m:t>Δ</m:t>
            </m:r>
          </m:e>
          <m:sub>
            <m:r>
              <w:rPr>
                <w:rFonts w:ascii="Cambria Math" w:eastAsia="Calibri" w:hAnsi="Cambria Math"/>
                <w:vertAlign w:val="subscript"/>
              </w:rPr>
              <m:t>STEM-Observed</m:t>
            </m:r>
          </m:sub>
        </m:sSub>
        <m:r>
          <m:rPr>
            <m:sty m:val="p"/>
          </m:rPr>
          <w:rPr>
            <w:rFonts w:ascii="Cambria Math" w:eastAsia="Calibri" w:hAnsi="Cambria Math"/>
          </w:rPr>
          <m:t xml:space="preserve">= </m:t>
        </m:r>
        <m:f>
          <m:fPr>
            <m:ctrlPr>
              <w:rPr>
                <w:rFonts w:ascii="Cambria Math" w:eastAsia="Calibri" w:hAnsi="Cambria Math"/>
                <w:vertAlign w:val="subscript"/>
              </w:rPr>
            </m:ctrlPr>
          </m:fPr>
          <m:num>
            <m:sSub>
              <m:sSubPr>
                <m:ctrlPr>
                  <w:rPr>
                    <w:rFonts w:ascii="Cambria Math" w:eastAsia="Calibri" w:hAnsi="Cambria Math"/>
                    <w:vertAlign w:val="subscript"/>
                  </w:rPr>
                </m:ctrlPr>
              </m:sSubPr>
              <m:e>
                <m:r>
                  <w:rPr>
                    <w:rFonts w:ascii="Cambria Math" w:eastAsia="Calibri" w:hAnsi="Cambria Math"/>
                    <w:vertAlign w:val="subscript"/>
                  </w:rPr>
                  <m:t>G</m:t>
                </m:r>
              </m:e>
              <m:sub>
                <m:r>
                  <w:rPr>
                    <w:rFonts w:ascii="Cambria Math" w:eastAsia="Calibri" w:hAnsi="Cambria Math"/>
                    <w:vertAlign w:val="subscript"/>
                  </w:rPr>
                  <m:t>STEM</m:t>
                </m:r>
              </m:sub>
            </m:sSub>
            <m:r>
              <m:rPr>
                <m:sty m:val="p"/>
              </m:rPr>
              <w:rPr>
                <w:rFonts w:ascii="Cambria Math" w:eastAsia="Calibri" w:hAnsi="Cambria Math"/>
              </w:rPr>
              <m:t xml:space="preserve"> - </m:t>
            </m:r>
            <m:sSub>
              <m:sSubPr>
                <m:ctrlPr>
                  <w:rPr>
                    <w:rFonts w:ascii="Cambria Math" w:eastAsia="Calibri" w:hAnsi="Cambria Math"/>
                  </w:rPr>
                </m:ctrlPr>
              </m:sSubPr>
              <m:e>
                <m:r>
                  <w:rPr>
                    <w:rFonts w:ascii="Cambria Math" w:eastAsia="Calibri" w:hAnsi="Cambria Math"/>
                  </w:rPr>
                  <m:t>F</m:t>
                </m:r>
              </m:e>
              <m:sub>
                <m:r>
                  <w:rPr>
                    <w:rFonts w:ascii="Cambria Math" w:eastAsia="Calibri" w:hAnsi="Cambria Math"/>
                  </w:rPr>
                  <m:t>STEM-Obs</m:t>
                </m:r>
              </m:sub>
            </m:sSub>
          </m:num>
          <m:den>
            <m:sSub>
              <m:sSubPr>
                <m:ctrlPr>
                  <w:rPr>
                    <w:rFonts w:ascii="Cambria Math" w:eastAsia="Calibri" w:hAnsi="Cambria Math"/>
                    <w:i/>
                    <w:vertAlign w:val="subscript"/>
                  </w:rPr>
                </m:ctrlPr>
              </m:sSubPr>
              <m:e>
                <m:r>
                  <w:rPr>
                    <w:rFonts w:ascii="Cambria Math" w:eastAsia="Calibri" w:hAnsi="Cambria Math"/>
                    <w:vertAlign w:val="subscript"/>
                  </w:rPr>
                  <m:t>F</m:t>
                </m:r>
              </m:e>
              <m:sub>
                <m:r>
                  <w:rPr>
                    <w:rFonts w:ascii="Cambria Math" w:eastAsia="Calibri" w:hAnsi="Cambria Math"/>
                    <w:vertAlign w:val="subscript"/>
                  </w:rPr>
                  <m:t>STEM-Obs</m:t>
                </m:r>
              </m:sub>
            </m:sSub>
          </m:den>
        </m:f>
      </m:oMath>
      <w:r w:rsidR="00643784" w:rsidRPr="00643784">
        <w:rPr>
          <w:rFonts w:eastAsia="MS Mincho"/>
          <w:vertAlign w:val="subscript"/>
        </w:rPr>
        <w:t>=</w:t>
      </w:r>
      <m:oMath>
        <m:f>
          <m:fPr>
            <m:ctrlPr>
              <w:rPr>
                <w:rFonts w:ascii="Cambria Math" w:eastAsia="MS Mincho" w:hAnsi="Cambria Math"/>
                <w:i/>
                <w:vertAlign w:val="subscript"/>
              </w:rPr>
            </m:ctrlPr>
          </m:fPr>
          <m:num>
            <m:r>
              <w:rPr>
                <w:rFonts w:ascii="Cambria Math" w:eastAsia="MS Mincho" w:hAnsi="Cambria Math"/>
                <w:vertAlign w:val="subscript"/>
              </w:rPr>
              <m:t>237,568-219,750</m:t>
            </m:r>
          </m:num>
          <m:den>
            <m:r>
              <w:rPr>
                <w:rFonts w:ascii="Cambria Math" w:eastAsia="MS Mincho" w:hAnsi="Cambria Math"/>
                <w:vertAlign w:val="subscript"/>
              </w:rPr>
              <m:t>219,750</m:t>
            </m:r>
          </m:den>
        </m:f>
        <m:r>
          <w:rPr>
            <w:rFonts w:ascii="Cambria Math" w:eastAsia="MS Mincho" w:hAnsi="Cambria Math"/>
            <w:vertAlign w:val="subscript"/>
          </w:rPr>
          <m:t>=8.1%</m:t>
        </m:r>
      </m:oMath>
    </w:p>
    <w:p w14:paraId="36C40257" w14:textId="77777777" w:rsidR="00643784" w:rsidRPr="00643784" w:rsidRDefault="00643784" w:rsidP="00643784">
      <w:pPr>
        <w:spacing w:after="120" w:line="240" w:lineRule="auto"/>
        <w:rPr>
          <w:rFonts w:eastAsia="Calibri"/>
        </w:rPr>
      </w:pPr>
      <w:r w:rsidRPr="00643784">
        <w:rPr>
          <w:rFonts w:eastAsia="Calibri"/>
        </w:rPr>
        <w:t xml:space="preserve">Thus, adjusting the STEM freshman population to include an estimate of those classified “undeclared” who could be “STEM-intending”, the net change in the size of the STEM freshman cohort to graduating STEM cohort is reduced from </w:t>
      </w:r>
      <w:proofErr w:type="gramStart"/>
      <w:r w:rsidRPr="00643784">
        <w:rPr>
          <w:rFonts w:eastAsia="Calibri"/>
        </w:rPr>
        <w:t>a</w:t>
      </w:r>
      <w:proofErr w:type="gramEnd"/>
      <w:r w:rsidRPr="00643784">
        <w:rPr>
          <w:rFonts w:eastAsia="Calibri"/>
        </w:rPr>
        <w:t xml:space="preserve"> 8.1% increase to a 3.6% increase, or a graduating STEM cohort that is between 8,391 and 17,818 students more than the size of the freshman STEM cohort.</w:t>
      </w:r>
    </w:p>
    <w:p w14:paraId="189AA072" w14:textId="77777777" w:rsidR="00643784" w:rsidRPr="00643784" w:rsidRDefault="00643784" w:rsidP="00643784">
      <w:pPr>
        <w:spacing w:after="120" w:line="240" w:lineRule="auto"/>
        <w:jc w:val="center"/>
        <w:rPr>
          <w:rFonts w:eastAsia="Calibri"/>
        </w:rPr>
      </w:pPr>
    </w:p>
    <w:p w14:paraId="7F09EAE9" w14:textId="77777777" w:rsidR="00643784" w:rsidRPr="00643784" w:rsidRDefault="00643784" w:rsidP="00643784">
      <w:pPr>
        <w:spacing w:after="120" w:line="240" w:lineRule="auto"/>
        <w:rPr>
          <w:rFonts w:eastAsia="Calibri"/>
        </w:rPr>
      </w:pPr>
      <w:r w:rsidRPr="00643784">
        <w:rPr>
          <w:rFonts w:eastAsia="Calibri"/>
        </w:rPr>
        <w:t xml:space="preserve">The second approach was to develop estimates based on the long-running “American Freshman” survey conducted by CIRP-UCLA, using their 2003 survey (the same year as the BPS freshman cohort). This survey did not ask about declared majors but, instead, about the student’s “probable major,” and then, for those who indicated a major, they asked whether the chances are “very good” that he/she will change major field. We used these two questions to develop another estimate of the share of students who were “undeclared”; the American Freshman survey found 8% of respondents were “undecided” about a “probable major,” and of those who indicated a major, 14.4% said the chances were very good they would </w:t>
      </w:r>
      <w:r w:rsidRPr="00643784">
        <w:rPr>
          <w:rFonts w:eastAsia="Calibri"/>
        </w:rPr>
        <w:lastRenderedPageBreak/>
        <w:t>change their major. Although not comparable to the BPS survey about a declared major, we use this as the high estimate of declared majors (i.e., the questions are likely to overestimate the number of students with a declared major choice).</w:t>
      </w:r>
      <w:r w:rsidRPr="00643784">
        <w:rPr>
          <w:rFonts w:eastAsia="Calibri"/>
          <w:vertAlign w:val="superscript"/>
        </w:rPr>
        <w:footnoteReference w:id="1"/>
      </w:r>
    </w:p>
    <w:p w14:paraId="3A85E102" w14:textId="77777777" w:rsidR="00643784" w:rsidRPr="00643784" w:rsidRDefault="00643784" w:rsidP="00643784">
      <w:pPr>
        <w:spacing w:after="120" w:line="240" w:lineRule="auto"/>
        <w:rPr>
          <w:rFonts w:eastAsia="Calibri"/>
        </w:rPr>
      </w:pPr>
      <w:r w:rsidRPr="00643784">
        <w:rPr>
          <w:rFonts w:eastAsia="Calibri"/>
        </w:rPr>
        <w:t xml:space="preserve">Thus, we estimate that the CIRP undeclared proportion,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u-CIRP</m:t>
            </m:r>
          </m:sub>
        </m:sSub>
        <m:r>
          <w:rPr>
            <w:rFonts w:ascii="Cambria Math" w:eastAsia="Calibri" w:hAnsi="Cambria Math"/>
          </w:rPr>
          <m:t>=</m:t>
        </m:r>
      </m:oMath>
      <w:r w:rsidRPr="00643784">
        <w:rPr>
          <w:rFonts w:eastAsia="Calibri"/>
        </w:rPr>
        <w:t xml:space="preserve"> 8% + (92%*14.4%) = 21.2%</w:t>
      </w:r>
    </w:p>
    <w:p w14:paraId="3D15E703" w14:textId="77777777" w:rsidR="00643784" w:rsidRPr="00643784" w:rsidRDefault="00643784" w:rsidP="00643784">
      <w:pPr>
        <w:spacing w:after="120" w:line="240" w:lineRule="auto"/>
        <w:rPr>
          <w:rFonts w:eastAsia="Calibri"/>
        </w:rPr>
      </w:pPr>
      <w:r w:rsidRPr="00643784">
        <w:rPr>
          <w:rFonts w:eastAsia="Calibri"/>
        </w:rPr>
        <w:t>We use this proportion of undeclared students to re-estimate the proportion of the undeclared intending to major in STEM,</w:t>
      </w:r>
    </w:p>
    <w:p w14:paraId="0C4C3D67" w14:textId="77777777" w:rsidR="00643784" w:rsidRPr="00643784" w:rsidRDefault="00643784" w:rsidP="00643784">
      <w:pPr>
        <w:spacing w:after="120" w:line="240" w:lineRule="auto"/>
        <w:rPr>
          <w:rFonts w:eastAsia="MS Mincho"/>
        </w:rPr>
      </w:pPr>
      <w:r w:rsidRPr="00643784">
        <w:rPr>
          <w:rFonts w:eastAsia="Calibri"/>
        </w:rPr>
        <w:t xml:space="preserve">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uis-CIRP</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ui-CIRP</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ds</m:t>
            </m:r>
          </m:sub>
        </m:sSub>
      </m:oMath>
      <w:proofErr w:type="gramStart"/>
      <w:r w:rsidRPr="00643784">
        <w:rPr>
          <w:rFonts w:eastAsia="MS Mincho"/>
        </w:rPr>
        <w:t>=(</w:t>
      </w:r>
      <w:proofErr w:type="gramEnd"/>
      <w:r w:rsidRPr="00643784">
        <w:rPr>
          <w:rFonts w:eastAsia="MS Mincho"/>
        </w:rPr>
        <w:t>28.5%-21.2%)*28.1%=7.3%*28.1%=2.1%</w:t>
      </w:r>
    </w:p>
    <w:p w14:paraId="63DC4DB1" w14:textId="77777777" w:rsidR="00643784" w:rsidRPr="00643784" w:rsidRDefault="007F000B" w:rsidP="00643784">
      <w:pPr>
        <w:spacing w:after="120" w:line="240" w:lineRule="auto"/>
        <w:rPr>
          <w:rFonts w:eastAsia="Calibri"/>
        </w:rPr>
      </w:pP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uis-CIRP</m:t>
            </m:r>
          </m:sub>
        </m:sSub>
        <m:r>
          <w:rPr>
            <w:rFonts w:ascii="Cambria Math" w:eastAsia="MS Mincho"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total</m:t>
            </m:r>
          </m:sub>
        </m:sSub>
      </m:oMath>
      <w:r w:rsidR="00643784" w:rsidRPr="00643784">
        <w:rPr>
          <w:rFonts w:eastAsia="Calibri"/>
        </w:rPr>
        <w:t xml:space="preserve"> * </w:t>
      </w: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uis-CIRP</m:t>
            </m:r>
          </m:sub>
        </m:sSub>
      </m:oMath>
      <w:r w:rsidR="00643784" w:rsidRPr="00643784">
        <w:rPr>
          <w:rFonts w:eastAsia="MS Mincho"/>
        </w:rPr>
        <w:t xml:space="preserve"> = 902,236*2.1%=18,508</w:t>
      </w:r>
    </w:p>
    <w:p w14:paraId="159D5EC3" w14:textId="77777777" w:rsidR="00643784" w:rsidRPr="00643784" w:rsidRDefault="00643784" w:rsidP="00643784">
      <w:pPr>
        <w:spacing w:after="120" w:line="240" w:lineRule="auto"/>
        <w:rPr>
          <w:rFonts w:eastAsia="Calibri"/>
        </w:rPr>
      </w:pPr>
      <w:r w:rsidRPr="00643784">
        <w:rPr>
          <w:rFonts w:eastAsia="Calibri"/>
        </w:rPr>
        <w:t xml:space="preserve">The CIRP figures allows us to calculate an alternative estimate for the STEM freshman population: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STEM-CIRP</m:t>
            </m:r>
          </m:sub>
        </m:sSub>
      </m:oMath>
      <w:r w:rsidRPr="00643784">
        <w:rPr>
          <w:rFonts w:eastAsia="MS Mincho"/>
        </w:rPr>
        <w:t>.</w:t>
      </w:r>
    </w:p>
    <w:p w14:paraId="5149220D" w14:textId="77777777" w:rsidR="00643784" w:rsidRPr="00643784" w:rsidRDefault="007F000B" w:rsidP="00643784">
      <w:pPr>
        <w:spacing w:after="120" w:line="240" w:lineRule="auto"/>
        <w:rPr>
          <w:rFonts w:eastAsia="Calibri"/>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STEM-CIRP</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ds</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uis-CIRP</m:t>
              </m:r>
            </m:sub>
          </m:sSub>
          <m:r>
            <w:rPr>
              <w:rFonts w:ascii="Cambria Math" w:eastAsia="Calibri" w:hAnsi="Cambria Math"/>
            </w:rPr>
            <m:t>=219,750+18,508=238,258</m:t>
          </m:r>
        </m:oMath>
      </m:oMathPara>
    </w:p>
    <w:p w14:paraId="7DAC23F0" w14:textId="77777777" w:rsidR="00643784" w:rsidRPr="00643784" w:rsidRDefault="00643784" w:rsidP="00643784">
      <w:pPr>
        <w:spacing w:after="120" w:line="240" w:lineRule="auto"/>
        <w:rPr>
          <w:rFonts w:eastAsia="Calibri"/>
        </w:rPr>
      </w:pPr>
      <w:r w:rsidRPr="00643784">
        <w:rPr>
          <w:rFonts w:eastAsia="Calibri"/>
        </w:rPr>
        <w:t xml:space="preserve">Using the CIRP survey to calculate the upper boundary of the adjusted STEM population and the BPS-adjusted as the lower adjusted boundary, the adjusted freshman STEM population now ranges from 223,687 to 238,258. </w:t>
      </w:r>
    </w:p>
    <w:p w14:paraId="4FEB9883" w14:textId="77777777" w:rsidR="00643784" w:rsidRPr="00643784" w:rsidRDefault="00643784" w:rsidP="00643784">
      <w:pPr>
        <w:spacing w:after="120" w:line="240" w:lineRule="auto"/>
        <w:rPr>
          <w:rFonts w:eastAsia="Calibri"/>
        </w:rPr>
      </w:pPr>
      <w:r w:rsidRPr="00643784">
        <w:rPr>
          <w:rFonts w:eastAsia="Calibri"/>
        </w:rPr>
        <w:t>Using the CIRP-adjusted figure, we calculate an alternative estimate for the net change in size of STEM major population, from freshman year to graduation:</w:t>
      </w:r>
    </w:p>
    <w:p w14:paraId="1C46A9D7" w14:textId="77777777" w:rsidR="00643784" w:rsidRPr="00643784" w:rsidRDefault="007F000B" w:rsidP="00643784">
      <w:pPr>
        <w:spacing w:after="120" w:line="240" w:lineRule="auto"/>
        <w:rPr>
          <w:rFonts w:eastAsia="Calibri"/>
        </w:rPr>
      </w:pPr>
      <m:oMath>
        <m:sSub>
          <m:sSubPr>
            <m:ctrlPr>
              <w:rPr>
                <w:rFonts w:ascii="Cambria Math" w:eastAsia="Calibri" w:hAnsi="Cambria Math"/>
                <w:vertAlign w:val="subscript"/>
              </w:rPr>
            </m:ctrlPr>
          </m:sSubPr>
          <m:e>
            <m:r>
              <m:rPr>
                <m:sty m:val="p"/>
              </m:rPr>
              <w:rPr>
                <w:rFonts w:ascii="Cambria Math" w:eastAsia="Calibri" w:hAnsi="Cambria Math"/>
              </w:rPr>
              <m:t>Δ</m:t>
            </m:r>
          </m:e>
          <m:sub>
            <m:r>
              <w:rPr>
                <w:rFonts w:ascii="Cambria Math" w:eastAsia="Calibri" w:hAnsi="Cambria Math"/>
                <w:vertAlign w:val="subscript"/>
              </w:rPr>
              <m:t>STEM-CIRP Adjusted</m:t>
            </m:r>
          </m:sub>
        </m:sSub>
        <m:r>
          <m:rPr>
            <m:sty m:val="p"/>
          </m:rPr>
          <w:rPr>
            <w:rFonts w:ascii="Cambria Math" w:eastAsia="Calibri" w:hAnsi="Cambria Math"/>
          </w:rPr>
          <m:t xml:space="preserve">= </m:t>
        </m:r>
        <m:f>
          <m:fPr>
            <m:ctrlPr>
              <w:rPr>
                <w:rFonts w:ascii="Cambria Math" w:eastAsia="Calibri" w:hAnsi="Cambria Math"/>
                <w:vertAlign w:val="subscript"/>
              </w:rPr>
            </m:ctrlPr>
          </m:fPr>
          <m:num>
            <m:sSub>
              <m:sSubPr>
                <m:ctrlPr>
                  <w:rPr>
                    <w:rFonts w:ascii="Cambria Math" w:eastAsia="Calibri" w:hAnsi="Cambria Math"/>
                    <w:vertAlign w:val="subscript"/>
                  </w:rPr>
                </m:ctrlPr>
              </m:sSubPr>
              <m:e>
                <m:r>
                  <w:rPr>
                    <w:rFonts w:ascii="Cambria Math" w:eastAsia="Calibri" w:hAnsi="Cambria Math"/>
                    <w:vertAlign w:val="subscript"/>
                  </w:rPr>
                  <m:t>G</m:t>
                </m:r>
              </m:e>
              <m:sub>
                <m:r>
                  <w:rPr>
                    <w:rFonts w:ascii="Cambria Math" w:eastAsia="Calibri" w:hAnsi="Cambria Math"/>
                    <w:vertAlign w:val="subscript"/>
                  </w:rPr>
                  <m:t>STEM</m:t>
                </m:r>
              </m:sub>
            </m:sSub>
            <m:r>
              <m:rPr>
                <m:sty m:val="p"/>
              </m:rPr>
              <w:rPr>
                <w:rFonts w:ascii="Cambria Math" w:eastAsia="Calibri" w:hAnsi="Cambria Math"/>
              </w:rPr>
              <m:t xml:space="preserve"> - </m:t>
            </m:r>
            <m:sSub>
              <m:sSubPr>
                <m:ctrlPr>
                  <w:rPr>
                    <w:rFonts w:ascii="Cambria Math" w:eastAsia="Calibri" w:hAnsi="Cambria Math"/>
                  </w:rPr>
                </m:ctrlPr>
              </m:sSubPr>
              <m:e>
                <m:r>
                  <w:rPr>
                    <w:rFonts w:ascii="Cambria Math" w:eastAsia="Calibri" w:hAnsi="Cambria Math"/>
                  </w:rPr>
                  <m:t>F</m:t>
                </m:r>
              </m:e>
              <m:sub>
                <m:r>
                  <w:rPr>
                    <w:rFonts w:ascii="Cambria Math" w:eastAsia="Calibri" w:hAnsi="Cambria Math"/>
                  </w:rPr>
                  <m:t>STEM-CIRP</m:t>
                </m:r>
              </m:sub>
            </m:sSub>
          </m:num>
          <m:den>
            <m:sSub>
              <m:sSubPr>
                <m:ctrlPr>
                  <w:rPr>
                    <w:rFonts w:ascii="Cambria Math" w:eastAsia="Calibri" w:hAnsi="Cambria Math"/>
                    <w:i/>
                    <w:vertAlign w:val="subscript"/>
                  </w:rPr>
                </m:ctrlPr>
              </m:sSubPr>
              <m:e>
                <m:r>
                  <w:rPr>
                    <w:rFonts w:ascii="Cambria Math" w:eastAsia="Calibri" w:hAnsi="Cambria Math"/>
                    <w:vertAlign w:val="subscript"/>
                  </w:rPr>
                  <m:t>F</m:t>
                </m:r>
              </m:e>
              <m:sub>
                <m:r>
                  <w:rPr>
                    <w:rFonts w:ascii="Cambria Math" w:eastAsia="Calibri" w:hAnsi="Cambria Math"/>
                    <w:vertAlign w:val="subscript"/>
                  </w:rPr>
                  <m:t>STEM-CIRP</m:t>
                </m:r>
              </m:sub>
            </m:sSub>
          </m:den>
        </m:f>
        <m:r>
          <w:rPr>
            <w:rFonts w:ascii="Cambria Math" w:eastAsia="Calibri" w:hAnsi="Cambria Math"/>
            <w:vertAlign w:val="subscript"/>
          </w:rPr>
          <m:t xml:space="preserve"> </m:t>
        </m:r>
      </m:oMath>
      <w:r w:rsidR="00643784" w:rsidRPr="00643784">
        <w:rPr>
          <w:rFonts w:eastAsia="MS Mincho"/>
          <w:vertAlign w:val="subscript"/>
        </w:rPr>
        <w:t>=</w:t>
      </w:r>
      <m:oMath>
        <m:r>
          <w:rPr>
            <w:rFonts w:ascii="Cambria Math" w:eastAsia="MS Mincho" w:hAnsi="Cambria Math"/>
            <w:vertAlign w:val="subscript"/>
          </w:rPr>
          <m:t xml:space="preserve"> </m:t>
        </m:r>
        <m:f>
          <m:fPr>
            <m:ctrlPr>
              <w:rPr>
                <w:rFonts w:ascii="Cambria Math" w:eastAsia="MS Mincho" w:hAnsi="Cambria Math"/>
                <w:i/>
                <w:vertAlign w:val="subscript"/>
              </w:rPr>
            </m:ctrlPr>
          </m:fPr>
          <m:num>
            <m:r>
              <w:rPr>
                <w:rFonts w:ascii="Cambria Math" w:eastAsia="MS Mincho" w:hAnsi="Cambria Math"/>
                <w:vertAlign w:val="subscript"/>
              </w:rPr>
              <m:t>237,568-238,258</m:t>
            </m:r>
          </m:num>
          <m:den>
            <m:r>
              <w:rPr>
                <w:rFonts w:ascii="Cambria Math" w:eastAsia="MS Mincho" w:hAnsi="Cambria Math"/>
                <w:vertAlign w:val="subscript"/>
              </w:rPr>
              <m:t>238,258</m:t>
            </m:r>
          </m:den>
        </m:f>
        <m:r>
          <w:rPr>
            <w:rFonts w:ascii="Cambria Math" w:eastAsia="MS Mincho" w:hAnsi="Cambria Math"/>
            <w:vertAlign w:val="subscript"/>
          </w:rPr>
          <m:t>=-0.3%</m:t>
        </m:r>
      </m:oMath>
      <w:r w:rsidR="00643784" w:rsidRPr="00643784">
        <w:rPr>
          <w:rFonts w:eastAsia="Calibri"/>
        </w:rPr>
        <w:t>, or a net decrease of 690 students.</w:t>
      </w:r>
    </w:p>
    <w:p w14:paraId="5DEE652F" w14:textId="77777777" w:rsidR="00643784" w:rsidRPr="00643784" w:rsidRDefault="00643784" w:rsidP="00643784">
      <w:pPr>
        <w:spacing w:after="120" w:line="240" w:lineRule="auto"/>
        <w:rPr>
          <w:rFonts w:eastAsia="Calibri"/>
        </w:rPr>
      </w:pPr>
    </w:p>
    <w:p w14:paraId="1DACB23D" w14:textId="77777777" w:rsidR="00643784" w:rsidRPr="00643784" w:rsidRDefault="00643784" w:rsidP="00643784">
      <w:pPr>
        <w:spacing w:after="120" w:line="240" w:lineRule="auto"/>
        <w:rPr>
          <w:rFonts w:eastAsia="Calibri"/>
        </w:rPr>
      </w:pPr>
      <w:r w:rsidRPr="00643784">
        <w:rPr>
          <w:rFonts w:eastAsia="Calibri"/>
        </w:rPr>
        <w:t>Using several different methods we thus develop an estimate of “net flow” from freshman to graduation of the STEM cohort that ranges from -0.3% to 8.1%, for a net gain of 72,217 to 85,062 students in the graduating STEM cohort (i.e., the STEM persistence rate is 69.4% of freshman STEM majors, of freshman who declare a STEM major and graduate in any STEM major, with 30.6% graduating with a non-STEM major). Of that 72,217 to 85,062 in-flow of late STEM declarants, 31,643 are students who declared a non-STEM major in their freshman year. That represents 37% to 44% of the total in-flow, of late declarants, of those who did not start as a freshman STEM major but graduated as a STEM major.</w:t>
      </w:r>
    </w:p>
    <w:p w14:paraId="053E92CC" w14:textId="77777777" w:rsidR="00643784" w:rsidRPr="00643784" w:rsidRDefault="00643784" w:rsidP="00643784">
      <w:pPr>
        <w:spacing w:after="120" w:line="240" w:lineRule="auto"/>
        <w:rPr>
          <w:rFonts w:eastAsia="Calibri"/>
        </w:rPr>
      </w:pPr>
      <w:r w:rsidRPr="00643784">
        <w:rPr>
          <w:rFonts w:eastAsia="Calibri"/>
        </w:rPr>
        <w:t xml:space="preserve">This estimate is based on the range of STEM freshmen who leave and the number of non-STEM freshmen who graduate as STEM majors. The observed persistence rate of STEM Freshman is 69.4%. That is, of the 219,750 freshman who declare a STEM major, 152,507, or 69.4%, graduate with any STEM major (i.e., the STEM persistence rate includes those who switch majors but switch to another STEM major). Of all STEM graduates, 37%, or 31,643 students who graduate in a STEM major had a declared non-STEM major as freshmen (this is based on the BPS survey where there was a declared major in freshman year so it is an underestimate of the STEM graduate in-flow who were non-STEM majors; we did not do an adjustment of allocating undeclared who were intending non-STEM and would have changed into a STEM major; doing so would </w:t>
      </w:r>
      <w:r w:rsidRPr="00643784">
        <w:rPr>
          <w:rFonts w:eastAsia="Calibri"/>
        </w:rPr>
        <w:lastRenderedPageBreak/>
        <w:t>increase the non-STEM freshmen who become STEM graduates by about 3 percent). Our adjustments to the undeclared freshman pool (i.e., allocating a share of undeclared to the STEM intending population) provide estimates of the undeclared in-flow ranging from 53,418 students (using the observed BPS undeclared major population) to 40,574 (using the CIRP undeclared adjustment).</w:t>
      </w:r>
    </w:p>
    <w:p w14:paraId="4C925E45" w14:textId="77777777" w:rsidR="00643784" w:rsidRPr="00643784" w:rsidRDefault="00643784" w:rsidP="00643784">
      <w:pPr>
        <w:spacing w:after="120" w:line="240" w:lineRule="auto"/>
        <w:rPr>
          <w:rFonts w:eastAsia="Calibri"/>
        </w:rPr>
      </w:pPr>
      <w:r w:rsidRPr="00643784">
        <w:rPr>
          <w:rFonts w:eastAsia="Calibri"/>
        </w:rPr>
        <w:t>To compare the estimates of freshman major composition of graduating majors (i.e., the starting major of STEM graduates), the figure below is our estimate in the paper and an adjusted estimate of the in-flow, from freshman major to graduating major using the upper boundary of the CIRP-adjusted number of freshman STEM majors. This is an approximation, using the overall adjustments applied to each major. With the adjustments, non-STEM in-flows represent approximately 20 percent (in engineering) to 36 percent (in computer science) of graduates in specific STEM majors, compared to the unadjusted range of 24.6 percent (in engineering) to 40.1 percent (in computer science). That is, in the unadjusted analysis, we find the graduating STEM cohort is composed of 53,418 students who were not STEM majors in their freshman year and in the adjusted estimates, using the upper boundary estimate, the graduating STEM cohort is composed of 40,574 students who were not STEM majors in their freshman year; of that in-flow, 31,643 to 32,592 had a declared non-STEM major as freshman.</w:t>
      </w:r>
    </w:p>
    <w:p w14:paraId="59A4C029" w14:textId="77777777" w:rsidR="004F5B98" w:rsidRDefault="004F5B98" w:rsidP="00643784">
      <w:pPr>
        <w:spacing w:after="100" w:afterAutospacing="1" w:line="360" w:lineRule="auto"/>
        <w:rPr>
          <w:b/>
        </w:rPr>
      </w:pPr>
    </w:p>
    <w:p w14:paraId="08F78BCA" w14:textId="77777777" w:rsidR="004F5B98" w:rsidRDefault="004F5B98" w:rsidP="00643784">
      <w:pPr>
        <w:spacing w:after="100" w:afterAutospacing="1" w:line="360" w:lineRule="auto"/>
        <w:rPr>
          <w:b/>
        </w:rPr>
      </w:pPr>
    </w:p>
    <w:p w14:paraId="5B026B30" w14:textId="77777777" w:rsidR="004F5B98" w:rsidRDefault="004F5B98" w:rsidP="00643784">
      <w:pPr>
        <w:spacing w:after="100" w:afterAutospacing="1" w:line="360" w:lineRule="auto"/>
        <w:rPr>
          <w:b/>
        </w:rPr>
      </w:pPr>
    </w:p>
    <w:p w14:paraId="0095788F" w14:textId="77777777" w:rsidR="004F5B98" w:rsidRDefault="004F5B98" w:rsidP="00643784">
      <w:pPr>
        <w:spacing w:after="100" w:afterAutospacing="1" w:line="360" w:lineRule="auto"/>
        <w:rPr>
          <w:b/>
        </w:rPr>
      </w:pPr>
    </w:p>
    <w:sectPr w:rsidR="004F5B98" w:rsidSect="00FA36A3">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BD22" w14:textId="77777777" w:rsidR="007F000B" w:rsidRDefault="007F000B" w:rsidP="00643784">
      <w:pPr>
        <w:spacing w:after="0" w:line="240" w:lineRule="auto"/>
      </w:pPr>
      <w:r>
        <w:separator/>
      </w:r>
    </w:p>
  </w:endnote>
  <w:endnote w:type="continuationSeparator" w:id="0">
    <w:p w14:paraId="2E0B989A" w14:textId="77777777" w:rsidR="007F000B" w:rsidRDefault="007F000B" w:rsidP="00643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177130"/>
      <w:docPartObj>
        <w:docPartGallery w:val="Page Numbers (Bottom of Page)"/>
        <w:docPartUnique/>
      </w:docPartObj>
    </w:sdtPr>
    <w:sdtEndPr>
      <w:rPr>
        <w:noProof/>
      </w:rPr>
    </w:sdtEndPr>
    <w:sdtContent>
      <w:p w14:paraId="1D874EFA" w14:textId="36EC37ED" w:rsidR="00FA36A3" w:rsidRDefault="00FA36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E68C43" w14:textId="77777777" w:rsidR="00FA36A3" w:rsidRDefault="00FA3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2986" w14:textId="77777777" w:rsidR="007F000B" w:rsidRDefault="007F000B" w:rsidP="00643784">
      <w:pPr>
        <w:spacing w:after="0" w:line="240" w:lineRule="auto"/>
      </w:pPr>
      <w:r>
        <w:separator/>
      </w:r>
    </w:p>
  </w:footnote>
  <w:footnote w:type="continuationSeparator" w:id="0">
    <w:p w14:paraId="10A2C053" w14:textId="77777777" w:rsidR="007F000B" w:rsidRDefault="007F000B" w:rsidP="00643784">
      <w:pPr>
        <w:spacing w:after="0" w:line="240" w:lineRule="auto"/>
      </w:pPr>
      <w:r>
        <w:continuationSeparator/>
      </w:r>
    </w:p>
  </w:footnote>
  <w:footnote w:id="1">
    <w:p w14:paraId="263765D1" w14:textId="77777777" w:rsidR="00643784" w:rsidRDefault="00643784" w:rsidP="00643784">
      <w:pPr>
        <w:pStyle w:val="FootnoteText"/>
      </w:pPr>
      <w:r>
        <w:rPr>
          <w:rStyle w:val="FootnoteReference"/>
        </w:rPr>
        <w:footnoteRef/>
      </w:r>
      <w:r>
        <w:t xml:space="preserve"> The sensitivity of responses to wording of survey questions and, thus, the variation in any survey point estimate is underscored in this study’s methodology notes: “The wording of some questions in the survey instrument, the text and number of response options, and their order of presentation have changed over the years. We have found that even small changes can produce large order and context effects” (p.163).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27F65"/>
    <w:multiLevelType w:val="multilevel"/>
    <w:tmpl w:val="5498B5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84"/>
    <w:rsid w:val="001361B1"/>
    <w:rsid w:val="002B3C1D"/>
    <w:rsid w:val="00413498"/>
    <w:rsid w:val="004C1611"/>
    <w:rsid w:val="004F5B98"/>
    <w:rsid w:val="00643784"/>
    <w:rsid w:val="00671759"/>
    <w:rsid w:val="007F000B"/>
    <w:rsid w:val="008B4B2F"/>
    <w:rsid w:val="00A0653D"/>
    <w:rsid w:val="00A663C9"/>
    <w:rsid w:val="00B01A4C"/>
    <w:rsid w:val="00B81DE7"/>
    <w:rsid w:val="00BF696F"/>
    <w:rsid w:val="00C57FFB"/>
    <w:rsid w:val="00D04182"/>
    <w:rsid w:val="00E67B83"/>
    <w:rsid w:val="00F8388E"/>
    <w:rsid w:val="00FA3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DA8F"/>
  <w15:chartTrackingRefBased/>
  <w15:docId w15:val="{9ACAB0EC-F10F-F345-8854-14061BA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82"/>
  </w:style>
  <w:style w:type="paragraph" w:styleId="Heading1">
    <w:name w:val="heading 1"/>
    <w:basedOn w:val="Normal"/>
    <w:next w:val="Normal"/>
    <w:link w:val="Heading1Char"/>
    <w:uiPriority w:val="9"/>
    <w:qFormat/>
    <w:rsid w:val="00D04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41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4182"/>
    <w:pPr>
      <w:keepNext/>
      <w:keepLines/>
      <w:spacing w:before="40" w:after="0"/>
      <w:outlineLvl w:val="2"/>
    </w:pPr>
    <w:rPr>
      <w:rFonts w:ascii="Times" w:eastAsiaTheme="majorEastAsia" w:hAnsi="Times" w:cstheme="majorBidi"/>
      <w:b/>
      <w: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1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418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4182"/>
    <w:rPr>
      <w:rFonts w:ascii="Times" w:eastAsiaTheme="majorEastAsia" w:hAnsi="Times" w:cstheme="majorBidi"/>
      <w:b/>
      <w:i/>
      <w:color w:val="1F4D78" w:themeColor="accent1" w:themeShade="7F"/>
      <w:sz w:val="24"/>
      <w:szCs w:val="24"/>
    </w:rPr>
  </w:style>
  <w:style w:type="paragraph" w:styleId="Caption">
    <w:name w:val="caption"/>
    <w:basedOn w:val="Normal"/>
    <w:next w:val="Normal"/>
    <w:uiPriority w:val="35"/>
    <w:semiHidden/>
    <w:unhideWhenUsed/>
    <w:qFormat/>
    <w:rsid w:val="00D04182"/>
    <w:pPr>
      <w:spacing w:after="200" w:line="240" w:lineRule="auto"/>
    </w:pPr>
    <w:rPr>
      <w:i/>
      <w:iCs/>
      <w:color w:val="44546A" w:themeColor="text2"/>
      <w:sz w:val="18"/>
      <w:szCs w:val="18"/>
    </w:rPr>
  </w:style>
  <w:style w:type="paragraph" w:styleId="ListParagraph">
    <w:name w:val="List Paragraph"/>
    <w:basedOn w:val="Normal"/>
    <w:uiPriority w:val="34"/>
    <w:qFormat/>
    <w:rsid w:val="00D04182"/>
    <w:pPr>
      <w:ind w:left="720"/>
      <w:contextualSpacing/>
    </w:pPr>
  </w:style>
  <w:style w:type="paragraph" w:styleId="FootnoteText">
    <w:name w:val="footnote text"/>
    <w:basedOn w:val="Normal"/>
    <w:link w:val="FootnoteTextChar"/>
    <w:uiPriority w:val="99"/>
    <w:unhideWhenUsed/>
    <w:rsid w:val="00643784"/>
    <w:pPr>
      <w:spacing w:after="0" w:line="240" w:lineRule="auto"/>
    </w:pPr>
    <w:rPr>
      <w:sz w:val="20"/>
      <w:szCs w:val="20"/>
    </w:rPr>
  </w:style>
  <w:style w:type="character" w:customStyle="1" w:styleId="FootnoteTextChar">
    <w:name w:val="Footnote Text Char"/>
    <w:basedOn w:val="DefaultParagraphFont"/>
    <w:link w:val="FootnoteText"/>
    <w:uiPriority w:val="99"/>
    <w:rsid w:val="00643784"/>
    <w:rPr>
      <w:sz w:val="20"/>
      <w:szCs w:val="20"/>
    </w:rPr>
  </w:style>
  <w:style w:type="character" w:styleId="FootnoteReference">
    <w:name w:val="footnote reference"/>
    <w:basedOn w:val="DefaultParagraphFont"/>
    <w:uiPriority w:val="99"/>
    <w:unhideWhenUsed/>
    <w:rsid w:val="00643784"/>
    <w:rPr>
      <w:vertAlign w:val="superscript"/>
    </w:rPr>
  </w:style>
  <w:style w:type="paragraph" w:styleId="Header">
    <w:name w:val="header"/>
    <w:basedOn w:val="Normal"/>
    <w:link w:val="HeaderChar"/>
    <w:uiPriority w:val="99"/>
    <w:unhideWhenUsed/>
    <w:rsid w:val="00FA3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6A3"/>
  </w:style>
  <w:style w:type="paragraph" w:styleId="Footer">
    <w:name w:val="footer"/>
    <w:basedOn w:val="Normal"/>
    <w:link w:val="FooterChar"/>
    <w:uiPriority w:val="99"/>
    <w:unhideWhenUsed/>
    <w:rsid w:val="00FA3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2570</Words>
  <Characters>14654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Daniel Douglas</cp:lastModifiedBy>
  <cp:revision>3</cp:revision>
  <dcterms:created xsi:type="dcterms:W3CDTF">2025-12-02T15:10:00Z</dcterms:created>
  <dcterms:modified xsi:type="dcterms:W3CDTF">2025-12-02T18:02:00Z</dcterms:modified>
</cp:coreProperties>
</file>