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892" w:rsidRPr="000D05F3" w:rsidRDefault="00A01892" w:rsidP="00A01892">
      <w:pPr>
        <w:pStyle w:val="sec2"/>
        <w:keepNext/>
        <w:suppressLineNumbers/>
        <w:spacing w:line="360" w:lineRule="auto"/>
        <w:rPr>
          <w:rFonts w:ascii="Times New Roman" w:hAnsi="Times New Roman" w:cs="Times New Roman"/>
          <w:sz w:val="22"/>
          <w:szCs w:val="22"/>
        </w:rPr>
      </w:pPr>
      <w:bookmarkStart w:id="0" w:name="Sublemental1"/>
      <w:bookmarkStart w:id="1" w:name="ae_88"/>
      <w:bookmarkStart w:id="2" w:name="_GoBack"/>
      <w:bookmarkEnd w:id="2"/>
      <w:r w:rsidRPr="000D05F3">
        <w:rPr>
          <w:rFonts w:ascii="Times New Roman" w:hAnsi="Times New Roman" w:cs="Times New Roman"/>
          <w:sz w:val="22"/>
          <w:szCs w:val="22"/>
        </w:rPr>
        <w:t xml:space="preserve">Supplemental Table 1 </w:t>
      </w:r>
      <w:bookmarkEnd w:id="0"/>
      <w:r w:rsidRPr="000D05F3">
        <w:rPr>
          <w:rFonts w:ascii="Times New Roman" w:hAnsi="Times New Roman" w:cs="Times New Roman"/>
          <w:sz w:val="22"/>
          <w:szCs w:val="22"/>
        </w:rPr>
        <w:t>Search strategy for each database</w:t>
      </w:r>
      <w:bookmarkEnd w:id="1"/>
    </w:p>
    <w:tbl>
      <w:tblPr>
        <w:tblStyle w:val="TableGrid"/>
        <w:tblW w:w="0" w:type="auto"/>
        <w:tblLook w:val="04A0" w:firstRow="1" w:lastRow="0" w:firstColumn="1" w:lastColumn="0" w:noHBand="0" w:noVBand="1"/>
      </w:tblPr>
      <w:tblGrid>
        <w:gridCol w:w="3005"/>
        <w:gridCol w:w="3511"/>
      </w:tblGrid>
      <w:tr w:rsidR="00A01892" w:rsidTr="00BC7D2D">
        <w:tc>
          <w:tcPr>
            <w:tcW w:w="6516" w:type="dxa"/>
            <w:gridSpan w:val="2"/>
            <w:shd w:val="clear" w:color="auto" w:fill="E7E6E6" w:themeFill="background2"/>
          </w:tcPr>
          <w:p w:rsidR="00A01892" w:rsidRPr="000D05F3" w:rsidRDefault="00A01892" w:rsidP="00BC7D2D">
            <w:pPr>
              <w:suppressLineNumbers/>
              <w:spacing w:line="360" w:lineRule="auto"/>
              <w:jc w:val="center"/>
              <w:rPr>
                <w:rFonts w:ascii="Times New Roman" w:hAnsi="Times New Roman" w:cs="Times New Roman"/>
              </w:rPr>
            </w:pPr>
            <w:r w:rsidRPr="000D05F3">
              <w:rPr>
                <w:rFonts w:ascii="Times New Roman" w:hAnsi="Times New Roman" w:cs="Times New Roman"/>
              </w:rPr>
              <w:t>MEDLINE = 3637 studies</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 xml:space="preserve">Search </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Query</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"in hospital*".</w:t>
            </w:r>
            <w:proofErr w:type="spellStart"/>
            <w:r w:rsidRPr="000D05F3">
              <w:rPr>
                <w:rFonts w:ascii="Times New Roman" w:hAnsi="Times New Roman" w:cs="Times New Roman"/>
              </w:rPr>
              <w:t>mp</w:t>
            </w:r>
            <w:proofErr w:type="spellEnd"/>
            <w:r w:rsidRPr="000D05F3">
              <w:rPr>
                <w:rFonts w:ascii="Times New Roman" w:hAnsi="Times New Roman" w:cs="Times New Roman"/>
              </w:rPr>
              <w:t>.</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#2</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hospital*.</w:t>
            </w:r>
            <w:proofErr w:type="spellStart"/>
            <w:r w:rsidRPr="000D05F3">
              <w:rPr>
                <w:rFonts w:ascii="Times New Roman" w:hAnsi="Times New Roman" w:cs="Times New Roman"/>
              </w:rPr>
              <w:t>mp</w:t>
            </w:r>
            <w:proofErr w:type="spellEnd"/>
            <w:r w:rsidRPr="000D05F3">
              <w:rPr>
                <w:rFonts w:ascii="Times New Roman" w:hAnsi="Times New Roman" w:cs="Times New Roman"/>
              </w:rPr>
              <w:t>.</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#3</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"hospital acquired*".</w:t>
            </w:r>
            <w:proofErr w:type="spellStart"/>
            <w:r w:rsidRPr="000D05F3">
              <w:rPr>
                <w:rFonts w:ascii="Times New Roman" w:hAnsi="Times New Roman" w:cs="Times New Roman"/>
              </w:rPr>
              <w:t>mp</w:t>
            </w:r>
            <w:proofErr w:type="spellEnd"/>
            <w:r w:rsidRPr="000D05F3">
              <w:rPr>
                <w:rFonts w:ascii="Times New Roman" w:hAnsi="Times New Roman" w:cs="Times New Roman"/>
              </w:rPr>
              <w:t>.</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#4</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Accidental Falls/ or fall*.</w:t>
            </w:r>
            <w:proofErr w:type="spellStart"/>
            <w:r w:rsidRPr="000D05F3">
              <w:rPr>
                <w:rFonts w:ascii="Times New Roman" w:hAnsi="Times New Roman" w:cs="Times New Roman"/>
              </w:rPr>
              <w:t>mp</w:t>
            </w:r>
            <w:proofErr w:type="spellEnd"/>
            <w:r w:rsidRPr="000D05F3">
              <w:rPr>
                <w:rFonts w:ascii="Times New Roman" w:hAnsi="Times New Roman" w:cs="Times New Roman"/>
              </w:rPr>
              <w:t>.</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#5</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infection*.</w:t>
            </w:r>
            <w:proofErr w:type="spellStart"/>
            <w:r w:rsidRPr="000D05F3">
              <w:rPr>
                <w:rFonts w:ascii="Times New Roman" w:hAnsi="Times New Roman" w:cs="Times New Roman"/>
              </w:rPr>
              <w:t>mp</w:t>
            </w:r>
            <w:proofErr w:type="spellEnd"/>
            <w:r w:rsidRPr="000D05F3">
              <w:rPr>
                <w:rFonts w:ascii="Times New Roman" w:hAnsi="Times New Roman" w:cs="Times New Roman"/>
              </w:rPr>
              <w:t>.</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#6</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Emergence Delirium/ or Delirium/ or delirium*.</w:t>
            </w:r>
            <w:proofErr w:type="spellStart"/>
            <w:r w:rsidRPr="000D05F3">
              <w:rPr>
                <w:rFonts w:ascii="Times New Roman" w:hAnsi="Times New Roman" w:cs="Times New Roman"/>
              </w:rPr>
              <w:t>mp</w:t>
            </w:r>
            <w:proofErr w:type="spellEnd"/>
            <w:r w:rsidRPr="000D05F3">
              <w:rPr>
                <w:rFonts w:ascii="Times New Roman" w:hAnsi="Times New Roman" w:cs="Times New Roman"/>
              </w:rPr>
              <w:t>.</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#7</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"Drug-Related Side Effects and Adverse Reactions"/ or "adverse drug reaction*".</w:t>
            </w:r>
            <w:proofErr w:type="spellStart"/>
            <w:r w:rsidRPr="000D05F3">
              <w:rPr>
                <w:rFonts w:ascii="Times New Roman" w:hAnsi="Times New Roman" w:cs="Times New Roman"/>
              </w:rPr>
              <w:t>mp</w:t>
            </w:r>
            <w:proofErr w:type="spellEnd"/>
            <w:r w:rsidRPr="000D05F3">
              <w:rPr>
                <w:rFonts w:ascii="Times New Roman" w:hAnsi="Times New Roman" w:cs="Times New Roman"/>
              </w:rPr>
              <w:t>.</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#8</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Medication Errors/ or "medication error*".</w:t>
            </w:r>
            <w:proofErr w:type="spellStart"/>
            <w:r w:rsidRPr="000D05F3">
              <w:rPr>
                <w:rFonts w:ascii="Times New Roman" w:hAnsi="Times New Roman" w:cs="Times New Roman"/>
              </w:rPr>
              <w:t>mp</w:t>
            </w:r>
            <w:proofErr w:type="spellEnd"/>
            <w:r w:rsidRPr="000D05F3">
              <w:rPr>
                <w:rFonts w:ascii="Times New Roman" w:hAnsi="Times New Roman" w:cs="Times New Roman"/>
              </w:rPr>
              <w:t>.</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#9</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Pressure Ulcer/ or "Pressure ulcer*".</w:t>
            </w:r>
            <w:proofErr w:type="spellStart"/>
            <w:r w:rsidRPr="000D05F3">
              <w:rPr>
                <w:rFonts w:ascii="Times New Roman" w:hAnsi="Times New Roman" w:cs="Times New Roman"/>
              </w:rPr>
              <w:t>mp</w:t>
            </w:r>
            <w:proofErr w:type="spellEnd"/>
            <w:r w:rsidRPr="000D05F3">
              <w:rPr>
                <w:rFonts w:ascii="Times New Roman" w:hAnsi="Times New Roman" w:cs="Times New Roman"/>
              </w:rPr>
              <w:t>.</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#10</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"Bed Ulcers*".</w:t>
            </w:r>
            <w:proofErr w:type="spellStart"/>
            <w:r w:rsidRPr="000D05F3">
              <w:rPr>
                <w:rFonts w:ascii="Times New Roman" w:hAnsi="Times New Roman" w:cs="Times New Roman"/>
              </w:rPr>
              <w:t>mp</w:t>
            </w:r>
            <w:proofErr w:type="spellEnd"/>
            <w:r w:rsidRPr="000D05F3">
              <w:rPr>
                <w:rFonts w:ascii="Times New Roman" w:hAnsi="Times New Roman" w:cs="Times New Roman"/>
              </w:rPr>
              <w:t>.</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#11</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"Adverse events*".</w:t>
            </w:r>
            <w:proofErr w:type="spellStart"/>
            <w:r w:rsidRPr="000D05F3">
              <w:rPr>
                <w:rFonts w:ascii="Times New Roman" w:hAnsi="Times New Roman" w:cs="Times New Roman"/>
              </w:rPr>
              <w:t>mp</w:t>
            </w:r>
            <w:proofErr w:type="spellEnd"/>
            <w:r w:rsidRPr="000D05F3">
              <w:rPr>
                <w:rFonts w:ascii="Times New Roman" w:hAnsi="Times New Roman" w:cs="Times New Roman"/>
              </w:rPr>
              <w:t>.</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#12</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Frailty/ or Frail Elderly/ or "frail*".</w:t>
            </w:r>
            <w:proofErr w:type="spellStart"/>
            <w:r w:rsidRPr="000D05F3">
              <w:rPr>
                <w:rFonts w:ascii="Times New Roman" w:hAnsi="Times New Roman" w:cs="Times New Roman"/>
              </w:rPr>
              <w:t>mp</w:t>
            </w:r>
            <w:proofErr w:type="spellEnd"/>
            <w:r w:rsidRPr="000D05F3">
              <w:rPr>
                <w:rFonts w:ascii="Times New Roman" w:hAnsi="Times New Roman" w:cs="Times New Roman"/>
              </w:rPr>
              <w:t>.</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#13</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"Hospital-related*".</w:t>
            </w:r>
            <w:proofErr w:type="spellStart"/>
            <w:r w:rsidRPr="000D05F3">
              <w:rPr>
                <w:rFonts w:ascii="Times New Roman" w:hAnsi="Times New Roman" w:cs="Times New Roman"/>
              </w:rPr>
              <w:t>mp</w:t>
            </w:r>
            <w:proofErr w:type="spellEnd"/>
            <w:r w:rsidRPr="000D05F3">
              <w:rPr>
                <w:rFonts w:ascii="Times New Roman" w:hAnsi="Times New Roman" w:cs="Times New Roman"/>
              </w:rPr>
              <w:t>.</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#14</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Inpatient*.</w:t>
            </w:r>
            <w:proofErr w:type="spellStart"/>
            <w:r w:rsidRPr="000D05F3">
              <w:rPr>
                <w:rFonts w:ascii="Times New Roman" w:hAnsi="Times New Roman" w:cs="Times New Roman"/>
              </w:rPr>
              <w:t>mp</w:t>
            </w:r>
            <w:proofErr w:type="spellEnd"/>
            <w:r w:rsidRPr="000D05F3">
              <w:rPr>
                <w:rFonts w:ascii="Times New Roman" w:hAnsi="Times New Roman" w:cs="Times New Roman"/>
              </w:rPr>
              <w:t>.</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#15</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"in-patient*".</w:t>
            </w:r>
            <w:proofErr w:type="spellStart"/>
            <w:r w:rsidRPr="000D05F3">
              <w:rPr>
                <w:rFonts w:ascii="Times New Roman" w:hAnsi="Times New Roman" w:cs="Times New Roman"/>
              </w:rPr>
              <w:t>mp</w:t>
            </w:r>
            <w:proofErr w:type="spellEnd"/>
            <w:r w:rsidRPr="000D05F3">
              <w:rPr>
                <w:rFonts w:ascii="Times New Roman" w:hAnsi="Times New Roman" w:cs="Times New Roman"/>
              </w:rPr>
              <w:t>.</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#16</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Ward*.</w:t>
            </w:r>
            <w:proofErr w:type="spellStart"/>
            <w:r w:rsidRPr="000D05F3">
              <w:rPr>
                <w:rFonts w:ascii="Times New Roman" w:hAnsi="Times New Roman" w:cs="Times New Roman"/>
              </w:rPr>
              <w:t>mp</w:t>
            </w:r>
            <w:proofErr w:type="spellEnd"/>
            <w:r w:rsidRPr="000D05F3">
              <w:rPr>
                <w:rFonts w:ascii="Times New Roman" w:hAnsi="Times New Roman" w:cs="Times New Roman"/>
              </w:rPr>
              <w:t>.</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#17</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unit*.</w:t>
            </w:r>
            <w:proofErr w:type="spellStart"/>
            <w:r w:rsidRPr="000D05F3">
              <w:rPr>
                <w:rFonts w:ascii="Times New Roman" w:hAnsi="Times New Roman" w:cs="Times New Roman"/>
              </w:rPr>
              <w:t>mp</w:t>
            </w:r>
            <w:proofErr w:type="spellEnd"/>
            <w:r w:rsidRPr="000D05F3">
              <w:rPr>
                <w:rFonts w:ascii="Times New Roman" w:hAnsi="Times New Roman" w:cs="Times New Roman"/>
              </w:rPr>
              <w:t>.</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#18</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 or 2 or 3 or 13 or 14 or 15 or 16 or 17</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#19</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4 or 5 or 6 or 7 or 8 or 9 or 10 or 11</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#20</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18 and 19</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#21</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12 and 20</w:t>
            </w:r>
          </w:p>
        </w:tc>
      </w:tr>
      <w:tr w:rsidR="00A01892" w:rsidTr="00BC7D2D">
        <w:tc>
          <w:tcPr>
            <w:tcW w:w="6516" w:type="dxa"/>
            <w:gridSpan w:val="2"/>
            <w:shd w:val="clear" w:color="auto" w:fill="E7E6E6" w:themeFill="background2"/>
          </w:tcPr>
          <w:p w:rsidR="00A01892" w:rsidRPr="000D05F3" w:rsidRDefault="00A01892" w:rsidP="00BC7D2D">
            <w:pPr>
              <w:suppressLineNumbers/>
              <w:spacing w:line="360" w:lineRule="auto"/>
              <w:jc w:val="center"/>
              <w:rPr>
                <w:rFonts w:ascii="Times New Roman" w:hAnsi="Times New Roman" w:cs="Times New Roman"/>
              </w:rPr>
            </w:pPr>
            <w:r w:rsidRPr="000D05F3">
              <w:rPr>
                <w:rFonts w:ascii="Times New Roman" w:hAnsi="Times New Roman" w:cs="Times New Roman"/>
              </w:rPr>
              <w:t>Scopus = 4721 studies</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lastRenderedPageBreak/>
              <w:t xml:space="preserve">Search </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Query</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ab/>
            </w:r>
          </w:p>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(((TITLE-ABS-KEY("infection*")) OR (TITLE-ABS-KEY("fall*")) OR (TITLE-ABS-KEY("delirium*")) OR (TITLE-ABS-KEY("medication error*")) OR (TITLE-ABS-KEY("adverse drug reaction*")) OR (TITLE-ABS-KEY("pressure ulcer*")) OR (TITLE-ABS-KEY("bed ulcer*")) OR (TITLE-ABS-KEY("adverse event*"))) AND ((TITLE-ABS-KEY("hospital acquired*")) OR (TITLE-ABS-KEY("in hospital*")))) AND (TITLE-ABS-KEY("frail*"))</w:t>
            </w:r>
          </w:p>
        </w:tc>
      </w:tr>
      <w:tr w:rsidR="00A01892" w:rsidTr="00BC7D2D">
        <w:tc>
          <w:tcPr>
            <w:tcW w:w="6516" w:type="dxa"/>
            <w:gridSpan w:val="2"/>
            <w:shd w:val="clear" w:color="auto" w:fill="E7E6E6" w:themeFill="background2"/>
          </w:tcPr>
          <w:p w:rsidR="00A01892" w:rsidRPr="000D05F3" w:rsidRDefault="00A01892" w:rsidP="00BC7D2D">
            <w:pPr>
              <w:suppressLineNumbers/>
              <w:spacing w:line="360" w:lineRule="auto"/>
              <w:jc w:val="center"/>
              <w:rPr>
                <w:rFonts w:ascii="Times New Roman" w:hAnsi="Times New Roman" w:cs="Times New Roman"/>
              </w:rPr>
            </w:pPr>
            <w:r w:rsidRPr="000D05F3">
              <w:rPr>
                <w:rFonts w:ascii="Times New Roman" w:hAnsi="Times New Roman" w:cs="Times New Roman"/>
              </w:rPr>
              <w:t>CINAHL = 1752 studies</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 xml:space="preserve">Search </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Query</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Hospital*</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#2</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“In hospital*”</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#3</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“Hospital acquired*”</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#4</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“Adverse events*”</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#5</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infection*</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#6</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Fall*</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#7</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“Pressure ulcer*”</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#8</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“Bed ulcer*”</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#9</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“Adverse drug reaction*”</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#10</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“Medication errors*”</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#11</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Delirium*</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#12</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frail*</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#13</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S1 OR S2 OR S3</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lastRenderedPageBreak/>
              <w:t>#14</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S4 OR S5 OR S6 OR S7 OR S8 OR S9 OR S10 OR S11</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#15</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S13 AND S14</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#16</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S12 AND S15</w:t>
            </w:r>
          </w:p>
        </w:tc>
      </w:tr>
      <w:tr w:rsidR="00A01892" w:rsidTr="00BC7D2D">
        <w:tc>
          <w:tcPr>
            <w:tcW w:w="6516" w:type="dxa"/>
            <w:gridSpan w:val="2"/>
            <w:shd w:val="clear" w:color="auto" w:fill="E7E6E6" w:themeFill="background2"/>
          </w:tcPr>
          <w:p w:rsidR="00A01892" w:rsidRPr="000D05F3" w:rsidRDefault="00A01892" w:rsidP="00BC7D2D">
            <w:pPr>
              <w:suppressLineNumbers/>
              <w:spacing w:line="360" w:lineRule="auto"/>
              <w:jc w:val="center"/>
              <w:rPr>
                <w:rFonts w:ascii="Times New Roman" w:hAnsi="Times New Roman" w:cs="Times New Roman"/>
              </w:rPr>
            </w:pPr>
            <w:r w:rsidRPr="000D05F3">
              <w:rPr>
                <w:rFonts w:ascii="Times New Roman" w:hAnsi="Times New Roman" w:cs="Times New Roman"/>
              </w:rPr>
              <w:t>Web of Science = 4810 studies</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 xml:space="preserve">Search </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Query</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 xml:space="preserve">ALL=(“Adverse events*”) </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#2</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 xml:space="preserve">ALL=(infection*) </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#3</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 xml:space="preserve">ALL=(Fall*) </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#4</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 xml:space="preserve">ALL=(“Pressure ulcer*” ) </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#5</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 xml:space="preserve">ALL=(“Bed Ulcers*”) </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#6</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 xml:space="preserve">ALL=(“Adverse drug reaction*”) </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#7</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 xml:space="preserve">ALL=(“Medication errors*”) </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#8</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 xml:space="preserve">ALL=(Delirium* ) </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#9</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 xml:space="preserve">#1 OR #2 OR #3 OR #4 OR #5 OR #6 OR #7 OR #8 </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#10</w:t>
            </w:r>
          </w:p>
        </w:tc>
        <w:tc>
          <w:tcPr>
            <w:tcW w:w="3511"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 xml:space="preserve">ALL=(unit*) </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#11</w:t>
            </w:r>
          </w:p>
        </w:tc>
        <w:tc>
          <w:tcPr>
            <w:tcW w:w="3511" w:type="dxa"/>
            <w:vAlign w:val="bottom"/>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 xml:space="preserve">ALL=(Ward*) </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#12</w:t>
            </w:r>
          </w:p>
        </w:tc>
        <w:tc>
          <w:tcPr>
            <w:tcW w:w="3511" w:type="dxa"/>
            <w:vAlign w:val="bottom"/>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 xml:space="preserve">ALL=("In-patient*") </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#13</w:t>
            </w:r>
          </w:p>
        </w:tc>
        <w:tc>
          <w:tcPr>
            <w:tcW w:w="3511" w:type="dxa"/>
            <w:vAlign w:val="bottom"/>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 xml:space="preserve">ALL=(Inpatient*) </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#14</w:t>
            </w:r>
          </w:p>
        </w:tc>
        <w:tc>
          <w:tcPr>
            <w:tcW w:w="3511" w:type="dxa"/>
            <w:vAlign w:val="bottom"/>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 xml:space="preserve">ALL=("Hospital-related*") </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#15</w:t>
            </w:r>
          </w:p>
        </w:tc>
        <w:tc>
          <w:tcPr>
            <w:tcW w:w="3511" w:type="dxa"/>
            <w:vAlign w:val="bottom"/>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 xml:space="preserve">ALL=("Hospital-acquired*") </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#16</w:t>
            </w:r>
          </w:p>
        </w:tc>
        <w:tc>
          <w:tcPr>
            <w:tcW w:w="3511" w:type="dxa"/>
            <w:vAlign w:val="bottom"/>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 xml:space="preserve">ALL=("In-hospital*") </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#17</w:t>
            </w:r>
          </w:p>
        </w:tc>
        <w:tc>
          <w:tcPr>
            <w:tcW w:w="3511" w:type="dxa"/>
            <w:vAlign w:val="bottom"/>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 xml:space="preserve">ALL=(Hospital*) </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#18</w:t>
            </w:r>
          </w:p>
        </w:tc>
        <w:tc>
          <w:tcPr>
            <w:tcW w:w="3511" w:type="dxa"/>
            <w:vAlign w:val="bottom"/>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 xml:space="preserve">#10 OR #11 OR #12 OR #13 OR #14 OR #15 OR #16 OR #17 </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#19</w:t>
            </w:r>
          </w:p>
        </w:tc>
        <w:tc>
          <w:tcPr>
            <w:tcW w:w="3511" w:type="dxa"/>
            <w:vAlign w:val="bottom"/>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 xml:space="preserve">#9 AND #18 </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#20</w:t>
            </w:r>
          </w:p>
        </w:tc>
        <w:tc>
          <w:tcPr>
            <w:tcW w:w="3511" w:type="dxa"/>
            <w:vAlign w:val="bottom"/>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 xml:space="preserve">ALL=(frail*) </w:t>
            </w:r>
          </w:p>
        </w:tc>
      </w:tr>
      <w:tr w:rsidR="00A01892" w:rsidTr="00BC7D2D">
        <w:tc>
          <w:tcPr>
            <w:tcW w:w="3005"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#21</w:t>
            </w:r>
          </w:p>
        </w:tc>
        <w:tc>
          <w:tcPr>
            <w:tcW w:w="3511" w:type="dxa"/>
            <w:vAlign w:val="bottom"/>
          </w:tcPr>
          <w:p w:rsidR="00A01892" w:rsidRPr="000D05F3" w:rsidRDefault="00A01892" w:rsidP="00BC7D2D">
            <w:pPr>
              <w:keepNext/>
              <w:suppressLineNumbers/>
              <w:spacing w:line="360" w:lineRule="auto"/>
              <w:rPr>
                <w:rFonts w:ascii="Times New Roman" w:hAnsi="Times New Roman" w:cs="Times New Roman"/>
              </w:rPr>
            </w:pPr>
            <w:r w:rsidRPr="000D05F3">
              <w:rPr>
                <w:rFonts w:ascii="Times New Roman" w:hAnsi="Times New Roman" w:cs="Times New Roman"/>
              </w:rPr>
              <w:t xml:space="preserve">#19 AND #20 and Article (Document Types) and English (Languages) </w:t>
            </w:r>
          </w:p>
        </w:tc>
      </w:tr>
    </w:tbl>
    <w:p w:rsidR="00A01892" w:rsidRPr="000D05F3" w:rsidRDefault="00A01892" w:rsidP="00A01892">
      <w:pPr>
        <w:pStyle w:val="Caption"/>
        <w:suppressLineNumbers/>
        <w:spacing w:line="360" w:lineRule="auto"/>
        <w:rPr>
          <w:rFonts w:ascii="Times New Roman" w:hAnsi="Times New Roman" w:cs="Times New Roman"/>
          <w:color w:val="auto"/>
          <w:sz w:val="22"/>
          <w:szCs w:val="22"/>
        </w:rPr>
      </w:pPr>
    </w:p>
    <w:p w:rsidR="00A01892" w:rsidRPr="000D05F3" w:rsidRDefault="00A01892" w:rsidP="00A01892">
      <w:pPr>
        <w:suppressLineNumbers/>
        <w:spacing w:line="360" w:lineRule="auto"/>
        <w:rPr>
          <w:rFonts w:ascii="Times New Roman" w:hAnsi="Times New Roman" w:cs="Times New Roman"/>
        </w:rPr>
      </w:pPr>
    </w:p>
    <w:p w:rsidR="00A01892" w:rsidRPr="000D05F3" w:rsidRDefault="00A01892" w:rsidP="00A01892">
      <w:pPr>
        <w:pStyle w:val="FigureCaption"/>
        <w:keepNext/>
        <w:suppressLineNumbers/>
        <w:spacing w:line="360" w:lineRule="auto"/>
        <w:rPr>
          <w:rFonts w:ascii="Times New Roman" w:hAnsi="Times New Roman" w:cs="Times New Roman"/>
          <w:sz w:val="22"/>
          <w:szCs w:val="22"/>
        </w:rPr>
      </w:pPr>
      <w:bookmarkStart w:id="3" w:name="ae_89"/>
      <w:r w:rsidRPr="000D05F3">
        <w:rPr>
          <w:rFonts w:ascii="Times New Roman" w:hAnsi="Times New Roman" w:cs="Times New Roman"/>
          <w:sz w:val="22"/>
          <w:szCs w:val="22"/>
        </w:rPr>
        <w:lastRenderedPageBreak/>
        <w:t>Supplemental Table  2 The modified version of the JBI quality appraisal tool</w:t>
      </w:r>
      <w:bookmarkEnd w:id="3"/>
    </w:p>
    <w:tbl>
      <w:tblPr>
        <w:tblStyle w:val="TableGrid"/>
        <w:tblW w:w="10068" w:type="dxa"/>
        <w:tblInd w:w="-714" w:type="dxa"/>
        <w:tblLayout w:type="fixed"/>
        <w:tblLook w:val="04A0" w:firstRow="1" w:lastRow="0" w:firstColumn="1" w:lastColumn="0" w:noHBand="0" w:noVBand="1"/>
      </w:tblPr>
      <w:tblGrid>
        <w:gridCol w:w="5893"/>
        <w:gridCol w:w="850"/>
        <w:gridCol w:w="849"/>
        <w:gridCol w:w="992"/>
        <w:gridCol w:w="1484"/>
      </w:tblGrid>
      <w:tr w:rsidR="00A01892" w:rsidTr="00BC7D2D">
        <w:tc>
          <w:tcPr>
            <w:tcW w:w="5893" w:type="dxa"/>
            <w:shd w:val="clear" w:color="auto" w:fill="E7E6E6" w:themeFill="background2"/>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Assessment Components</w:t>
            </w:r>
          </w:p>
        </w:tc>
        <w:tc>
          <w:tcPr>
            <w:tcW w:w="4175" w:type="dxa"/>
            <w:gridSpan w:val="4"/>
            <w:shd w:val="clear" w:color="auto" w:fill="E7E6E6" w:themeFill="background2"/>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Response options</w:t>
            </w:r>
          </w:p>
        </w:tc>
      </w:tr>
      <w:tr w:rsidR="00A01892" w:rsidTr="00BC7D2D">
        <w:tc>
          <w:tcPr>
            <w:tcW w:w="5893"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 Were the aims clearly defined?</w:t>
            </w:r>
          </w:p>
        </w:tc>
        <w:tc>
          <w:tcPr>
            <w:tcW w:w="850"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Yes</w:t>
            </w:r>
          </w:p>
        </w:tc>
        <w:tc>
          <w:tcPr>
            <w:tcW w:w="849"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No</w:t>
            </w:r>
          </w:p>
        </w:tc>
        <w:tc>
          <w:tcPr>
            <w:tcW w:w="992"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Unclear</w:t>
            </w:r>
          </w:p>
        </w:tc>
        <w:tc>
          <w:tcPr>
            <w:tcW w:w="1484"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Not applicable</w:t>
            </w:r>
          </w:p>
        </w:tc>
      </w:tr>
      <w:tr w:rsidR="00A01892" w:rsidTr="00BC7D2D">
        <w:tc>
          <w:tcPr>
            <w:tcW w:w="5893"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2. Were the criteria for inclusion in the sample clearly defined?</w:t>
            </w:r>
          </w:p>
        </w:tc>
        <w:tc>
          <w:tcPr>
            <w:tcW w:w="850"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Yes</w:t>
            </w:r>
          </w:p>
        </w:tc>
        <w:tc>
          <w:tcPr>
            <w:tcW w:w="849"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No</w:t>
            </w:r>
          </w:p>
        </w:tc>
        <w:tc>
          <w:tcPr>
            <w:tcW w:w="992"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Unclear</w:t>
            </w:r>
          </w:p>
        </w:tc>
        <w:tc>
          <w:tcPr>
            <w:tcW w:w="1484"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Not applicable</w:t>
            </w:r>
          </w:p>
        </w:tc>
      </w:tr>
      <w:tr w:rsidR="00A01892" w:rsidTr="00BC7D2D">
        <w:tc>
          <w:tcPr>
            <w:tcW w:w="5893"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3. Were the study subjects and the setting described in detail?</w:t>
            </w:r>
          </w:p>
        </w:tc>
        <w:tc>
          <w:tcPr>
            <w:tcW w:w="850"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Yes</w:t>
            </w:r>
          </w:p>
        </w:tc>
        <w:tc>
          <w:tcPr>
            <w:tcW w:w="849"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No</w:t>
            </w:r>
          </w:p>
        </w:tc>
        <w:tc>
          <w:tcPr>
            <w:tcW w:w="992"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Unclear</w:t>
            </w:r>
          </w:p>
        </w:tc>
        <w:tc>
          <w:tcPr>
            <w:tcW w:w="1484"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Not applicable</w:t>
            </w:r>
          </w:p>
        </w:tc>
      </w:tr>
      <w:tr w:rsidR="00A01892" w:rsidTr="00BC7D2D">
        <w:tc>
          <w:tcPr>
            <w:tcW w:w="5893"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4. Were the adverse events adverse event identified in a valid and reliable way?</w:t>
            </w:r>
          </w:p>
        </w:tc>
        <w:tc>
          <w:tcPr>
            <w:tcW w:w="850"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Yes</w:t>
            </w:r>
          </w:p>
        </w:tc>
        <w:tc>
          <w:tcPr>
            <w:tcW w:w="849"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No</w:t>
            </w:r>
          </w:p>
        </w:tc>
        <w:tc>
          <w:tcPr>
            <w:tcW w:w="992"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Unclear</w:t>
            </w:r>
          </w:p>
        </w:tc>
        <w:tc>
          <w:tcPr>
            <w:tcW w:w="1484"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Not applicable</w:t>
            </w:r>
          </w:p>
        </w:tc>
      </w:tr>
      <w:tr w:rsidR="00A01892" w:rsidTr="00BC7D2D">
        <w:tc>
          <w:tcPr>
            <w:tcW w:w="5893"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5. Were the included sample clearly tested for the presence of the adverse event prior to or at admission?</w:t>
            </w:r>
          </w:p>
        </w:tc>
        <w:tc>
          <w:tcPr>
            <w:tcW w:w="850"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Yes</w:t>
            </w:r>
          </w:p>
        </w:tc>
        <w:tc>
          <w:tcPr>
            <w:tcW w:w="849"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No</w:t>
            </w:r>
          </w:p>
        </w:tc>
        <w:tc>
          <w:tcPr>
            <w:tcW w:w="992"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Unclear</w:t>
            </w:r>
          </w:p>
        </w:tc>
        <w:tc>
          <w:tcPr>
            <w:tcW w:w="1484"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Not applicable</w:t>
            </w:r>
          </w:p>
        </w:tc>
      </w:tr>
      <w:tr w:rsidR="00A01892" w:rsidTr="00BC7D2D">
        <w:tc>
          <w:tcPr>
            <w:tcW w:w="5893"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6. Were frailty defined and measured using a clear and reliable tool?</w:t>
            </w:r>
          </w:p>
        </w:tc>
        <w:tc>
          <w:tcPr>
            <w:tcW w:w="850"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Yes</w:t>
            </w:r>
          </w:p>
        </w:tc>
        <w:tc>
          <w:tcPr>
            <w:tcW w:w="849"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No</w:t>
            </w:r>
          </w:p>
        </w:tc>
        <w:tc>
          <w:tcPr>
            <w:tcW w:w="992"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Unclear</w:t>
            </w:r>
          </w:p>
        </w:tc>
        <w:tc>
          <w:tcPr>
            <w:tcW w:w="1484"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Not applicable</w:t>
            </w:r>
          </w:p>
        </w:tc>
      </w:tr>
      <w:tr w:rsidR="00A01892" w:rsidTr="00BC7D2D">
        <w:tc>
          <w:tcPr>
            <w:tcW w:w="5893"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7. Were the outcomes measured in a valid and reliable way?</w:t>
            </w:r>
          </w:p>
        </w:tc>
        <w:tc>
          <w:tcPr>
            <w:tcW w:w="850"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Yes</w:t>
            </w:r>
          </w:p>
        </w:tc>
        <w:tc>
          <w:tcPr>
            <w:tcW w:w="849"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No</w:t>
            </w:r>
          </w:p>
        </w:tc>
        <w:tc>
          <w:tcPr>
            <w:tcW w:w="992"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Unclear</w:t>
            </w:r>
          </w:p>
        </w:tc>
        <w:tc>
          <w:tcPr>
            <w:tcW w:w="1484"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Not applicable</w:t>
            </w:r>
          </w:p>
        </w:tc>
      </w:tr>
      <w:tr w:rsidR="00A01892" w:rsidTr="00BC7D2D">
        <w:tc>
          <w:tcPr>
            <w:tcW w:w="5893"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 xml:space="preserve">8. </w:t>
            </w:r>
            <w:proofErr w:type="spellStart"/>
            <w:r w:rsidRPr="000D05F3">
              <w:rPr>
                <w:rFonts w:ascii="Times New Roman" w:hAnsi="Times New Roman" w:cs="Times New Roman"/>
              </w:rPr>
              <w:t>Were</w:t>
            </w:r>
            <w:proofErr w:type="spellEnd"/>
            <w:r w:rsidRPr="000D05F3">
              <w:rPr>
                <w:rFonts w:ascii="Times New Roman" w:hAnsi="Times New Roman" w:cs="Times New Roman"/>
              </w:rPr>
              <w:t xml:space="preserve"> confounding factors identified?</w:t>
            </w:r>
          </w:p>
        </w:tc>
        <w:tc>
          <w:tcPr>
            <w:tcW w:w="850"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Yes</w:t>
            </w:r>
          </w:p>
        </w:tc>
        <w:tc>
          <w:tcPr>
            <w:tcW w:w="849"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No</w:t>
            </w:r>
          </w:p>
        </w:tc>
        <w:tc>
          <w:tcPr>
            <w:tcW w:w="992"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Unclear</w:t>
            </w:r>
          </w:p>
        </w:tc>
        <w:tc>
          <w:tcPr>
            <w:tcW w:w="1484"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Not applicable</w:t>
            </w:r>
          </w:p>
        </w:tc>
      </w:tr>
      <w:tr w:rsidR="00A01892" w:rsidTr="00BC7D2D">
        <w:tc>
          <w:tcPr>
            <w:tcW w:w="5893"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9. Were strategies to deal with confounding factors stated?</w:t>
            </w:r>
          </w:p>
        </w:tc>
        <w:tc>
          <w:tcPr>
            <w:tcW w:w="850"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Yes</w:t>
            </w:r>
          </w:p>
        </w:tc>
        <w:tc>
          <w:tcPr>
            <w:tcW w:w="849"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No</w:t>
            </w:r>
          </w:p>
        </w:tc>
        <w:tc>
          <w:tcPr>
            <w:tcW w:w="992"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Unclear</w:t>
            </w:r>
          </w:p>
        </w:tc>
        <w:tc>
          <w:tcPr>
            <w:tcW w:w="1484"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Not applicable</w:t>
            </w:r>
          </w:p>
        </w:tc>
      </w:tr>
      <w:tr w:rsidR="00A01892" w:rsidTr="00BC7D2D">
        <w:tc>
          <w:tcPr>
            <w:tcW w:w="5893"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10. Was an appropriate statistical analysis used?</w:t>
            </w:r>
          </w:p>
        </w:tc>
        <w:tc>
          <w:tcPr>
            <w:tcW w:w="850"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Yes</w:t>
            </w:r>
          </w:p>
        </w:tc>
        <w:tc>
          <w:tcPr>
            <w:tcW w:w="849"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No</w:t>
            </w:r>
          </w:p>
        </w:tc>
        <w:tc>
          <w:tcPr>
            <w:tcW w:w="992"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Unclear</w:t>
            </w:r>
          </w:p>
        </w:tc>
        <w:tc>
          <w:tcPr>
            <w:tcW w:w="1484" w:type="dxa"/>
          </w:tcPr>
          <w:p w:rsidR="00A01892" w:rsidRPr="000D05F3" w:rsidRDefault="00A01892" w:rsidP="00BC7D2D">
            <w:pPr>
              <w:suppressLineNumbers/>
              <w:spacing w:line="360" w:lineRule="auto"/>
              <w:rPr>
                <w:rFonts w:ascii="Times New Roman" w:hAnsi="Times New Roman" w:cs="Times New Roman"/>
              </w:rPr>
            </w:pPr>
            <w:r w:rsidRPr="000D05F3">
              <w:rPr>
                <w:rFonts w:ascii="Times New Roman" w:hAnsi="Times New Roman" w:cs="Times New Roman"/>
              </w:rPr>
              <w:t>Not applicable</w:t>
            </w:r>
          </w:p>
        </w:tc>
      </w:tr>
      <w:tr w:rsidR="00A01892" w:rsidTr="00BC7D2D">
        <w:tc>
          <w:tcPr>
            <w:tcW w:w="10068" w:type="dxa"/>
            <w:gridSpan w:val="5"/>
          </w:tcPr>
          <w:p w:rsidR="00A01892" w:rsidRPr="000D05F3" w:rsidRDefault="00A01892" w:rsidP="00BC7D2D">
            <w:pPr>
              <w:keepNext/>
              <w:suppressLineNumbers/>
              <w:spacing w:line="360" w:lineRule="auto"/>
              <w:rPr>
                <w:rFonts w:ascii="Times New Roman" w:hAnsi="Times New Roman" w:cs="Times New Roman"/>
              </w:rPr>
            </w:pPr>
            <w:r w:rsidRPr="000D05F3">
              <w:rPr>
                <w:rFonts w:ascii="Times New Roman" w:hAnsi="Times New Roman" w:cs="Times New Roman"/>
              </w:rPr>
              <w:t xml:space="preserve">Overall appraisal:  Include □       Exclude □       Seek further info □ </w:t>
            </w:r>
          </w:p>
        </w:tc>
      </w:tr>
    </w:tbl>
    <w:p w:rsidR="00A01892" w:rsidRPr="000D05F3" w:rsidRDefault="00A01892" w:rsidP="00A01892">
      <w:pPr>
        <w:suppressLineNumbers/>
        <w:spacing w:line="360" w:lineRule="auto"/>
        <w:rPr>
          <w:rFonts w:ascii="Times New Roman" w:hAnsi="Times New Roman" w:cs="Times New Roman"/>
        </w:rPr>
      </w:pPr>
    </w:p>
    <w:p w:rsidR="00A01892" w:rsidRPr="000D05F3" w:rsidRDefault="00A01892" w:rsidP="00A01892">
      <w:pPr>
        <w:pStyle w:val="FigureCaption"/>
        <w:keepNext/>
        <w:suppressLineNumbers/>
        <w:spacing w:line="360" w:lineRule="auto"/>
        <w:rPr>
          <w:rFonts w:ascii="Times New Roman" w:hAnsi="Times New Roman" w:cs="Times New Roman"/>
          <w:sz w:val="22"/>
          <w:szCs w:val="22"/>
        </w:rPr>
      </w:pPr>
      <w:bookmarkStart w:id="4" w:name="Sublemental2"/>
      <w:bookmarkStart w:id="5" w:name="ae_90"/>
      <w:r w:rsidRPr="000D05F3">
        <w:rPr>
          <w:rFonts w:ascii="Times New Roman" w:hAnsi="Times New Roman" w:cs="Times New Roman"/>
          <w:sz w:val="22"/>
          <w:szCs w:val="22"/>
        </w:rPr>
        <w:t xml:space="preserve">Supplemental Table 3 </w:t>
      </w:r>
      <w:bookmarkEnd w:id="4"/>
      <w:r w:rsidRPr="000D05F3">
        <w:rPr>
          <w:rFonts w:ascii="Times New Roman" w:hAnsi="Times New Roman" w:cs="Times New Roman"/>
          <w:sz w:val="22"/>
          <w:szCs w:val="22"/>
        </w:rPr>
        <w:t>Further characteristics of the included studies</w:t>
      </w:r>
      <w:bookmarkEnd w:id="5"/>
    </w:p>
    <w:tbl>
      <w:tblPr>
        <w:tblStyle w:val="TableGrid"/>
        <w:tblW w:w="10491" w:type="dxa"/>
        <w:tblInd w:w="-431" w:type="dxa"/>
        <w:tblLayout w:type="fixed"/>
        <w:tblLook w:val="04A0" w:firstRow="1" w:lastRow="0" w:firstColumn="1" w:lastColumn="0" w:noHBand="0" w:noVBand="1"/>
      </w:tblPr>
      <w:tblGrid>
        <w:gridCol w:w="1844"/>
        <w:gridCol w:w="1701"/>
        <w:gridCol w:w="1843"/>
        <w:gridCol w:w="1275"/>
        <w:gridCol w:w="1701"/>
        <w:gridCol w:w="2127"/>
      </w:tblGrid>
      <w:tr w:rsidR="00A01892" w:rsidTr="00BC7D2D">
        <w:trPr>
          <w:tblHeader/>
        </w:trPr>
        <w:tc>
          <w:tcPr>
            <w:tcW w:w="1844" w:type="dxa"/>
            <w:shd w:val="clear" w:color="auto" w:fill="BFBFBF" w:themeFill="background1" w:themeFillShade="BF"/>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Authors</w:t>
            </w:r>
          </w:p>
        </w:tc>
        <w:tc>
          <w:tcPr>
            <w:tcW w:w="1701" w:type="dxa"/>
            <w:shd w:val="clear" w:color="auto" w:fill="BFBFBF" w:themeFill="background1" w:themeFillShade="BF"/>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Aim</w:t>
            </w:r>
          </w:p>
        </w:tc>
        <w:tc>
          <w:tcPr>
            <w:tcW w:w="1843" w:type="dxa"/>
            <w:shd w:val="clear" w:color="auto" w:fill="BFBFBF" w:themeFill="background1" w:themeFillShade="BF"/>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Method</w:t>
            </w:r>
          </w:p>
        </w:tc>
        <w:tc>
          <w:tcPr>
            <w:tcW w:w="1275" w:type="dxa"/>
            <w:shd w:val="clear" w:color="auto" w:fill="BFBFBF" w:themeFill="background1" w:themeFillShade="BF"/>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Sample age (years)</w:t>
            </w:r>
          </w:p>
        </w:tc>
        <w:tc>
          <w:tcPr>
            <w:tcW w:w="1701" w:type="dxa"/>
            <w:shd w:val="clear" w:color="auto" w:fill="BFBFBF" w:themeFill="background1" w:themeFillShade="BF"/>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Frailty and AE association</w:t>
            </w:r>
          </w:p>
        </w:tc>
        <w:tc>
          <w:tcPr>
            <w:tcW w:w="2127" w:type="dxa"/>
            <w:shd w:val="clear" w:color="auto" w:fill="BFBFBF" w:themeFill="background1" w:themeFillShade="BF"/>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Authors conclusion</w:t>
            </w:r>
          </w:p>
        </w:tc>
      </w:tr>
      <w:tr w:rsidR="00A01892" w:rsidTr="00BC7D2D">
        <w:tc>
          <w:tcPr>
            <w:tcW w:w="1844" w:type="dxa"/>
          </w:tcPr>
          <w:p w:rsidR="00A01892" w:rsidRPr="000D05F3" w:rsidRDefault="00A01892" w:rsidP="00BC7D2D">
            <w:pPr>
              <w:suppressLineNumbers/>
              <w:spacing w:line="360" w:lineRule="auto"/>
              <w:ind w:left="34"/>
              <w:rPr>
                <w:rFonts w:ascii="Times New Roman" w:hAnsi="Times New Roman" w:cs="Times New Roman"/>
              </w:rPr>
            </w:pPr>
            <w:proofErr w:type="spellStart"/>
            <w:r w:rsidRPr="000D05F3">
              <w:rPr>
                <w:rFonts w:ascii="Times New Roman" w:hAnsi="Times New Roman" w:cs="Times New Roman"/>
              </w:rPr>
              <w:t>Deiner</w:t>
            </w:r>
            <w:proofErr w:type="spellEnd"/>
            <w:r w:rsidRPr="000D05F3">
              <w:rPr>
                <w:rFonts w:ascii="Times New Roman" w:hAnsi="Times New Roman" w:cs="Times New Roman"/>
              </w:rPr>
              <w:t xml:space="preserve"> S et al [</w:t>
            </w:r>
            <w:r w:rsidRPr="000D05F3">
              <w:rPr>
                <w:rFonts w:ascii="Times New Roman" w:eastAsia="Times New Roman" w:hAnsi="Times New Roman" w:cs="Times New Roman"/>
              </w:rPr>
              <w:t>50]</w:t>
            </w:r>
          </w:p>
          <w:p w:rsidR="00A01892" w:rsidRPr="000D05F3" w:rsidRDefault="00A01892" w:rsidP="00BC7D2D">
            <w:pPr>
              <w:suppressLineNumbers/>
              <w:spacing w:line="360" w:lineRule="auto"/>
              <w:ind w:left="34"/>
              <w:rPr>
                <w:rFonts w:ascii="Times New Roman" w:hAnsi="Times New Roman" w:cs="Times New Roman"/>
              </w:rPr>
            </w:pP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 xml:space="preserve">To examine the relationship between various frailty </w:t>
            </w:r>
            <w:r w:rsidRPr="000D05F3">
              <w:rPr>
                <w:rFonts w:ascii="Times New Roman" w:hAnsi="Times New Roman" w:cs="Times New Roman"/>
              </w:rPr>
              <w:lastRenderedPageBreak/>
              <w:t>measures and the incidence and severity of delirium</w:t>
            </w:r>
          </w:p>
          <w:p w:rsidR="00A01892" w:rsidRPr="000D05F3" w:rsidRDefault="00A01892" w:rsidP="00BC7D2D">
            <w:pPr>
              <w:suppressLineNumbers/>
              <w:spacing w:line="360" w:lineRule="auto"/>
              <w:ind w:left="34"/>
              <w:rPr>
                <w:rFonts w:ascii="Times New Roman" w:hAnsi="Times New Roman" w:cs="Times New Roman"/>
              </w:rPr>
            </w:pPr>
          </w:p>
        </w:tc>
        <w:tc>
          <w:tcPr>
            <w:tcW w:w="1843"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lastRenderedPageBreak/>
              <w:t>prospective observational study</w:t>
            </w:r>
          </w:p>
        </w:tc>
        <w:tc>
          <w:tcPr>
            <w:tcW w:w="1275"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70+</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 xml:space="preserve">The frailty index was linked to an increased </w:t>
            </w:r>
            <w:r w:rsidRPr="000D05F3">
              <w:rPr>
                <w:rFonts w:ascii="Times New Roman" w:hAnsi="Times New Roman" w:cs="Times New Roman"/>
              </w:rPr>
              <w:lastRenderedPageBreak/>
              <w:t>incidence of delirium</w:t>
            </w:r>
          </w:p>
          <w:p w:rsidR="00A01892" w:rsidRPr="000D05F3" w:rsidRDefault="00A01892" w:rsidP="00BC7D2D">
            <w:pPr>
              <w:suppressLineNumbers/>
              <w:spacing w:line="360" w:lineRule="auto"/>
              <w:ind w:left="34"/>
              <w:rPr>
                <w:rFonts w:ascii="Times New Roman" w:hAnsi="Times New Roman" w:cs="Times New Roman"/>
              </w:rPr>
            </w:pPr>
          </w:p>
        </w:tc>
        <w:tc>
          <w:tcPr>
            <w:tcW w:w="2127"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lastRenderedPageBreak/>
              <w:t xml:space="preserve">Both a frailty index and a frailty phenotype measure were associated with postoperative </w:t>
            </w:r>
            <w:r w:rsidRPr="000D05F3">
              <w:rPr>
                <w:rFonts w:ascii="Times New Roman" w:hAnsi="Times New Roman" w:cs="Times New Roman"/>
              </w:rPr>
              <w:lastRenderedPageBreak/>
              <w:t>delirium, though the index demonstrated a stronger, adjusted relationship. Preoperative frailty assessment may therefore be useful in identifying patients at higher risk.</w:t>
            </w:r>
          </w:p>
          <w:p w:rsidR="00A01892" w:rsidRPr="000D05F3" w:rsidRDefault="00A01892" w:rsidP="00BC7D2D">
            <w:pPr>
              <w:suppressLineNumbers/>
              <w:spacing w:line="360" w:lineRule="auto"/>
              <w:ind w:left="34"/>
              <w:rPr>
                <w:rFonts w:ascii="Times New Roman" w:hAnsi="Times New Roman" w:cs="Times New Roman"/>
              </w:rPr>
            </w:pPr>
          </w:p>
        </w:tc>
      </w:tr>
      <w:tr w:rsidR="00A01892" w:rsidTr="00BC7D2D">
        <w:tc>
          <w:tcPr>
            <w:tcW w:w="1844" w:type="dxa"/>
          </w:tcPr>
          <w:p w:rsidR="00A01892" w:rsidRPr="000D05F3" w:rsidRDefault="00A01892" w:rsidP="00BC7D2D">
            <w:pPr>
              <w:suppressLineNumbers/>
              <w:spacing w:line="360" w:lineRule="auto"/>
              <w:ind w:left="34"/>
              <w:rPr>
                <w:rFonts w:ascii="Times New Roman" w:hAnsi="Times New Roman" w:cs="Times New Roman"/>
              </w:rPr>
            </w:pPr>
            <w:proofErr w:type="spellStart"/>
            <w:r w:rsidRPr="000D05F3">
              <w:rPr>
                <w:rFonts w:ascii="Times New Roman" w:hAnsi="Times New Roman" w:cs="Times New Roman"/>
              </w:rPr>
              <w:lastRenderedPageBreak/>
              <w:t>Esmaeeli</w:t>
            </w:r>
            <w:proofErr w:type="spellEnd"/>
            <w:r w:rsidRPr="000D05F3">
              <w:rPr>
                <w:rFonts w:ascii="Times New Roman" w:hAnsi="Times New Roman" w:cs="Times New Roman"/>
              </w:rPr>
              <w:t xml:space="preserve"> S et al [</w:t>
            </w:r>
            <w:r w:rsidRPr="000D05F3">
              <w:rPr>
                <w:rFonts w:ascii="Times New Roman" w:eastAsia="Times New Roman" w:hAnsi="Times New Roman" w:cs="Times New Roman"/>
              </w:rPr>
              <w:t>38]</w:t>
            </w:r>
          </w:p>
          <w:p w:rsidR="00A01892" w:rsidRPr="000D05F3" w:rsidRDefault="00A01892" w:rsidP="00BC7D2D">
            <w:pPr>
              <w:suppressLineNumbers/>
              <w:spacing w:line="360" w:lineRule="auto"/>
              <w:ind w:left="34"/>
              <w:rPr>
                <w:rFonts w:ascii="Times New Roman" w:hAnsi="Times New Roman" w:cs="Times New Roman"/>
              </w:rPr>
            </w:pP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To assess the association between preoperative frailty and the occurrence of postoperative delirium (POD) in elderly orthopaedic trauma patients</w:t>
            </w:r>
          </w:p>
          <w:p w:rsidR="00A01892" w:rsidRPr="000D05F3" w:rsidRDefault="00A01892" w:rsidP="00BC7D2D">
            <w:pPr>
              <w:suppressLineNumbers/>
              <w:spacing w:line="360" w:lineRule="auto"/>
              <w:ind w:left="34"/>
              <w:rPr>
                <w:rFonts w:ascii="Times New Roman" w:hAnsi="Times New Roman" w:cs="Times New Roman"/>
              </w:rPr>
            </w:pPr>
          </w:p>
        </w:tc>
        <w:tc>
          <w:tcPr>
            <w:tcW w:w="1843"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retrospective observational study</w:t>
            </w:r>
          </w:p>
          <w:p w:rsidR="00A01892" w:rsidRPr="000D05F3" w:rsidRDefault="00A01892" w:rsidP="00BC7D2D">
            <w:pPr>
              <w:suppressLineNumbers/>
              <w:spacing w:line="360" w:lineRule="auto"/>
              <w:ind w:left="34"/>
              <w:rPr>
                <w:rFonts w:ascii="Times New Roman" w:hAnsi="Times New Roman" w:cs="Times New Roman"/>
              </w:rPr>
            </w:pPr>
          </w:p>
        </w:tc>
        <w:tc>
          <w:tcPr>
            <w:tcW w:w="1275"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65+</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Multivariable regression showed each unit increase in the FRAIL score raised the likelihood of POD by 33%.</w:t>
            </w:r>
          </w:p>
          <w:p w:rsidR="00A01892" w:rsidRPr="000D05F3" w:rsidRDefault="00A01892" w:rsidP="00BC7D2D">
            <w:pPr>
              <w:suppressLineNumbers/>
              <w:spacing w:line="360" w:lineRule="auto"/>
              <w:ind w:left="34"/>
              <w:rPr>
                <w:rFonts w:ascii="Times New Roman" w:hAnsi="Times New Roman" w:cs="Times New Roman"/>
              </w:rPr>
            </w:pPr>
          </w:p>
        </w:tc>
        <w:tc>
          <w:tcPr>
            <w:tcW w:w="2127"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preoperative frailty substantially increases the likelihood of postoperative delirium (POD) among hospitalised older adults with orthopaedic trauma.</w:t>
            </w:r>
          </w:p>
          <w:p w:rsidR="00A01892" w:rsidRPr="000D05F3" w:rsidRDefault="00A01892" w:rsidP="00BC7D2D">
            <w:pPr>
              <w:suppressLineNumbers/>
              <w:spacing w:line="360" w:lineRule="auto"/>
              <w:ind w:left="34"/>
              <w:rPr>
                <w:rFonts w:ascii="Times New Roman" w:hAnsi="Times New Roman" w:cs="Times New Roman"/>
              </w:rPr>
            </w:pPr>
          </w:p>
        </w:tc>
      </w:tr>
      <w:tr w:rsidR="00A01892" w:rsidTr="00BC7D2D">
        <w:tc>
          <w:tcPr>
            <w:tcW w:w="1844" w:type="dxa"/>
          </w:tcPr>
          <w:p w:rsidR="00A01892" w:rsidRPr="000D05F3" w:rsidRDefault="00A01892" w:rsidP="00BC7D2D">
            <w:pPr>
              <w:suppressLineNumbers/>
              <w:spacing w:line="360" w:lineRule="auto"/>
              <w:ind w:left="34"/>
              <w:rPr>
                <w:rFonts w:ascii="Times New Roman" w:hAnsi="Times New Roman" w:cs="Times New Roman"/>
              </w:rPr>
            </w:pPr>
            <w:proofErr w:type="spellStart"/>
            <w:r w:rsidRPr="000D05F3">
              <w:rPr>
                <w:rFonts w:ascii="Times New Roman" w:hAnsi="Times New Roman" w:cs="Times New Roman"/>
              </w:rPr>
              <w:t>Sieber</w:t>
            </w:r>
            <w:proofErr w:type="spellEnd"/>
            <w:r w:rsidRPr="000D05F3">
              <w:rPr>
                <w:rFonts w:ascii="Times New Roman" w:hAnsi="Times New Roman" w:cs="Times New Roman"/>
              </w:rPr>
              <w:t xml:space="preserve"> F et al [</w:t>
            </w:r>
            <w:r w:rsidRPr="000D05F3">
              <w:rPr>
                <w:rFonts w:ascii="Times New Roman" w:eastAsia="Times New Roman" w:hAnsi="Times New Roman" w:cs="Times New Roman"/>
              </w:rPr>
              <w:t>40]</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 xml:space="preserve">To evaluate the relationship between </w:t>
            </w:r>
            <w:r w:rsidRPr="000D05F3">
              <w:rPr>
                <w:rFonts w:ascii="Times New Roman" w:hAnsi="Times New Roman" w:cs="Times New Roman"/>
              </w:rPr>
              <w:lastRenderedPageBreak/>
              <w:t>vulnerability assessed using the Edmonton Frailty Scale (EFS) and postoperative delirium (POD) in older non-ICU patients undergoing low-risk elective surgery</w:t>
            </w:r>
          </w:p>
        </w:tc>
        <w:tc>
          <w:tcPr>
            <w:tcW w:w="1843"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lastRenderedPageBreak/>
              <w:t>retrospective Observational study</w:t>
            </w:r>
          </w:p>
        </w:tc>
        <w:tc>
          <w:tcPr>
            <w:tcW w:w="1275"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65+</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 xml:space="preserve">EFS ≥6 was consistently linked to postoperative </w:t>
            </w:r>
            <w:r w:rsidRPr="000D05F3">
              <w:rPr>
                <w:rFonts w:ascii="Times New Roman" w:hAnsi="Times New Roman" w:cs="Times New Roman"/>
              </w:rPr>
              <w:lastRenderedPageBreak/>
              <w:t>delirium in all bivariate models</w:t>
            </w:r>
          </w:p>
          <w:p w:rsidR="00A01892" w:rsidRPr="000D05F3" w:rsidRDefault="00A01892" w:rsidP="00BC7D2D">
            <w:pPr>
              <w:suppressLineNumbers/>
              <w:spacing w:line="360" w:lineRule="auto"/>
              <w:ind w:left="34"/>
              <w:rPr>
                <w:rFonts w:ascii="Times New Roman" w:hAnsi="Times New Roman" w:cs="Times New Roman"/>
              </w:rPr>
            </w:pPr>
          </w:p>
        </w:tc>
        <w:tc>
          <w:tcPr>
            <w:tcW w:w="2127"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lastRenderedPageBreak/>
              <w:t xml:space="preserve">an EFS score of 6 or higher emerged as a strong predictor of </w:t>
            </w:r>
            <w:r w:rsidRPr="000D05F3">
              <w:rPr>
                <w:rFonts w:ascii="Times New Roman" w:hAnsi="Times New Roman" w:cs="Times New Roman"/>
              </w:rPr>
              <w:lastRenderedPageBreak/>
              <w:t>postoperative delirium in older elective surgical patients who did not require ICU admission</w:t>
            </w:r>
          </w:p>
          <w:p w:rsidR="00A01892" w:rsidRPr="000D05F3" w:rsidRDefault="00A01892" w:rsidP="00BC7D2D">
            <w:pPr>
              <w:suppressLineNumbers/>
              <w:spacing w:line="360" w:lineRule="auto"/>
              <w:ind w:left="34"/>
              <w:rPr>
                <w:rFonts w:ascii="Times New Roman" w:hAnsi="Times New Roman" w:cs="Times New Roman"/>
              </w:rPr>
            </w:pPr>
          </w:p>
        </w:tc>
      </w:tr>
      <w:tr w:rsidR="00A01892" w:rsidTr="00BC7D2D">
        <w:tc>
          <w:tcPr>
            <w:tcW w:w="1844"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lastRenderedPageBreak/>
              <w:t>Joseph B et al [</w:t>
            </w:r>
            <w:r w:rsidRPr="000D05F3">
              <w:rPr>
                <w:rFonts w:ascii="Times New Roman" w:eastAsia="Times New Roman" w:hAnsi="Times New Roman" w:cs="Times New Roman"/>
              </w:rPr>
              <w:t>36]</w:t>
            </w:r>
          </w:p>
          <w:p w:rsidR="00A01892" w:rsidRPr="000D05F3" w:rsidRDefault="00A01892" w:rsidP="00BC7D2D">
            <w:pPr>
              <w:suppressLineNumbers/>
              <w:spacing w:line="360" w:lineRule="auto"/>
              <w:ind w:left="34"/>
              <w:rPr>
                <w:rFonts w:ascii="Times New Roman" w:hAnsi="Times New Roman" w:cs="Times New Roman"/>
              </w:rPr>
            </w:pP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To quantify the prevalence of Frailty Syndrome (FS) in geriatric trauma patients and examine its association with trauma readmissions, recurrent falls, and 6-month mortality.</w:t>
            </w:r>
          </w:p>
        </w:tc>
        <w:tc>
          <w:tcPr>
            <w:tcW w:w="1843"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prospective observational study</w:t>
            </w:r>
          </w:p>
          <w:p w:rsidR="00A01892" w:rsidRPr="000D05F3" w:rsidRDefault="00A01892" w:rsidP="00BC7D2D">
            <w:pPr>
              <w:suppressLineNumbers/>
              <w:spacing w:line="360" w:lineRule="auto"/>
              <w:ind w:left="34"/>
              <w:rPr>
                <w:rFonts w:ascii="Times New Roman" w:hAnsi="Times New Roman" w:cs="Times New Roman"/>
              </w:rPr>
            </w:pPr>
          </w:p>
        </w:tc>
        <w:tc>
          <w:tcPr>
            <w:tcW w:w="1275"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65+</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Frail patients had an increased likelihood of developing in-hospital complications</w:t>
            </w:r>
          </w:p>
          <w:p w:rsidR="00A01892" w:rsidRPr="000D05F3" w:rsidRDefault="00A01892" w:rsidP="00BC7D2D">
            <w:pPr>
              <w:suppressLineNumbers/>
              <w:spacing w:line="360" w:lineRule="auto"/>
              <w:ind w:left="34"/>
              <w:rPr>
                <w:rFonts w:ascii="Times New Roman" w:hAnsi="Times New Roman" w:cs="Times New Roman"/>
              </w:rPr>
            </w:pPr>
          </w:p>
        </w:tc>
        <w:tc>
          <w:tcPr>
            <w:tcW w:w="2127"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TSFI is a valuable tool for detecting older trauma patients at risk of both short- and long-term outcomes, underlining the importance of early, targeted interventions.</w:t>
            </w:r>
          </w:p>
          <w:p w:rsidR="00A01892" w:rsidRPr="000D05F3" w:rsidRDefault="00A01892" w:rsidP="00BC7D2D">
            <w:pPr>
              <w:suppressLineNumbers/>
              <w:spacing w:line="360" w:lineRule="auto"/>
              <w:ind w:left="34"/>
              <w:rPr>
                <w:rFonts w:ascii="Times New Roman" w:hAnsi="Times New Roman" w:cs="Times New Roman"/>
              </w:rPr>
            </w:pPr>
          </w:p>
          <w:p w:rsidR="00A01892" w:rsidRPr="000D05F3" w:rsidRDefault="00A01892" w:rsidP="00BC7D2D">
            <w:pPr>
              <w:suppressLineNumbers/>
              <w:spacing w:line="360" w:lineRule="auto"/>
              <w:ind w:left="34"/>
              <w:rPr>
                <w:rFonts w:ascii="Times New Roman" w:hAnsi="Times New Roman" w:cs="Times New Roman"/>
              </w:rPr>
            </w:pPr>
          </w:p>
        </w:tc>
      </w:tr>
      <w:tr w:rsidR="00A01892" w:rsidTr="00BC7D2D">
        <w:tc>
          <w:tcPr>
            <w:tcW w:w="1844"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lastRenderedPageBreak/>
              <w:t xml:space="preserve">Leung J et al </w:t>
            </w:r>
            <w:r w:rsidRPr="000D05F3">
              <w:rPr>
                <w:rFonts w:ascii="Times New Roman" w:eastAsia="Times New Roman" w:hAnsi="Times New Roman" w:cs="Times New Roman"/>
              </w:rPr>
              <w:t>[51]</w:t>
            </w:r>
          </w:p>
          <w:p w:rsidR="00A01892" w:rsidRPr="000D05F3" w:rsidRDefault="00A01892" w:rsidP="00BC7D2D">
            <w:pPr>
              <w:suppressLineNumbers/>
              <w:spacing w:line="360" w:lineRule="auto"/>
              <w:ind w:left="34"/>
              <w:rPr>
                <w:rFonts w:ascii="Times New Roman" w:hAnsi="Times New Roman" w:cs="Times New Roman"/>
              </w:rPr>
            </w:pP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To assess whether preoperative frailty independently predicts the risk of postoperative delirium</w:t>
            </w:r>
          </w:p>
        </w:tc>
        <w:tc>
          <w:tcPr>
            <w:tcW w:w="1843"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 xml:space="preserve">retrospective Observational Study </w:t>
            </w:r>
          </w:p>
          <w:p w:rsidR="00A01892" w:rsidRPr="000D05F3" w:rsidRDefault="00A01892" w:rsidP="00BC7D2D">
            <w:pPr>
              <w:suppressLineNumbers/>
              <w:spacing w:line="360" w:lineRule="auto"/>
              <w:ind w:left="34"/>
              <w:rPr>
                <w:rFonts w:ascii="Times New Roman" w:hAnsi="Times New Roman" w:cs="Times New Roman"/>
              </w:rPr>
            </w:pPr>
          </w:p>
        </w:tc>
        <w:tc>
          <w:tcPr>
            <w:tcW w:w="1275"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65+</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Preoperative frailty was independently linked to postoperative delirium</w:t>
            </w:r>
          </w:p>
          <w:p w:rsidR="00A01892" w:rsidRPr="000D05F3" w:rsidRDefault="00A01892" w:rsidP="00BC7D2D">
            <w:pPr>
              <w:suppressLineNumbers/>
              <w:spacing w:line="360" w:lineRule="auto"/>
              <w:ind w:left="34"/>
              <w:rPr>
                <w:rFonts w:ascii="Times New Roman" w:hAnsi="Times New Roman" w:cs="Times New Roman"/>
              </w:rPr>
            </w:pPr>
          </w:p>
        </w:tc>
        <w:tc>
          <w:tcPr>
            <w:tcW w:w="2127"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frailty assessment in the preoperative setting improves risk evaluation, particularly in identifying older patients at risk of postoperative delirium</w:t>
            </w:r>
          </w:p>
          <w:p w:rsidR="00A01892" w:rsidRPr="000D05F3" w:rsidRDefault="00A01892" w:rsidP="00BC7D2D">
            <w:pPr>
              <w:suppressLineNumbers/>
              <w:spacing w:line="360" w:lineRule="auto"/>
              <w:ind w:left="34"/>
              <w:rPr>
                <w:rFonts w:ascii="Times New Roman" w:hAnsi="Times New Roman" w:cs="Times New Roman"/>
              </w:rPr>
            </w:pPr>
          </w:p>
        </w:tc>
      </w:tr>
      <w:tr w:rsidR="00A01892" w:rsidTr="00BC7D2D">
        <w:tc>
          <w:tcPr>
            <w:tcW w:w="1844"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Hanlon J et al [</w:t>
            </w:r>
            <w:r w:rsidRPr="000D05F3">
              <w:rPr>
                <w:rFonts w:ascii="Times New Roman" w:eastAsia="Times New Roman" w:hAnsi="Times New Roman" w:cs="Times New Roman"/>
              </w:rPr>
              <w:t>34]</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To evaluate the prevalence and identify predictors of inappropriate prescribing in hospitalised frail elderly patients</w:t>
            </w:r>
          </w:p>
          <w:p w:rsidR="00A01892" w:rsidRPr="000D05F3" w:rsidRDefault="00A01892" w:rsidP="00BC7D2D">
            <w:pPr>
              <w:suppressLineNumbers/>
              <w:spacing w:line="360" w:lineRule="auto"/>
              <w:ind w:left="34"/>
              <w:rPr>
                <w:rFonts w:ascii="Times New Roman" w:hAnsi="Times New Roman" w:cs="Times New Roman"/>
              </w:rPr>
            </w:pPr>
          </w:p>
        </w:tc>
        <w:tc>
          <w:tcPr>
            <w:tcW w:w="1843"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 xml:space="preserve">retrospective Observational Study </w:t>
            </w:r>
          </w:p>
          <w:p w:rsidR="00A01892" w:rsidRPr="000D05F3" w:rsidRDefault="00A01892" w:rsidP="00BC7D2D">
            <w:pPr>
              <w:suppressLineNumbers/>
              <w:spacing w:line="360" w:lineRule="auto"/>
              <w:ind w:left="34"/>
              <w:rPr>
                <w:rFonts w:ascii="Times New Roman" w:hAnsi="Times New Roman" w:cs="Times New Roman"/>
              </w:rPr>
            </w:pPr>
          </w:p>
        </w:tc>
        <w:tc>
          <w:tcPr>
            <w:tcW w:w="1275"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65+</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Frailty is linked to inappropriate medication prescribing and use in older hospitalised veterans</w:t>
            </w:r>
          </w:p>
          <w:p w:rsidR="00A01892" w:rsidRPr="000D05F3" w:rsidRDefault="00A01892" w:rsidP="00BC7D2D">
            <w:pPr>
              <w:suppressLineNumbers/>
              <w:spacing w:line="360" w:lineRule="auto"/>
              <w:ind w:left="34"/>
              <w:rPr>
                <w:rFonts w:ascii="Times New Roman" w:hAnsi="Times New Roman" w:cs="Times New Roman"/>
              </w:rPr>
            </w:pPr>
          </w:p>
        </w:tc>
        <w:tc>
          <w:tcPr>
            <w:tcW w:w="2127"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 inappropriate drug prescribing is common among frail elderly veteran inpatients, largely influenced by polypharmacy and underlying health conditions.</w:t>
            </w:r>
          </w:p>
          <w:p w:rsidR="00A01892" w:rsidRPr="000D05F3" w:rsidRDefault="00A01892" w:rsidP="00BC7D2D">
            <w:pPr>
              <w:suppressLineNumbers/>
              <w:spacing w:line="360" w:lineRule="auto"/>
              <w:ind w:left="34"/>
              <w:rPr>
                <w:rFonts w:ascii="Times New Roman" w:hAnsi="Times New Roman" w:cs="Times New Roman"/>
              </w:rPr>
            </w:pPr>
          </w:p>
        </w:tc>
      </w:tr>
      <w:tr w:rsidR="00A01892" w:rsidTr="00BC7D2D">
        <w:tc>
          <w:tcPr>
            <w:tcW w:w="1844"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McEvoy L et al [</w:t>
            </w:r>
            <w:r w:rsidRPr="000D05F3">
              <w:rPr>
                <w:rFonts w:ascii="Times New Roman" w:eastAsia="Times New Roman" w:hAnsi="Times New Roman" w:cs="Times New Roman"/>
              </w:rPr>
              <w:t>41]</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 xml:space="preserve">To explore the relationship between increasing frailty in older surgical patients and the risk of specific </w:t>
            </w:r>
            <w:r w:rsidRPr="000D05F3">
              <w:rPr>
                <w:rFonts w:ascii="Times New Roman" w:hAnsi="Times New Roman" w:cs="Times New Roman"/>
              </w:rPr>
              <w:lastRenderedPageBreak/>
              <w:t>hospital-acquired AEs</w:t>
            </w:r>
          </w:p>
          <w:p w:rsidR="00A01892" w:rsidRPr="000D05F3" w:rsidRDefault="00A01892" w:rsidP="00BC7D2D">
            <w:pPr>
              <w:suppressLineNumbers/>
              <w:spacing w:line="360" w:lineRule="auto"/>
              <w:ind w:left="34"/>
              <w:rPr>
                <w:rFonts w:ascii="Times New Roman" w:hAnsi="Times New Roman" w:cs="Times New Roman"/>
              </w:rPr>
            </w:pPr>
          </w:p>
        </w:tc>
        <w:tc>
          <w:tcPr>
            <w:tcW w:w="1843"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lastRenderedPageBreak/>
              <w:t xml:space="preserve">Retrospective observational study </w:t>
            </w:r>
          </w:p>
          <w:p w:rsidR="00A01892" w:rsidRPr="000D05F3" w:rsidRDefault="00A01892" w:rsidP="00BC7D2D">
            <w:pPr>
              <w:suppressLineNumbers/>
              <w:spacing w:line="360" w:lineRule="auto"/>
              <w:ind w:left="34"/>
              <w:rPr>
                <w:rFonts w:ascii="Times New Roman" w:hAnsi="Times New Roman" w:cs="Times New Roman"/>
              </w:rPr>
            </w:pPr>
          </w:p>
        </w:tc>
        <w:tc>
          <w:tcPr>
            <w:tcW w:w="1275"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70+</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 xml:space="preserve">Increasing frailty was linked to a higher risk of adverse hospital events, with the risk rising as the number of frailty </w:t>
            </w:r>
            <w:r w:rsidRPr="000D05F3">
              <w:rPr>
                <w:rFonts w:ascii="Times New Roman" w:hAnsi="Times New Roman" w:cs="Times New Roman"/>
              </w:rPr>
              <w:lastRenderedPageBreak/>
              <w:t>deficit items increased. Patients in the highest deficit group (4–12 items) faced greater risks compared to those in the lowest group (0–1 item)</w:t>
            </w:r>
          </w:p>
          <w:p w:rsidR="00A01892" w:rsidRPr="000D05F3" w:rsidRDefault="00A01892" w:rsidP="00BC7D2D">
            <w:pPr>
              <w:suppressLineNumbers/>
              <w:spacing w:line="360" w:lineRule="auto"/>
              <w:ind w:left="34"/>
              <w:rPr>
                <w:rFonts w:ascii="Times New Roman" w:hAnsi="Times New Roman" w:cs="Times New Roman"/>
              </w:rPr>
            </w:pPr>
          </w:p>
        </w:tc>
        <w:tc>
          <w:tcPr>
            <w:tcW w:w="2127"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lastRenderedPageBreak/>
              <w:t>Frailty increases the risk of adverse events in older surgical patients during hospitalisation.</w:t>
            </w:r>
          </w:p>
          <w:p w:rsidR="00A01892" w:rsidRPr="000D05F3" w:rsidRDefault="00A01892" w:rsidP="00BC7D2D">
            <w:pPr>
              <w:suppressLineNumbers/>
              <w:spacing w:line="360" w:lineRule="auto"/>
              <w:ind w:left="34"/>
              <w:rPr>
                <w:rFonts w:ascii="Times New Roman" w:hAnsi="Times New Roman" w:cs="Times New Roman"/>
              </w:rPr>
            </w:pPr>
          </w:p>
        </w:tc>
      </w:tr>
      <w:tr w:rsidR="00A01892" w:rsidTr="00BC7D2D">
        <w:tc>
          <w:tcPr>
            <w:tcW w:w="1844" w:type="dxa"/>
          </w:tcPr>
          <w:p w:rsidR="00A01892" w:rsidRPr="000D05F3" w:rsidRDefault="00A01892" w:rsidP="00BC7D2D">
            <w:pPr>
              <w:suppressLineNumbers/>
              <w:spacing w:line="360" w:lineRule="auto"/>
              <w:ind w:left="34"/>
              <w:rPr>
                <w:rFonts w:ascii="Times New Roman" w:hAnsi="Times New Roman" w:cs="Times New Roman"/>
              </w:rPr>
            </w:pPr>
            <w:proofErr w:type="spellStart"/>
            <w:r w:rsidRPr="000D05F3">
              <w:rPr>
                <w:rFonts w:ascii="Times New Roman" w:hAnsi="Times New Roman" w:cs="Times New Roman"/>
              </w:rPr>
              <w:t>Thillainadesan</w:t>
            </w:r>
            <w:proofErr w:type="spellEnd"/>
            <w:r w:rsidRPr="000D05F3">
              <w:rPr>
                <w:rFonts w:ascii="Times New Roman" w:hAnsi="Times New Roman" w:cs="Times New Roman"/>
              </w:rPr>
              <w:t> J et al [</w:t>
            </w:r>
            <w:r w:rsidRPr="000D05F3">
              <w:rPr>
                <w:rFonts w:ascii="Times New Roman" w:eastAsia="Times New Roman" w:hAnsi="Times New Roman" w:cs="Times New Roman"/>
              </w:rPr>
              <w:t>37]</w:t>
            </w:r>
          </w:p>
          <w:p w:rsidR="00A01892" w:rsidRPr="000D05F3" w:rsidRDefault="00A01892" w:rsidP="00BC7D2D">
            <w:pPr>
              <w:suppressLineNumbers/>
              <w:spacing w:line="360" w:lineRule="auto"/>
              <w:ind w:left="34"/>
              <w:rPr>
                <w:rFonts w:ascii="Times New Roman" w:hAnsi="Times New Roman" w:cs="Times New Roman"/>
              </w:rPr>
            </w:pP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 xml:space="preserve">To examine the association between frailty and hospital-acquired geriatric syndromes in older hospitalised vascular surgery patients, and to assess the prognostic accuracy of the Frailty Index (FI) and Clinical </w:t>
            </w:r>
            <w:r w:rsidRPr="000D05F3">
              <w:rPr>
                <w:rFonts w:ascii="Times New Roman" w:hAnsi="Times New Roman" w:cs="Times New Roman"/>
              </w:rPr>
              <w:lastRenderedPageBreak/>
              <w:t>Frailty Scale (CFS) in predicting delirium and functional decline</w:t>
            </w:r>
          </w:p>
        </w:tc>
        <w:tc>
          <w:tcPr>
            <w:tcW w:w="1843"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lastRenderedPageBreak/>
              <w:t>prospective observational study</w:t>
            </w:r>
          </w:p>
          <w:p w:rsidR="00A01892" w:rsidRPr="000D05F3" w:rsidRDefault="00A01892" w:rsidP="00BC7D2D">
            <w:pPr>
              <w:suppressLineNumbers/>
              <w:spacing w:line="360" w:lineRule="auto"/>
              <w:ind w:left="34"/>
              <w:rPr>
                <w:rFonts w:ascii="Times New Roman" w:hAnsi="Times New Roman" w:cs="Times New Roman"/>
              </w:rPr>
            </w:pPr>
          </w:p>
        </w:tc>
        <w:tc>
          <w:tcPr>
            <w:tcW w:w="1275"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65+</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Frailty status is strongly associated with a higher risk of hospital-acquired geriatric syndromes and delirium in older patients admitted to vascular surgery</w:t>
            </w:r>
          </w:p>
          <w:p w:rsidR="00A01892" w:rsidRPr="000D05F3" w:rsidRDefault="00A01892" w:rsidP="00BC7D2D">
            <w:pPr>
              <w:suppressLineNumbers/>
              <w:spacing w:line="360" w:lineRule="auto"/>
              <w:ind w:left="34"/>
              <w:rPr>
                <w:rFonts w:ascii="Times New Roman" w:hAnsi="Times New Roman" w:cs="Times New Roman"/>
              </w:rPr>
            </w:pPr>
          </w:p>
        </w:tc>
        <w:tc>
          <w:tcPr>
            <w:tcW w:w="2127"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Frail older vascular surgery patients are at higher risk of hospital-acquired geriatric syndromes. The FI and CFS are effective tools for predicting delirium, although not all frail patients experience it.</w:t>
            </w:r>
          </w:p>
          <w:p w:rsidR="00A01892" w:rsidRPr="000D05F3" w:rsidRDefault="00A01892" w:rsidP="00BC7D2D">
            <w:pPr>
              <w:suppressLineNumbers/>
              <w:spacing w:line="360" w:lineRule="auto"/>
              <w:ind w:left="34"/>
              <w:rPr>
                <w:rFonts w:ascii="Times New Roman" w:hAnsi="Times New Roman" w:cs="Times New Roman"/>
              </w:rPr>
            </w:pPr>
          </w:p>
        </w:tc>
      </w:tr>
      <w:tr w:rsidR="00A01892" w:rsidTr="00BC7D2D">
        <w:tc>
          <w:tcPr>
            <w:tcW w:w="1844"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Hubbard R et al [</w:t>
            </w:r>
            <w:r w:rsidRPr="000D05F3">
              <w:rPr>
                <w:rFonts w:ascii="Times New Roman" w:eastAsia="Times New Roman" w:hAnsi="Times New Roman" w:cs="Times New Roman"/>
              </w:rPr>
              <w:t>42]</w:t>
            </w:r>
          </w:p>
          <w:p w:rsidR="00A01892" w:rsidRPr="000D05F3" w:rsidRDefault="00A01892" w:rsidP="00BC7D2D">
            <w:pPr>
              <w:suppressLineNumbers/>
              <w:spacing w:line="360" w:lineRule="auto"/>
              <w:ind w:left="34"/>
              <w:rPr>
                <w:rFonts w:ascii="Times New Roman" w:hAnsi="Times New Roman" w:cs="Times New Roman"/>
              </w:rPr>
            </w:pP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To assess the predictive validity of the FI-AC and its association with various adverse outcomes in older inpatients</w:t>
            </w:r>
          </w:p>
        </w:tc>
        <w:tc>
          <w:tcPr>
            <w:tcW w:w="1843"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 xml:space="preserve">Prospective observational study </w:t>
            </w:r>
          </w:p>
          <w:p w:rsidR="00A01892" w:rsidRPr="000D05F3" w:rsidRDefault="00A01892" w:rsidP="00BC7D2D">
            <w:pPr>
              <w:suppressLineNumbers/>
              <w:spacing w:line="360" w:lineRule="auto"/>
              <w:ind w:left="34"/>
              <w:rPr>
                <w:rFonts w:ascii="Times New Roman" w:hAnsi="Times New Roman" w:cs="Times New Roman"/>
              </w:rPr>
            </w:pPr>
          </w:p>
        </w:tc>
        <w:tc>
          <w:tcPr>
            <w:tcW w:w="1275"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70+</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 xml:space="preserve">The Frailty Index (FI) was significantly associated with an increased likelihood of in-hospital falls, delirium, pressure ulcer incidence and functional decline. </w:t>
            </w:r>
          </w:p>
          <w:p w:rsidR="00A01892" w:rsidRPr="000D05F3" w:rsidRDefault="00A01892" w:rsidP="00BC7D2D">
            <w:pPr>
              <w:suppressLineNumbers/>
              <w:spacing w:line="360" w:lineRule="auto"/>
              <w:ind w:left="34"/>
              <w:rPr>
                <w:rFonts w:ascii="Times New Roman" w:hAnsi="Times New Roman" w:cs="Times New Roman"/>
              </w:rPr>
            </w:pPr>
          </w:p>
        </w:tc>
        <w:tc>
          <w:tcPr>
            <w:tcW w:w="2127"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A higher FI-AC score was significantly linked to multiple adverse outcomes.</w:t>
            </w:r>
          </w:p>
          <w:p w:rsidR="00A01892" w:rsidRPr="000D05F3" w:rsidRDefault="00A01892" w:rsidP="00BC7D2D">
            <w:pPr>
              <w:suppressLineNumbers/>
              <w:spacing w:line="360" w:lineRule="auto"/>
              <w:ind w:left="34"/>
              <w:rPr>
                <w:rFonts w:ascii="Times New Roman" w:hAnsi="Times New Roman" w:cs="Times New Roman"/>
              </w:rPr>
            </w:pPr>
          </w:p>
        </w:tc>
      </w:tr>
      <w:tr w:rsidR="00A01892" w:rsidTr="00BC7D2D">
        <w:tc>
          <w:tcPr>
            <w:tcW w:w="1844"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 xml:space="preserve">Chan S et al </w:t>
            </w:r>
            <w:r w:rsidRPr="000D05F3">
              <w:rPr>
                <w:rFonts w:ascii="Times New Roman" w:eastAsia="Times New Roman" w:hAnsi="Times New Roman" w:cs="Times New Roman"/>
              </w:rPr>
              <w:t>[46]</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To examine the association between the Clinical Frailty Scale (CFS) and in-hospital complications as well as length of stay</w:t>
            </w:r>
          </w:p>
          <w:p w:rsidR="00A01892" w:rsidRPr="000D05F3" w:rsidRDefault="00A01892" w:rsidP="00BC7D2D">
            <w:pPr>
              <w:suppressLineNumbers/>
              <w:spacing w:line="360" w:lineRule="auto"/>
              <w:ind w:left="34"/>
              <w:rPr>
                <w:rFonts w:ascii="Times New Roman" w:hAnsi="Times New Roman" w:cs="Times New Roman"/>
              </w:rPr>
            </w:pPr>
          </w:p>
        </w:tc>
        <w:tc>
          <w:tcPr>
            <w:tcW w:w="1843"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lastRenderedPageBreak/>
              <w:t xml:space="preserve">retrospective observational study </w:t>
            </w:r>
          </w:p>
          <w:p w:rsidR="00A01892" w:rsidRPr="000D05F3" w:rsidRDefault="00A01892" w:rsidP="00BC7D2D">
            <w:pPr>
              <w:suppressLineNumbers/>
              <w:spacing w:line="360" w:lineRule="auto"/>
              <w:ind w:left="34"/>
              <w:rPr>
                <w:rFonts w:ascii="Times New Roman" w:hAnsi="Times New Roman" w:cs="Times New Roman"/>
              </w:rPr>
            </w:pPr>
          </w:p>
        </w:tc>
        <w:tc>
          <w:tcPr>
            <w:tcW w:w="1275"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65+</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Frailty was a predictor of increased mortality, longer length of stay, and higher postoperative complications</w:t>
            </w:r>
          </w:p>
        </w:tc>
        <w:tc>
          <w:tcPr>
            <w:tcW w:w="2127"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Preadmission frailty, assessed using the CFS, is associated with discharge destination, in-hospital complications, and length of stay.</w:t>
            </w:r>
          </w:p>
          <w:p w:rsidR="00A01892" w:rsidRPr="000D05F3" w:rsidRDefault="00A01892" w:rsidP="00BC7D2D">
            <w:pPr>
              <w:suppressLineNumbers/>
              <w:spacing w:line="360" w:lineRule="auto"/>
              <w:ind w:left="34"/>
              <w:rPr>
                <w:rFonts w:ascii="Times New Roman" w:hAnsi="Times New Roman" w:cs="Times New Roman"/>
              </w:rPr>
            </w:pPr>
          </w:p>
        </w:tc>
      </w:tr>
      <w:tr w:rsidR="00A01892" w:rsidTr="00BC7D2D">
        <w:tc>
          <w:tcPr>
            <w:tcW w:w="1844" w:type="dxa"/>
          </w:tcPr>
          <w:p w:rsidR="00A01892" w:rsidRPr="000D05F3" w:rsidRDefault="00A01892" w:rsidP="00BC7D2D">
            <w:pPr>
              <w:suppressLineNumbers/>
              <w:spacing w:line="360" w:lineRule="auto"/>
              <w:ind w:left="34"/>
              <w:rPr>
                <w:rFonts w:ascii="Times New Roman" w:hAnsi="Times New Roman" w:cs="Times New Roman"/>
              </w:rPr>
            </w:pPr>
            <w:proofErr w:type="spellStart"/>
            <w:r w:rsidRPr="000D05F3">
              <w:rPr>
                <w:rFonts w:ascii="Times New Roman" w:hAnsi="Times New Roman" w:cs="Times New Roman"/>
              </w:rPr>
              <w:t>Dasgupta</w:t>
            </w:r>
            <w:proofErr w:type="spellEnd"/>
            <w:r w:rsidRPr="000D05F3">
              <w:rPr>
                <w:rFonts w:ascii="Times New Roman" w:hAnsi="Times New Roman" w:cs="Times New Roman"/>
              </w:rPr>
              <w:t xml:space="preserve"> M et al [</w:t>
            </w:r>
            <w:r w:rsidRPr="000D05F3">
              <w:rPr>
                <w:rFonts w:ascii="Times New Roman" w:eastAsia="Times New Roman" w:hAnsi="Times New Roman" w:cs="Times New Roman"/>
              </w:rPr>
              <w:t>49]</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To investigate the relationship between frailty and the increased risk of postoperative complications in older adults with medical conditions undergoing major non-cardiac elective surgery</w:t>
            </w:r>
          </w:p>
          <w:p w:rsidR="00A01892" w:rsidRPr="000D05F3" w:rsidRDefault="00A01892" w:rsidP="00BC7D2D">
            <w:pPr>
              <w:suppressLineNumbers/>
              <w:spacing w:line="360" w:lineRule="auto"/>
              <w:ind w:left="34"/>
              <w:rPr>
                <w:rFonts w:ascii="Times New Roman" w:hAnsi="Times New Roman" w:cs="Times New Roman"/>
              </w:rPr>
            </w:pPr>
          </w:p>
        </w:tc>
        <w:tc>
          <w:tcPr>
            <w:tcW w:w="1843"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Retrospective observation study (blinded char review)</w:t>
            </w:r>
          </w:p>
        </w:tc>
        <w:tc>
          <w:tcPr>
            <w:tcW w:w="1275"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70+</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Increasing frailty was linked to postoperative complications, longer hospital stays, and difficulty being discharged home</w:t>
            </w:r>
          </w:p>
        </w:tc>
        <w:tc>
          <w:tcPr>
            <w:tcW w:w="2127"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Frailty screening enhances risk prediction for postoperative complications in older adults undergoing elective non-cardiac surgery.</w:t>
            </w:r>
          </w:p>
          <w:p w:rsidR="00A01892" w:rsidRPr="000D05F3" w:rsidRDefault="00A01892" w:rsidP="00BC7D2D">
            <w:pPr>
              <w:suppressLineNumbers/>
              <w:spacing w:line="360" w:lineRule="auto"/>
              <w:ind w:left="34"/>
              <w:rPr>
                <w:rFonts w:ascii="Times New Roman" w:hAnsi="Times New Roman" w:cs="Times New Roman"/>
              </w:rPr>
            </w:pPr>
          </w:p>
        </w:tc>
      </w:tr>
      <w:tr w:rsidR="00A01892" w:rsidTr="00BC7D2D">
        <w:tc>
          <w:tcPr>
            <w:tcW w:w="1844"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Jung H et al [</w:t>
            </w:r>
            <w:r w:rsidRPr="000D05F3">
              <w:rPr>
                <w:rFonts w:ascii="Times New Roman" w:eastAsia="Times New Roman" w:hAnsi="Times New Roman" w:cs="Times New Roman"/>
              </w:rPr>
              <w:t>44]</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 xml:space="preserve">To evaluate the effectiveness of the at-point Clinical Frailty Scale (CFS) in predicting clinical outcomes for </w:t>
            </w:r>
            <w:r w:rsidRPr="000D05F3">
              <w:rPr>
                <w:rFonts w:ascii="Times New Roman" w:hAnsi="Times New Roman" w:cs="Times New Roman"/>
              </w:rPr>
              <w:lastRenderedPageBreak/>
              <w:t>older inpatients</w:t>
            </w:r>
          </w:p>
        </w:tc>
        <w:tc>
          <w:tcPr>
            <w:tcW w:w="1843"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lastRenderedPageBreak/>
              <w:t>prospective Observational Study</w:t>
            </w:r>
          </w:p>
        </w:tc>
        <w:tc>
          <w:tcPr>
            <w:tcW w:w="1275"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65+</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At-point CFS can predict falls, pressure ulcers, and delirium</w:t>
            </w:r>
          </w:p>
          <w:p w:rsidR="00A01892" w:rsidRPr="000D05F3" w:rsidRDefault="00A01892" w:rsidP="00BC7D2D">
            <w:pPr>
              <w:suppressLineNumbers/>
              <w:spacing w:line="360" w:lineRule="auto"/>
              <w:ind w:left="34"/>
              <w:rPr>
                <w:rFonts w:ascii="Times New Roman" w:hAnsi="Times New Roman" w:cs="Times New Roman"/>
              </w:rPr>
            </w:pPr>
          </w:p>
        </w:tc>
        <w:tc>
          <w:tcPr>
            <w:tcW w:w="2127"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At-point CFS assessment in older inpatients identifies high-risk individuals prone to adverse geriatric conditions and poor hospital outcomes.</w:t>
            </w:r>
          </w:p>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 xml:space="preserve">and negative. </w:t>
            </w:r>
          </w:p>
        </w:tc>
      </w:tr>
      <w:tr w:rsidR="00A01892" w:rsidTr="00BC7D2D">
        <w:tc>
          <w:tcPr>
            <w:tcW w:w="1844"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Kim D et al [</w:t>
            </w:r>
            <w:r w:rsidRPr="000D05F3">
              <w:rPr>
                <w:rFonts w:ascii="Times New Roman" w:eastAsia="Times New Roman" w:hAnsi="Times New Roman" w:cs="Times New Roman"/>
              </w:rPr>
              <w:t>35]</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To assess the influence of preoperative central sarcopenia, frailty, and comorbidities on surgical outcomes in elderly patients with degenerative spinal diseases (DSD)</w:t>
            </w:r>
          </w:p>
          <w:p w:rsidR="00A01892" w:rsidRPr="000D05F3" w:rsidRDefault="00A01892" w:rsidP="00BC7D2D">
            <w:pPr>
              <w:suppressLineNumbers/>
              <w:spacing w:line="360" w:lineRule="auto"/>
              <w:ind w:left="34"/>
              <w:rPr>
                <w:rFonts w:ascii="Times New Roman" w:hAnsi="Times New Roman" w:cs="Times New Roman"/>
              </w:rPr>
            </w:pPr>
          </w:p>
        </w:tc>
        <w:tc>
          <w:tcPr>
            <w:tcW w:w="1843"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Retrospective observation study</w:t>
            </w:r>
          </w:p>
        </w:tc>
        <w:tc>
          <w:tcPr>
            <w:tcW w:w="1275"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65+</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Postoperative complications were significantly associated with both surgical invasiveness and the K-FRAIL scale</w:t>
            </w:r>
          </w:p>
          <w:p w:rsidR="00A01892" w:rsidRPr="000D05F3" w:rsidRDefault="00A01892" w:rsidP="00BC7D2D">
            <w:pPr>
              <w:suppressLineNumbers/>
              <w:spacing w:line="360" w:lineRule="auto"/>
              <w:ind w:left="34"/>
              <w:rPr>
                <w:rFonts w:ascii="Times New Roman" w:hAnsi="Times New Roman" w:cs="Times New Roman"/>
              </w:rPr>
            </w:pPr>
          </w:p>
        </w:tc>
        <w:tc>
          <w:tcPr>
            <w:tcW w:w="2127"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 xml:space="preserve">Frailty, comorbidity, and surgical invasiveness are key risk factors for postoperative complications and length of stay in elderly patients with DSD. Preoperative identification of these factors supports perioperative optimisation, risk stratification, and patient counselling. </w:t>
            </w:r>
          </w:p>
          <w:p w:rsidR="00A01892" w:rsidRPr="000D05F3" w:rsidRDefault="00A01892" w:rsidP="00BC7D2D">
            <w:pPr>
              <w:suppressLineNumbers/>
              <w:spacing w:line="360" w:lineRule="auto"/>
              <w:ind w:left="34"/>
              <w:rPr>
                <w:rFonts w:ascii="Times New Roman" w:hAnsi="Times New Roman" w:cs="Times New Roman"/>
              </w:rPr>
            </w:pPr>
          </w:p>
        </w:tc>
      </w:tr>
      <w:tr w:rsidR="00A01892" w:rsidTr="00BC7D2D">
        <w:tc>
          <w:tcPr>
            <w:tcW w:w="1844"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Nowak W et al [</w:t>
            </w:r>
            <w:r w:rsidRPr="000D05F3">
              <w:rPr>
                <w:rFonts w:ascii="Times New Roman" w:eastAsia="Times New Roman" w:hAnsi="Times New Roman" w:cs="Times New Roman"/>
              </w:rPr>
              <w:t>45]</w:t>
            </w:r>
          </w:p>
          <w:p w:rsidR="00A01892" w:rsidRPr="000D05F3" w:rsidRDefault="00A01892" w:rsidP="00BC7D2D">
            <w:pPr>
              <w:suppressLineNumbers/>
              <w:spacing w:line="360" w:lineRule="auto"/>
              <w:ind w:left="34"/>
              <w:rPr>
                <w:rFonts w:ascii="Times New Roman" w:hAnsi="Times New Roman" w:cs="Times New Roman"/>
              </w:rPr>
            </w:pP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 xml:space="preserve">To evaluate the impact of frailty on the risk of complications in patients aged 65 years and older </w:t>
            </w:r>
            <w:r w:rsidRPr="000D05F3">
              <w:rPr>
                <w:rFonts w:ascii="Times New Roman" w:hAnsi="Times New Roman" w:cs="Times New Roman"/>
              </w:rPr>
              <w:lastRenderedPageBreak/>
              <w:t>hospitalised for acute coronary syndrome (ACS)</w:t>
            </w:r>
          </w:p>
          <w:p w:rsidR="00A01892" w:rsidRPr="000D05F3" w:rsidRDefault="00A01892" w:rsidP="00BC7D2D">
            <w:pPr>
              <w:suppressLineNumbers/>
              <w:spacing w:line="360" w:lineRule="auto"/>
              <w:ind w:left="34"/>
              <w:rPr>
                <w:rFonts w:ascii="Times New Roman" w:hAnsi="Times New Roman" w:cs="Times New Roman"/>
              </w:rPr>
            </w:pPr>
          </w:p>
        </w:tc>
        <w:tc>
          <w:tcPr>
            <w:tcW w:w="1843"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lastRenderedPageBreak/>
              <w:t>prospective Observational Study</w:t>
            </w:r>
          </w:p>
        </w:tc>
        <w:tc>
          <w:tcPr>
            <w:tcW w:w="1275"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65+</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 xml:space="preserve">Frailty was linked to multiple in-hospital complications in patients aged ≥65 years with a </w:t>
            </w:r>
            <w:r w:rsidRPr="000D05F3">
              <w:rPr>
                <w:rFonts w:ascii="Times New Roman" w:hAnsi="Times New Roman" w:cs="Times New Roman"/>
              </w:rPr>
              <w:lastRenderedPageBreak/>
              <w:t>diagnosis of acute coronary syndrome (ACS)</w:t>
            </w:r>
          </w:p>
          <w:p w:rsidR="00A01892" w:rsidRPr="000D05F3" w:rsidRDefault="00A01892" w:rsidP="00BC7D2D">
            <w:pPr>
              <w:suppressLineNumbers/>
              <w:spacing w:line="360" w:lineRule="auto"/>
              <w:ind w:left="34"/>
              <w:rPr>
                <w:rFonts w:ascii="Times New Roman" w:hAnsi="Times New Roman" w:cs="Times New Roman"/>
              </w:rPr>
            </w:pPr>
          </w:p>
        </w:tc>
        <w:tc>
          <w:tcPr>
            <w:tcW w:w="2127"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lastRenderedPageBreak/>
              <w:t xml:space="preserve">Frailty syndrome significantly increases in-hospital complications in patients aged ≥65 years with acute </w:t>
            </w:r>
            <w:r w:rsidRPr="000D05F3">
              <w:rPr>
                <w:rFonts w:ascii="Times New Roman" w:hAnsi="Times New Roman" w:cs="Times New Roman"/>
              </w:rPr>
              <w:lastRenderedPageBreak/>
              <w:t>coronary syndrome (ACS).</w:t>
            </w:r>
          </w:p>
          <w:p w:rsidR="00A01892" w:rsidRPr="000D05F3" w:rsidRDefault="00A01892" w:rsidP="00BC7D2D">
            <w:pPr>
              <w:suppressLineNumbers/>
              <w:spacing w:line="360" w:lineRule="auto"/>
              <w:ind w:left="34"/>
              <w:rPr>
                <w:rFonts w:ascii="Times New Roman" w:hAnsi="Times New Roman" w:cs="Times New Roman"/>
              </w:rPr>
            </w:pPr>
          </w:p>
        </w:tc>
      </w:tr>
      <w:tr w:rsidR="00A01892" w:rsidTr="00BC7D2D">
        <w:tc>
          <w:tcPr>
            <w:tcW w:w="1844"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lastRenderedPageBreak/>
              <w:t>Chen D et al [</w:t>
            </w:r>
            <w:r w:rsidRPr="000D05F3">
              <w:rPr>
                <w:rFonts w:ascii="Times New Roman" w:eastAsia="Times New Roman" w:hAnsi="Times New Roman" w:cs="Times New Roman"/>
              </w:rPr>
              <w:t>48]</w:t>
            </w:r>
          </w:p>
          <w:p w:rsidR="00A01892" w:rsidRPr="000D05F3" w:rsidRDefault="00A01892" w:rsidP="00BC7D2D">
            <w:pPr>
              <w:suppressLineNumbers/>
              <w:spacing w:line="360" w:lineRule="auto"/>
              <w:ind w:left="34"/>
              <w:rPr>
                <w:rFonts w:ascii="Times New Roman" w:hAnsi="Times New Roman" w:cs="Times New Roman"/>
              </w:rPr>
            </w:pP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 xml:space="preserve">To explore the relationship between frailty and postoperative pulmonary complications (PPCs) in elderly patients undergoing video-assisted </w:t>
            </w:r>
            <w:proofErr w:type="spellStart"/>
            <w:r w:rsidRPr="000D05F3">
              <w:rPr>
                <w:rFonts w:ascii="Times New Roman" w:hAnsi="Times New Roman" w:cs="Times New Roman"/>
              </w:rPr>
              <w:t>thoracoscopic</w:t>
            </w:r>
            <w:proofErr w:type="spellEnd"/>
            <w:r w:rsidRPr="000D05F3">
              <w:rPr>
                <w:rFonts w:ascii="Times New Roman" w:hAnsi="Times New Roman" w:cs="Times New Roman"/>
              </w:rPr>
              <w:t xml:space="preserve"> pulmonary resections, and to assess the added value of frailty evaluation in enhancing the predictive accuracy of the PPC risk index and </w:t>
            </w:r>
            <w:r w:rsidRPr="000D05F3">
              <w:rPr>
                <w:rFonts w:ascii="Times New Roman" w:hAnsi="Times New Roman" w:cs="Times New Roman"/>
              </w:rPr>
              <w:lastRenderedPageBreak/>
              <w:t>ASA classification</w:t>
            </w:r>
          </w:p>
        </w:tc>
        <w:tc>
          <w:tcPr>
            <w:tcW w:w="1843"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lastRenderedPageBreak/>
              <w:t>prospective observational study</w:t>
            </w:r>
          </w:p>
          <w:p w:rsidR="00A01892" w:rsidRPr="000D05F3" w:rsidRDefault="00A01892" w:rsidP="00BC7D2D">
            <w:pPr>
              <w:suppressLineNumbers/>
              <w:spacing w:line="360" w:lineRule="auto"/>
              <w:ind w:left="34"/>
              <w:rPr>
                <w:rFonts w:ascii="Times New Roman" w:hAnsi="Times New Roman" w:cs="Times New Roman"/>
              </w:rPr>
            </w:pPr>
          </w:p>
        </w:tc>
        <w:tc>
          <w:tcPr>
            <w:tcW w:w="1275"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65+</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 xml:space="preserve">Preoperative frailty was associated with postoperative pulmonary complications (PPCs) in elderly patients undergoing video-assisted </w:t>
            </w:r>
            <w:proofErr w:type="spellStart"/>
            <w:r w:rsidRPr="000D05F3">
              <w:rPr>
                <w:rFonts w:ascii="Times New Roman" w:hAnsi="Times New Roman" w:cs="Times New Roman"/>
              </w:rPr>
              <w:t>thoracoscopic</w:t>
            </w:r>
            <w:proofErr w:type="spellEnd"/>
            <w:r w:rsidRPr="000D05F3">
              <w:rPr>
                <w:rFonts w:ascii="Times New Roman" w:hAnsi="Times New Roman" w:cs="Times New Roman"/>
              </w:rPr>
              <w:t xml:space="preserve"> pulmonary resections.</w:t>
            </w:r>
          </w:p>
          <w:p w:rsidR="00A01892" w:rsidRPr="000D05F3" w:rsidRDefault="00A01892" w:rsidP="00BC7D2D">
            <w:pPr>
              <w:suppressLineNumbers/>
              <w:spacing w:line="360" w:lineRule="auto"/>
              <w:ind w:left="34"/>
              <w:rPr>
                <w:rFonts w:ascii="Times New Roman" w:hAnsi="Times New Roman" w:cs="Times New Roman"/>
              </w:rPr>
            </w:pPr>
          </w:p>
        </w:tc>
        <w:tc>
          <w:tcPr>
            <w:tcW w:w="2127"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 xml:space="preserve">Frailty is associated with postoperative pulmonary complications (PPCs) in elderly patients undergoing video-assisted </w:t>
            </w:r>
            <w:proofErr w:type="spellStart"/>
            <w:r w:rsidRPr="000D05F3">
              <w:rPr>
                <w:rFonts w:ascii="Times New Roman" w:hAnsi="Times New Roman" w:cs="Times New Roman"/>
              </w:rPr>
              <w:t>thoracoscopic</w:t>
            </w:r>
            <w:proofErr w:type="spellEnd"/>
            <w:r w:rsidRPr="000D05F3">
              <w:rPr>
                <w:rFonts w:ascii="Times New Roman" w:hAnsi="Times New Roman" w:cs="Times New Roman"/>
              </w:rPr>
              <w:t xml:space="preserve"> pulmonary resections. Including frailty assessment improves the predictive accuracy of the PPC risk index and ASA classification.</w:t>
            </w:r>
          </w:p>
          <w:p w:rsidR="00A01892" w:rsidRPr="000D05F3" w:rsidRDefault="00A01892" w:rsidP="00BC7D2D">
            <w:pPr>
              <w:suppressLineNumbers/>
              <w:spacing w:line="360" w:lineRule="auto"/>
              <w:ind w:left="34"/>
              <w:rPr>
                <w:rFonts w:ascii="Times New Roman" w:hAnsi="Times New Roman" w:cs="Times New Roman"/>
              </w:rPr>
            </w:pPr>
          </w:p>
        </w:tc>
      </w:tr>
      <w:tr w:rsidR="00A01892" w:rsidTr="00BC7D2D">
        <w:tc>
          <w:tcPr>
            <w:tcW w:w="1844"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 xml:space="preserve">P. </w:t>
            </w:r>
            <w:proofErr w:type="spellStart"/>
            <w:r w:rsidRPr="000D05F3">
              <w:rPr>
                <w:rFonts w:ascii="Times New Roman" w:hAnsi="Times New Roman" w:cs="Times New Roman"/>
              </w:rPr>
              <w:t>Aceto</w:t>
            </w:r>
            <w:proofErr w:type="spellEnd"/>
            <w:r w:rsidRPr="000D05F3">
              <w:rPr>
                <w:rFonts w:ascii="Times New Roman" w:hAnsi="Times New Roman" w:cs="Times New Roman"/>
              </w:rPr>
              <w:t xml:space="preserve"> et al [</w:t>
            </w:r>
            <w:r w:rsidRPr="000D05F3">
              <w:rPr>
                <w:rFonts w:ascii="Times New Roman" w:eastAsia="Times New Roman" w:hAnsi="Times New Roman" w:cs="Times New Roman"/>
              </w:rPr>
              <w:t>33]</w:t>
            </w:r>
          </w:p>
          <w:p w:rsidR="00A01892" w:rsidRPr="000D05F3" w:rsidRDefault="00A01892" w:rsidP="00BC7D2D">
            <w:pPr>
              <w:suppressLineNumbers/>
              <w:spacing w:line="360" w:lineRule="auto"/>
              <w:ind w:left="34"/>
              <w:rPr>
                <w:rFonts w:ascii="Times New Roman" w:hAnsi="Times New Roman" w:cs="Times New Roman"/>
              </w:rPr>
            </w:pP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To assess the effectiveness of the modified Frailty Index (</w:t>
            </w:r>
            <w:proofErr w:type="spellStart"/>
            <w:r w:rsidRPr="000D05F3">
              <w:rPr>
                <w:rFonts w:ascii="Times New Roman" w:hAnsi="Times New Roman" w:cs="Times New Roman"/>
              </w:rPr>
              <w:t>mFI</w:t>
            </w:r>
            <w:proofErr w:type="spellEnd"/>
            <w:r w:rsidRPr="000D05F3">
              <w:rPr>
                <w:rFonts w:ascii="Times New Roman" w:hAnsi="Times New Roman" w:cs="Times New Roman"/>
              </w:rPr>
              <w:t>) in predicting postoperative pulmonary complications (PPCs) in elderly patients undergoing major open abdominal surgery.</w:t>
            </w:r>
          </w:p>
          <w:p w:rsidR="00A01892" w:rsidRPr="000D05F3" w:rsidRDefault="00A01892" w:rsidP="00BC7D2D">
            <w:pPr>
              <w:suppressLineNumbers/>
              <w:spacing w:line="360" w:lineRule="auto"/>
              <w:ind w:left="34"/>
              <w:rPr>
                <w:rFonts w:ascii="Times New Roman" w:hAnsi="Times New Roman" w:cs="Times New Roman"/>
              </w:rPr>
            </w:pPr>
          </w:p>
        </w:tc>
        <w:tc>
          <w:tcPr>
            <w:tcW w:w="1843"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prospective observational study</w:t>
            </w:r>
          </w:p>
          <w:p w:rsidR="00A01892" w:rsidRPr="000D05F3" w:rsidRDefault="00A01892" w:rsidP="00BC7D2D">
            <w:pPr>
              <w:suppressLineNumbers/>
              <w:spacing w:line="360" w:lineRule="auto"/>
              <w:ind w:left="34"/>
              <w:rPr>
                <w:rFonts w:ascii="Times New Roman" w:hAnsi="Times New Roman" w:cs="Times New Roman"/>
              </w:rPr>
            </w:pPr>
          </w:p>
        </w:tc>
        <w:tc>
          <w:tcPr>
            <w:tcW w:w="1275"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65+</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Frail patients (</w:t>
            </w:r>
            <w:proofErr w:type="spellStart"/>
            <w:r w:rsidRPr="000D05F3">
              <w:rPr>
                <w:rFonts w:ascii="Times New Roman" w:hAnsi="Times New Roman" w:cs="Times New Roman"/>
              </w:rPr>
              <w:t>mFI</w:t>
            </w:r>
            <w:proofErr w:type="spellEnd"/>
            <w:r w:rsidRPr="000D05F3">
              <w:rPr>
                <w:rFonts w:ascii="Times New Roman" w:hAnsi="Times New Roman" w:cs="Times New Roman"/>
              </w:rPr>
              <w:t xml:space="preserve"> ≥0.18) were at higher risk for postoperative pulmonary complications (PPCs)</w:t>
            </w:r>
          </w:p>
        </w:tc>
        <w:tc>
          <w:tcPr>
            <w:tcW w:w="2127"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 xml:space="preserve">Elderly patients with an </w:t>
            </w:r>
            <w:proofErr w:type="spellStart"/>
            <w:r w:rsidRPr="000D05F3">
              <w:rPr>
                <w:rFonts w:ascii="Times New Roman" w:hAnsi="Times New Roman" w:cs="Times New Roman"/>
              </w:rPr>
              <w:t>mFI</w:t>
            </w:r>
            <w:proofErr w:type="spellEnd"/>
            <w:r w:rsidRPr="000D05F3">
              <w:rPr>
                <w:rFonts w:ascii="Times New Roman" w:hAnsi="Times New Roman" w:cs="Times New Roman"/>
              </w:rPr>
              <w:t xml:space="preserve"> ≥0.18 and/or an </w:t>
            </w:r>
            <w:proofErr w:type="spellStart"/>
            <w:r w:rsidRPr="000D05F3">
              <w:rPr>
                <w:rFonts w:ascii="Times New Roman" w:hAnsi="Times New Roman" w:cs="Times New Roman"/>
              </w:rPr>
              <w:t>Ariscat</w:t>
            </w:r>
            <w:proofErr w:type="spellEnd"/>
            <w:r w:rsidRPr="000D05F3">
              <w:rPr>
                <w:rFonts w:ascii="Times New Roman" w:hAnsi="Times New Roman" w:cs="Times New Roman"/>
              </w:rPr>
              <w:t xml:space="preserve"> score ≥27 are at increased risk of postoperative pulmonary complications (PPCs) following open major abdominal surgery.</w:t>
            </w:r>
          </w:p>
          <w:p w:rsidR="00A01892" w:rsidRPr="000D05F3" w:rsidRDefault="00A01892" w:rsidP="00BC7D2D">
            <w:pPr>
              <w:suppressLineNumbers/>
              <w:spacing w:line="360" w:lineRule="auto"/>
              <w:ind w:left="34"/>
              <w:rPr>
                <w:rFonts w:ascii="Times New Roman" w:hAnsi="Times New Roman" w:cs="Times New Roman"/>
              </w:rPr>
            </w:pPr>
          </w:p>
        </w:tc>
      </w:tr>
      <w:tr w:rsidR="00A01892" w:rsidTr="00BC7D2D">
        <w:tc>
          <w:tcPr>
            <w:tcW w:w="1844"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Welch C et al [</w:t>
            </w:r>
            <w:r w:rsidRPr="000D05F3">
              <w:rPr>
                <w:rFonts w:ascii="Times New Roman" w:eastAsia="Times New Roman" w:hAnsi="Times New Roman" w:cs="Times New Roman"/>
              </w:rPr>
              <w:t>39]</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 xml:space="preserve">To evaluate patient and hospital factors, including frailty measures, that predict delirium, its </w:t>
            </w:r>
            <w:r w:rsidRPr="000D05F3">
              <w:rPr>
                <w:rFonts w:ascii="Times New Roman" w:hAnsi="Times New Roman" w:cs="Times New Roman"/>
              </w:rPr>
              <w:lastRenderedPageBreak/>
              <w:t>screening, and recognition</w:t>
            </w:r>
          </w:p>
        </w:tc>
        <w:tc>
          <w:tcPr>
            <w:tcW w:w="1843"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lastRenderedPageBreak/>
              <w:t xml:space="preserve">prospective observational study </w:t>
            </w:r>
          </w:p>
          <w:p w:rsidR="00A01892" w:rsidRPr="000D05F3" w:rsidRDefault="00A01892" w:rsidP="00BC7D2D">
            <w:pPr>
              <w:suppressLineNumbers/>
              <w:spacing w:line="360" w:lineRule="auto"/>
              <w:ind w:left="34"/>
              <w:rPr>
                <w:rFonts w:ascii="Times New Roman" w:hAnsi="Times New Roman" w:cs="Times New Roman"/>
              </w:rPr>
            </w:pPr>
          </w:p>
        </w:tc>
        <w:tc>
          <w:tcPr>
            <w:tcW w:w="1275"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65+</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The presence of delirium was associated with higher Clinical Frailty Scale (CFS) scores</w:t>
            </w:r>
          </w:p>
        </w:tc>
        <w:tc>
          <w:tcPr>
            <w:tcW w:w="2127"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Frailty is strongly linked to the development of delirium, though it is less likely to be recognised in frail patients.</w:t>
            </w:r>
          </w:p>
          <w:p w:rsidR="00A01892" w:rsidRPr="000D05F3" w:rsidRDefault="00A01892" w:rsidP="00BC7D2D">
            <w:pPr>
              <w:suppressLineNumbers/>
              <w:spacing w:line="360" w:lineRule="auto"/>
              <w:ind w:left="34"/>
              <w:rPr>
                <w:rFonts w:ascii="Times New Roman" w:hAnsi="Times New Roman" w:cs="Times New Roman"/>
              </w:rPr>
            </w:pPr>
          </w:p>
        </w:tc>
      </w:tr>
      <w:tr w:rsidR="00A01892" w:rsidTr="00BC7D2D">
        <w:tc>
          <w:tcPr>
            <w:tcW w:w="1844" w:type="dxa"/>
          </w:tcPr>
          <w:p w:rsidR="00A01892" w:rsidRPr="000D05F3" w:rsidRDefault="00A01892" w:rsidP="00BC7D2D">
            <w:pPr>
              <w:suppressLineNumbers/>
              <w:spacing w:line="360" w:lineRule="auto"/>
              <w:ind w:left="34"/>
              <w:rPr>
                <w:rFonts w:ascii="Times New Roman" w:hAnsi="Times New Roman" w:cs="Times New Roman"/>
              </w:rPr>
            </w:pPr>
            <w:proofErr w:type="spellStart"/>
            <w:r w:rsidRPr="000D05F3">
              <w:rPr>
                <w:rFonts w:ascii="Times New Roman" w:hAnsi="Times New Roman" w:cs="Times New Roman"/>
              </w:rPr>
              <w:t>Birkelbach</w:t>
            </w:r>
            <w:proofErr w:type="spellEnd"/>
            <w:r w:rsidRPr="000D05F3">
              <w:rPr>
                <w:rFonts w:ascii="Times New Roman" w:hAnsi="Times New Roman" w:cs="Times New Roman"/>
              </w:rPr>
              <w:t xml:space="preserve"> O et al [</w:t>
            </w:r>
            <w:r w:rsidRPr="000D05F3">
              <w:rPr>
                <w:rFonts w:ascii="Times New Roman" w:eastAsia="Times New Roman" w:hAnsi="Times New Roman" w:cs="Times New Roman"/>
              </w:rPr>
              <w:t>47]</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To investigate the relationship between frailty status and the occurrence of in-hospital postoperative complications in elderly surgical patients across various surgical specialties</w:t>
            </w:r>
          </w:p>
          <w:p w:rsidR="00A01892" w:rsidRPr="000D05F3" w:rsidRDefault="00A01892" w:rsidP="00BC7D2D">
            <w:pPr>
              <w:suppressLineNumbers/>
              <w:spacing w:line="360" w:lineRule="auto"/>
              <w:ind w:left="34"/>
              <w:rPr>
                <w:rFonts w:ascii="Times New Roman" w:hAnsi="Times New Roman" w:cs="Times New Roman"/>
              </w:rPr>
            </w:pPr>
          </w:p>
        </w:tc>
        <w:tc>
          <w:tcPr>
            <w:tcW w:w="1843"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Retrospective observational analysis</w:t>
            </w:r>
          </w:p>
          <w:p w:rsidR="00A01892" w:rsidRPr="000D05F3" w:rsidRDefault="00A01892" w:rsidP="00BC7D2D">
            <w:pPr>
              <w:suppressLineNumbers/>
              <w:spacing w:line="360" w:lineRule="auto"/>
              <w:ind w:left="34"/>
              <w:rPr>
                <w:rFonts w:ascii="Times New Roman" w:hAnsi="Times New Roman" w:cs="Times New Roman"/>
              </w:rPr>
            </w:pPr>
          </w:p>
        </w:tc>
        <w:tc>
          <w:tcPr>
            <w:tcW w:w="1275"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65+</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Phenotypic pre-frailty and frailty were strongly associated with an increased risk of postoperative complications</w:t>
            </w:r>
          </w:p>
          <w:p w:rsidR="00A01892" w:rsidRPr="000D05F3" w:rsidRDefault="00A01892" w:rsidP="00BC7D2D">
            <w:pPr>
              <w:suppressLineNumbers/>
              <w:spacing w:line="360" w:lineRule="auto"/>
              <w:ind w:left="34"/>
              <w:rPr>
                <w:rFonts w:ascii="Times New Roman" w:hAnsi="Times New Roman" w:cs="Times New Roman"/>
              </w:rPr>
            </w:pPr>
          </w:p>
        </w:tc>
        <w:tc>
          <w:tcPr>
            <w:tcW w:w="2127" w:type="dxa"/>
          </w:tcPr>
          <w:p w:rsidR="00A01892" w:rsidRPr="000D05F3" w:rsidRDefault="00A01892" w:rsidP="00BC7D2D">
            <w:pPr>
              <w:suppressLineNumbers/>
              <w:spacing w:line="360" w:lineRule="auto"/>
              <w:ind w:left="34"/>
              <w:rPr>
                <w:rFonts w:ascii="Times New Roman" w:hAnsi="Times New Roman" w:cs="Times New Roman"/>
              </w:rPr>
            </w:pPr>
            <w:proofErr w:type="spellStart"/>
            <w:r w:rsidRPr="000D05F3">
              <w:rPr>
                <w:rFonts w:ascii="Times New Roman" w:hAnsi="Times New Roman" w:cs="Times New Roman"/>
              </w:rPr>
              <w:t>Fried’s</w:t>
            </w:r>
            <w:proofErr w:type="spellEnd"/>
            <w:r w:rsidRPr="000D05F3">
              <w:rPr>
                <w:rFonts w:ascii="Times New Roman" w:hAnsi="Times New Roman" w:cs="Times New Roman"/>
              </w:rPr>
              <w:t xml:space="preserve"> frailty phenotype is an effective predictor of in-hospital postoperative complications across surgical specialties and can be seamlessly integrated into clinical practice. Both pre-frailty and frailty, regardless of age, help identify at-risk patients and inform patient counselling, care planning, and risk mitigation strategies.</w:t>
            </w:r>
          </w:p>
          <w:p w:rsidR="00A01892" w:rsidRPr="000D05F3" w:rsidRDefault="00A01892" w:rsidP="00BC7D2D">
            <w:pPr>
              <w:suppressLineNumbers/>
              <w:spacing w:line="360" w:lineRule="auto"/>
              <w:ind w:left="34"/>
              <w:rPr>
                <w:rFonts w:ascii="Times New Roman" w:hAnsi="Times New Roman" w:cs="Times New Roman"/>
              </w:rPr>
            </w:pPr>
          </w:p>
          <w:p w:rsidR="00A01892" w:rsidRPr="000D05F3" w:rsidRDefault="00A01892" w:rsidP="00BC7D2D">
            <w:pPr>
              <w:suppressLineNumbers/>
              <w:spacing w:line="360" w:lineRule="auto"/>
              <w:ind w:left="34"/>
              <w:rPr>
                <w:rFonts w:ascii="Times New Roman" w:hAnsi="Times New Roman" w:cs="Times New Roman"/>
              </w:rPr>
            </w:pPr>
          </w:p>
        </w:tc>
      </w:tr>
      <w:tr w:rsidR="00A01892" w:rsidTr="00BC7D2D">
        <w:tc>
          <w:tcPr>
            <w:tcW w:w="1844"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 xml:space="preserve">  </w:t>
            </w:r>
            <w:proofErr w:type="spellStart"/>
            <w:r w:rsidRPr="000D05F3">
              <w:rPr>
                <w:rFonts w:ascii="Times New Roman" w:hAnsi="Times New Roman" w:cs="Times New Roman"/>
              </w:rPr>
              <w:t>Joosten</w:t>
            </w:r>
            <w:proofErr w:type="spellEnd"/>
            <w:r w:rsidRPr="000D05F3">
              <w:rPr>
                <w:rFonts w:ascii="Times New Roman" w:hAnsi="Times New Roman" w:cs="Times New Roman"/>
              </w:rPr>
              <w:t xml:space="preserve"> E et al </w:t>
            </w:r>
            <w:r w:rsidRPr="000D05F3">
              <w:rPr>
                <w:rFonts w:ascii="Times New Roman" w:eastAsia="Times New Roman" w:hAnsi="Times New Roman" w:cs="Times New Roman"/>
              </w:rPr>
              <w:t>[43]</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 xml:space="preserve">To evaluate the extent to which frailty predicts delirium and </w:t>
            </w:r>
            <w:r w:rsidRPr="000D05F3">
              <w:rPr>
                <w:rFonts w:ascii="Times New Roman" w:hAnsi="Times New Roman" w:cs="Times New Roman"/>
              </w:rPr>
              <w:lastRenderedPageBreak/>
              <w:t>falls during hospitalisation</w:t>
            </w:r>
          </w:p>
        </w:tc>
        <w:tc>
          <w:tcPr>
            <w:tcW w:w="1843"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lastRenderedPageBreak/>
              <w:t xml:space="preserve">prospective Observational Study </w:t>
            </w:r>
          </w:p>
          <w:p w:rsidR="00A01892" w:rsidRPr="000D05F3" w:rsidRDefault="00A01892" w:rsidP="00BC7D2D">
            <w:pPr>
              <w:suppressLineNumbers/>
              <w:spacing w:line="360" w:lineRule="auto"/>
              <w:ind w:left="34"/>
              <w:rPr>
                <w:rFonts w:ascii="Times New Roman" w:hAnsi="Times New Roman" w:cs="Times New Roman"/>
              </w:rPr>
            </w:pPr>
          </w:p>
        </w:tc>
        <w:tc>
          <w:tcPr>
            <w:tcW w:w="1275"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70+</w:t>
            </w:r>
          </w:p>
        </w:tc>
        <w:tc>
          <w:tcPr>
            <w:tcW w:w="1701"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t xml:space="preserve">Frailty, as identified by the CHS and SOF indexes, was not found </w:t>
            </w:r>
            <w:r w:rsidRPr="000D05F3">
              <w:rPr>
                <w:rFonts w:ascii="Times New Roman" w:hAnsi="Times New Roman" w:cs="Times New Roman"/>
              </w:rPr>
              <w:lastRenderedPageBreak/>
              <w:t>to be a risk factor for delirium or falls</w:t>
            </w:r>
          </w:p>
          <w:p w:rsidR="00A01892" w:rsidRPr="000D05F3" w:rsidRDefault="00A01892" w:rsidP="00BC7D2D">
            <w:pPr>
              <w:suppressLineNumbers/>
              <w:spacing w:line="360" w:lineRule="auto"/>
              <w:ind w:left="34"/>
              <w:rPr>
                <w:rFonts w:ascii="Times New Roman" w:hAnsi="Times New Roman" w:cs="Times New Roman"/>
              </w:rPr>
            </w:pPr>
          </w:p>
        </w:tc>
        <w:tc>
          <w:tcPr>
            <w:tcW w:w="2127" w:type="dxa"/>
          </w:tcPr>
          <w:p w:rsidR="00A01892" w:rsidRPr="000D05F3" w:rsidRDefault="00A01892" w:rsidP="00BC7D2D">
            <w:pPr>
              <w:suppressLineNumbers/>
              <w:spacing w:line="360" w:lineRule="auto"/>
              <w:ind w:left="34"/>
              <w:rPr>
                <w:rFonts w:ascii="Times New Roman" w:hAnsi="Times New Roman" w:cs="Times New Roman"/>
              </w:rPr>
            </w:pPr>
            <w:r w:rsidRPr="000D05F3">
              <w:rPr>
                <w:rFonts w:ascii="Times New Roman" w:hAnsi="Times New Roman" w:cs="Times New Roman"/>
              </w:rPr>
              <w:lastRenderedPageBreak/>
              <w:t xml:space="preserve">Frailty, assessed using the CHS index, is an independent risk factor for 6-month </w:t>
            </w:r>
            <w:r w:rsidRPr="000D05F3">
              <w:rPr>
                <w:rFonts w:ascii="Times New Roman" w:hAnsi="Times New Roman" w:cs="Times New Roman"/>
              </w:rPr>
              <w:lastRenderedPageBreak/>
              <w:t>mortality. However, both the CHS and SOF indexes have limited utility in evaluating specific geriatric outcomes like falls and delirium in hospitalised older patients.</w:t>
            </w:r>
          </w:p>
          <w:p w:rsidR="00A01892" w:rsidRPr="000D05F3" w:rsidRDefault="00A01892" w:rsidP="00BC7D2D">
            <w:pPr>
              <w:suppressLineNumbers/>
              <w:spacing w:line="360" w:lineRule="auto"/>
              <w:ind w:left="34"/>
              <w:rPr>
                <w:rFonts w:ascii="Times New Roman" w:hAnsi="Times New Roman" w:cs="Times New Roman"/>
              </w:rPr>
            </w:pPr>
          </w:p>
        </w:tc>
      </w:tr>
    </w:tbl>
    <w:p w:rsidR="00A01892" w:rsidRPr="000D05F3" w:rsidRDefault="00A01892" w:rsidP="00A01892">
      <w:pPr>
        <w:suppressLineNumbers/>
        <w:spacing w:after="0" w:line="360" w:lineRule="auto"/>
        <w:rPr>
          <w:rFonts w:ascii="Times New Roman" w:hAnsi="Times New Roman" w:cs="Times New Roman"/>
        </w:rPr>
      </w:pPr>
    </w:p>
    <w:sectPr w:rsidR="00A01892" w:rsidRPr="000D05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892"/>
    <w:rsid w:val="0002126E"/>
    <w:rsid w:val="00077DBD"/>
    <w:rsid w:val="0008678F"/>
    <w:rsid w:val="00093299"/>
    <w:rsid w:val="0009330D"/>
    <w:rsid w:val="000E78A6"/>
    <w:rsid w:val="0014692D"/>
    <w:rsid w:val="0015526D"/>
    <w:rsid w:val="001970B9"/>
    <w:rsid w:val="001B0410"/>
    <w:rsid w:val="001D7398"/>
    <w:rsid w:val="002717DA"/>
    <w:rsid w:val="00282773"/>
    <w:rsid w:val="0031535D"/>
    <w:rsid w:val="00406AD7"/>
    <w:rsid w:val="00410476"/>
    <w:rsid w:val="00411950"/>
    <w:rsid w:val="00450CD2"/>
    <w:rsid w:val="004B17E6"/>
    <w:rsid w:val="004D7A72"/>
    <w:rsid w:val="005C09A8"/>
    <w:rsid w:val="005F773F"/>
    <w:rsid w:val="006264D0"/>
    <w:rsid w:val="00657909"/>
    <w:rsid w:val="00702E39"/>
    <w:rsid w:val="0074492F"/>
    <w:rsid w:val="0077127F"/>
    <w:rsid w:val="007831EB"/>
    <w:rsid w:val="007D7159"/>
    <w:rsid w:val="008020EB"/>
    <w:rsid w:val="00864CE9"/>
    <w:rsid w:val="009309BE"/>
    <w:rsid w:val="00943CE6"/>
    <w:rsid w:val="00944204"/>
    <w:rsid w:val="00947A5F"/>
    <w:rsid w:val="0097474C"/>
    <w:rsid w:val="009A53CF"/>
    <w:rsid w:val="009D1009"/>
    <w:rsid w:val="009E2670"/>
    <w:rsid w:val="009F3F64"/>
    <w:rsid w:val="00A01892"/>
    <w:rsid w:val="00A1497F"/>
    <w:rsid w:val="00AD626F"/>
    <w:rsid w:val="00B32ECA"/>
    <w:rsid w:val="00B9178B"/>
    <w:rsid w:val="00BD6F40"/>
    <w:rsid w:val="00C0774F"/>
    <w:rsid w:val="00C4090A"/>
    <w:rsid w:val="00CA5A1E"/>
    <w:rsid w:val="00D04FED"/>
    <w:rsid w:val="00D20CB7"/>
    <w:rsid w:val="00D82C48"/>
    <w:rsid w:val="00E20115"/>
    <w:rsid w:val="00E509F8"/>
    <w:rsid w:val="00E575C9"/>
    <w:rsid w:val="00E739E3"/>
    <w:rsid w:val="00E965AD"/>
    <w:rsid w:val="00F27F14"/>
    <w:rsid w:val="00FC23F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6A31C2-564E-48E0-A2DA-59ED3D3FA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189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A01892"/>
    <w:pPr>
      <w:spacing w:after="0" w:line="240" w:lineRule="auto"/>
    </w:pPr>
    <w:rPr>
      <w:kern w:val="2"/>
      <w:sz w:val="24"/>
      <w:szCs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01892"/>
    <w:pPr>
      <w:spacing w:after="200" w:line="240" w:lineRule="auto"/>
    </w:pPr>
    <w:rPr>
      <w:i/>
      <w:iCs/>
      <w:color w:val="44546A" w:themeColor="text2"/>
      <w:sz w:val="18"/>
      <w:szCs w:val="18"/>
    </w:rPr>
  </w:style>
  <w:style w:type="paragraph" w:customStyle="1" w:styleId="sec2">
    <w:name w:val="sec2"/>
    <w:rsid w:val="00A01892"/>
    <w:pPr>
      <w:spacing w:after="0" w:line="240" w:lineRule="auto"/>
    </w:pPr>
    <w:rPr>
      <w:kern w:val="2"/>
      <w:sz w:val="24"/>
      <w:szCs w:val="24"/>
      <w:lang w:val="en-GB"/>
      <w14:ligatures w14:val="standardContextual"/>
    </w:rPr>
  </w:style>
  <w:style w:type="paragraph" w:customStyle="1" w:styleId="FigureCaption">
    <w:name w:val="Figure_Caption"/>
    <w:rsid w:val="00A01892"/>
    <w:pPr>
      <w:spacing w:after="0" w:line="240" w:lineRule="auto"/>
    </w:pPr>
    <w:rPr>
      <w:kern w:val="2"/>
      <w:sz w:val="24"/>
      <w:szCs w:val="24"/>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1992</Words>
  <Characters>11356</Characters>
  <Application>Microsoft Office Word</Application>
  <DocSecurity>0</DocSecurity>
  <Lines>94</Lines>
  <Paragraphs>26</Paragraphs>
  <ScaleCrop>false</ScaleCrop>
  <Company/>
  <LinksUpToDate>false</LinksUpToDate>
  <CharactersWithSpaces>13322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Vasuki J</dc:creator>
  <cp:keywords/>
  <dc:description/>
  <cp:lastModifiedBy>Vasuki J</cp:lastModifiedBy>
  <cp:revision>1</cp:revision>
  <dcterms:created xsi:type="dcterms:W3CDTF">2025-05-28T13:16:00Z</dcterms:created>
  <dcterms:modified xsi:type="dcterms:W3CDTF">2025-05-28T13:17:00Z</dcterms:modified>
</cp:coreProperties>
</file>