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3B742" w14:textId="77777777" w:rsidR="00553732" w:rsidRDefault="00553732" w:rsidP="00E30910">
      <w:pPr>
        <w:jc w:val="both"/>
        <w:rPr>
          <w:sz w:val="22"/>
          <w:szCs w:val="22"/>
          <w:lang w:val="en-GB"/>
        </w:rPr>
      </w:pPr>
      <w:r w:rsidRPr="00553732">
        <w:rPr>
          <w:sz w:val="22"/>
          <w:szCs w:val="22"/>
          <w:lang w:val="en-GB"/>
        </w:rPr>
        <w:t>Strategic sentiments and emotions in post-Second World War party manifestos in Finland</w:t>
      </w:r>
    </w:p>
    <w:p w14:paraId="59996FF3" w14:textId="7CF180B6" w:rsidR="00E30910" w:rsidRPr="00553732" w:rsidRDefault="00E30910" w:rsidP="00E30910">
      <w:pPr>
        <w:jc w:val="both"/>
        <w:rPr>
          <w:sz w:val="22"/>
          <w:szCs w:val="22"/>
          <w:lang w:val="fi-FI"/>
        </w:rPr>
      </w:pPr>
      <w:r w:rsidRPr="00553732">
        <w:rPr>
          <w:sz w:val="22"/>
          <w:szCs w:val="22"/>
          <w:lang w:val="fi-FI"/>
        </w:rPr>
        <w:t>Koljonen, Juha; Öhman, Emily; Ahonen, Pertti; Mattila, Mikko</w:t>
      </w:r>
    </w:p>
    <w:p w14:paraId="6E689A1C" w14:textId="77777777" w:rsidR="00E30910" w:rsidRPr="00A30A9D" w:rsidRDefault="00E30910" w:rsidP="00E30910">
      <w:pPr>
        <w:jc w:val="both"/>
        <w:rPr>
          <w:sz w:val="22"/>
          <w:szCs w:val="22"/>
          <w:lang w:val="en-GB"/>
        </w:rPr>
      </w:pPr>
      <w:r w:rsidRPr="00A30A9D">
        <w:rPr>
          <w:sz w:val="22"/>
          <w:szCs w:val="22"/>
          <w:lang w:val="en-GB"/>
        </w:rPr>
        <w:t>Journal of Computational Social Science</w:t>
      </w:r>
    </w:p>
    <w:p w14:paraId="3DED2666" w14:textId="77777777" w:rsidR="00E30910" w:rsidRDefault="00E30910" w:rsidP="00E30910">
      <w:pPr>
        <w:jc w:val="both"/>
        <w:rPr>
          <w:lang w:val="en-GB"/>
        </w:rPr>
      </w:pPr>
    </w:p>
    <w:p w14:paraId="4DE6E534" w14:textId="77777777" w:rsidR="00E30910" w:rsidRPr="00A30A9D" w:rsidRDefault="00E30910" w:rsidP="00E30910">
      <w:pPr>
        <w:jc w:val="both"/>
        <w:rPr>
          <w:sz w:val="22"/>
          <w:szCs w:val="22"/>
          <w:lang w:val="en-GB"/>
        </w:rPr>
      </w:pPr>
      <w:r w:rsidRPr="00A30A9D">
        <w:rPr>
          <w:sz w:val="22"/>
          <w:szCs w:val="22"/>
          <w:lang w:val="en-GB"/>
        </w:rPr>
        <w:t>Corresponding author: Juha Koljonen</w:t>
      </w:r>
    </w:p>
    <w:p w14:paraId="2DF3E70A" w14:textId="77777777" w:rsidR="00E30910" w:rsidRPr="00A30A9D" w:rsidRDefault="00E30910" w:rsidP="00E30910">
      <w:pPr>
        <w:jc w:val="both"/>
        <w:rPr>
          <w:sz w:val="22"/>
          <w:szCs w:val="22"/>
          <w:lang w:val="en-GB"/>
        </w:rPr>
      </w:pPr>
      <w:r w:rsidRPr="00A30A9D">
        <w:rPr>
          <w:sz w:val="22"/>
          <w:szCs w:val="22"/>
          <w:lang w:val="en-GB"/>
        </w:rPr>
        <w:t>https://orcid.org/0000-0001-6228-0632</w:t>
      </w:r>
    </w:p>
    <w:p w14:paraId="00F33ABC" w14:textId="77777777" w:rsidR="00E30910" w:rsidRPr="00A30A9D" w:rsidRDefault="00E30910" w:rsidP="00E30910">
      <w:pPr>
        <w:jc w:val="both"/>
        <w:rPr>
          <w:sz w:val="22"/>
          <w:szCs w:val="22"/>
          <w:lang w:val="en-GB"/>
        </w:rPr>
      </w:pPr>
      <w:r w:rsidRPr="00A30A9D">
        <w:rPr>
          <w:sz w:val="22"/>
          <w:szCs w:val="22"/>
          <w:lang w:val="en-GB"/>
        </w:rPr>
        <w:t>juha.koljonen@helsinki.fi</w:t>
      </w:r>
    </w:p>
    <w:p w14:paraId="032C11CA" w14:textId="0E929AA1" w:rsidR="00120E18" w:rsidRPr="00E30910" w:rsidRDefault="00120E18" w:rsidP="00E30910">
      <w:pPr>
        <w:pBdr>
          <w:bar w:val="none" w:sz="0" w:color="auto"/>
        </w:pBdr>
        <w:spacing w:before="240" w:after="240" w:line="276" w:lineRule="auto"/>
        <w:jc w:val="both"/>
        <w:rPr>
          <w:rFonts w:ascii="Arial" w:eastAsia="Arial" w:hAnsi="Arial" w:cs="Arial"/>
          <w:sz w:val="32"/>
          <w:szCs w:val="32"/>
          <w:bdr w:val="none" w:sz="0" w:space="0" w:color="auto"/>
          <w:lang w:val="en-GB"/>
        </w:rPr>
      </w:pPr>
      <w:r w:rsidRPr="00E30910">
        <w:rPr>
          <w:rFonts w:ascii="Arial" w:eastAsia="Arial" w:hAnsi="Arial" w:cs="Arial"/>
          <w:sz w:val="32"/>
          <w:szCs w:val="32"/>
          <w:bdr w:val="none" w:sz="0" w:space="0" w:color="auto"/>
          <w:lang w:val="en-GB"/>
        </w:rPr>
        <w:t>Appendix S</w:t>
      </w:r>
      <w:r w:rsidR="00553732">
        <w:rPr>
          <w:rFonts w:ascii="Arial" w:eastAsia="Arial" w:hAnsi="Arial" w:cs="Arial"/>
          <w:sz w:val="32"/>
          <w:szCs w:val="32"/>
          <w:bdr w:val="none" w:sz="0" w:space="0" w:color="auto"/>
          <w:lang w:val="en-GB"/>
        </w:rPr>
        <w:t>3</w:t>
      </w:r>
      <w:r w:rsidRPr="00E30910">
        <w:rPr>
          <w:rFonts w:ascii="Arial" w:eastAsia="Arial" w:hAnsi="Arial" w:cs="Arial"/>
          <w:sz w:val="32"/>
          <w:szCs w:val="32"/>
          <w:bdr w:val="none" w:sz="0" w:space="0" w:color="auto"/>
          <w:lang w:val="en-GB"/>
        </w:rPr>
        <w:t>. Validation results.</w:t>
      </w:r>
    </w:p>
    <w:p w14:paraId="4CD3B502" w14:textId="03594973" w:rsidR="00372ABB" w:rsidRDefault="00372ABB" w:rsidP="00120E18">
      <w:pPr>
        <w:pStyle w:val="Body"/>
        <w:spacing w:before="240" w:after="240" w:line="360" w:lineRule="auto"/>
        <w:jc w:val="both"/>
        <w:rPr>
          <w:rStyle w:val="Hyperlink0"/>
        </w:rPr>
      </w:pPr>
      <w:r w:rsidRPr="006A6428">
        <w:rPr>
          <w:rStyle w:val="Hyperlink0"/>
        </w:rPr>
        <w:t xml:space="preserve">We randomly chose two full party </w:t>
      </w:r>
      <w:r w:rsidR="00AD7A06" w:rsidRPr="006A6428">
        <w:rPr>
          <w:rStyle w:val="Hyperlink0"/>
        </w:rPr>
        <w:t>programs</w:t>
      </w:r>
      <w:r w:rsidRPr="006A6428">
        <w:rPr>
          <w:rStyle w:val="Hyperlink0"/>
        </w:rPr>
        <w:t xml:space="preserve"> for annotation, which represented two different periods and two different parties</w:t>
      </w:r>
      <w:r w:rsidR="00AD7A06" w:rsidRPr="006A6428">
        <w:rPr>
          <w:rStyle w:val="Hyperlink0"/>
        </w:rPr>
        <w:t>: Centre party’s general program of 1946 (</w:t>
      </w:r>
      <w:r w:rsidR="008D452C">
        <w:rPr>
          <w:rStyle w:val="Hyperlink0"/>
        </w:rPr>
        <w:t xml:space="preserve">3,384 </w:t>
      </w:r>
      <w:r w:rsidR="00AD7A06" w:rsidRPr="006A6428">
        <w:rPr>
          <w:rStyle w:val="Hyperlink0"/>
        </w:rPr>
        <w:t>words) and National Coalition party’s general program of 1986 (</w:t>
      </w:r>
      <w:r w:rsidR="008D452C">
        <w:rPr>
          <w:rStyle w:val="Hyperlink0"/>
        </w:rPr>
        <w:t xml:space="preserve">2,432 </w:t>
      </w:r>
      <w:r w:rsidR="00AD7A06" w:rsidRPr="006A6428">
        <w:rPr>
          <w:rStyle w:val="Hyperlink0"/>
        </w:rPr>
        <w:t>words).</w:t>
      </w:r>
    </w:p>
    <w:p w14:paraId="362DB621" w14:textId="7673A025" w:rsidR="00345FFE" w:rsidRPr="006A6428" w:rsidRDefault="00345FFE" w:rsidP="00120E18">
      <w:pPr>
        <w:pStyle w:val="Body"/>
        <w:spacing w:before="240" w:after="240" w:line="360" w:lineRule="auto"/>
        <w:jc w:val="both"/>
        <w:rPr>
          <w:rStyle w:val="Hyperlink0"/>
        </w:rPr>
      </w:pPr>
      <w:r w:rsidRPr="006A6428">
        <w:rPr>
          <w:rStyle w:val="Hyperlink0"/>
        </w:rPr>
        <w:t xml:space="preserve">We manually annotated 580 lines in the first program and 417 lines in the second for a total of 997 lines. The lines roughly correspond to sentences, but sometimes consist of 2 sentences, and sometimes a sentence is split over multiple lines. We marked a line with 1 for the presence of an emotion, whereas the lexicon-based method marks each word and could therefore have a higher value than 1 for each emotion on a line. We therefore compared to both the emotion word tally and the intensity tally and found that the intensity tally was very close to the manual annotation values in terms of absolute values, except for sadness, for which the tally was close, but the intensity of the sadness associated words were so low as to significantly throw off the comparison. The similarity between intensity scores and manual annotation should be further examined in future projects, as should the reason for the low intensity of the sadness associated words. </w:t>
      </w:r>
    </w:p>
    <w:p w14:paraId="6A2D784B" w14:textId="53747808" w:rsidR="00345FFE" w:rsidRDefault="00345FFE" w:rsidP="00120E18">
      <w:pPr>
        <w:pStyle w:val="Body"/>
        <w:spacing w:before="240" w:after="240" w:line="360" w:lineRule="auto"/>
        <w:jc w:val="both"/>
        <w:rPr>
          <w:rStyle w:val="Hyperlink0"/>
        </w:rPr>
      </w:pPr>
      <w:r w:rsidRPr="006A6428">
        <w:rPr>
          <w:rStyle w:val="Hyperlink0"/>
        </w:rPr>
        <w:t xml:space="preserve">The other discrepancies can all be attributed to how our lexicon-based approach calculates the composite score versus how humans label a </w:t>
      </w:r>
      <w:proofErr w:type="gramStart"/>
      <w:r w:rsidRPr="006A6428">
        <w:rPr>
          <w:rStyle w:val="Hyperlink0"/>
        </w:rPr>
        <w:t>sentence</w:t>
      </w:r>
      <w:proofErr w:type="gramEnd"/>
      <w:r w:rsidRPr="006A6428">
        <w:rPr>
          <w:rStyle w:val="Hyperlink0"/>
        </w:rPr>
        <w:t xml:space="preserve"> and we therefore argue that a validation of this system cannot be done in an apples to apples type comparison and therefore showing that the levels of emotions detected by human annotators and the system in an unbalanced comparison scale well validates the results sufficiently.</w:t>
      </w:r>
    </w:p>
    <w:p w14:paraId="592A5EDD" w14:textId="118E8EFE" w:rsidR="00120E18" w:rsidRDefault="00120E18" w:rsidP="00120E18">
      <w:pPr>
        <w:pStyle w:val="Body"/>
        <w:spacing w:before="240" w:after="240" w:line="360" w:lineRule="auto"/>
        <w:jc w:val="both"/>
        <w:rPr>
          <w:rStyle w:val="Hyperlink0"/>
        </w:rPr>
      </w:pPr>
      <w:r>
        <w:rPr>
          <w:rStyle w:val="Hyperlink0"/>
        </w:rPr>
        <w:t xml:space="preserve">The inter-annotator agreement as seen in Table </w:t>
      </w:r>
      <w:r w:rsidR="00205489">
        <w:rPr>
          <w:rStyle w:val="Hyperlink0"/>
        </w:rPr>
        <w:t>1</w:t>
      </w:r>
      <w:r>
        <w:rPr>
          <w:rStyle w:val="Hyperlink0"/>
        </w:rPr>
        <w:t xml:space="preserve">, represents the </w:t>
      </w:r>
      <w:proofErr w:type="spellStart"/>
      <w:r>
        <w:rPr>
          <w:rStyle w:val="Hyperlink0"/>
        </w:rPr>
        <w:t>Krippendorf’s</w:t>
      </w:r>
      <w:proofErr w:type="spellEnd"/>
      <w:r>
        <w:rPr>
          <w:rStyle w:val="Hyperlink0"/>
        </w:rPr>
        <w:t xml:space="preserve"> </w:t>
      </w:r>
      <w:r w:rsidRPr="00751044">
        <w:rPr>
          <w:rStyle w:val="Hyperlink0"/>
        </w:rPr>
        <w:t>α</w:t>
      </w:r>
      <w:r>
        <w:rPr>
          <w:rStyle w:val="Hyperlink0"/>
        </w:rPr>
        <w:t xml:space="preserve"> value using MASI distance calculated for these annotations. We then calculated a cumulative result of each emotion per word count in each manifesto so that we would have a numerical value that could be compared with the output of our lexicon-based model. The manual (human-annotated) scores can be seen in the “man.” columns and the lexicon-based results in the “lex.” columns for each emotion separately. The values are normalized </w:t>
      </w:r>
      <w:r w:rsidR="008D452C">
        <w:rPr>
          <w:rStyle w:val="Hyperlink0"/>
        </w:rPr>
        <w:t>for word count.</w:t>
      </w:r>
      <w:r>
        <w:rPr>
          <w:rStyle w:val="Hyperlink0"/>
        </w:rPr>
        <w:t xml:space="preserve"> The proportional distribution of the emotions is highly similar for all emotions as is the absolute value of each</w:t>
      </w:r>
      <w:r w:rsidR="008D452C">
        <w:rPr>
          <w:rStyle w:val="Hyperlink0"/>
        </w:rPr>
        <w:t xml:space="preserve"> emotion</w:t>
      </w:r>
      <w:r>
        <w:rPr>
          <w:rStyle w:val="Hyperlink0"/>
        </w:rPr>
        <w:t xml:space="preserve">. The largest </w:t>
      </w:r>
      <w:r>
        <w:rPr>
          <w:rStyle w:val="Hyperlink0"/>
        </w:rPr>
        <w:lastRenderedPageBreak/>
        <w:t xml:space="preserve">difference is with the amount of </w:t>
      </w:r>
      <w:r w:rsidRPr="002A1994">
        <w:rPr>
          <w:rStyle w:val="Hyperlink0"/>
          <w:i/>
          <w:iCs/>
        </w:rPr>
        <w:t>trust</w:t>
      </w:r>
      <w:r>
        <w:rPr>
          <w:rStyle w:val="Hyperlink0"/>
        </w:rPr>
        <w:t xml:space="preserve"> words present in manifesto 2, however, even in this case, </w:t>
      </w:r>
      <w:r w:rsidRPr="002A1994">
        <w:rPr>
          <w:rStyle w:val="Hyperlink0"/>
          <w:i/>
          <w:iCs/>
        </w:rPr>
        <w:t>trust</w:t>
      </w:r>
      <w:r>
        <w:rPr>
          <w:rStyle w:val="Hyperlink0"/>
        </w:rPr>
        <w:t xml:space="preserve"> is the most commonly occurring emotion in the manifesto for both human and machine.</w:t>
      </w:r>
    </w:p>
    <w:p w14:paraId="632DB0E9" w14:textId="5386F400" w:rsidR="00120E18" w:rsidRPr="00370188" w:rsidRDefault="00120E18" w:rsidP="00120E18">
      <w:pPr>
        <w:pStyle w:val="Body"/>
        <w:spacing w:before="240" w:after="240" w:line="360" w:lineRule="auto"/>
        <w:rPr>
          <w:rStyle w:val="Hyperlink0"/>
        </w:rPr>
      </w:pPr>
      <w:r>
        <w:rPr>
          <w:rStyle w:val="Hyperlink0"/>
        </w:rPr>
        <w:t>Table 1. Validation results</w:t>
      </w:r>
    </w:p>
    <w:tbl>
      <w:tblPr>
        <w:tblW w:w="5000" w:type="pct"/>
        <w:tblLook w:val="0600" w:firstRow="0" w:lastRow="0" w:firstColumn="0" w:lastColumn="0" w:noHBand="1" w:noVBand="1"/>
      </w:tblPr>
      <w:tblGrid>
        <w:gridCol w:w="1301"/>
        <w:gridCol w:w="434"/>
        <w:gridCol w:w="541"/>
        <w:gridCol w:w="471"/>
        <w:gridCol w:w="562"/>
        <w:gridCol w:w="562"/>
        <w:gridCol w:w="520"/>
        <w:gridCol w:w="471"/>
        <w:gridCol w:w="630"/>
        <w:gridCol w:w="562"/>
        <w:gridCol w:w="562"/>
        <w:gridCol w:w="562"/>
        <w:gridCol w:w="471"/>
        <w:gridCol w:w="577"/>
        <w:gridCol w:w="562"/>
        <w:gridCol w:w="562"/>
      </w:tblGrid>
      <w:tr w:rsidR="00120E18" w:rsidRPr="00E13D5D" w14:paraId="3C54A8D2" w14:textId="77777777" w:rsidTr="00120E18">
        <w:trPr>
          <w:trHeight w:val="300"/>
        </w:trPr>
        <w:tc>
          <w:tcPr>
            <w:tcW w:w="665" w:type="pct"/>
            <w:tcBorders>
              <w:top w:val="single" w:sz="4" w:space="0" w:color="A6A6A6"/>
              <w:left w:val="single" w:sz="4" w:space="0" w:color="A6A6A6"/>
              <w:bottom w:val="single" w:sz="4" w:space="0" w:color="A6A6A6"/>
              <w:right w:val="single" w:sz="8" w:space="0" w:color="A6A6A6"/>
            </w:tcBorders>
            <w:shd w:val="clear" w:color="000000" w:fill="F2F2F2"/>
            <w:noWrap/>
            <w:tcMar>
              <w:left w:w="57" w:type="dxa"/>
              <w:right w:w="57" w:type="dxa"/>
            </w:tcMar>
            <w:vAlign w:val="center"/>
            <w:hideMark/>
          </w:tcPr>
          <w:p w14:paraId="49861A01" w14:textId="4EE51958"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 </w:t>
            </w:r>
          </w:p>
        </w:tc>
        <w:tc>
          <w:tcPr>
            <w:tcW w:w="224" w:type="pct"/>
            <w:tcBorders>
              <w:top w:val="single" w:sz="4" w:space="0" w:color="A6A6A6"/>
              <w:left w:val="nil"/>
              <w:bottom w:val="nil"/>
              <w:right w:val="single" w:sz="8" w:space="0" w:color="A6A6A6"/>
            </w:tcBorders>
            <w:shd w:val="clear" w:color="000000" w:fill="F2F2F2"/>
            <w:noWrap/>
            <w:tcMar>
              <w:left w:w="57" w:type="dxa"/>
              <w:right w:w="57" w:type="dxa"/>
            </w:tcMar>
            <w:vAlign w:val="center"/>
            <w:hideMark/>
          </w:tcPr>
          <w:p w14:paraId="38A06A6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Kr</w:t>
            </w:r>
            <w:r w:rsidRPr="00E13D5D">
              <w:rPr>
                <w:rFonts w:ascii="Calibri" w:eastAsia="Times New Roman" w:hAnsi="Calibri" w:cs="Calibri"/>
                <w:color w:val="000000"/>
                <w:sz w:val="18"/>
                <w:szCs w:val="18"/>
                <w:bdr w:val="none" w:sz="0" w:space="0" w:color="auto"/>
                <w:lang w:val="fi-FI" w:eastAsia="ja-JP"/>
              </w:rPr>
              <w:t>.</w:t>
            </w:r>
          </w:p>
        </w:tc>
        <w:tc>
          <w:tcPr>
            <w:tcW w:w="560" w:type="pct"/>
            <w:gridSpan w:val="2"/>
            <w:tcBorders>
              <w:top w:val="single" w:sz="4" w:space="0" w:color="A6A6A6"/>
              <w:left w:val="nil"/>
              <w:bottom w:val="single" w:sz="4" w:space="0" w:color="A6A6A6"/>
              <w:right w:val="single" w:sz="8" w:space="0" w:color="A6A6A6"/>
            </w:tcBorders>
            <w:shd w:val="clear" w:color="000000" w:fill="F2F2F2"/>
            <w:noWrap/>
            <w:tcMar>
              <w:left w:w="57" w:type="dxa"/>
              <w:right w:w="57" w:type="dxa"/>
            </w:tcMar>
            <w:vAlign w:val="center"/>
            <w:hideMark/>
          </w:tcPr>
          <w:p w14:paraId="7D1F140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anger</w:t>
            </w:r>
          </w:p>
        </w:tc>
        <w:tc>
          <w:tcPr>
            <w:tcW w:w="606" w:type="pct"/>
            <w:gridSpan w:val="2"/>
            <w:tcBorders>
              <w:top w:val="single" w:sz="4" w:space="0" w:color="A6A6A6"/>
              <w:left w:val="nil"/>
              <w:bottom w:val="single" w:sz="4" w:space="0" w:color="A6A6A6"/>
              <w:right w:val="single" w:sz="8" w:space="0" w:color="A6A6A6"/>
            </w:tcBorders>
            <w:shd w:val="clear" w:color="000000" w:fill="F2F2F2"/>
            <w:noWrap/>
            <w:tcMar>
              <w:left w:w="57" w:type="dxa"/>
              <w:right w:w="57" w:type="dxa"/>
            </w:tcMar>
            <w:vAlign w:val="center"/>
            <w:hideMark/>
          </w:tcPr>
          <w:p w14:paraId="2C4F971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anticipation</w:t>
            </w:r>
          </w:p>
        </w:tc>
        <w:tc>
          <w:tcPr>
            <w:tcW w:w="560" w:type="pct"/>
            <w:gridSpan w:val="2"/>
            <w:tcBorders>
              <w:top w:val="single" w:sz="4" w:space="0" w:color="A6A6A6"/>
              <w:left w:val="nil"/>
              <w:bottom w:val="single" w:sz="4" w:space="0" w:color="A6A6A6"/>
              <w:right w:val="single" w:sz="8" w:space="0" w:color="A6A6A6"/>
            </w:tcBorders>
            <w:shd w:val="clear" w:color="000000" w:fill="F2F2F2"/>
            <w:noWrap/>
            <w:tcMar>
              <w:left w:w="57" w:type="dxa"/>
              <w:right w:w="57" w:type="dxa"/>
            </w:tcMar>
            <w:vAlign w:val="center"/>
            <w:hideMark/>
          </w:tcPr>
          <w:p w14:paraId="0463819B"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disgust</w:t>
            </w:r>
          </w:p>
        </w:tc>
        <w:tc>
          <w:tcPr>
            <w:tcW w:w="652" w:type="pct"/>
            <w:gridSpan w:val="2"/>
            <w:tcBorders>
              <w:top w:val="single" w:sz="4" w:space="0" w:color="A6A6A6"/>
              <w:left w:val="nil"/>
              <w:bottom w:val="single" w:sz="4" w:space="0" w:color="A6A6A6"/>
              <w:right w:val="single" w:sz="8" w:space="0" w:color="A6A6A6"/>
            </w:tcBorders>
            <w:shd w:val="clear" w:color="000000" w:fill="F2F2F2"/>
            <w:noWrap/>
            <w:tcMar>
              <w:left w:w="57" w:type="dxa"/>
              <w:right w:w="57" w:type="dxa"/>
            </w:tcMar>
            <w:vAlign w:val="center"/>
            <w:hideMark/>
          </w:tcPr>
          <w:p w14:paraId="786FD8A5"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fear</w:t>
            </w:r>
          </w:p>
        </w:tc>
        <w:tc>
          <w:tcPr>
            <w:tcW w:w="578" w:type="pct"/>
            <w:gridSpan w:val="2"/>
            <w:tcBorders>
              <w:top w:val="single" w:sz="4" w:space="0" w:color="A6A6A6"/>
              <w:left w:val="nil"/>
              <w:bottom w:val="single" w:sz="4" w:space="0" w:color="A6A6A6"/>
              <w:right w:val="single" w:sz="8" w:space="0" w:color="A6A6A6"/>
            </w:tcBorders>
            <w:shd w:val="clear" w:color="000000" w:fill="F2F2F2"/>
            <w:noWrap/>
            <w:tcMar>
              <w:left w:w="57" w:type="dxa"/>
              <w:right w:w="57" w:type="dxa"/>
            </w:tcMar>
            <w:vAlign w:val="center"/>
            <w:hideMark/>
          </w:tcPr>
          <w:p w14:paraId="75D71AC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joy</w:t>
            </w:r>
          </w:p>
        </w:tc>
        <w:tc>
          <w:tcPr>
            <w:tcW w:w="579" w:type="pct"/>
            <w:gridSpan w:val="2"/>
            <w:tcBorders>
              <w:top w:val="single" w:sz="4" w:space="0" w:color="A6A6A6"/>
              <w:left w:val="nil"/>
              <w:bottom w:val="single" w:sz="4" w:space="0" w:color="A6A6A6"/>
              <w:right w:val="single" w:sz="8" w:space="0" w:color="A6A6A6"/>
            </w:tcBorders>
            <w:shd w:val="clear" w:color="000000" w:fill="F2F2F2"/>
            <w:noWrap/>
            <w:tcMar>
              <w:left w:w="57" w:type="dxa"/>
              <w:right w:w="57" w:type="dxa"/>
            </w:tcMar>
            <w:vAlign w:val="center"/>
            <w:hideMark/>
          </w:tcPr>
          <w:p w14:paraId="582AAF8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sadness</w:t>
            </w:r>
          </w:p>
        </w:tc>
        <w:tc>
          <w:tcPr>
            <w:tcW w:w="578" w:type="pct"/>
            <w:gridSpan w:val="2"/>
            <w:tcBorders>
              <w:top w:val="single" w:sz="4" w:space="0" w:color="A6A6A6"/>
              <w:left w:val="nil"/>
              <w:bottom w:val="single" w:sz="4" w:space="0" w:color="A6A6A6"/>
              <w:right w:val="single" w:sz="4" w:space="0" w:color="A6A6A6"/>
            </w:tcBorders>
            <w:shd w:val="clear" w:color="000000" w:fill="F2F2F2"/>
            <w:noWrap/>
            <w:tcMar>
              <w:left w:w="57" w:type="dxa"/>
              <w:right w:w="57" w:type="dxa"/>
            </w:tcMar>
            <w:vAlign w:val="center"/>
            <w:hideMark/>
          </w:tcPr>
          <w:p w14:paraId="789D0EFB"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trust</w:t>
            </w:r>
          </w:p>
        </w:tc>
      </w:tr>
      <w:tr w:rsidR="00120E18" w:rsidRPr="00E13D5D" w14:paraId="22861D08" w14:textId="77777777" w:rsidTr="00120E18">
        <w:trPr>
          <w:trHeight w:val="300"/>
        </w:trPr>
        <w:tc>
          <w:tcPr>
            <w:tcW w:w="665" w:type="pct"/>
            <w:tcBorders>
              <w:top w:val="nil"/>
              <w:left w:val="single" w:sz="4" w:space="0" w:color="A6A6A6"/>
              <w:bottom w:val="single" w:sz="4" w:space="0" w:color="A6A6A6"/>
              <w:right w:val="single" w:sz="8" w:space="0" w:color="A6A6A6"/>
            </w:tcBorders>
            <w:shd w:val="clear" w:color="000000" w:fill="F2F2F2"/>
            <w:noWrap/>
            <w:tcMar>
              <w:left w:w="57" w:type="dxa"/>
              <w:right w:w="57" w:type="dxa"/>
            </w:tcMar>
            <w:vAlign w:val="center"/>
            <w:hideMark/>
          </w:tcPr>
          <w:p w14:paraId="16DD6106"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 </w:t>
            </w:r>
          </w:p>
        </w:tc>
        <w:tc>
          <w:tcPr>
            <w:tcW w:w="224" w:type="pct"/>
            <w:tcBorders>
              <w:top w:val="nil"/>
              <w:left w:val="nil"/>
              <w:bottom w:val="single" w:sz="4" w:space="0" w:color="A6A6A6"/>
              <w:right w:val="single" w:sz="8" w:space="0" w:color="A6A6A6"/>
            </w:tcBorders>
            <w:shd w:val="clear" w:color="000000" w:fill="F2F2F2"/>
            <w:noWrap/>
            <w:tcMar>
              <w:left w:w="57" w:type="dxa"/>
              <w:right w:w="57" w:type="dxa"/>
            </w:tcMar>
            <w:vAlign w:val="center"/>
            <w:hideMark/>
          </w:tcPr>
          <w:p w14:paraId="45DFE9C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mbria Math" w:eastAsia="Times New Roman" w:hAnsi="Cambria Math" w:cs="Cambria Math"/>
                <w:color w:val="000000"/>
                <w:sz w:val="18"/>
                <w:szCs w:val="18"/>
                <w:bdr w:val="none" w:sz="0" w:space="0" w:color="auto"/>
                <w:lang w:eastAsia="ja-JP"/>
              </w:rPr>
              <w:t>𝛂</w:t>
            </w:r>
          </w:p>
        </w:tc>
        <w:tc>
          <w:tcPr>
            <w:tcW w:w="317"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3A17BBBA"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fi-FI" w:eastAsia="ja-JP"/>
              </w:rPr>
            </w:pPr>
            <w:r>
              <w:rPr>
                <w:rFonts w:ascii="Calibri" w:eastAsia="Times New Roman" w:hAnsi="Calibri" w:cs="Calibri"/>
                <w:color w:val="000000"/>
                <w:sz w:val="18"/>
                <w:szCs w:val="18"/>
                <w:bdr w:val="none" w:sz="0" w:space="0" w:color="auto"/>
                <w:lang w:val="fi-FI" w:eastAsia="ja-JP"/>
              </w:rPr>
              <w:t>man.</w:t>
            </w:r>
          </w:p>
        </w:tc>
        <w:tc>
          <w:tcPr>
            <w:tcW w:w="243" w:type="pct"/>
            <w:tcBorders>
              <w:top w:val="nil"/>
              <w:left w:val="nil"/>
              <w:bottom w:val="single" w:sz="4" w:space="0" w:color="A6A6A6"/>
              <w:right w:val="single" w:sz="8" w:space="0" w:color="A6A6A6"/>
            </w:tcBorders>
            <w:shd w:val="clear" w:color="000000" w:fill="F2F2F2"/>
            <w:noWrap/>
            <w:tcMar>
              <w:left w:w="57" w:type="dxa"/>
              <w:right w:w="57" w:type="dxa"/>
            </w:tcMar>
            <w:vAlign w:val="center"/>
            <w:hideMark/>
          </w:tcPr>
          <w:p w14:paraId="3B8998E6"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val="fi-FI" w:eastAsia="ja-JP"/>
              </w:rPr>
            </w:pPr>
            <w:r>
              <w:rPr>
                <w:rFonts w:ascii="Calibri" w:eastAsia="Times New Roman" w:hAnsi="Calibri" w:cs="Calibri"/>
                <w:color w:val="000000"/>
                <w:sz w:val="18"/>
                <w:szCs w:val="18"/>
                <w:bdr w:val="none" w:sz="0" w:space="0" w:color="auto"/>
                <w:lang w:val="fi-FI" w:eastAsia="ja-JP"/>
              </w:rPr>
              <w:t>lex.</w:t>
            </w:r>
          </w:p>
        </w:tc>
        <w:tc>
          <w:tcPr>
            <w:tcW w:w="317"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28BB9097"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man.</w:t>
            </w:r>
          </w:p>
        </w:tc>
        <w:tc>
          <w:tcPr>
            <w:tcW w:w="289" w:type="pct"/>
            <w:tcBorders>
              <w:top w:val="nil"/>
              <w:left w:val="nil"/>
              <w:bottom w:val="single" w:sz="4" w:space="0" w:color="A6A6A6"/>
              <w:right w:val="single" w:sz="8" w:space="0" w:color="A6A6A6"/>
            </w:tcBorders>
            <w:shd w:val="clear" w:color="000000" w:fill="F2F2F2"/>
            <w:noWrap/>
            <w:tcMar>
              <w:left w:w="57" w:type="dxa"/>
              <w:right w:w="57" w:type="dxa"/>
            </w:tcMar>
            <w:vAlign w:val="center"/>
            <w:hideMark/>
          </w:tcPr>
          <w:p w14:paraId="3EA6ACF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lex.</w:t>
            </w:r>
          </w:p>
        </w:tc>
        <w:tc>
          <w:tcPr>
            <w:tcW w:w="317"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1B45B3A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man.</w:t>
            </w:r>
          </w:p>
        </w:tc>
        <w:tc>
          <w:tcPr>
            <w:tcW w:w="243" w:type="pct"/>
            <w:tcBorders>
              <w:top w:val="nil"/>
              <w:left w:val="nil"/>
              <w:bottom w:val="single" w:sz="4" w:space="0" w:color="A6A6A6"/>
              <w:right w:val="single" w:sz="8" w:space="0" w:color="A6A6A6"/>
            </w:tcBorders>
            <w:shd w:val="clear" w:color="000000" w:fill="F2F2F2"/>
            <w:noWrap/>
            <w:tcMar>
              <w:left w:w="57" w:type="dxa"/>
              <w:right w:w="57" w:type="dxa"/>
            </w:tcMar>
            <w:vAlign w:val="center"/>
            <w:hideMark/>
          </w:tcPr>
          <w:p w14:paraId="5C0AE60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lex.</w:t>
            </w:r>
          </w:p>
        </w:tc>
        <w:tc>
          <w:tcPr>
            <w:tcW w:w="364"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2927E095"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man.</w:t>
            </w:r>
          </w:p>
        </w:tc>
        <w:tc>
          <w:tcPr>
            <w:tcW w:w="289" w:type="pct"/>
            <w:tcBorders>
              <w:top w:val="nil"/>
              <w:left w:val="nil"/>
              <w:bottom w:val="single" w:sz="4" w:space="0" w:color="A6A6A6"/>
              <w:right w:val="single" w:sz="8" w:space="0" w:color="A6A6A6"/>
            </w:tcBorders>
            <w:shd w:val="clear" w:color="000000" w:fill="F2F2F2"/>
            <w:noWrap/>
            <w:tcMar>
              <w:left w:w="57" w:type="dxa"/>
              <w:right w:w="57" w:type="dxa"/>
            </w:tcMar>
            <w:vAlign w:val="center"/>
            <w:hideMark/>
          </w:tcPr>
          <w:p w14:paraId="79DF6A86"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lex.</w:t>
            </w:r>
          </w:p>
        </w:tc>
        <w:tc>
          <w:tcPr>
            <w:tcW w:w="289"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0B0691F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man.</w:t>
            </w:r>
          </w:p>
        </w:tc>
        <w:tc>
          <w:tcPr>
            <w:tcW w:w="289" w:type="pct"/>
            <w:tcBorders>
              <w:top w:val="nil"/>
              <w:left w:val="nil"/>
              <w:bottom w:val="single" w:sz="4" w:space="0" w:color="A6A6A6"/>
              <w:right w:val="single" w:sz="8" w:space="0" w:color="A6A6A6"/>
            </w:tcBorders>
            <w:shd w:val="clear" w:color="000000" w:fill="F2F2F2"/>
            <w:noWrap/>
            <w:tcMar>
              <w:left w:w="57" w:type="dxa"/>
              <w:right w:w="57" w:type="dxa"/>
            </w:tcMar>
            <w:vAlign w:val="center"/>
            <w:hideMark/>
          </w:tcPr>
          <w:p w14:paraId="1619766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lex.</w:t>
            </w:r>
          </w:p>
        </w:tc>
        <w:tc>
          <w:tcPr>
            <w:tcW w:w="243"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69DF7167"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man</w:t>
            </w:r>
          </w:p>
        </w:tc>
        <w:tc>
          <w:tcPr>
            <w:tcW w:w="336" w:type="pct"/>
            <w:tcBorders>
              <w:top w:val="nil"/>
              <w:left w:val="nil"/>
              <w:bottom w:val="single" w:sz="4" w:space="0" w:color="A6A6A6"/>
              <w:right w:val="single" w:sz="8" w:space="0" w:color="A6A6A6"/>
            </w:tcBorders>
            <w:shd w:val="clear" w:color="000000" w:fill="F2F2F2"/>
            <w:noWrap/>
            <w:tcMar>
              <w:left w:w="57" w:type="dxa"/>
              <w:right w:w="57" w:type="dxa"/>
            </w:tcMar>
            <w:vAlign w:val="center"/>
            <w:hideMark/>
          </w:tcPr>
          <w:p w14:paraId="3C0E7A86"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lex.</w:t>
            </w:r>
          </w:p>
        </w:tc>
        <w:tc>
          <w:tcPr>
            <w:tcW w:w="289"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127F350F"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man.</w:t>
            </w:r>
          </w:p>
        </w:tc>
        <w:tc>
          <w:tcPr>
            <w:tcW w:w="289" w:type="pct"/>
            <w:tcBorders>
              <w:top w:val="nil"/>
              <w:left w:val="nil"/>
              <w:bottom w:val="single" w:sz="4" w:space="0" w:color="A6A6A6"/>
              <w:right w:val="single" w:sz="4" w:space="0" w:color="A6A6A6"/>
            </w:tcBorders>
            <w:shd w:val="clear" w:color="000000" w:fill="F2F2F2"/>
            <w:noWrap/>
            <w:tcMar>
              <w:left w:w="57" w:type="dxa"/>
              <w:right w:w="57" w:type="dxa"/>
            </w:tcMar>
            <w:vAlign w:val="center"/>
            <w:hideMark/>
          </w:tcPr>
          <w:p w14:paraId="352333C7"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Pr>
                <w:rFonts w:ascii="Calibri" w:eastAsia="Times New Roman" w:hAnsi="Calibri" w:cs="Calibri"/>
                <w:color w:val="000000"/>
                <w:sz w:val="18"/>
                <w:szCs w:val="18"/>
                <w:bdr w:val="none" w:sz="0" w:space="0" w:color="auto"/>
                <w:lang w:val="fi-FI" w:eastAsia="ja-JP"/>
              </w:rPr>
              <w:t>lex.</w:t>
            </w:r>
          </w:p>
        </w:tc>
      </w:tr>
      <w:tr w:rsidR="00120E18" w:rsidRPr="00E13D5D" w14:paraId="1999DD20" w14:textId="77777777" w:rsidTr="00120E18">
        <w:trPr>
          <w:trHeight w:val="300"/>
        </w:trPr>
        <w:tc>
          <w:tcPr>
            <w:tcW w:w="665" w:type="pct"/>
            <w:tcBorders>
              <w:top w:val="nil"/>
              <w:left w:val="single" w:sz="4" w:space="0" w:color="A6A6A6"/>
              <w:bottom w:val="single" w:sz="4" w:space="0" w:color="A6A6A6"/>
              <w:right w:val="single" w:sz="8" w:space="0" w:color="A6A6A6"/>
            </w:tcBorders>
            <w:shd w:val="clear" w:color="000000" w:fill="D9E1F2"/>
            <w:noWrap/>
            <w:tcMar>
              <w:left w:w="57" w:type="dxa"/>
              <w:right w:w="57" w:type="dxa"/>
            </w:tcMar>
            <w:vAlign w:val="center"/>
            <w:hideMark/>
          </w:tcPr>
          <w:p w14:paraId="0E14772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Party program 1</w:t>
            </w:r>
          </w:p>
        </w:tc>
        <w:tc>
          <w:tcPr>
            <w:tcW w:w="224"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422CC6D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0.84</w:t>
            </w:r>
          </w:p>
        </w:tc>
        <w:tc>
          <w:tcPr>
            <w:tcW w:w="317"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4AD45F7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6.82</w:t>
            </w:r>
          </w:p>
        </w:tc>
        <w:tc>
          <w:tcPr>
            <w:tcW w:w="243"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505E8D9A"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9.91</w:t>
            </w:r>
          </w:p>
        </w:tc>
        <w:tc>
          <w:tcPr>
            <w:tcW w:w="317"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566B2A15"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33.40</w:t>
            </w:r>
          </w:p>
        </w:tc>
        <w:tc>
          <w:tcPr>
            <w:tcW w:w="289"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683A3900"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44.09</w:t>
            </w:r>
          </w:p>
        </w:tc>
        <w:tc>
          <w:tcPr>
            <w:tcW w:w="317"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1CA998E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1.70</w:t>
            </w:r>
          </w:p>
        </w:tc>
        <w:tc>
          <w:tcPr>
            <w:tcW w:w="243"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315ACE7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2.61</w:t>
            </w:r>
          </w:p>
        </w:tc>
        <w:tc>
          <w:tcPr>
            <w:tcW w:w="364"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03AEDC0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12.61</w:t>
            </w:r>
          </w:p>
        </w:tc>
        <w:tc>
          <w:tcPr>
            <w:tcW w:w="289"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663BF8F8"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16.24</w:t>
            </w:r>
          </w:p>
        </w:tc>
        <w:tc>
          <w:tcPr>
            <w:tcW w:w="289"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25CB28AC"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29.99</w:t>
            </w:r>
          </w:p>
        </w:tc>
        <w:tc>
          <w:tcPr>
            <w:tcW w:w="289"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7DE41B8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26.31</w:t>
            </w:r>
          </w:p>
        </w:tc>
        <w:tc>
          <w:tcPr>
            <w:tcW w:w="243"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33003FF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0.00</w:t>
            </w:r>
          </w:p>
        </w:tc>
        <w:tc>
          <w:tcPr>
            <w:tcW w:w="336"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2BA1C1D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0.39</w:t>
            </w:r>
          </w:p>
        </w:tc>
        <w:tc>
          <w:tcPr>
            <w:tcW w:w="289"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77952A6A"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54.87</w:t>
            </w:r>
          </w:p>
        </w:tc>
        <w:tc>
          <w:tcPr>
            <w:tcW w:w="289"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30892D4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52.42</w:t>
            </w:r>
          </w:p>
        </w:tc>
      </w:tr>
      <w:tr w:rsidR="00120E18" w:rsidRPr="00E13D5D" w14:paraId="39F3F594" w14:textId="77777777" w:rsidTr="00120E18">
        <w:trPr>
          <w:trHeight w:val="300"/>
        </w:trPr>
        <w:tc>
          <w:tcPr>
            <w:tcW w:w="665" w:type="pct"/>
            <w:tcBorders>
              <w:top w:val="nil"/>
              <w:left w:val="single" w:sz="4" w:space="0" w:color="A6A6A6"/>
              <w:bottom w:val="single" w:sz="4" w:space="0" w:color="A6A6A6"/>
              <w:right w:val="single" w:sz="8" w:space="0" w:color="A6A6A6"/>
            </w:tcBorders>
            <w:shd w:val="clear" w:color="000000" w:fill="D9E1F2"/>
            <w:noWrap/>
            <w:tcMar>
              <w:left w:w="57" w:type="dxa"/>
              <w:right w:w="57" w:type="dxa"/>
            </w:tcMar>
            <w:vAlign w:val="center"/>
            <w:hideMark/>
          </w:tcPr>
          <w:p w14:paraId="3EC4C52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proportion</w:t>
            </w:r>
          </w:p>
        </w:tc>
        <w:tc>
          <w:tcPr>
            <w:tcW w:w="224"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1DCD442A"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 </w:t>
            </w:r>
          </w:p>
        </w:tc>
        <w:tc>
          <w:tcPr>
            <w:tcW w:w="317"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66BCB98D"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4.9%</w:t>
            </w:r>
          </w:p>
        </w:tc>
        <w:tc>
          <w:tcPr>
            <w:tcW w:w="243"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71273C3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6.5%</w:t>
            </w:r>
          </w:p>
        </w:tc>
        <w:tc>
          <w:tcPr>
            <w:tcW w:w="317"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093D528A"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24.0%</w:t>
            </w:r>
          </w:p>
        </w:tc>
        <w:tc>
          <w:tcPr>
            <w:tcW w:w="289"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10941BBA"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29.0%</w:t>
            </w:r>
          </w:p>
        </w:tc>
        <w:tc>
          <w:tcPr>
            <w:tcW w:w="317"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1CF86CC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1.2%</w:t>
            </w:r>
          </w:p>
        </w:tc>
        <w:tc>
          <w:tcPr>
            <w:tcW w:w="243"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0171458B"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1.7%</w:t>
            </w:r>
          </w:p>
        </w:tc>
        <w:tc>
          <w:tcPr>
            <w:tcW w:w="364"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71858AA8"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9.0%</w:t>
            </w:r>
          </w:p>
        </w:tc>
        <w:tc>
          <w:tcPr>
            <w:tcW w:w="289"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2B2552D5"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10.7%</w:t>
            </w:r>
          </w:p>
        </w:tc>
        <w:tc>
          <w:tcPr>
            <w:tcW w:w="289"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51E787E0"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21.5%</w:t>
            </w:r>
          </w:p>
        </w:tc>
        <w:tc>
          <w:tcPr>
            <w:tcW w:w="289"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3A5475B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17.3%</w:t>
            </w:r>
          </w:p>
        </w:tc>
        <w:tc>
          <w:tcPr>
            <w:tcW w:w="243"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5533CE8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0.0%</w:t>
            </w:r>
          </w:p>
        </w:tc>
        <w:tc>
          <w:tcPr>
            <w:tcW w:w="336"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3F8813D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0.3%</w:t>
            </w:r>
          </w:p>
        </w:tc>
        <w:tc>
          <w:tcPr>
            <w:tcW w:w="289"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626D514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39.4%</w:t>
            </w:r>
          </w:p>
        </w:tc>
        <w:tc>
          <w:tcPr>
            <w:tcW w:w="289" w:type="pct"/>
            <w:tcBorders>
              <w:top w:val="nil"/>
              <w:left w:val="nil"/>
              <w:bottom w:val="single" w:sz="4" w:space="0" w:color="A6A6A6"/>
              <w:right w:val="single" w:sz="4" w:space="0" w:color="A6A6A6"/>
            </w:tcBorders>
            <w:shd w:val="clear" w:color="000000" w:fill="D9E1F2"/>
            <w:noWrap/>
            <w:tcMar>
              <w:left w:w="57" w:type="dxa"/>
              <w:right w:w="57" w:type="dxa"/>
            </w:tcMar>
            <w:vAlign w:val="center"/>
            <w:hideMark/>
          </w:tcPr>
          <w:p w14:paraId="16D30F05"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34.5%</w:t>
            </w:r>
          </w:p>
        </w:tc>
      </w:tr>
      <w:tr w:rsidR="00120E18" w:rsidRPr="00E13D5D" w14:paraId="72658AA5" w14:textId="77777777" w:rsidTr="00120E18">
        <w:trPr>
          <w:trHeight w:val="300"/>
        </w:trPr>
        <w:tc>
          <w:tcPr>
            <w:tcW w:w="665" w:type="pct"/>
            <w:tcBorders>
              <w:top w:val="nil"/>
              <w:left w:val="single" w:sz="4" w:space="0" w:color="A6A6A6"/>
              <w:bottom w:val="single" w:sz="4" w:space="0" w:color="A6A6A6"/>
              <w:right w:val="single" w:sz="8" w:space="0" w:color="A6A6A6"/>
            </w:tcBorders>
            <w:shd w:val="clear" w:color="000000" w:fill="D9E1F2"/>
            <w:noWrap/>
            <w:tcMar>
              <w:left w:w="57" w:type="dxa"/>
              <w:right w:w="57" w:type="dxa"/>
            </w:tcMar>
            <w:vAlign w:val="center"/>
            <w:hideMark/>
          </w:tcPr>
          <w:p w14:paraId="5F21028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absolute</w:t>
            </w:r>
          </w:p>
        </w:tc>
        <w:tc>
          <w:tcPr>
            <w:tcW w:w="224" w:type="pct"/>
            <w:tcBorders>
              <w:top w:val="nil"/>
              <w:left w:val="nil"/>
              <w:bottom w:val="single" w:sz="4" w:space="0" w:color="A6A6A6"/>
              <w:right w:val="single" w:sz="8" w:space="0" w:color="A6A6A6"/>
            </w:tcBorders>
            <w:shd w:val="clear" w:color="000000" w:fill="D9E1F2"/>
            <w:noWrap/>
            <w:tcMar>
              <w:left w:w="57" w:type="dxa"/>
              <w:right w:w="57" w:type="dxa"/>
            </w:tcMar>
            <w:vAlign w:val="center"/>
            <w:hideMark/>
          </w:tcPr>
          <w:p w14:paraId="106B1E76"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 </w:t>
            </w:r>
          </w:p>
        </w:tc>
        <w:tc>
          <w:tcPr>
            <w:tcW w:w="560" w:type="pct"/>
            <w:gridSpan w:val="2"/>
            <w:tcBorders>
              <w:top w:val="single" w:sz="4" w:space="0" w:color="A6A6A6"/>
              <w:left w:val="nil"/>
              <w:bottom w:val="single" w:sz="4" w:space="0" w:color="A6A6A6"/>
              <w:right w:val="single" w:sz="8" w:space="0" w:color="A6A6A6"/>
            </w:tcBorders>
            <w:shd w:val="clear" w:color="000000" w:fill="D9E1F2"/>
            <w:noWrap/>
            <w:tcMar>
              <w:left w:w="57" w:type="dxa"/>
              <w:right w:w="57" w:type="dxa"/>
            </w:tcMar>
            <w:vAlign w:val="center"/>
            <w:hideMark/>
          </w:tcPr>
          <w:p w14:paraId="787C3C6D"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3.10</w:t>
            </w:r>
          </w:p>
        </w:tc>
        <w:tc>
          <w:tcPr>
            <w:tcW w:w="606" w:type="pct"/>
            <w:gridSpan w:val="2"/>
            <w:tcBorders>
              <w:top w:val="single" w:sz="4" w:space="0" w:color="A6A6A6"/>
              <w:left w:val="nil"/>
              <w:bottom w:val="single" w:sz="4" w:space="0" w:color="A6A6A6"/>
              <w:right w:val="single" w:sz="8" w:space="0" w:color="A6A6A6"/>
            </w:tcBorders>
            <w:shd w:val="clear" w:color="000000" w:fill="D9E1F2"/>
            <w:noWrap/>
            <w:tcMar>
              <w:left w:w="57" w:type="dxa"/>
              <w:right w:w="57" w:type="dxa"/>
            </w:tcMar>
            <w:vAlign w:val="center"/>
            <w:hideMark/>
          </w:tcPr>
          <w:p w14:paraId="51271E34"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10.69</w:t>
            </w:r>
          </w:p>
        </w:tc>
        <w:tc>
          <w:tcPr>
            <w:tcW w:w="560" w:type="pct"/>
            <w:gridSpan w:val="2"/>
            <w:tcBorders>
              <w:top w:val="single" w:sz="4" w:space="0" w:color="A6A6A6"/>
              <w:left w:val="nil"/>
              <w:bottom w:val="single" w:sz="4" w:space="0" w:color="A6A6A6"/>
              <w:right w:val="single" w:sz="8" w:space="0" w:color="A6A6A6"/>
            </w:tcBorders>
            <w:shd w:val="clear" w:color="000000" w:fill="D9E1F2"/>
            <w:noWrap/>
            <w:tcMar>
              <w:left w:w="57" w:type="dxa"/>
              <w:right w:w="57" w:type="dxa"/>
            </w:tcMar>
            <w:vAlign w:val="center"/>
            <w:hideMark/>
          </w:tcPr>
          <w:p w14:paraId="64BE8D6D"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0.91</w:t>
            </w:r>
          </w:p>
        </w:tc>
        <w:tc>
          <w:tcPr>
            <w:tcW w:w="652" w:type="pct"/>
            <w:gridSpan w:val="2"/>
            <w:tcBorders>
              <w:top w:val="single" w:sz="4" w:space="0" w:color="A6A6A6"/>
              <w:left w:val="nil"/>
              <w:bottom w:val="single" w:sz="4" w:space="0" w:color="A6A6A6"/>
              <w:right w:val="single" w:sz="8" w:space="0" w:color="A6A6A6"/>
            </w:tcBorders>
            <w:shd w:val="clear" w:color="000000" w:fill="D9E1F2"/>
            <w:noWrap/>
            <w:tcMar>
              <w:left w:w="57" w:type="dxa"/>
              <w:right w:w="57" w:type="dxa"/>
            </w:tcMar>
            <w:vAlign w:val="center"/>
            <w:hideMark/>
          </w:tcPr>
          <w:p w14:paraId="7D4474F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3.63</w:t>
            </w:r>
          </w:p>
        </w:tc>
        <w:tc>
          <w:tcPr>
            <w:tcW w:w="578" w:type="pct"/>
            <w:gridSpan w:val="2"/>
            <w:tcBorders>
              <w:top w:val="single" w:sz="4" w:space="0" w:color="A6A6A6"/>
              <w:left w:val="nil"/>
              <w:bottom w:val="single" w:sz="4" w:space="0" w:color="A6A6A6"/>
              <w:right w:val="single" w:sz="8" w:space="0" w:color="A6A6A6"/>
            </w:tcBorders>
            <w:shd w:val="clear" w:color="000000" w:fill="D9E1F2"/>
            <w:noWrap/>
            <w:tcMar>
              <w:left w:w="57" w:type="dxa"/>
              <w:right w:w="57" w:type="dxa"/>
            </w:tcMar>
            <w:vAlign w:val="center"/>
            <w:hideMark/>
          </w:tcPr>
          <w:p w14:paraId="46476CC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-3.69</w:t>
            </w:r>
          </w:p>
        </w:tc>
        <w:tc>
          <w:tcPr>
            <w:tcW w:w="579" w:type="pct"/>
            <w:gridSpan w:val="2"/>
            <w:tcBorders>
              <w:top w:val="single" w:sz="4" w:space="0" w:color="A6A6A6"/>
              <w:left w:val="nil"/>
              <w:bottom w:val="single" w:sz="4" w:space="0" w:color="A6A6A6"/>
              <w:right w:val="single" w:sz="8" w:space="0" w:color="A6A6A6"/>
            </w:tcBorders>
            <w:shd w:val="clear" w:color="000000" w:fill="D9E1F2"/>
            <w:noWrap/>
            <w:tcMar>
              <w:left w:w="57" w:type="dxa"/>
              <w:right w:w="57" w:type="dxa"/>
            </w:tcMar>
            <w:vAlign w:val="center"/>
            <w:hideMark/>
          </w:tcPr>
          <w:p w14:paraId="3D2450A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0.39</w:t>
            </w:r>
          </w:p>
        </w:tc>
        <w:tc>
          <w:tcPr>
            <w:tcW w:w="578" w:type="pct"/>
            <w:gridSpan w:val="2"/>
            <w:tcBorders>
              <w:top w:val="single" w:sz="4" w:space="0" w:color="A6A6A6"/>
              <w:left w:val="nil"/>
              <w:bottom w:val="single" w:sz="4" w:space="0" w:color="A6A6A6"/>
              <w:right w:val="single" w:sz="4" w:space="0" w:color="A6A6A6"/>
            </w:tcBorders>
            <w:shd w:val="clear" w:color="000000" w:fill="D9E1F2"/>
            <w:noWrap/>
            <w:tcMar>
              <w:left w:w="57" w:type="dxa"/>
              <w:right w:w="57" w:type="dxa"/>
            </w:tcMar>
            <w:vAlign w:val="center"/>
            <w:hideMark/>
          </w:tcPr>
          <w:p w14:paraId="3535F785"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-2.45</w:t>
            </w:r>
          </w:p>
        </w:tc>
      </w:tr>
      <w:tr w:rsidR="00120E18" w:rsidRPr="00E13D5D" w14:paraId="7D91BC0C" w14:textId="77777777" w:rsidTr="00120E18">
        <w:trPr>
          <w:trHeight w:val="300"/>
        </w:trPr>
        <w:tc>
          <w:tcPr>
            <w:tcW w:w="665" w:type="pct"/>
            <w:tcBorders>
              <w:top w:val="nil"/>
              <w:left w:val="single" w:sz="4" w:space="0" w:color="A6A6A6"/>
              <w:bottom w:val="single" w:sz="4" w:space="0" w:color="A6A6A6"/>
              <w:right w:val="single" w:sz="8" w:space="0" w:color="A6A6A6"/>
            </w:tcBorders>
            <w:shd w:val="clear" w:color="000000" w:fill="E2EFDA"/>
            <w:noWrap/>
            <w:tcMar>
              <w:left w:w="57" w:type="dxa"/>
              <w:right w:w="57" w:type="dxa"/>
            </w:tcMar>
            <w:vAlign w:val="center"/>
            <w:hideMark/>
          </w:tcPr>
          <w:p w14:paraId="322AC0A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Party program 2</w:t>
            </w:r>
          </w:p>
        </w:tc>
        <w:tc>
          <w:tcPr>
            <w:tcW w:w="224"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2D2EAB54"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0.88</w:t>
            </w:r>
          </w:p>
        </w:tc>
        <w:tc>
          <w:tcPr>
            <w:tcW w:w="317"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726F805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6.82</w:t>
            </w:r>
          </w:p>
        </w:tc>
        <w:tc>
          <w:tcPr>
            <w:tcW w:w="243"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3A9C819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9.91</w:t>
            </w:r>
          </w:p>
        </w:tc>
        <w:tc>
          <w:tcPr>
            <w:tcW w:w="317"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21249058"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39.19</w:t>
            </w:r>
          </w:p>
        </w:tc>
        <w:tc>
          <w:tcPr>
            <w:tcW w:w="289"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12C2379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44.09</w:t>
            </w:r>
          </w:p>
        </w:tc>
        <w:tc>
          <w:tcPr>
            <w:tcW w:w="317"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3FDA86F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2.04</w:t>
            </w:r>
          </w:p>
        </w:tc>
        <w:tc>
          <w:tcPr>
            <w:tcW w:w="243"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3D78DB5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2.61</w:t>
            </w:r>
          </w:p>
        </w:tc>
        <w:tc>
          <w:tcPr>
            <w:tcW w:w="364"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608487FA"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4.43</w:t>
            </w:r>
          </w:p>
        </w:tc>
        <w:tc>
          <w:tcPr>
            <w:tcW w:w="289"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57617210"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16.24</w:t>
            </w:r>
          </w:p>
        </w:tc>
        <w:tc>
          <w:tcPr>
            <w:tcW w:w="289"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5061AD66"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33.74</w:t>
            </w:r>
          </w:p>
        </w:tc>
        <w:tc>
          <w:tcPr>
            <w:tcW w:w="289"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4E45F6DF"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26.31</w:t>
            </w:r>
          </w:p>
        </w:tc>
        <w:tc>
          <w:tcPr>
            <w:tcW w:w="243"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6D1CBA87"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0.00</w:t>
            </w:r>
          </w:p>
        </w:tc>
        <w:tc>
          <w:tcPr>
            <w:tcW w:w="336" w:type="pct"/>
            <w:tcBorders>
              <w:top w:val="nil"/>
              <w:left w:val="nil"/>
              <w:bottom w:val="nil"/>
              <w:right w:val="nil"/>
            </w:tcBorders>
            <w:shd w:val="clear" w:color="000000" w:fill="E2EFDA"/>
            <w:noWrap/>
            <w:tcMar>
              <w:left w:w="57" w:type="dxa"/>
              <w:right w:w="57" w:type="dxa"/>
            </w:tcMar>
            <w:vAlign w:val="center"/>
            <w:hideMark/>
          </w:tcPr>
          <w:p w14:paraId="022CAE01"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0.83</w:t>
            </w:r>
          </w:p>
        </w:tc>
        <w:tc>
          <w:tcPr>
            <w:tcW w:w="289"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071C11A4"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76.34</w:t>
            </w:r>
          </w:p>
        </w:tc>
        <w:tc>
          <w:tcPr>
            <w:tcW w:w="289"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5ADD79AD"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52.42</w:t>
            </w:r>
          </w:p>
        </w:tc>
      </w:tr>
      <w:tr w:rsidR="00120E18" w:rsidRPr="00E13D5D" w14:paraId="5193AF3B" w14:textId="77777777" w:rsidTr="00120E18">
        <w:trPr>
          <w:trHeight w:val="300"/>
        </w:trPr>
        <w:tc>
          <w:tcPr>
            <w:tcW w:w="665" w:type="pct"/>
            <w:tcBorders>
              <w:top w:val="nil"/>
              <w:left w:val="single" w:sz="4" w:space="0" w:color="A6A6A6"/>
              <w:bottom w:val="single" w:sz="4" w:space="0" w:color="A6A6A6"/>
              <w:right w:val="single" w:sz="8" w:space="0" w:color="A6A6A6"/>
            </w:tcBorders>
            <w:shd w:val="clear" w:color="000000" w:fill="E2EFDA"/>
            <w:noWrap/>
            <w:tcMar>
              <w:left w:w="57" w:type="dxa"/>
              <w:right w:w="57" w:type="dxa"/>
            </w:tcMar>
            <w:vAlign w:val="center"/>
            <w:hideMark/>
          </w:tcPr>
          <w:p w14:paraId="5AE823F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proportion</w:t>
            </w:r>
          </w:p>
        </w:tc>
        <w:tc>
          <w:tcPr>
            <w:tcW w:w="224"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16B80A68"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 </w:t>
            </w:r>
          </w:p>
        </w:tc>
        <w:tc>
          <w:tcPr>
            <w:tcW w:w="317"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2D73E530"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4.2%</w:t>
            </w:r>
          </w:p>
        </w:tc>
        <w:tc>
          <w:tcPr>
            <w:tcW w:w="243"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522C3F1F"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6.5%</w:t>
            </w:r>
          </w:p>
        </w:tc>
        <w:tc>
          <w:tcPr>
            <w:tcW w:w="317"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067E7C8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24.1%</w:t>
            </w:r>
          </w:p>
        </w:tc>
        <w:tc>
          <w:tcPr>
            <w:tcW w:w="289"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3D7D0377"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28.9%</w:t>
            </w:r>
          </w:p>
        </w:tc>
        <w:tc>
          <w:tcPr>
            <w:tcW w:w="317"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7FFAC8B0"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1.3%</w:t>
            </w:r>
          </w:p>
        </w:tc>
        <w:tc>
          <w:tcPr>
            <w:tcW w:w="243"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52F20DAF"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1.7%</w:t>
            </w:r>
          </w:p>
        </w:tc>
        <w:tc>
          <w:tcPr>
            <w:tcW w:w="364"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2B03D54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2.7%</w:t>
            </w:r>
          </w:p>
        </w:tc>
        <w:tc>
          <w:tcPr>
            <w:tcW w:w="289"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4D1900EB"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10.7%</w:t>
            </w:r>
          </w:p>
        </w:tc>
        <w:tc>
          <w:tcPr>
            <w:tcW w:w="289"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53451D33"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20.8%</w:t>
            </w:r>
          </w:p>
        </w:tc>
        <w:tc>
          <w:tcPr>
            <w:tcW w:w="289"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1D7E019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17.3%</w:t>
            </w:r>
          </w:p>
        </w:tc>
        <w:tc>
          <w:tcPr>
            <w:tcW w:w="243"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06101CC8"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0.0%</w:t>
            </w:r>
          </w:p>
        </w:tc>
        <w:tc>
          <w:tcPr>
            <w:tcW w:w="336" w:type="pct"/>
            <w:tcBorders>
              <w:top w:val="single" w:sz="4" w:space="0" w:color="A6A6A6"/>
              <w:left w:val="nil"/>
              <w:bottom w:val="single" w:sz="4" w:space="0" w:color="A6A6A6"/>
              <w:right w:val="single" w:sz="8" w:space="0" w:color="A6A6A6"/>
            </w:tcBorders>
            <w:shd w:val="clear" w:color="000000" w:fill="E2EFDA"/>
            <w:noWrap/>
            <w:tcMar>
              <w:left w:w="57" w:type="dxa"/>
              <w:right w:w="57" w:type="dxa"/>
            </w:tcMar>
            <w:vAlign w:val="center"/>
            <w:hideMark/>
          </w:tcPr>
          <w:p w14:paraId="332CE21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0.5%</w:t>
            </w:r>
          </w:p>
        </w:tc>
        <w:tc>
          <w:tcPr>
            <w:tcW w:w="289"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5BEAB0D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47.0%</w:t>
            </w:r>
          </w:p>
        </w:tc>
        <w:tc>
          <w:tcPr>
            <w:tcW w:w="289" w:type="pct"/>
            <w:tcBorders>
              <w:top w:val="nil"/>
              <w:left w:val="nil"/>
              <w:bottom w:val="single" w:sz="4" w:space="0" w:color="A6A6A6"/>
              <w:right w:val="single" w:sz="4" w:space="0" w:color="A6A6A6"/>
            </w:tcBorders>
            <w:shd w:val="clear" w:color="000000" w:fill="E2EFDA"/>
            <w:noWrap/>
            <w:tcMar>
              <w:left w:w="57" w:type="dxa"/>
              <w:right w:w="57" w:type="dxa"/>
            </w:tcMar>
            <w:vAlign w:val="center"/>
            <w:hideMark/>
          </w:tcPr>
          <w:p w14:paraId="558E5D07"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34.4%</w:t>
            </w:r>
          </w:p>
        </w:tc>
      </w:tr>
      <w:tr w:rsidR="00120E18" w:rsidRPr="00E13D5D" w14:paraId="2BDFD0EE" w14:textId="77777777" w:rsidTr="00120E18">
        <w:trPr>
          <w:trHeight w:val="300"/>
        </w:trPr>
        <w:tc>
          <w:tcPr>
            <w:tcW w:w="665" w:type="pct"/>
            <w:tcBorders>
              <w:top w:val="nil"/>
              <w:left w:val="single" w:sz="4" w:space="0" w:color="A6A6A6"/>
              <w:bottom w:val="single" w:sz="4" w:space="0" w:color="A6A6A6"/>
              <w:right w:val="single" w:sz="8" w:space="0" w:color="A6A6A6"/>
            </w:tcBorders>
            <w:shd w:val="clear" w:color="000000" w:fill="E2EFDA"/>
            <w:noWrap/>
            <w:tcMar>
              <w:left w:w="57" w:type="dxa"/>
              <w:right w:w="57" w:type="dxa"/>
            </w:tcMar>
            <w:vAlign w:val="center"/>
            <w:hideMark/>
          </w:tcPr>
          <w:p w14:paraId="29B6548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absolute</w:t>
            </w:r>
          </w:p>
        </w:tc>
        <w:tc>
          <w:tcPr>
            <w:tcW w:w="224" w:type="pct"/>
            <w:tcBorders>
              <w:top w:val="nil"/>
              <w:left w:val="nil"/>
              <w:bottom w:val="single" w:sz="4" w:space="0" w:color="A6A6A6"/>
              <w:right w:val="single" w:sz="8" w:space="0" w:color="A6A6A6"/>
            </w:tcBorders>
            <w:shd w:val="clear" w:color="000000" w:fill="E2EFDA"/>
            <w:noWrap/>
            <w:tcMar>
              <w:left w:w="57" w:type="dxa"/>
              <w:right w:w="57" w:type="dxa"/>
            </w:tcMar>
            <w:vAlign w:val="center"/>
            <w:hideMark/>
          </w:tcPr>
          <w:p w14:paraId="52D5C709"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 </w:t>
            </w:r>
          </w:p>
        </w:tc>
        <w:tc>
          <w:tcPr>
            <w:tcW w:w="560" w:type="pct"/>
            <w:gridSpan w:val="2"/>
            <w:tcBorders>
              <w:top w:val="single" w:sz="4" w:space="0" w:color="A6A6A6"/>
              <w:left w:val="nil"/>
              <w:bottom w:val="single" w:sz="4" w:space="0" w:color="A6A6A6"/>
              <w:right w:val="single" w:sz="8" w:space="0" w:color="A6A6A6"/>
            </w:tcBorders>
            <w:shd w:val="clear" w:color="000000" w:fill="E2EFDA"/>
            <w:noWrap/>
            <w:tcMar>
              <w:left w:w="57" w:type="dxa"/>
              <w:right w:w="57" w:type="dxa"/>
            </w:tcMar>
            <w:vAlign w:val="center"/>
            <w:hideMark/>
          </w:tcPr>
          <w:p w14:paraId="6E41981B"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3.10</w:t>
            </w:r>
          </w:p>
        </w:tc>
        <w:tc>
          <w:tcPr>
            <w:tcW w:w="606" w:type="pct"/>
            <w:gridSpan w:val="2"/>
            <w:tcBorders>
              <w:top w:val="single" w:sz="4" w:space="0" w:color="A6A6A6"/>
              <w:left w:val="nil"/>
              <w:bottom w:val="single" w:sz="4" w:space="0" w:color="A6A6A6"/>
              <w:right w:val="single" w:sz="8" w:space="0" w:color="A6A6A6"/>
            </w:tcBorders>
            <w:shd w:val="clear" w:color="000000" w:fill="E2EFDA"/>
            <w:noWrap/>
            <w:tcMar>
              <w:left w:w="57" w:type="dxa"/>
              <w:right w:w="57" w:type="dxa"/>
            </w:tcMar>
            <w:vAlign w:val="center"/>
            <w:hideMark/>
          </w:tcPr>
          <w:p w14:paraId="65753CF7"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4.90</w:t>
            </w:r>
          </w:p>
        </w:tc>
        <w:tc>
          <w:tcPr>
            <w:tcW w:w="560" w:type="pct"/>
            <w:gridSpan w:val="2"/>
            <w:tcBorders>
              <w:top w:val="single" w:sz="4" w:space="0" w:color="A6A6A6"/>
              <w:left w:val="nil"/>
              <w:bottom w:val="single" w:sz="4" w:space="0" w:color="A6A6A6"/>
              <w:right w:val="single" w:sz="8" w:space="0" w:color="A6A6A6"/>
            </w:tcBorders>
            <w:shd w:val="clear" w:color="000000" w:fill="E2EFDA"/>
            <w:noWrap/>
            <w:tcMar>
              <w:left w:w="57" w:type="dxa"/>
              <w:right w:w="57" w:type="dxa"/>
            </w:tcMar>
            <w:vAlign w:val="center"/>
            <w:hideMark/>
          </w:tcPr>
          <w:p w14:paraId="5DB0C4FE"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0.56</w:t>
            </w:r>
          </w:p>
        </w:tc>
        <w:tc>
          <w:tcPr>
            <w:tcW w:w="652" w:type="pct"/>
            <w:gridSpan w:val="2"/>
            <w:tcBorders>
              <w:top w:val="single" w:sz="4" w:space="0" w:color="A6A6A6"/>
              <w:left w:val="nil"/>
              <w:bottom w:val="single" w:sz="4" w:space="0" w:color="A6A6A6"/>
              <w:right w:val="single" w:sz="8" w:space="0" w:color="A6A6A6"/>
            </w:tcBorders>
            <w:shd w:val="clear" w:color="000000" w:fill="E2EFDA"/>
            <w:noWrap/>
            <w:tcMar>
              <w:left w:w="57" w:type="dxa"/>
              <w:right w:w="57" w:type="dxa"/>
            </w:tcMar>
            <w:vAlign w:val="center"/>
            <w:hideMark/>
          </w:tcPr>
          <w:p w14:paraId="61822860"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11.81</w:t>
            </w:r>
          </w:p>
        </w:tc>
        <w:tc>
          <w:tcPr>
            <w:tcW w:w="578" w:type="pct"/>
            <w:gridSpan w:val="2"/>
            <w:tcBorders>
              <w:top w:val="single" w:sz="4" w:space="0" w:color="A6A6A6"/>
              <w:left w:val="nil"/>
              <w:bottom w:val="single" w:sz="4" w:space="0" w:color="A6A6A6"/>
              <w:right w:val="single" w:sz="8" w:space="0" w:color="A6A6A6"/>
            </w:tcBorders>
            <w:shd w:val="clear" w:color="000000" w:fill="E2EFDA"/>
            <w:noWrap/>
            <w:tcMar>
              <w:left w:w="57" w:type="dxa"/>
              <w:right w:w="57" w:type="dxa"/>
            </w:tcMar>
            <w:vAlign w:val="center"/>
            <w:hideMark/>
          </w:tcPr>
          <w:p w14:paraId="5953DE7D"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-7.44</w:t>
            </w:r>
          </w:p>
        </w:tc>
        <w:tc>
          <w:tcPr>
            <w:tcW w:w="579" w:type="pct"/>
            <w:gridSpan w:val="2"/>
            <w:tcBorders>
              <w:top w:val="single" w:sz="4" w:space="0" w:color="A6A6A6"/>
              <w:left w:val="nil"/>
              <w:bottom w:val="single" w:sz="4" w:space="0" w:color="A6A6A6"/>
              <w:right w:val="single" w:sz="8" w:space="0" w:color="A6A6A6"/>
            </w:tcBorders>
            <w:shd w:val="clear" w:color="000000" w:fill="E2EFDA"/>
            <w:noWrap/>
            <w:tcMar>
              <w:left w:w="57" w:type="dxa"/>
              <w:right w:w="57" w:type="dxa"/>
            </w:tcMar>
            <w:vAlign w:val="center"/>
            <w:hideMark/>
          </w:tcPr>
          <w:p w14:paraId="018B45AB"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0.83</w:t>
            </w:r>
          </w:p>
        </w:tc>
        <w:tc>
          <w:tcPr>
            <w:tcW w:w="578" w:type="pct"/>
            <w:gridSpan w:val="2"/>
            <w:tcBorders>
              <w:top w:val="single" w:sz="4" w:space="0" w:color="A6A6A6"/>
              <w:left w:val="nil"/>
              <w:bottom w:val="single" w:sz="4" w:space="0" w:color="A6A6A6"/>
              <w:right w:val="single" w:sz="4" w:space="0" w:color="A6A6A6"/>
            </w:tcBorders>
            <w:shd w:val="clear" w:color="000000" w:fill="E2EFDA"/>
            <w:noWrap/>
            <w:tcMar>
              <w:left w:w="57" w:type="dxa"/>
              <w:right w:w="57" w:type="dxa"/>
            </w:tcMar>
            <w:vAlign w:val="center"/>
            <w:hideMark/>
          </w:tcPr>
          <w:p w14:paraId="56FC65F2" w14:textId="77777777" w:rsidR="00120E18" w:rsidRPr="00E13D5D" w:rsidRDefault="00120E18" w:rsidP="00AF2C7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18"/>
                <w:szCs w:val="18"/>
                <w:bdr w:val="none" w:sz="0" w:space="0" w:color="auto"/>
                <w:lang w:eastAsia="ja-JP"/>
              </w:rPr>
            </w:pPr>
            <w:r w:rsidRPr="00E13D5D">
              <w:rPr>
                <w:rFonts w:ascii="Calibri" w:eastAsia="Times New Roman" w:hAnsi="Calibri" w:cs="Calibri"/>
                <w:color w:val="000000"/>
                <w:sz w:val="18"/>
                <w:szCs w:val="18"/>
                <w:bdr w:val="none" w:sz="0" w:space="0" w:color="auto"/>
                <w:lang w:eastAsia="ja-JP"/>
              </w:rPr>
              <w:t>-23.92</w:t>
            </w:r>
          </w:p>
        </w:tc>
      </w:tr>
    </w:tbl>
    <w:p w14:paraId="335BFDEA" w14:textId="7EF3F503" w:rsidR="00417926" w:rsidRDefault="00417926"/>
    <w:p w14:paraId="5DCF8E1D" w14:textId="5E1C5405" w:rsidR="00E477AC" w:rsidRPr="003F3C18" w:rsidRDefault="00E477AC" w:rsidP="00E477AC">
      <w:pPr>
        <w:pStyle w:val="Body"/>
        <w:spacing w:before="240" w:after="240" w:line="360" w:lineRule="auto"/>
        <w:jc w:val="both"/>
        <w:rPr>
          <w:rStyle w:val="Hyperlink0"/>
          <w:i/>
          <w:iCs/>
        </w:rPr>
      </w:pPr>
      <w:r w:rsidRPr="003F3C18">
        <w:rPr>
          <w:rStyle w:val="Hyperlink0"/>
          <w:i/>
          <w:iCs/>
        </w:rPr>
        <w:t>Discussion regarding significance testing</w:t>
      </w:r>
    </w:p>
    <w:p w14:paraId="7660944A" w14:textId="4924325D" w:rsidR="00E477AC" w:rsidRPr="003F3C18" w:rsidRDefault="00E477AC" w:rsidP="00E477AC">
      <w:pPr>
        <w:pStyle w:val="Body"/>
        <w:spacing w:before="240" w:after="240" w:line="360" w:lineRule="auto"/>
        <w:jc w:val="both"/>
        <w:rPr>
          <w:rStyle w:val="Hyperlink0"/>
        </w:rPr>
      </w:pPr>
      <w:r w:rsidRPr="003F3C18">
        <w:rPr>
          <w:rStyle w:val="Hyperlink0"/>
        </w:rPr>
        <w:t>We do not claim that using significance testing solves the issue of lexicon-based approaches, merely that it completes and complements the other validation measures. As all the documents in our dataset have different and typically multiple authors, even though the genre is the same for all, the linguistic style and idiosyncratic word choices of the creators of each document means that any systematic errors introduced by the lexicon, would become apparent through a combination of the manual validation, statistical significance measures, as well as our attempts at editing the most common words in the lexicon to match the domain of par</w:t>
      </w:r>
      <w:r w:rsidR="004247B3" w:rsidRPr="003F3C18">
        <w:rPr>
          <w:rStyle w:val="Hyperlink0"/>
        </w:rPr>
        <w:t>ty manifestos</w:t>
      </w:r>
      <w:r w:rsidRPr="003F3C18">
        <w:rPr>
          <w:rStyle w:val="Hyperlink0"/>
        </w:rPr>
        <w:t xml:space="preserve"> (i.e. in practice this mostly means removing words that are over-represented in the par</w:t>
      </w:r>
      <w:r w:rsidR="001771C1" w:rsidRPr="003F3C18">
        <w:rPr>
          <w:rStyle w:val="Hyperlink0"/>
        </w:rPr>
        <w:t>ty manifesto</w:t>
      </w:r>
      <w:r w:rsidRPr="003F3C18">
        <w:rPr>
          <w:rStyle w:val="Hyperlink0"/>
        </w:rPr>
        <w:t xml:space="preserve"> texts as they are more neutral in this context than in the original lexicon and adding some commonly occurring words that were not in the lexicon).</w:t>
      </w:r>
    </w:p>
    <w:p w14:paraId="58EBD33B" w14:textId="7225DBC2" w:rsidR="00E477AC" w:rsidRPr="00E477AC" w:rsidRDefault="00E477AC" w:rsidP="00E477AC">
      <w:pPr>
        <w:pStyle w:val="Body"/>
        <w:spacing w:before="240" w:after="240" w:line="360" w:lineRule="auto"/>
        <w:jc w:val="both"/>
        <w:rPr>
          <w:rStyle w:val="Hyperlink0"/>
        </w:rPr>
      </w:pPr>
      <w:r w:rsidRPr="003F3C18">
        <w:rPr>
          <w:rStyle w:val="Hyperlink0"/>
        </w:rPr>
        <w:t xml:space="preserve">Because of our validation efforts we know how human interpretation relates to the lexicon-based annotation of the documents and have confirmed that the most commonly used words all are correctly linked to their associated emotions in this domain, statistical significance testing increases our confidence that any actual deviations, i.e. the statistical significance measures on the linear regression, are due to the emotion-word choices of the author(s) rather than our dictionary mistakenly associating text with emotion where there are none or a different emotion should be. We believe that our approach correctly recognizes emotion-associated words used in the text and the significance of differences in use </w:t>
      </w:r>
      <w:proofErr w:type="gramStart"/>
      <w:r w:rsidRPr="003F3C18">
        <w:rPr>
          <w:rStyle w:val="Hyperlink0"/>
        </w:rPr>
        <w:t>e.g.</w:t>
      </w:r>
      <w:proofErr w:type="gramEnd"/>
      <w:r w:rsidRPr="003F3C18">
        <w:rPr>
          <w:rStyle w:val="Hyperlink0"/>
        </w:rPr>
        <w:t xml:space="preserve"> during different time periods or by different parties has been reliably shown with statistical significance measures.</w:t>
      </w:r>
    </w:p>
    <w:sectPr w:rsidR="00E477AC" w:rsidRPr="00E477A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E2FD7" w14:textId="77777777" w:rsidR="0033187C" w:rsidRDefault="0033187C" w:rsidP="00E30910">
      <w:r>
        <w:separator/>
      </w:r>
    </w:p>
  </w:endnote>
  <w:endnote w:type="continuationSeparator" w:id="0">
    <w:p w14:paraId="6BC61D3A" w14:textId="77777777" w:rsidR="0033187C" w:rsidRDefault="0033187C" w:rsidP="00E3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DF6AF" w14:textId="77777777" w:rsidR="0033187C" w:rsidRDefault="0033187C" w:rsidP="00E30910">
      <w:r>
        <w:separator/>
      </w:r>
    </w:p>
  </w:footnote>
  <w:footnote w:type="continuationSeparator" w:id="0">
    <w:p w14:paraId="3F38EAC1" w14:textId="77777777" w:rsidR="0033187C" w:rsidRDefault="0033187C" w:rsidP="00E309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E18"/>
    <w:rsid w:val="0008245E"/>
    <w:rsid w:val="00120E18"/>
    <w:rsid w:val="001771C1"/>
    <w:rsid w:val="0018622B"/>
    <w:rsid w:val="0020528A"/>
    <w:rsid w:val="00205489"/>
    <w:rsid w:val="0033187C"/>
    <w:rsid w:val="00345FFE"/>
    <w:rsid w:val="00372ABB"/>
    <w:rsid w:val="00396F71"/>
    <w:rsid w:val="003F3C18"/>
    <w:rsid w:val="00417926"/>
    <w:rsid w:val="004247B3"/>
    <w:rsid w:val="00447F62"/>
    <w:rsid w:val="00480E61"/>
    <w:rsid w:val="00553732"/>
    <w:rsid w:val="005C01AF"/>
    <w:rsid w:val="00696B9A"/>
    <w:rsid w:val="006A6428"/>
    <w:rsid w:val="008D452C"/>
    <w:rsid w:val="009039C2"/>
    <w:rsid w:val="00940E95"/>
    <w:rsid w:val="00945D12"/>
    <w:rsid w:val="00AD47CF"/>
    <w:rsid w:val="00AD7A06"/>
    <w:rsid w:val="00E30910"/>
    <w:rsid w:val="00E477AC"/>
    <w:rsid w:val="00E82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5FF93"/>
  <w15:chartTrackingRefBased/>
  <w15:docId w15:val="{BD9C4279-BDA8-4BFB-9250-BAA6B44A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E18"/>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20E18"/>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eastAsia="en-GB"/>
      <w14:textOutline w14:w="0" w14:cap="flat" w14:cmpd="sng" w14:algn="ctr">
        <w14:noFill/>
        <w14:prstDash w14:val="solid"/>
        <w14:bevel/>
      </w14:textOutline>
    </w:rPr>
  </w:style>
  <w:style w:type="character" w:customStyle="1" w:styleId="Hyperlink0">
    <w:name w:val="Hyperlink.0"/>
    <w:basedOn w:val="DefaultParagraphFont"/>
    <w:rsid w:val="00120E18"/>
    <w:rPr>
      <w:lang w:val="en-US"/>
    </w:rPr>
  </w:style>
  <w:style w:type="paragraph" w:styleId="CommentText">
    <w:name w:val="annotation text"/>
    <w:basedOn w:val="Normal"/>
    <w:link w:val="CommentTextChar"/>
    <w:uiPriority w:val="99"/>
    <w:unhideWhenUsed/>
    <w:rsid w:val="00120E18"/>
    <w:rPr>
      <w:sz w:val="20"/>
      <w:szCs w:val="20"/>
    </w:rPr>
  </w:style>
  <w:style w:type="character" w:customStyle="1" w:styleId="CommentTextChar">
    <w:name w:val="Comment Text Char"/>
    <w:basedOn w:val="DefaultParagraphFont"/>
    <w:link w:val="CommentText"/>
    <w:uiPriority w:val="99"/>
    <w:rsid w:val="00120E18"/>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20E1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89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967C2-1A28-48AF-BDB4-E897070A6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Koljonen Juha</dc:creator>
  <cp:keywords/>
  <dc:description/>
  <cp:lastModifiedBy>Juha Koljonen</cp:lastModifiedBy>
  <cp:revision>3</cp:revision>
  <dcterms:created xsi:type="dcterms:W3CDTF">2022-08-08T17:53:00Z</dcterms:created>
  <dcterms:modified xsi:type="dcterms:W3CDTF">2022-08-10T10:53:00Z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154282-20aa-49ad-8637-e9b4c9019bd1_Enabled">
    <vt:lpwstr>true</vt:lpwstr>
  </property>
  <property fmtid="{D5CDD505-2E9C-101B-9397-08002B2CF9AE}" pid="3" name="MSIP_Label_7d154282-20aa-49ad-8637-e9b4c9019bd1_SetDate">
    <vt:lpwstr>2022-02-07T09:22:12Z</vt:lpwstr>
  </property>
  <property fmtid="{D5CDD505-2E9C-101B-9397-08002B2CF9AE}" pid="4" name="MSIP_Label_7d154282-20aa-49ad-8637-e9b4c9019bd1_Method">
    <vt:lpwstr>Privileged</vt:lpwstr>
  </property>
  <property fmtid="{D5CDD505-2E9C-101B-9397-08002B2CF9AE}" pid="5" name="MSIP_Label_7d154282-20aa-49ad-8637-e9b4c9019bd1_Name">
    <vt:lpwstr>7d154282-20aa-49ad-8637-e9b4c9019bd1</vt:lpwstr>
  </property>
  <property fmtid="{D5CDD505-2E9C-101B-9397-08002B2CF9AE}" pid="6" name="MSIP_Label_7d154282-20aa-49ad-8637-e9b4c9019bd1_SiteId">
    <vt:lpwstr>770c8619-ed01-4f02-84c5-2d8ea3da5d94</vt:lpwstr>
  </property>
  <property fmtid="{D5CDD505-2E9C-101B-9397-08002B2CF9AE}" pid="7" name="MSIP_Label_7d154282-20aa-49ad-8637-e9b4c9019bd1_ActionId">
    <vt:lpwstr>b757c7c7-668e-4b2c-9ba2-9cbba3218bae</vt:lpwstr>
  </property>
  <property fmtid="{D5CDD505-2E9C-101B-9397-08002B2CF9AE}" pid="8" name="MSIP_Label_7d154282-20aa-49ad-8637-e9b4c9019bd1_ContentBits">
    <vt:lpwstr>0</vt:lpwstr>
  </property>
</Properties>
</file>