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3A9" w:rsidRPr="0078341F" w:rsidRDefault="003903A9" w:rsidP="003903A9">
      <w:pPr>
        <w:pStyle w:val="Heading1"/>
        <w:ind w:left="432"/>
        <w:jc w:val="both"/>
      </w:pPr>
      <w:r>
        <w:t>Supplement A, Table S1</w:t>
      </w:r>
    </w:p>
    <w:p w:rsidR="003903A9" w:rsidRPr="00376DA9" w:rsidRDefault="003903A9" w:rsidP="003903A9">
      <w:pPr>
        <w:contextualSpacing/>
        <w:jc w:val="both"/>
        <w:rPr>
          <w:rFonts w:cs="Arial"/>
          <w:b/>
          <w:bCs/>
        </w:rPr>
      </w:pPr>
      <w:r w:rsidRPr="00376DA9">
        <w:rPr>
          <w:rFonts w:cs="Arial"/>
          <w:b/>
          <w:bCs/>
        </w:rPr>
        <w:t xml:space="preserve">Table </w:t>
      </w:r>
      <w:r>
        <w:rPr>
          <w:rFonts w:cs="Arial"/>
          <w:b/>
          <w:bCs/>
        </w:rPr>
        <w:t>S1</w:t>
      </w:r>
    </w:p>
    <w:p w:rsidR="003903A9" w:rsidRPr="00F1270E" w:rsidRDefault="003903A9" w:rsidP="003903A9">
      <w:pPr>
        <w:contextualSpacing/>
        <w:jc w:val="both"/>
        <w:rPr>
          <w:rFonts w:cs="Arial"/>
        </w:rPr>
      </w:pPr>
      <w:r>
        <w:rPr>
          <w:rFonts w:cs="Arial"/>
        </w:rPr>
        <w:t>Sampling Diagnostics of the Fits in Analysis of Parameter Recovery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0"/>
        <w:gridCol w:w="1681"/>
        <w:gridCol w:w="1516"/>
        <w:gridCol w:w="1127"/>
        <w:gridCol w:w="1128"/>
        <w:gridCol w:w="889"/>
        <w:gridCol w:w="1001"/>
      </w:tblGrid>
      <w:tr w:rsidR="003903A9" w:rsidRPr="00F1270E" w:rsidTr="00A92819"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Simulating Model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Fitting Model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eastAsiaTheme="minorEastAsia" w:cs="Arial"/>
                <w:i/>
              </w:rPr>
            </w:pPr>
            <w:r>
              <w:rPr>
                <w:rFonts w:eastAsiaTheme="minorEastAsia" w:cs="Arial"/>
                <w:i/>
              </w:rPr>
              <w:t>Number of Iterations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eastAsiaTheme="minorEastAsia" w:cs="Arial"/>
                <w:i/>
              </w:rPr>
            </w:pPr>
            <w:r>
              <w:rPr>
                <w:rFonts w:eastAsiaTheme="minorEastAsia" w:cs="Arial"/>
                <w:i/>
              </w:rPr>
              <w:t>Number of Subjects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eastAsiaTheme="minorEastAsia" w:cs="Arial"/>
                <w:i/>
              </w:rPr>
            </w:pPr>
            <w:r>
              <w:rPr>
                <w:rFonts w:eastAsiaTheme="minorEastAsia" w:cs="Arial"/>
                <w:i/>
              </w:rPr>
              <w:t>Number of Trials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eastAsiaTheme="minorEastAsia" w:cs="Arial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Arial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eastAsiaTheme="minorEastAsia" w:cs="Arial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 w:cs="Arial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ESS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>min</m:t>
                    </m:r>
                  </m:sub>
                </m:sSub>
              </m:oMath>
            </m:oMathPara>
          </w:p>
        </w:tc>
      </w:tr>
      <w:tr w:rsidR="003903A9" w:rsidRPr="00F1270E" w:rsidTr="00A92819">
        <w:tc>
          <w:tcPr>
            <w:tcW w:w="1730" w:type="dxa"/>
            <w:tcBorders>
              <w:top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  <w:tcBorders>
              <w:top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2000</w:t>
            </w:r>
          </w:p>
        </w:tc>
        <w:tc>
          <w:tcPr>
            <w:tcW w:w="1127" w:type="dxa"/>
            <w:tcBorders>
              <w:top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150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300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eastAsiaTheme="minorEastAsia" w:cs="Arial"/>
                <w:iCs/>
              </w:rPr>
            </w:pPr>
            <w:r w:rsidRPr="00065D27">
              <w:rPr>
                <w:rFonts w:eastAsiaTheme="minorEastAsia" w:cs="Arial"/>
                <w:iCs/>
              </w:rPr>
              <w:t>1.0088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3903A9" w:rsidRPr="00F1270E" w:rsidRDefault="003903A9" w:rsidP="00A92819">
            <w:pPr>
              <w:contextualSpacing/>
              <w:jc w:val="both"/>
              <w:rPr>
                <w:rFonts w:eastAsiaTheme="minorEastAsia" w:cs="Arial"/>
                <w:iCs/>
              </w:rPr>
            </w:pPr>
            <w:r w:rsidRPr="00065D27">
              <w:rPr>
                <w:rFonts w:eastAsiaTheme="minorEastAsia" w:cs="Arial"/>
                <w:iCs/>
              </w:rPr>
              <w:t>997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2000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100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eastAsiaTheme="minorEastAsia" w:cs="Arial"/>
                <w:iCs/>
              </w:rPr>
            </w:pPr>
            <w:r w:rsidRPr="00065D27">
              <w:rPr>
                <w:rFonts w:eastAsiaTheme="minorEastAsia" w:cs="Arial"/>
                <w:iCs/>
              </w:rPr>
              <w:t>5.79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2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 + Bounds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eastAsiaTheme="minorEastAsia" w:cs="Arial"/>
                <w:iCs/>
              </w:rPr>
            </w:pPr>
            <w:r>
              <w:rPr>
                <w:rFonts w:eastAsiaTheme="minorEastAsia" w:cs="Arial"/>
                <w:iCs/>
              </w:rPr>
              <w:t>3000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100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1.0077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407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3000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150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1.012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418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2000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200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</w:rPr>
              <w:t>1.034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</w:rPr>
              <w:t>117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3000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200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065D27">
              <w:rPr>
                <w:rFonts w:cs="Arial"/>
              </w:rPr>
              <w:t>1.030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065D27">
              <w:rPr>
                <w:rFonts w:cs="Arial"/>
              </w:rPr>
              <w:t>136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3000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250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1.0037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1512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2000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300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1.0084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1239</w:t>
            </w:r>
          </w:p>
        </w:tc>
      </w:tr>
      <w:tr w:rsidR="003903A9" w:rsidRPr="00F1270E" w:rsidTr="00A92819">
        <w:tc>
          <w:tcPr>
            <w:tcW w:w="1730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</w:tcPr>
          <w:p w:rsidR="003903A9" w:rsidRPr="00F1270E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3000</w:t>
            </w:r>
          </w:p>
        </w:tc>
        <w:tc>
          <w:tcPr>
            <w:tcW w:w="1127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300</w:t>
            </w:r>
          </w:p>
        </w:tc>
        <w:tc>
          <w:tcPr>
            <w:tcW w:w="889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1.0037</w:t>
            </w:r>
          </w:p>
        </w:tc>
        <w:tc>
          <w:tcPr>
            <w:tcW w:w="1001" w:type="dxa"/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1743</w:t>
            </w:r>
          </w:p>
        </w:tc>
      </w:tr>
      <w:tr w:rsidR="003903A9" w:rsidRPr="00F1270E" w:rsidTr="00A92819">
        <w:tc>
          <w:tcPr>
            <w:tcW w:w="1730" w:type="dxa"/>
            <w:tcBorders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3903A9" w:rsidRDefault="003903A9" w:rsidP="00A92819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Kalman SMEP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2000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eastAsiaTheme="minorEastAsia" w:cs="Arial"/>
                <w:iCs/>
              </w:rPr>
              <w:t>64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500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1.0072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903A9" w:rsidRPr="00F1270E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  <w:tab w:val="center" w:pos="4536"/>
              </w:tabs>
              <w:contextualSpacing/>
              <w:jc w:val="both"/>
              <w:rPr>
                <w:rFonts w:cs="Arial"/>
                <w:iCs/>
              </w:rPr>
            </w:pPr>
            <w:r w:rsidRPr="00065D27">
              <w:rPr>
                <w:rFonts w:cs="Arial"/>
                <w:iCs/>
              </w:rPr>
              <w:t>1197</w:t>
            </w:r>
          </w:p>
        </w:tc>
      </w:tr>
    </w:tbl>
    <w:p w:rsidR="003903A9" w:rsidRPr="0078578C" w:rsidRDefault="003903A9" w:rsidP="003903A9">
      <w:pPr>
        <w:tabs>
          <w:tab w:val="left" w:pos="708"/>
          <w:tab w:val="left" w:pos="1416"/>
          <w:tab w:val="left" w:pos="3015"/>
        </w:tabs>
        <w:contextualSpacing/>
        <w:jc w:val="both"/>
        <w:rPr>
          <w:rFonts w:cs="Arial"/>
        </w:rPr>
      </w:pPr>
      <w:r w:rsidRPr="0078578C">
        <w:rPr>
          <w:rFonts w:cs="Arial"/>
          <w:i/>
          <w:iCs/>
        </w:rPr>
        <w:t>Note</w:t>
      </w:r>
      <w:r>
        <w:rPr>
          <w:rFonts w:cs="Arial"/>
          <w:i/>
          <w:iCs/>
        </w:rPr>
        <w:t>.</w:t>
      </w:r>
      <w:r w:rsidRPr="0078578C">
        <w:rPr>
          <w:rFonts w:cs="Arial"/>
        </w:rPr>
        <w:t xml:space="preserve"> Kalman SMEP means Kalman Filter Model with S</w:t>
      </w:r>
      <w:r>
        <w:rPr>
          <w:rFonts w:cs="Arial"/>
        </w:rPr>
        <w:t xml:space="preserve">oftmax decision rule, exploration bonus and perseveration bonus; Bounds marks the case in which the range of possible values of </w:t>
      </w:r>
      <m:oMath>
        <m:r>
          <w:rPr>
            <w:rFonts w:ascii="Cambria Math" w:hAnsi="Cambria Math" w:cs="Arial"/>
          </w:rPr>
          <m:t>φ</m:t>
        </m:r>
      </m:oMath>
      <w:r w:rsidRPr="00790531"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 xml:space="preserve">was restricted to -10 </w:t>
      </w:r>
      <m:oMath>
        <m:r>
          <w:rPr>
            <w:rFonts w:ascii="Cambria Math" w:eastAsiaTheme="minorEastAsia" w:hAnsi="Cambria Math" w:cs="Arial"/>
          </w:rPr>
          <m:t>&lt;</m:t>
        </m:r>
        <m:r>
          <w:rPr>
            <w:rFonts w:ascii="Cambria Math" w:hAnsi="Cambria Math" w:cs="Arial"/>
          </w:rPr>
          <m:t>φ&lt;</m:t>
        </m:r>
      </m:oMath>
      <w:r>
        <w:rPr>
          <w:rFonts w:eastAsiaTheme="minorEastAsia" w:cs="Arial"/>
        </w:rPr>
        <w:t xml:space="preserve"> 20 and the range of</w:t>
      </w:r>
      <w:r w:rsidRPr="00790531">
        <w:rPr>
          <w:rFonts w:eastAsiaTheme="minorEastAsia" w:cs="Arial"/>
        </w:rPr>
        <w:t xml:space="preserve"> </w:t>
      </w:r>
      <m:oMath>
        <m:r>
          <w:rPr>
            <w:rFonts w:ascii="Cambria Math" w:hAnsi="Cambria Math" w:cs="Arial"/>
          </w:rPr>
          <m:t>ρ</m:t>
        </m:r>
      </m:oMath>
      <w:r>
        <w:rPr>
          <w:rFonts w:eastAsiaTheme="minorEastAsia" w:cs="Arial"/>
        </w:rPr>
        <w:t xml:space="preserve"> was restricted to -20 </w:t>
      </w:r>
      <m:oMath>
        <m:r>
          <w:rPr>
            <w:rFonts w:ascii="Cambria Math" w:eastAsiaTheme="minorEastAsia" w:hAnsi="Cambria Math" w:cs="Arial"/>
          </w:rPr>
          <m:t>&lt;</m:t>
        </m:r>
        <m:r>
          <w:rPr>
            <w:rFonts w:ascii="Cambria Math" w:hAnsi="Cambria Math" w:cs="Arial"/>
          </w:rPr>
          <m:t>ρ&lt;</m:t>
        </m:r>
      </m:oMath>
      <w:r>
        <w:rPr>
          <w:rFonts w:eastAsiaTheme="minorEastAsia" w:cs="Arial"/>
        </w:rPr>
        <w:t xml:space="preserve"> 40</w:t>
      </w:r>
      <w:r>
        <w:rPr>
          <w:rFonts w:cs="Arial"/>
        </w:rPr>
        <w:t xml:space="preserve">; the iterations were in each case half warmup and half sampling;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Arial"/>
              </w:rPr>
              <m:t>max</m:t>
            </m:r>
          </m:sub>
        </m:sSub>
      </m:oMath>
      <w:r>
        <w:rPr>
          <w:rFonts w:eastAsiaTheme="minorEastAsia" w:cs="Arial"/>
        </w:rPr>
        <w:t xml:space="preserve"> the maximum </w:t>
      </w:r>
      <m:oMath>
        <m:acc>
          <m:accPr>
            <m:ctrlPr>
              <w:rPr>
                <w:rFonts w:ascii="Cambria Math" w:hAnsi="Cambria Math" w:cs="Arial"/>
                <w:i/>
              </w:rPr>
            </m:ctrlPr>
          </m:accPr>
          <m:e>
            <m:r>
              <w:rPr>
                <w:rFonts w:ascii="Cambria Math" w:hAnsi="Cambria Math" w:cs="Arial"/>
              </w:rPr>
              <m:t>R</m:t>
            </m:r>
          </m:e>
        </m:acc>
      </m:oMath>
      <w:r>
        <w:rPr>
          <w:rFonts w:eastAsiaTheme="minorEastAsia" w:cs="Arial"/>
        </w:rPr>
        <w:t xml:space="preserve"> estimated for a parameter in the corresponding fit, indicating how well the chains merged;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Arial"/>
                  </w:rPr>
                  <m:t>ESS</m:t>
                </m:r>
              </m:e>
            </m:acc>
          </m:e>
          <m:sub>
            <m:r>
              <w:rPr>
                <w:rFonts w:ascii="Cambria Math" w:eastAsiaTheme="minorEastAsia" w:hAnsi="Cambria Math" w:cs="Arial"/>
              </w:rPr>
              <m:t>min</m:t>
            </m:r>
          </m:sub>
        </m:sSub>
      </m:oMath>
      <w:r>
        <w:rPr>
          <w:rFonts w:eastAsiaTheme="minorEastAsia" w:cs="Arial"/>
        </w:rPr>
        <w:t xml:space="preserve"> is the minimum </w:t>
      </w:r>
      <m:oMath>
        <m:acc>
          <m:accPr>
            <m:ctrlPr>
              <w:rPr>
                <w:rFonts w:ascii="Cambria Math" w:eastAsiaTheme="minorEastAsia" w:hAnsi="Cambria Math" w:cs="Arial"/>
                <w:i/>
              </w:rPr>
            </m:ctrlPr>
          </m:accPr>
          <m:e>
            <m:r>
              <w:rPr>
                <w:rFonts w:ascii="Cambria Math" w:eastAsiaTheme="minorEastAsia" w:hAnsi="Cambria Math" w:cs="Arial"/>
              </w:rPr>
              <m:t>ESS</m:t>
            </m:r>
          </m:e>
        </m:acc>
      </m:oMath>
      <w:r>
        <w:rPr>
          <w:rFonts w:eastAsiaTheme="minorEastAsia" w:cs="Arial"/>
        </w:rPr>
        <w:t xml:space="preserve"> estimated for a parameter in the corresponding fit, indicating the efficiency and accuracy of the fit.</w:t>
      </w:r>
    </w:p>
    <w:p w:rsidR="003903A9" w:rsidRDefault="003903A9" w:rsidP="003903A9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:rsidR="003903A9" w:rsidRDefault="003903A9" w:rsidP="003903A9">
      <w:pPr>
        <w:pStyle w:val="Heading1"/>
        <w:ind w:left="432"/>
        <w:jc w:val="both"/>
      </w:pPr>
      <w:r>
        <w:lastRenderedPageBreak/>
        <w:t>Supplement B: Figure S1</w:t>
      </w:r>
    </w:p>
    <w:p w:rsidR="003903A9" w:rsidRDefault="003903A9" w:rsidP="003903A9">
      <w:bookmarkStart w:id="0" w:name="_Hlk100825560"/>
      <w:r>
        <w:rPr>
          <w:noProof/>
        </w:rPr>
        <w:drawing>
          <wp:inline distT="0" distB="0" distL="0" distR="0" wp14:anchorId="0CC73A65" wp14:editId="5217E4DF">
            <wp:extent cx="6027724" cy="6027724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758" cy="6044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3A9" w:rsidRDefault="003903A9" w:rsidP="003903A9">
      <w:r w:rsidRPr="0024086F">
        <w:rPr>
          <w:b/>
          <w:bCs/>
        </w:rPr>
        <w:t xml:space="preserve">Figure </w:t>
      </w:r>
      <w:r>
        <w:rPr>
          <w:b/>
          <w:bCs/>
        </w:rPr>
        <w:t>S</w:t>
      </w:r>
      <w:r w:rsidRPr="0024086F">
        <w:rPr>
          <w:b/>
          <w:bCs/>
        </w:rPr>
        <w:t>1:</w:t>
      </w:r>
      <w:r>
        <w:t xml:space="preserve"> Parameter recover scatter plots for a gamma(2,4) prior on beta</w:t>
      </w:r>
      <w:r>
        <w:rPr>
          <w:rFonts w:cs="Arial"/>
        </w:rPr>
        <w:t xml:space="preserve">: </w:t>
      </w:r>
      <w:r>
        <w:t>this figure is similar to Figure 2, the difference is that we used gamma (2,4) as prior in the fitting process of</w:t>
      </w:r>
      <w:r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β</m:t>
        </m:r>
      </m:oMath>
      <w:r w:rsidRPr="00790531">
        <w:rPr>
          <w:rFonts w:cs="Arial"/>
        </w:rPr>
        <w:t xml:space="preserve"> </w:t>
      </w:r>
      <w:r>
        <w:rPr>
          <w:rFonts w:cs="Arial"/>
        </w:rPr>
        <w:t xml:space="preserve">instead of uniform (0,3). </w:t>
      </w:r>
      <m:oMath>
        <m:r>
          <w:rPr>
            <w:rFonts w:ascii="Cambria Math" w:hAnsi="Cambria Math" w:cs="Arial"/>
          </w:rPr>
          <m:t>β</m:t>
        </m:r>
      </m:oMath>
      <w:r w:rsidRPr="00790531">
        <w:rPr>
          <w:rFonts w:cs="Arial"/>
        </w:rPr>
        <w:t xml:space="preserve"> is the softmax parameter</w:t>
      </w:r>
      <w:r>
        <w:rPr>
          <w:rFonts w:cs="Arial"/>
        </w:rPr>
        <w:t>;</w:t>
      </w:r>
      <w:r w:rsidRPr="00790531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φ</m:t>
        </m:r>
      </m:oMath>
      <w:r w:rsidRPr="00790531">
        <w:rPr>
          <w:rFonts w:eastAsiaTheme="minorEastAsia" w:cs="Arial"/>
        </w:rPr>
        <w:t xml:space="preserve"> is the exploration bonus parameter</w:t>
      </w:r>
      <w:r>
        <w:rPr>
          <w:rFonts w:eastAsiaTheme="minorEastAsia" w:cs="Arial"/>
        </w:rPr>
        <w:t>;</w:t>
      </w:r>
      <w:r w:rsidRPr="00790531">
        <w:rPr>
          <w:rFonts w:eastAsiaTheme="minorEastAsia" w:cs="Arial"/>
        </w:rPr>
        <w:t xml:space="preserve"> </w:t>
      </w:r>
      <m:oMath>
        <m:r>
          <w:rPr>
            <w:rFonts w:ascii="Cambria Math" w:hAnsi="Cambria Math" w:cs="Arial"/>
          </w:rPr>
          <m:t>ρ</m:t>
        </m:r>
      </m:oMath>
      <w:r w:rsidRPr="00790531">
        <w:rPr>
          <w:rFonts w:eastAsiaTheme="minorEastAsia" w:cs="Arial"/>
        </w:rPr>
        <w:t xml:space="preserve"> is the perseveration parameter</w:t>
      </w:r>
      <w:r>
        <w:rPr>
          <w:rFonts w:eastAsiaTheme="minorEastAsia" w:cs="Arial"/>
        </w:rPr>
        <w:t>; t</w:t>
      </w:r>
      <w:r>
        <w:rPr>
          <w:rFonts w:cs="Arial"/>
        </w:rPr>
        <w:t xml:space="preserve">he scatterplots show the correlation of the true values, i.e., the input values to the simulation, and the recovered values obtained in the fitting process; the mean of the posterior values are depicted as dots, the whiskers show the range of the 95% HDI; the red lines are the actual linear regression lines; the green lines show the linear regression lines for a perfect parameter recovery. </w:t>
      </w:r>
    </w:p>
    <w:bookmarkEnd w:id="0"/>
    <w:p w:rsidR="003903A9" w:rsidRDefault="003903A9" w:rsidP="003903A9"/>
    <w:p w:rsidR="003903A9" w:rsidRDefault="003903A9" w:rsidP="003903A9">
      <w:pPr>
        <w:pStyle w:val="Heading1"/>
        <w:ind w:left="432"/>
        <w:jc w:val="both"/>
      </w:pPr>
      <w:r>
        <w:lastRenderedPageBreak/>
        <w:t>Supplement C: Figure S2</w:t>
      </w:r>
    </w:p>
    <w:p w:rsidR="003903A9" w:rsidRPr="007768C7" w:rsidRDefault="003903A9" w:rsidP="003903A9"/>
    <w:p w:rsidR="003903A9" w:rsidRDefault="003903A9" w:rsidP="003903A9">
      <w:pPr>
        <w:keepNext/>
        <w:keepLines/>
        <w:contextualSpacing/>
        <w:jc w:val="both"/>
        <w:rPr>
          <w:rFonts w:cs="Arial"/>
        </w:rPr>
      </w:pPr>
      <w:r>
        <w:rPr>
          <w:noProof/>
        </w:rPr>
        <w:drawing>
          <wp:inline distT="0" distB="0" distL="0" distR="0" wp14:anchorId="79B410FB" wp14:editId="0BFC6273">
            <wp:extent cx="4528490" cy="6792736"/>
            <wp:effectExtent l="0" t="0" r="5715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928" cy="67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3A9" w:rsidRPr="0024086F" w:rsidRDefault="003903A9" w:rsidP="003903A9">
      <w:pPr>
        <w:keepNext/>
        <w:keepLines/>
        <w:contextualSpacing/>
        <w:jc w:val="both"/>
        <w:rPr>
          <w:rFonts w:cs="Arial"/>
          <w:b/>
          <w:bCs/>
        </w:rPr>
      </w:pPr>
      <w:r w:rsidRPr="001B281A">
        <w:rPr>
          <w:rFonts w:cs="Arial"/>
          <w:b/>
          <w:bCs/>
        </w:rPr>
        <w:t xml:space="preserve">Figure </w:t>
      </w:r>
      <w:r>
        <w:rPr>
          <w:rFonts w:cs="Arial"/>
          <w:b/>
          <w:bCs/>
        </w:rPr>
        <w:t xml:space="preserve">S2 </w:t>
      </w:r>
      <w:r w:rsidRPr="00FB77C5">
        <w:rPr>
          <w:rFonts w:cs="Arial"/>
        </w:rPr>
        <w:t>Interdependence of the Recovered Free Parameter Values of the Kalman SMEP Model</w:t>
      </w:r>
      <w:r>
        <w:rPr>
          <w:rFonts w:cs="Arial"/>
        </w:rPr>
        <w:t xml:space="preserve">: </w:t>
      </w:r>
      <m:oMath>
        <m:r>
          <w:rPr>
            <w:rFonts w:ascii="Cambria Math" w:hAnsi="Cambria Math" w:cs="Arial"/>
          </w:rPr>
          <m:t>β</m:t>
        </m:r>
      </m:oMath>
      <w:r w:rsidRPr="00790531">
        <w:rPr>
          <w:rFonts w:cs="Arial"/>
        </w:rPr>
        <w:t xml:space="preserve"> is the softmax parameter</w:t>
      </w:r>
      <w:r>
        <w:rPr>
          <w:rFonts w:cs="Arial"/>
        </w:rPr>
        <w:t>;</w:t>
      </w:r>
      <w:r w:rsidRPr="00790531">
        <w:rPr>
          <w:rFonts w:cs="Arial"/>
        </w:rPr>
        <w:t xml:space="preserve"> </w:t>
      </w:r>
      <m:oMath>
        <m:r>
          <w:rPr>
            <w:rFonts w:ascii="Cambria Math" w:hAnsi="Cambria Math" w:cs="Arial"/>
          </w:rPr>
          <m:t>φ</m:t>
        </m:r>
      </m:oMath>
      <w:r w:rsidRPr="00790531">
        <w:rPr>
          <w:rFonts w:eastAsiaTheme="minorEastAsia" w:cs="Arial"/>
        </w:rPr>
        <w:t xml:space="preserve"> is the exploration bonus parameter</w:t>
      </w:r>
      <w:r>
        <w:rPr>
          <w:rFonts w:eastAsiaTheme="minorEastAsia" w:cs="Arial"/>
        </w:rPr>
        <w:t>;</w:t>
      </w:r>
      <w:r w:rsidRPr="00790531">
        <w:rPr>
          <w:rFonts w:eastAsiaTheme="minorEastAsia" w:cs="Arial"/>
        </w:rPr>
        <w:t xml:space="preserve"> </w:t>
      </w:r>
      <m:oMath>
        <m:r>
          <w:rPr>
            <w:rFonts w:ascii="Cambria Math" w:hAnsi="Cambria Math" w:cs="Arial"/>
          </w:rPr>
          <m:t>ρ</m:t>
        </m:r>
      </m:oMath>
      <w:r w:rsidRPr="00790531">
        <w:rPr>
          <w:rFonts w:eastAsiaTheme="minorEastAsia" w:cs="Arial"/>
        </w:rPr>
        <w:t xml:space="preserve"> is the perseveration parameter</w:t>
      </w:r>
      <w:r>
        <w:rPr>
          <w:rFonts w:eastAsiaTheme="minorEastAsia" w:cs="Arial"/>
        </w:rPr>
        <w:t>;</w:t>
      </w:r>
      <w:r>
        <w:rPr>
          <w:rFonts w:cs="Arial"/>
        </w:rPr>
        <w:t xml:space="preserve"> the scatterplots show the correlation of the different recovered parameters; the mean of the posterior values is depicted as dot the whiskers show the range of the 95% HDI;</w:t>
      </w:r>
      <w:r w:rsidRPr="001B281A"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 xml:space="preserve">the </w:t>
      </w:r>
      <w:r w:rsidRPr="00941160">
        <w:rPr>
          <w:rFonts w:eastAsiaTheme="minorEastAsia" w:cs="Arial"/>
        </w:rPr>
        <w:t>locally weighted scatterplot smoothing</w:t>
      </w:r>
      <w:r>
        <w:rPr>
          <w:rFonts w:eastAsiaTheme="minorEastAsia" w:cs="Arial"/>
        </w:rPr>
        <w:t xml:space="preserve"> (LOWESS) lines of the relationships are depicted in blue</w:t>
      </w:r>
      <w:bookmarkStart w:id="1" w:name="_GoBack"/>
      <w:bookmarkEnd w:id="1"/>
      <w:r>
        <w:rPr>
          <w:rFonts w:cs="Arial"/>
        </w:rPr>
        <w:br w:type="page"/>
      </w:r>
      <w:bookmarkStart w:id="2" w:name="_Toc80961958"/>
    </w:p>
    <w:p w:rsidR="003903A9" w:rsidRDefault="003903A9" w:rsidP="003903A9">
      <w:pPr>
        <w:pStyle w:val="Heading1"/>
        <w:ind w:left="432"/>
        <w:jc w:val="both"/>
      </w:pPr>
      <w:r>
        <w:lastRenderedPageBreak/>
        <w:t xml:space="preserve">Supplement D: Table </w:t>
      </w:r>
      <w:bookmarkEnd w:id="2"/>
      <w:r>
        <w:t>S2</w:t>
      </w:r>
    </w:p>
    <w:p w:rsidR="003903A9" w:rsidRPr="00270CCC" w:rsidRDefault="003903A9" w:rsidP="003903A9">
      <w:pPr>
        <w:jc w:val="both"/>
        <w:rPr>
          <w:rFonts w:cs="Arial"/>
          <w:b/>
          <w:bCs/>
        </w:rPr>
      </w:pPr>
      <w:r w:rsidRPr="00270CCC">
        <w:rPr>
          <w:rFonts w:cs="Arial"/>
          <w:b/>
          <w:bCs/>
        </w:rPr>
        <w:t xml:space="preserve">Table </w:t>
      </w:r>
      <w:r>
        <w:rPr>
          <w:rFonts w:cs="Arial"/>
          <w:b/>
          <w:bCs/>
        </w:rPr>
        <w:t>S2</w:t>
      </w:r>
      <w:r w:rsidRPr="00270CCC">
        <w:rPr>
          <w:rFonts w:cs="Arial"/>
          <w:b/>
          <w:bCs/>
        </w:rPr>
        <w:t xml:space="preserve"> </w:t>
      </w:r>
    </w:p>
    <w:p w:rsidR="003903A9" w:rsidRPr="00270CCC" w:rsidRDefault="003903A9" w:rsidP="003903A9">
      <w:pPr>
        <w:jc w:val="both"/>
        <w:rPr>
          <w:rFonts w:cs="Arial"/>
          <w:i/>
          <w:iCs/>
        </w:rPr>
      </w:pPr>
      <w:r w:rsidRPr="00270CCC">
        <w:rPr>
          <w:rFonts w:cs="Arial"/>
          <w:i/>
          <w:iCs/>
        </w:rPr>
        <w:t xml:space="preserve">Comparison of loo </w:t>
      </w:r>
      <w:r>
        <w:rPr>
          <w:rFonts w:cs="Arial"/>
          <w:i/>
          <w:iCs/>
        </w:rPr>
        <w:t>E</w:t>
      </w:r>
      <w:r w:rsidRPr="00270CCC">
        <w:rPr>
          <w:rFonts w:cs="Arial"/>
          <w:i/>
          <w:iCs/>
        </w:rPr>
        <w:t xml:space="preserve">stimates for the </w:t>
      </w:r>
      <w:r>
        <w:rPr>
          <w:rFonts w:cs="Arial"/>
          <w:i/>
          <w:iCs/>
        </w:rPr>
        <w:t>E</w:t>
      </w:r>
      <w:r w:rsidRPr="00270CCC">
        <w:rPr>
          <w:rFonts w:cs="Arial"/>
          <w:i/>
          <w:iCs/>
        </w:rPr>
        <w:t xml:space="preserve">ntire </w:t>
      </w:r>
      <w:r>
        <w:rPr>
          <w:rFonts w:cs="Arial"/>
          <w:i/>
          <w:iCs/>
        </w:rPr>
        <w:t>Datasets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3402"/>
        <w:gridCol w:w="1134"/>
        <w:gridCol w:w="1134"/>
        <w:gridCol w:w="1134"/>
        <w:gridCol w:w="1132"/>
        <w:gridCol w:w="1136"/>
      </w:tblGrid>
      <w:tr w:rsidR="003903A9" w:rsidRPr="003037AC" w:rsidTr="00A92819">
        <w:trPr>
          <w:cantSplit/>
          <w:trHeight w:val="759"/>
        </w:trPr>
        <w:tc>
          <w:tcPr>
            <w:tcW w:w="187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Model used to fit</w:t>
            </w:r>
          </w:p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  <w:tc>
          <w:tcPr>
            <w:tcW w:w="31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Model used to generate</w:t>
            </w:r>
          </w:p>
        </w:tc>
      </w:tr>
      <w:tr w:rsidR="003903A9" w:rsidRPr="003037AC" w:rsidTr="00A92819">
        <w:trPr>
          <w:cantSplit/>
          <w:trHeight w:val="759"/>
        </w:trPr>
        <w:tc>
          <w:tcPr>
            <w:tcW w:w="1875" w:type="pct"/>
            <w:vMerge/>
            <w:tcBorders>
              <w:left w:val="nil"/>
              <w:bottom w:val="single" w:sz="2" w:space="0" w:color="auto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>1</w:t>
            </w:r>
          </w:p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>2</w:t>
            </w:r>
          </w:p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>3</w:t>
            </w:r>
          </w:p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>4</w:t>
            </w:r>
          </w:p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3903A9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>5</w:t>
            </w:r>
          </w:p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</w:p>
        </w:tc>
      </w:tr>
      <w:tr w:rsidR="003903A9" w:rsidRPr="003037AC" w:rsidTr="00A92819">
        <w:trPr>
          <w:cantSplit/>
          <w:trHeight w:val="759"/>
        </w:trPr>
        <w:tc>
          <w:tcPr>
            <w:tcW w:w="1875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 xml:space="preserve">1. </w:t>
            </w:r>
            <w:r>
              <w:rPr>
                <w:rFonts w:cs="Arial"/>
              </w:rPr>
              <w:t>Kalman SMEP</w:t>
            </w:r>
          </w:p>
        </w:tc>
        <w:tc>
          <w:tcPr>
            <w:tcW w:w="625" w:type="pct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vertAlign w:val="superscript"/>
              </w:rPr>
            </w:pPr>
            <w:r w:rsidRPr="00D57DD3">
              <w:rPr>
                <w:rFonts w:cs="Arial"/>
              </w:rPr>
              <w:t>-0.6081</w:t>
            </w:r>
            <w:r>
              <w:rPr>
                <w:rFonts w:cs="Arial"/>
                <w:vertAlign w:val="superscript"/>
              </w:rPr>
              <w:t>a</w:t>
            </w:r>
          </w:p>
        </w:tc>
        <w:tc>
          <w:tcPr>
            <w:tcW w:w="625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-0.7430</w:t>
            </w:r>
          </w:p>
        </w:tc>
        <w:tc>
          <w:tcPr>
            <w:tcW w:w="625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-0.7845</w:t>
            </w:r>
          </w:p>
        </w:tc>
        <w:tc>
          <w:tcPr>
            <w:tcW w:w="624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-0.2616</w:t>
            </w:r>
          </w:p>
        </w:tc>
        <w:tc>
          <w:tcPr>
            <w:tcW w:w="626" w:type="pct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-0.3402</w:t>
            </w:r>
          </w:p>
        </w:tc>
      </w:tr>
      <w:tr w:rsidR="003903A9" w:rsidRPr="003037AC" w:rsidTr="00A92819">
        <w:trPr>
          <w:cantSplit/>
          <w:trHeight w:val="759"/>
        </w:trPr>
        <w:tc>
          <w:tcPr>
            <w:tcW w:w="1875" w:type="pct"/>
            <w:hideMark/>
          </w:tcPr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 xml:space="preserve">2. </w:t>
            </w:r>
            <w:r>
              <w:rPr>
                <w:rFonts w:cs="Arial"/>
              </w:rPr>
              <w:t>Kalman SME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-0.6476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vertAlign w:val="superscript"/>
              </w:rPr>
            </w:pPr>
            <w:r w:rsidRPr="00D57DD3">
              <w:rPr>
                <w:rFonts w:cs="Arial"/>
              </w:rPr>
              <w:t>-0.7413</w:t>
            </w:r>
            <w:r>
              <w:rPr>
                <w:rFonts w:cs="Arial"/>
                <w:vertAlign w:val="superscript"/>
              </w:rPr>
              <w:t>a</w:t>
            </w:r>
          </w:p>
        </w:tc>
        <w:tc>
          <w:tcPr>
            <w:tcW w:w="625" w:type="pct"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-0.7825</w:t>
            </w:r>
          </w:p>
        </w:tc>
        <w:tc>
          <w:tcPr>
            <w:tcW w:w="624" w:type="pct"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-0.2596</w:t>
            </w:r>
          </w:p>
        </w:tc>
        <w:tc>
          <w:tcPr>
            <w:tcW w:w="626" w:type="pct"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-0.3378</w:t>
            </w:r>
          </w:p>
        </w:tc>
      </w:tr>
      <w:tr w:rsidR="003903A9" w:rsidRPr="003037AC" w:rsidTr="00A92819">
        <w:trPr>
          <w:cantSplit/>
          <w:trHeight w:val="759"/>
        </w:trPr>
        <w:tc>
          <w:tcPr>
            <w:tcW w:w="1875" w:type="pct"/>
            <w:hideMark/>
          </w:tcPr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 xml:space="preserve">3. </w:t>
            </w:r>
            <w:r>
              <w:rPr>
                <w:rFonts w:cs="Arial"/>
              </w:rPr>
              <w:t>Kalman SM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-0.6753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-0.7531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vertAlign w:val="superscript"/>
              </w:rPr>
            </w:pPr>
            <w:r w:rsidRPr="00D57DD3">
              <w:rPr>
                <w:rFonts w:cs="Arial"/>
              </w:rPr>
              <w:t>-0.7801</w:t>
            </w:r>
            <w:r>
              <w:rPr>
                <w:rFonts w:cs="Arial"/>
                <w:vertAlign w:val="superscript"/>
              </w:rPr>
              <w:t>a</w:t>
            </w:r>
          </w:p>
        </w:tc>
        <w:tc>
          <w:tcPr>
            <w:tcW w:w="624" w:type="pct"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-0.3497</w:t>
            </w:r>
          </w:p>
        </w:tc>
        <w:tc>
          <w:tcPr>
            <w:tcW w:w="626" w:type="pct"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-0.4126</w:t>
            </w:r>
          </w:p>
        </w:tc>
      </w:tr>
      <w:tr w:rsidR="003903A9" w:rsidRPr="003037AC" w:rsidTr="00A92819">
        <w:trPr>
          <w:cantSplit/>
          <w:trHeight w:val="759"/>
        </w:trPr>
        <w:tc>
          <w:tcPr>
            <w:tcW w:w="1875" w:type="pct"/>
            <w:hideMark/>
          </w:tcPr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 xml:space="preserve">4. </w:t>
            </w:r>
            <w:r>
              <w:rPr>
                <w:rFonts w:cs="Arial"/>
              </w:rPr>
              <w:t>Delta SM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-0.6866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-0.7621</w:t>
            </w:r>
          </w:p>
        </w:tc>
        <w:tc>
          <w:tcPr>
            <w:tcW w:w="625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-0.7929</w:t>
            </w:r>
          </w:p>
        </w:tc>
        <w:tc>
          <w:tcPr>
            <w:tcW w:w="624" w:type="pct"/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vertAlign w:val="superscript"/>
              </w:rPr>
            </w:pPr>
            <w:r w:rsidRPr="00D57DD3">
              <w:rPr>
                <w:rFonts w:cs="Arial"/>
              </w:rPr>
              <w:t>-0.2230</w:t>
            </w:r>
            <w:r>
              <w:rPr>
                <w:rFonts w:cs="Arial"/>
                <w:vertAlign w:val="superscript"/>
              </w:rPr>
              <w:t>a</w:t>
            </w:r>
          </w:p>
        </w:tc>
        <w:tc>
          <w:tcPr>
            <w:tcW w:w="626" w:type="pct"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-0.3109</w:t>
            </w:r>
          </w:p>
        </w:tc>
      </w:tr>
      <w:tr w:rsidR="003903A9" w:rsidRPr="003037AC" w:rsidTr="00A92819">
        <w:trPr>
          <w:cantSplit/>
          <w:trHeight w:val="759"/>
        </w:trPr>
        <w:tc>
          <w:tcPr>
            <w:tcW w:w="1875" w:type="pct"/>
            <w:tcBorders>
              <w:bottom w:val="single" w:sz="4" w:space="0" w:color="auto"/>
            </w:tcBorders>
            <w:hideMark/>
          </w:tcPr>
          <w:p w:rsidR="003903A9" w:rsidRPr="003037AC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3037AC">
              <w:rPr>
                <w:rFonts w:cs="Arial"/>
              </w:rPr>
              <w:t xml:space="preserve">5. </w:t>
            </w:r>
            <w:r>
              <w:rPr>
                <w:rFonts w:cs="Arial"/>
              </w:rPr>
              <w:t>Diff Delta SM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-0.6837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-0.7617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-0.7926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</w:rPr>
            </w:pPr>
            <w:r w:rsidRPr="00D57DD3">
              <w:rPr>
                <w:rFonts w:cs="Arial"/>
              </w:rPr>
              <w:t>-0.2235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hideMark/>
          </w:tcPr>
          <w:p w:rsidR="003903A9" w:rsidRPr="00D57DD3" w:rsidRDefault="003903A9" w:rsidP="00A92819">
            <w:pPr>
              <w:keepNext/>
              <w:keepLines/>
              <w:tabs>
                <w:tab w:val="left" w:pos="708"/>
                <w:tab w:val="left" w:pos="1416"/>
                <w:tab w:val="left" w:pos="3015"/>
              </w:tabs>
              <w:contextualSpacing/>
              <w:jc w:val="both"/>
              <w:rPr>
                <w:rFonts w:cs="Arial"/>
                <w:vertAlign w:val="superscript"/>
              </w:rPr>
            </w:pPr>
            <w:r w:rsidRPr="00D57DD3">
              <w:rPr>
                <w:rFonts w:cs="Arial"/>
              </w:rPr>
              <w:t>-0.3036</w:t>
            </w:r>
            <w:r>
              <w:rPr>
                <w:rFonts w:cs="Arial"/>
                <w:vertAlign w:val="superscript"/>
              </w:rPr>
              <w:t>a</w:t>
            </w:r>
          </w:p>
        </w:tc>
      </w:tr>
    </w:tbl>
    <w:p w:rsidR="003903A9" w:rsidRDefault="003903A9" w:rsidP="003903A9">
      <w:pPr>
        <w:keepNext/>
        <w:keepLines/>
        <w:contextualSpacing/>
        <w:jc w:val="both"/>
        <w:rPr>
          <w:rFonts w:cs="Arial"/>
        </w:rPr>
      </w:pPr>
      <w:r w:rsidRPr="009046F7">
        <w:rPr>
          <w:rFonts w:cs="Arial"/>
          <w:i/>
          <w:iCs/>
        </w:rPr>
        <w:t>Note</w:t>
      </w:r>
      <w:r>
        <w:rPr>
          <w:rFonts w:cs="Arial"/>
          <w:i/>
          <w:iCs/>
        </w:rPr>
        <w:t>.</w:t>
      </w:r>
      <w:r>
        <w:rPr>
          <w:rFonts w:cs="Arial"/>
        </w:rPr>
        <w:t xml:space="preserve"> </w:t>
      </w:r>
      <w:r w:rsidRPr="00E96983">
        <w:rPr>
          <w:rFonts w:cs="Arial"/>
        </w:rPr>
        <w:t xml:space="preserve">Model Names: </w:t>
      </w:r>
      <w:r>
        <w:rPr>
          <w:rFonts w:cs="Arial"/>
        </w:rPr>
        <w:t>SM: softmax; E: exploration bonus; P: perseveration, Diff Delta: Delta rule with differential learning rates for positive and negative prediction errors</w:t>
      </w:r>
      <w:r w:rsidRPr="00E96983">
        <w:rPr>
          <w:rFonts w:cs="Arial"/>
        </w:rPr>
        <w:t>. The goodness-of-fit was compared using Pareto smoothed importance sampling leave-one-out cross validation</w:t>
      </w:r>
      <w:r>
        <w:rPr>
          <w:rFonts w:cs="Arial"/>
        </w:rPr>
        <w:t>: the cells contain the estimated loo measure for the entire fit, divided through the number of subjects and number of trials.</w:t>
      </w:r>
    </w:p>
    <w:p w:rsidR="003903A9" w:rsidRPr="009046F7" w:rsidRDefault="003903A9" w:rsidP="003903A9">
      <w:pPr>
        <w:keepNext/>
        <w:keepLines/>
        <w:contextualSpacing/>
        <w:jc w:val="both"/>
        <w:rPr>
          <w:rFonts w:cs="Arial"/>
        </w:rPr>
      </w:pPr>
      <w:r>
        <w:rPr>
          <w:rFonts w:cs="Arial"/>
          <w:vertAlign w:val="superscript"/>
        </w:rPr>
        <w:t xml:space="preserve">a </w:t>
      </w:r>
      <w:r>
        <w:rPr>
          <w:rFonts w:cs="Arial"/>
        </w:rPr>
        <w:t>the best fitting model of the column.</w:t>
      </w:r>
    </w:p>
    <w:p w:rsidR="003903A9" w:rsidRPr="0024086F" w:rsidRDefault="003903A9" w:rsidP="003903A9">
      <w:pPr>
        <w:rPr>
          <w:rFonts w:cs="Arial"/>
        </w:rPr>
      </w:pPr>
    </w:p>
    <w:p w:rsidR="004829BA" w:rsidRDefault="004829BA"/>
    <w:sectPr w:rsidR="004829BA" w:rsidSect="00F1686A">
      <w:footerReference w:type="default" r:id="rId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0553272"/>
      <w:docPartObj>
        <w:docPartGallery w:val="Page Numbers (Bottom of Page)"/>
        <w:docPartUnique/>
      </w:docPartObj>
    </w:sdtPr>
    <w:sdtEndPr/>
    <w:sdtContent>
      <w:p w:rsidR="00FD51DF" w:rsidRDefault="003903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903A9">
          <w:rPr>
            <w:noProof/>
            <w:lang w:val="de-DE"/>
          </w:rPr>
          <w:t>4</w:t>
        </w:r>
        <w:r>
          <w:fldChar w:fldCharType="end"/>
        </w:r>
      </w:p>
    </w:sdtContent>
  </w:sdt>
  <w:p w:rsidR="00FD51DF" w:rsidRDefault="003903A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A9"/>
    <w:rsid w:val="0000147B"/>
    <w:rsid w:val="000018DE"/>
    <w:rsid w:val="00003609"/>
    <w:rsid w:val="00012AF4"/>
    <w:rsid w:val="000159F4"/>
    <w:rsid w:val="00022997"/>
    <w:rsid w:val="0002551D"/>
    <w:rsid w:val="0002600F"/>
    <w:rsid w:val="000278B6"/>
    <w:rsid w:val="00031AC0"/>
    <w:rsid w:val="0003540F"/>
    <w:rsid w:val="0003631A"/>
    <w:rsid w:val="00036FC4"/>
    <w:rsid w:val="00037733"/>
    <w:rsid w:val="00040678"/>
    <w:rsid w:val="00051571"/>
    <w:rsid w:val="0006065A"/>
    <w:rsid w:val="00060685"/>
    <w:rsid w:val="000665DD"/>
    <w:rsid w:val="00075A22"/>
    <w:rsid w:val="00077733"/>
    <w:rsid w:val="000845AD"/>
    <w:rsid w:val="000A384B"/>
    <w:rsid w:val="000B281A"/>
    <w:rsid w:val="000C483E"/>
    <w:rsid w:val="000D4051"/>
    <w:rsid w:val="000D479C"/>
    <w:rsid w:val="000F3716"/>
    <w:rsid w:val="000F5BC2"/>
    <w:rsid w:val="001010DB"/>
    <w:rsid w:val="0010644C"/>
    <w:rsid w:val="001115B7"/>
    <w:rsid w:val="00111731"/>
    <w:rsid w:val="00114598"/>
    <w:rsid w:val="00115B11"/>
    <w:rsid w:val="00125447"/>
    <w:rsid w:val="00135B58"/>
    <w:rsid w:val="001379C6"/>
    <w:rsid w:val="0014563E"/>
    <w:rsid w:val="001547A5"/>
    <w:rsid w:val="00162398"/>
    <w:rsid w:val="00162754"/>
    <w:rsid w:val="00164877"/>
    <w:rsid w:val="001734B9"/>
    <w:rsid w:val="00181C20"/>
    <w:rsid w:val="00182838"/>
    <w:rsid w:val="00187360"/>
    <w:rsid w:val="001A014C"/>
    <w:rsid w:val="001A294B"/>
    <w:rsid w:val="001B16F8"/>
    <w:rsid w:val="001C4553"/>
    <w:rsid w:val="001D398A"/>
    <w:rsid w:val="001D3B6F"/>
    <w:rsid w:val="001D6CAA"/>
    <w:rsid w:val="001D6E23"/>
    <w:rsid w:val="001E137D"/>
    <w:rsid w:val="001F13BF"/>
    <w:rsid w:val="001F3C3F"/>
    <w:rsid w:val="002014DD"/>
    <w:rsid w:val="00203924"/>
    <w:rsid w:val="00225CD8"/>
    <w:rsid w:val="002266FD"/>
    <w:rsid w:val="002267CD"/>
    <w:rsid w:val="00237BB0"/>
    <w:rsid w:val="00250F52"/>
    <w:rsid w:val="002522D7"/>
    <w:rsid w:val="0025339A"/>
    <w:rsid w:val="00276762"/>
    <w:rsid w:val="002809ED"/>
    <w:rsid w:val="002833E2"/>
    <w:rsid w:val="00284F48"/>
    <w:rsid w:val="0029026A"/>
    <w:rsid w:val="002A503C"/>
    <w:rsid w:val="002A6F04"/>
    <w:rsid w:val="002B215A"/>
    <w:rsid w:val="002B5854"/>
    <w:rsid w:val="002B76DF"/>
    <w:rsid w:val="002D025D"/>
    <w:rsid w:val="002D1180"/>
    <w:rsid w:val="002F2A48"/>
    <w:rsid w:val="002F5134"/>
    <w:rsid w:val="002F7249"/>
    <w:rsid w:val="003002BB"/>
    <w:rsid w:val="00306665"/>
    <w:rsid w:val="00310873"/>
    <w:rsid w:val="00313336"/>
    <w:rsid w:val="003158EB"/>
    <w:rsid w:val="00315D81"/>
    <w:rsid w:val="0032073F"/>
    <w:rsid w:val="0032637F"/>
    <w:rsid w:val="00327E0B"/>
    <w:rsid w:val="00334C2D"/>
    <w:rsid w:val="00336E3B"/>
    <w:rsid w:val="00340043"/>
    <w:rsid w:val="0034157F"/>
    <w:rsid w:val="00344B09"/>
    <w:rsid w:val="00344CD1"/>
    <w:rsid w:val="00346B0E"/>
    <w:rsid w:val="00352AE3"/>
    <w:rsid w:val="00355073"/>
    <w:rsid w:val="003574CA"/>
    <w:rsid w:val="00364250"/>
    <w:rsid w:val="00365DD4"/>
    <w:rsid w:val="00367DB5"/>
    <w:rsid w:val="00373805"/>
    <w:rsid w:val="00383A39"/>
    <w:rsid w:val="003851E8"/>
    <w:rsid w:val="00387411"/>
    <w:rsid w:val="003903A9"/>
    <w:rsid w:val="003935F7"/>
    <w:rsid w:val="003A03B5"/>
    <w:rsid w:val="003A4B31"/>
    <w:rsid w:val="003B122D"/>
    <w:rsid w:val="003D0533"/>
    <w:rsid w:val="003D2798"/>
    <w:rsid w:val="003D5F04"/>
    <w:rsid w:val="003E332D"/>
    <w:rsid w:val="003E3AE8"/>
    <w:rsid w:val="003E78EC"/>
    <w:rsid w:val="003F7103"/>
    <w:rsid w:val="00407B5B"/>
    <w:rsid w:val="00412D23"/>
    <w:rsid w:val="00423FF6"/>
    <w:rsid w:val="00431A47"/>
    <w:rsid w:val="0043408A"/>
    <w:rsid w:val="0043513E"/>
    <w:rsid w:val="0043738C"/>
    <w:rsid w:val="00440BC5"/>
    <w:rsid w:val="004425C0"/>
    <w:rsid w:val="00443052"/>
    <w:rsid w:val="00446847"/>
    <w:rsid w:val="00454E27"/>
    <w:rsid w:val="0046568F"/>
    <w:rsid w:val="00471252"/>
    <w:rsid w:val="00473FFF"/>
    <w:rsid w:val="004829BA"/>
    <w:rsid w:val="0048467E"/>
    <w:rsid w:val="0049114F"/>
    <w:rsid w:val="004947AB"/>
    <w:rsid w:val="004A0E93"/>
    <w:rsid w:val="004A3FDD"/>
    <w:rsid w:val="004A70BB"/>
    <w:rsid w:val="004B321B"/>
    <w:rsid w:val="004B34E9"/>
    <w:rsid w:val="004D0C4C"/>
    <w:rsid w:val="004D4CF2"/>
    <w:rsid w:val="004E65C5"/>
    <w:rsid w:val="004E67B3"/>
    <w:rsid w:val="00500177"/>
    <w:rsid w:val="005064BE"/>
    <w:rsid w:val="0051210B"/>
    <w:rsid w:val="005134A1"/>
    <w:rsid w:val="00513F4C"/>
    <w:rsid w:val="00527EAD"/>
    <w:rsid w:val="005402B8"/>
    <w:rsid w:val="00540EA6"/>
    <w:rsid w:val="00544A91"/>
    <w:rsid w:val="005476BF"/>
    <w:rsid w:val="00550DE1"/>
    <w:rsid w:val="00554058"/>
    <w:rsid w:val="00574A3C"/>
    <w:rsid w:val="00582237"/>
    <w:rsid w:val="00585A33"/>
    <w:rsid w:val="005A2AE4"/>
    <w:rsid w:val="005A4862"/>
    <w:rsid w:val="005A4A23"/>
    <w:rsid w:val="005B0951"/>
    <w:rsid w:val="005B3B14"/>
    <w:rsid w:val="005C603E"/>
    <w:rsid w:val="005C79B8"/>
    <w:rsid w:val="005D4EE2"/>
    <w:rsid w:val="005D7C24"/>
    <w:rsid w:val="005E443B"/>
    <w:rsid w:val="005F2B3A"/>
    <w:rsid w:val="005F33A5"/>
    <w:rsid w:val="005F3C97"/>
    <w:rsid w:val="005F40E1"/>
    <w:rsid w:val="005F595F"/>
    <w:rsid w:val="00601646"/>
    <w:rsid w:val="0061283C"/>
    <w:rsid w:val="00615BE7"/>
    <w:rsid w:val="00620E6F"/>
    <w:rsid w:val="006227EC"/>
    <w:rsid w:val="00624443"/>
    <w:rsid w:val="00624F5B"/>
    <w:rsid w:val="00637DB8"/>
    <w:rsid w:val="006434BC"/>
    <w:rsid w:val="00651DF5"/>
    <w:rsid w:val="00660223"/>
    <w:rsid w:val="006717A8"/>
    <w:rsid w:val="00677A83"/>
    <w:rsid w:val="006904E7"/>
    <w:rsid w:val="006906E4"/>
    <w:rsid w:val="006A21DE"/>
    <w:rsid w:val="006A4658"/>
    <w:rsid w:val="006A4F44"/>
    <w:rsid w:val="006A6299"/>
    <w:rsid w:val="006A776F"/>
    <w:rsid w:val="006B7803"/>
    <w:rsid w:val="006D7715"/>
    <w:rsid w:val="006D7E83"/>
    <w:rsid w:val="006E139A"/>
    <w:rsid w:val="006F2033"/>
    <w:rsid w:val="00703AF7"/>
    <w:rsid w:val="00712560"/>
    <w:rsid w:val="00712B07"/>
    <w:rsid w:val="00720F8B"/>
    <w:rsid w:val="00726704"/>
    <w:rsid w:val="00737768"/>
    <w:rsid w:val="00743C61"/>
    <w:rsid w:val="00743D99"/>
    <w:rsid w:val="00744F5E"/>
    <w:rsid w:val="00747C37"/>
    <w:rsid w:val="00750545"/>
    <w:rsid w:val="00753073"/>
    <w:rsid w:val="00753C13"/>
    <w:rsid w:val="00757469"/>
    <w:rsid w:val="007576DA"/>
    <w:rsid w:val="00761673"/>
    <w:rsid w:val="00763201"/>
    <w:rsid w:val="007643DD"/>
    <w:rsid w:val="00773545"/>
    <w:rsid w:val="007824C3"/>
    <w:rsid w:val="00793128"/>
    <w:rsid w:val="007A157E"/>
    <w:rsid w:val="007A49E2"/>
    <w:rsid w:val="007A7C19"/>
    <w:rsid w:val="007B1786"/>
    <w:rsid w:val="007B284E"/>
    <w:rsid w:val="007B647F"/>
    <w:rsid w:val="007C19F7"/>
    <w:rsid w:val="007C4A60"/>
    <w:rsid w:val="007D2580"/>
    <w:rsid w:val="007E1D18"/>
    <w:rsid w:val="007F73B2"/>
    <w:rsid w:val="00803A81"/>
    <w:rsid w:val="00805DCB"/>
    <w:rsid w:val="008237E8"/>
    <w:rsid w:val="0084568E"/>
    <w:rsid w:val="00846042"/>
    <w:rsid w:val="0085186E"/>
    <w:rsid w:val="00870886"/>
    <w:rsid w:val="00870F0F"/>
    <w:rsid w:val="008719FB"/>
    <w:rsid w:val="008736C5"/>
    <w:rsid w:val="00877126"/>
    <w:rsid w:val="0088609F"/>
    <w:rsid w:val="00892650"/>
    <w:rsid w:val="00892F68"/>
    <w:rsid w:val="00896886"/>
    <w:rsid w:val="00896B30"/>
    <w:rsid w:val="008A5E76"/>
    <w:rsid w:val="008B48EE"/>
    <w:rsid w:val="008B5D9B"/>
    <w:rsid w:val="008C2E4C"/>
    <w:rsid w:val="008D27E7"/>
    <w:rsid w:val="008E1799"/>
    <w:rsid w:val="008E30AE"/>
    <w:rsid w:val="008E314C"/>
    <w:rsid w:val="008E38CE"/>
    <w:rsid w:val="008E57EB"/>
    <w:rsid w:val="008E7892"/>
    <w:rsid w:val="008F46DC"/>
    <w:rsid w:val="008F4866"/>
    <w:rsid w:val="008F50FC"/>
    <w:rsid w:val="008F5B7F"/>
    <w:rsid w:val="00902851"/>
    <w:rsid w:val="00911D7E"/>
    <w:rsid w:val="009159CB"/>
    <w:rsid w:val="00916CA0"/>
    <w:rsid w:val="00924C77"/>
    <w:rsid w:val="0092637F"/>
    <w:rsid w:val="00934E05"/>
    <w:rsid w:val="00935267"/>
    <w:rsid w:val="009460CE"/>
    <w:rsid w:val="00957DDD"/>
    <w:rsid w:val="009632B9"/>
    <w:rsid w:val="00966E0A"/>
    <w:rsid w:val="009706DF"/>
    <w:rsid w:val="009749D6"/>
    <w:rsid w:val="00986102"/>
    <w:rsid w:val="0099217C"/>
    <w:rsid w:val="00994880"/>
    <w:rsid w:val="009951C1"/>
    <w:rsid w:val="009971E7"/>
    <w:rsid w:val="009A2548"/>
    <w:rsid w:val="009A6A37"/>
    <w:rsid w:val="009B0336"/>
    <w:rsid w:val="009C261D"/>
    <w:rsid w:val="009C5D57"/>
    <w:rsid w:val="009E1DF6"/>
    <w:rsid w:val="009E50E1"/>
    <w:rsid w:val="009F11D9"/>
    <w:rsid w:val="009F2F8F"/>
    <w:rsid w:val="00A01D53"/>
    <w:rsid w:val="00A10493"/>
    <w:rsid w:val="00A10C2E"/>
    <w:rsid w:val="00A141BB"/>
    <w:rsid w:val="00A1578E"/>
    <w:rsid w:val="00A16C10"/>
    <w:rsid w:val="00A31433"/>
    <w:rsid w:val="00A31DE6"/>
    <w:rsid w:val="00A37353"/>
    <w:rsid w:val="00A3753A"/>
    <w:rsid w:val="00A4143C"/>
    <w:rsid w:val="00A44971"/>
    <w:rsid w:val="00A54ABA"/>
    <w:rsid w:val="00A574FF"/>
    <w:rsid w:val="00A60DE9"/>
    <w:rsid w:val="00A62F56"/>
    <w:rsid w:val="00A70EA5"/>
    <w:rsid w:val="00A846D7"/>
    <w:rsid w:val="00A94A79"/>
    <w:rsid w:val="00AA1330"/>
    <w:rsid w:val="00AC2709"/>
    <w:rsid w:val="00AC6D50"/>
    <w:rsid w:val="00AC7991"/>
    <w:rsid w:val="00AD3150"/>
    <w:rsid w:val="00AD3C16"/>
    <w:rsid w:val="00AD50FD"/>
    <w:rsid w:val="00AD6A33"/>
    <w:rsid w:val="00AE4328"/>
    <w:rsid w:val="00AF2B79"/>
    <w:rsid w:val="00AF2D64"/>
    <w:rsid w:val="00AF3F3D"/>
    <w:rsid w:val="00B004E5"/>
    <w:rsid w:val="00B10ABB"/>
    <w:rsid w:val="00B10EB7"/>
    <w:rsid w:val="00B11EA4"/>
    <w:rsid w:val="00B17994"/>
    <w:rsid w:val="00B2132A"/>
    <w:rsid w:val="00B24347"/>
    <w:rsid w:val="00B25757"/>
    <w:rsid w:val="00B262D1"/>
    <w:rsid w:val="00B30913"/>
    <w:rsid w:val="00B318F1"/>
    <w:rsid w:val="00B4436E"/>
    <w:rsid w:val="00B44EE1"/>
    <w:rsid w:val="00B5604B"/>
    <w:rsid w:val="00B614D6"/>
    <w:rsid w:val="00B755AD"/>
    <w:rsid w:val="00B80801"/>
    <w:rsid w:val="00B82756"/>
    <w:rsid w:val="00B82AE7"/>
    <w:rsid w:val="00B8388F"/>
    <w:rsid w:val="00B85331"/>
    <w:rsid w:val="00B9090F"/>
    <w:rsid w:val="00B92912"/>
    <w:rsid w:val="00B943D2"/>
    <w:rsid w:val="00B96FBD"/>
    <w:rsid w:val="00B97C1C"/>
    <w:rsid w:val="00BA54C2"/>
    <w:rsid w:val="00BB37D1"/>
    <w:rsid w:val="00BB5478"/>
    <w:rsid w:val="00BD198F"/>
    <w:rsid w:val="00BD1AED"/>
    <w:rsid w:val="00BD1D49"/>
    <w:rsid w:val="00BD4C50"/>
    <w:rsid w:val="00BE23B7"/>
    <w:rsid w:val="00BF5152"/>
    <w:rsid w:val="00BF6813"/>
    <w:rsid w:val="00C03BF5"/>
    <w:rsid w:val="00C0664B"/>
    <w:rsid w:val="00C14BA0"/>
    <w:rsid w:val="00C165BB"/>
    <w:rsid w:val="00C175C1"/>
    <w:rsid w:val="00C25B22"/>
    <w:rsid w:val="00C3175B"/>
    <w:rsid w:val="00C32879"/>
    <w:rsid w:val="00C3387A"/>
    <w:rsid w:val="00C3577B"/>
    <w:rsid w:val="00C369C0"/>
    <w:rsid w:val="00C37A80"/>
    <w:rsid w:val="00C4377C"/>
    <w:rsid w:val="00C44A60"/>
    <w:rsid w:val="00C5028B"/>
    <w:rsid w:val="00C524DD"/>
    <w:rsid w:val="00C55346"/>
    <w:rsid w:val="00C574D7"/>
    <w:rsid w:val="00C6392D"/>
    <w:rsid w:val="00C70876"/>
    <w:rsid w:val="00C72594"/>
    <w:rsid w:val="00C81B10"/>
    <w:rsid w:val="00C97B4E"/>
    <w:rsid w:val="00CA0564"/>
    <w:rsid w:val="00CA4ED1"/>
    <w:rsid w:val="00CB2119"/>
    <w:rsid w:val="00CB5003"/>
    <w:rsid w:val="00CB5A9A"/>
    <w:rsid w:val="00CB6E96"/>
    <w:rsid w:val="00CC67A6"/>
    <w:rsid w:val="00CE01D4"/>
    <w:rsid w:val="00CE11D8"/>
    <w:rsid w:val="00CF4634"/>
    <w:rsid w:val="00CF622E"/>
    <w:rsid w:val="00CF7628"/>
    <w:rsid w:val="00D01A57"/>
    <w:rsid w:val="00D01DD5"/>
    <w:rsid w:val="00D02105"/>
    <w:rsid w:val="00D03A25"/>
    <w:rsid w:val="00D03E88"/>
    <w:rsid w:val="00D06083"/>
    <w:rsid w:val="00D11127"/>
    <w:rsid w:val="00D134BB"/>
    <w:rsid w:val="00D1361C"/>
    <w:rsid w:val="00D1706E"/>
    <w:rsid w:val="00D25A9D"/>
    <w:rsid w:val="00D270FA"/>
    <w:rsid w:val="00D306C6"/>
    <w:rsid w:val="00D34DA6"/>
    <w:rsid w:val="00D40F81"/>
    <w:rsid w:val="00D47853"/>
    <w:rsid w:val="00D55C74"/>
    <w:rsid w:val="00D62BCB"/>
    <w:rsid w:val="00D74905"/>
    <w:rsid w:val="00D7513E"/>
    <w:rsid w:val="00D879F4"/>
    <w:rsid w:val="00DA4E2D"/>
    <w:rsid w:val="00DB12FC"/>
    <w:rsid w:val="00DB3383"/>
    <w:rsid w:val="00DB7D39"/>
    <w:rsid w:val="00DE2483"/>
    <w:rsid w:val="00DE377D"/>
    <w:rsid w:val="00DE4823"/>
    <w:rsid w:val="00DF2288"/>
    <w:rsid w:val="00DF2477"/>
    <w:rsid w:val="00E05F7D"/>
    <w:rsid w:val="00E15716"/>
    <w:rsid w:val="00E17B18"/>
    <w:rsid w:val="00E2462C"/>
    <w:rsid w:val="00E25183"/>
    <w:rsid w:val="00E315F5"/>
    <w:rsid w:val="00E400CF"/>
    <w:rsid w:val="00E40E2D"/>
    <w:rsid w:val="00E43367"/>
    <w:rsid w:val="00E64286"/>
    <w:rsid w:val="00E947B1"/>
    <w:rsid w:val="00EA065B"/>
    <w:rsid w:val="00EA413E"/>
    <w:rsid w:val="00EC31C8"/>
    <w:rsid w:val="00EC3E6B"/>
    <w:rsid w:val="00EC448E"/>
    <w:rsid w:val="00ED3871"/>
    <w:rsid w:val="00EE0A52"/>
    <w:rsid w:val="00EE1CB3"/>
    <w:rsid w:val="00EE3CD7"/>
    <w:rsid w:val="00EE49A9"/>
    <w:rsid w:val="00EF1D02"/>
    <w:rsid w:val="00EF6258"/>
    <w:rsid w:val="00F017BC"/>
    <w:rsid w:val="00F01BBE"/>
    <w:rsid w:val="00F01FD4"/>
    <w:rsid w:val="00F1335F"/>
    <w:rsid w:val="00F30653"/>
    <w:rsid w:val="00F320A3"/>
    <w:rsid w:val="00F4136C"/>
    <w:rsid w:val="00F522B6"/>
    <w:rsid w:val="00F55468"/>
    <w:rsid w:val="00F604E8"/>
    <w:rsid w:val="00F63E4A"/>
    <w:rsid w:val="00F67374"/>
    <w:rsid w:val="00F677A0"/>
    <w:rsid w:val="00F939E5"/>
    <w:rsid w:val="00F95576"/>
    <w:rsid w:val="00FA16FF"/>
    <w:rsid w:val="00FA2215"/>
    <w:rsid w:val="00FB53D6"/>
    <w:rsid w:val="00FB58C1"/>
    <w:rsid w:val="00FC5399"/>
    <w:rsid w:val="00FC5F55"/>
    <w:rsid w:val="00FD406A"/>
    <w:rsid w:val="00FD6398"/>
    <w:rsid w:val="00FD746D"/>
    <w:rsid w:val="00FE0486"/>
    <w:rsid w:val="00FE2A60"/>
    <w:rsid w:val="00FE5019"/>
    <w:rsid w:val="00FE6C9F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999371-91A4-4CE9-82EF-FBCA8353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3A9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3A9"/>
    <w:pPr>
      <w:keepNext/>
      <w:keepLines/>
      <w:spacing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3A9"/>
    <w:rPr>
      <w:rFonts w:ascii="Arial" w:eastAsiaTheme="majorEastAsia" w:hAnsi="Arial" w:cstheme="majorBidi"/>
      <w:b/>
      <w:szCs w:val="32"/>
    </w:rPr>
  </w:style>
  <w:style w:type="table" w:styleId="TableGrid">
    <w:name w:val="Table Grid"/>
    <w:basedOn w:val="TableNormal"/>
    <w:uiPriority w:val="39"/>
    <w:rsid w:val="003903A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9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3A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Fiaoag, Margarette</dc:creator>
  <cp:keywords/>
  <dc:description/>
  <cp:lastModifiedBy>Fiaoag, Margarette</cp:lastModifiedBy>
  <cp:revision>1</cp:revision>
  <dcterms:created xsi:type="dcterms:W3CDTF">2022-05-17T12:19:00Z</dcterms:created>
  <dcterms:modified xsi:type="dcterms:W3CDTF">2022-05-17T12:19:00Z</dcterms:modified>
</cp:coreProperties>
</file>