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586" w:rsidRDefault="00615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15586" w:rsidRDefault="00615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15586" w:rsidRDefault="00615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15586" w:rsidRDefault="00615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15586" w:rsidRDefault="00615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15586" w:rsidRDefault="00615586">
      <w:bookmarkStart w:id="0" w:name="_heading=h.2et92p0" w:colFirst="0" w:colLast="0"/>
      <w:bookmarkEnd w:id="0"/>
    </w:p>
    <w:p w:rsidR="00615586" w:rsidRDefault="00B46FC5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Supporting Information</w:t>
      </w:r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Self-healing and polymer welding of soft and stiff epoxy thermosets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via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silanolates</w:t>
      </w:r>
      <w:proofErr w:type="spellEnd"/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Amelia A. Putnam</w:t>
      </w:r>
      <w:r w:rsidR="005F5CAF">
        <w:rPr>
          <w:rFonts w:ascii="Times New Roman" w:eastAsia="Times New Roman" w:hAnsi="Times New Roman" w:cs="Times New Roman"/>
          <w:sz w:val="24"/>
          <w:szCs w:val="24"/>
        </w:rPr>
        <w:t>-Neeb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Jordan M. Kaiser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1,3</w:t>
      </w:r>
      <w:r>
        <w:rPr>
          <w:rFonts w:ascii="Times New Roman" w:eastAsia="Times New Roman" w:hAnsi="Times New Roman" w:cs="Times New Roman"/>
          <w:sz w:val="24"/>
          <w:szCs w:val="24"/>
        </w:rPr>
        <w:t>, Amber M. Hubbard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Dayton P. Street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Matthew B. Dickerson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Nepal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and Luke A. Baldwin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*</w:t>
      </w:r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Materials and Manufacturing Directorate, Air Force Research Laboratory, Wright Patterson Air Force Base, Ohio, 45433, United States.</w:t>
      </w: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National Research Council Research Associate, Air Force Research Laboratory, Wright Patterson Air Force Base, Ohio, 45433, United States.</w:t>
      </w: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UES, Inc. Dayton, Ohio, 45432, United States.</w:t>
      </w:r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615586" w:rsidRDefault="00B46FC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114300" distB="114300" distL="114300" distR="114300">
            <wp:extent cx="5943600" cy="4394200"/>
            <wp:effectExtent l="0" t="0" r="0" b="0"/>
            <wp:docPr id="28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15586" w:rsidRDefault="00B46F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MALDI-TOF MS spectra of different flow conditions compared to t</w:t>
      </w:r>
      <w:r w:rsidR="0050170C">
        <w:rPr>
          <w:rFonts w:ascii="Times New Roman" w:eastAsia="Times New Roman" w:hAnsi="Times New Roman" w:cs="Times New Roman"/>
          <w:sz w:val="24"/>
          <w:szCs w:val="24"/>
        </w:rPr>
        <w:t xml:space="preserve">he batch synthesis for the </w:t>
      </w:r>
      <w:proofErr w:type="spellStart"/>
      <w:r w:rsidR="0050170C">
        <w:rPr>
          <w:rFonts w:ascii="Times New Roman" w:eastAsia="Times New Roman" w:hAnsi="Times New Roman" w:cs="Times New Roman"/>
          <w:sz w:val="24"/>
          <w:szCs w:val="24"/>
        </w:rPr>
        <w:t>oligo</w:t>
      </w:r>
      <w:r>
        <w:rPr>
          <w:rFonts w:ascii="Times New Roman" w:eastAsia="Times New Roman" w:hAnsi="Times New Roman" w:cs="Times New Roman"/>
          <w:sz w:val="24"/>
          <w:szCs w:val="24"/>
        </w:rPr>
        <w:t>merization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AMS to make PAMS. The continuous flow parameters of 160 </w:t>
      </w:r>
      <w:r>
        <w:rPr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sz w:val="24"/>
          <w:szCs w:val="24"/>
        </w:rPr>
        <w:t>C and a 60 min retention time (top spectrum) yielded a product similar to that of the batch reaction conditions (bottom spectrum).</w:t>
      </w:r>
      <w:r w:rsidR="00243C58">
        <w:rPr>
          <w:rFonts w:ascii="Times New Roman" w:eastAsia="Times New Roman" w:hAnsi="Times New Roman" w:cs="Times New Roman"/>
          <w:sz w:val="24"/>
          <w:szCs w:val="24"/>
        </w:rPr>
        <w:t xml:space="preserve"> The PAMS synthesized by flow gave a molecular weight of 1500 – 2000 </w:t>
      </w:r>
      <w:r w:rsidR="0013736C">
        <w:rPr>
          <w:rFonts w:ascii="Times New Roman" w:eastAsia="Times New Roman" w:hAnsi="Times New Roman" w:cs="Times New Roman"/>
          <w:sz w:val="24"/>
          <w:szCs w:val="24"/>
        </w:rPr>
        <w:t>g mol</w:t>
      </w:r>
      <w:r w:rsidR="0013736C" w:rsidRPr="008E2B2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="00243C58">
        <w:rPr>
          <w:rFonts w:ascii="Times New Roman" w:eastAsia="Times New Roman" w:hAnsi="Times New Roman" w:cs="Times New Roman"/>
          <w:sz w:val="24"/>
          <w:szCs w:val="24"/>
        </w:rPr>
        <w:t>, or about 11-19 repeating siloxane units.</w:t>
      </w:r>
    </w:p>
    <w:p w:rsidR="00615586" w:rsidRDefault="006155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615586" w:rsidRDefault="00B46FC5">
      <w:r>
        <w:rPr>
          <w:noProof/>
        </w:rPr>
        <w:lastRenderedPageBreak/>
        <w:drawing>
          <wp:inline distT="114300" distB="114300" distL="114300" distR="114300">
            <wp:extent cx="5943600" cy="4483100"/>
            <wp:effectExtent l="0" t="0" r="0" b="0"/>
            <wp:docPr id="28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15586" w:rsidRDefault="00B46F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Nuclear magnetic resonance (NMR) spectra of PAMS (top) and KPAMS (bottom).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NMR was recorded using a Bruker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Ava</w:t>
      </w:r>
      <w:r w:rsidR="005C322A">
        <w:rPr>
          <w:rFonts w:ascii="Times New Roman" w:eastAsia="Times New Roman" w:hAnsi="Times New Roman" w:cs="Times New Roman"/>
          <w:sz w:val="24"/>
          <w:szCs w:val="24"/>
        </w:rPr>
        <w:t>nce</w:t>
      </w:r>
      <w:proofErr w:type="spellEnd"/>
      <w:r w:rsidR="005C322A">
        <w:rPr>
          <w:rFonts w:ascii="Times New Roman" w:eastAsia="Times New Roman" w:hAnsi="Times New Roman" w:cs="Times New Roman"/>
          <w:sz w:val="24"/>
          <w:szCs w:val="24"/>
        </w:rPr>
        <w:t xml:space="preserve"> 400 MHz spectrometer with </w:t>
      </w:r>
      <w:r>
        <w:rPr>
          <w:rFonts w:ascii="Times New Roman" w:eastAsia="Times New Roman" w:hAnsi="Times New Roman" w:cs="Times New Roman"/>
          <w:sz w:val="24"/>
          <w:szCs w:val="24"/>
        </w:rPr>
        <w:t>DMSO</w:t>
      </w:r>
      <w:r w:rsidR="005C322A">
        <w:rPr>
          <w:rFonts w:ascii="Times New Roman" w:eastAsia="Times New Roman" w:hAnsi="Times New Roman" w:cs="Times New Roman"/>
          <w:sz w:val="24"/>
          <w:szCs w:val="24"/>
        </w:rPr>
        <w:t>-</w:t>
      </w:r>
      <w:r w:rsidR="005C322A" w:rsidRPr="00811FE6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5C322A" w:rsidRPr="005C322A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solvent.</w:t>
      </w:r>
    </w:p>
    <w:p w:rsidR="00615586" w:rsidRDefault="006155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6155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br w:type="page"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>
            <wp:extent cx="3200400" cy="2558459"/>
            <wp:effectExtent l="0" t="0" r="0" b="0"/>
            <wp:docPr id="28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5584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15586" w:rsidRDefault="00B46F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tyjcwt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Figure S3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Thermogravimetric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analysis (TGA) of all KPAMS-BDDE formulations. The end weight after decomposition is highest with less BDDE as a result of the residual potassium content from increasing concentration of KPAMS.</w:t>
      </w:r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6155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6155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3200400" cy="2560320"/>
            <wp:effectExtent l="0" t="0" r="0" b="0"/>
            <wp:docPr id="28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560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15586" w:rsidRDefault="00B46F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Thermogravimetric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analysis (TGA) of all KPAMS-DGEBA formulations.</w:t>
      </w:r>
    </w:p>
    <w:p w:rsidR="0062453B" w:rsidRDefault="006245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453B" w:rsidRDefault="006245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6155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5586" w:rsidRDefault="00B46F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62453B" w:rsidRDefault="0062453B" w:rsidP="0062453B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31C6F359" wp14:editId="387259CD">
            <wp:extent cx="5014913" cy="3747606"/>
            <wp:effectExtent l="0" t="0" r="0" b="0"/>
            <wp:docPr id="28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4913" cy="37476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2453B" w:rsidRDefault="003D320E" w:rsidP="0063036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S5</w:t>
      </w:r>
      <w:r w:rsidR="0062453B" w:rsidRPr="00F46FB4">
        <w:rPr>
          <w:rFonts w:ascii="Times New Roman" w:hAnsi="Times New Roman" w:cs="Times New Roman"/>
          <w:b/>
          <w:sz w:val="24"/>
        </w:rPr>
        <w:t>:</w:t>
      </w:r>
      <w:r w:rsidR="0062453B" w:rsidRPr="00F46FB4">
        <w:rPr>
          <w:rFonts w:ascii="Times New Roman" w:hAnsi="Times New Roman" w:cs="Times New Roman"/>
          <w:sz w:val="24"/>
        </w:rPr>
        <w:t xml:space="preserve"> Cyclic TGA of each formulation of a) KPAMS-BDDE and b) KPAMS-DGEBA. For each experiment, TGA was performed twice using the same sample, heating to 200 °C both times to determine if water was removed. In each plot, the first cycle is denoted by a solid line, and the second cycle is</w:t>
      </w:r>
      <w:r w:rsidR="00407146">
        <w:rPr>
          <w:rFonts w:ascii="Times New Roman" w:hAnsi="Times New Roman" w:cs="Times New Roman"/>
          <w:sz w:val="24"/>
        </w:rPr>
        <w:t xml:space="preserve"> shown as</w:t>
      </w:r>
      <w:r w:rsidR="0062453B" w:rsidRPr="00F46FB4">
        <w:rPr>
          <w:rFonts w:ascii="Times New Roman" w:hAnsi="Times New Roman" w:cs="Times New Roman"/>
          <w:sz w:val="24"/>
        </w:rPr>
        <w:t xml:space="preserve"> a dashed line.</w:t>
      </w:r>
      <w:r w:rsidR="0062453B">
        <w:rPr>
          <w:rFonts w:ascii="Times New Roman" w:hAnsi="Times New Roman" w:cs="Times New Roman"/>
          <w:sz w:val="24"/>
        </w:rPr>
        <w:t xml:space="preserve"> Final mass loss for each cycle is tabulated in </w:t>
      </w:r>
      <w:r w:rsidR="0062453B" w:rsidRPr="00407146">
        <w:rPr>
          <w:rFonts w:ascii="Times New Roman" w:hAnsi="Times New Roman" w:cs="Times New Roman"/>
          <w:sz w:val="24"/>
        </w:rPr>
        <w:t>Table S</w:t>
      </w:r>
      <w:r w:rsidR="00407146">
        <w:rPr>
          <w:rFonts w:ascii="Times New Roman" w:hAnsi="Times New Roman" w:cs="Times New Roman"/>
          <w:sz w:val="24"/>
        </w:rPr>
        <w:t>1</w:t>
      </w:r>
      <w:r w:rsidR="0062453B" w:rsidRPr="00407146">
        <w:rPr>
          <w:rFonts w:ascii="Times New Roman" w:hAnsi="Times New Roman" w:cs="Times New Roman"/>
          <w:sz w:val="24"/>
        </w:rPr>
        <w:t>.</w:t>
      </w:r>
    </w:p>
    <w:p w:rsidR="00B7386C" w:rsidRDefault="00B7386C">
      <w:pPr>
        <w:rPr>
          <w:rFonts w:ascii="Times New Roman" w:hAnsi="Times New Roman" w:cs="Times New Roman"/>
          <w:b/>
          <w:sz w:val="24"/>
        </w:rPr>
      </w:pPr>
    </w:p>
    <w:p w:rsidR="0062453B" w:rsidRDefault="0062453B" w:rsidP="00AB4460">
      <w:pPr>
        <w:jc w:val="both"/>
        <w:rPr>
          <w:rFonts w:ascii="Times New Roman" w:hAnsi="Times New Roman" w:cs="Times New Roman"/>
          <w:sz w:val="24"/>
        </w:rPr>
      </w:pPr>
      <w:r w:rsidRPr="00715229"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/>
          <w:b/>
          <w:sz w:val="24"/>
        </w:rPr>
        <w:t>1</w:t>
      </w:r>
      <w:r w:rsidRPr="00715229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Final mass loss for cyclic TGA experiments for all adaptable network formulations.</w:t>
      </w:r>
    </w:p>
    <w:tbl>
      <w:tblPr>
        <w:tblStyle w:val="TableGrid"/>
        <w:tblW w:w="52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1619"/>
        <w:gridCol w:w="1619"/>
      </w:tblGrid>
      <w:tr w:rsidR="0062453B" w:rsidTr="00063838">
        <w:trPr>
          <w:trHeight w:val="557"/>
          <w:jc w:val="center"/>
        </w:trPr>
        <w:tc>
          <w:tcPr>
            <w:tcW w:w="2040" w:type="dxa"/>
            <w:vMerge w:val="restart"/>
            <w:tcBorders>
              <w:top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Adaptable network composition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Final Mass Loss</w:t>
            </w:r>
          </w:p>
        </w:tc>
      </w:tr>
      <w:tr w:rsidR="0062453B" w:rsidTr="00063838">
        <w:trPr>
          <w:trHeight w:val="521"/>
          <w:jc w:val="center"/>
        </w:trPr>
        <w:tc>
          <w:tcPr>
            <w:tcW w:w="2040" w:type="dxa"/>
            <w:vMerge/>
            <w:tcBorders>
              <w:bottom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F77D8C">
              <w:rPr>
                <w:rFonts w:ascii="Times New Roman" w:hAnsi="Times New Roman" w:cs="Times New Roman"/>
                <w:sz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</w:rPr>
              <w:t xml:space="preserve"> Cycle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F77D8C">
              <w:rPr>
                <w:rFonts w:ascii="Times New Roman" w:hAnsi="Times New Roman" w:cs="Times New Roman"/>
                <w:sz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</w:rPr>
              <w:t xml:space="preserve"> Cycle</w:t>
            </w:r>
          </w:p>
        </w:tc>
      </w:tr>
      <w:tr w:rsidR="0062453B" w:rsidTr="00063838">
        <w:trPr>
          <w:trHeight w:val="430"/>
          <w:jc w:val="center"/>
        </w:trPr>
        <w:tc>
          <w:tcPr>
            <w:tcW w:w="2040" w:type="dxa"/>
            <w:tcBorders>
              <w:top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% BDDE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4.449%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1.521%</w:t>
            </w:r>
          </w:p>
        </w:tc>
      </w:tr>
      <w:tr w:rsidR="0062453B" w:rsidTr="00063838">
        <w:trPr>
          <w:trHeight w:val="451"/>
          <w:jc w:val="center"/>
        </w:trPr>
        <w:tc>
          <w:tcPr>
            <w:tcW w:w="2040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% BDDE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2.958%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1.247%</w:t>
            </w:r>
          </w:p>
        </w:tc>
      </w:tr>
      <w:tr w:rsidR="0062453B" w:rsidTr="00063838">
        <w:trPr>
          <w:trHeight w:val="430"/>
          <w:jc w:val="center"/>
        </w:trPr>
        <w:tc>
          <w:tcPr>
            <w:tcW w:w="2040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% BDDE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1.945%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0.2788%</w:t>
            </w:r>
          </w:p>
        </w:tc>
      </w:tr>
      <w:tr w:rsidR="0062453B" w:rsidTr="00063838">
        <w:trPr>
          <w:trHeight w:val="180"/>
          <w:jc w:val="center"/>
        </w:trPr>
        <w:tc>
          <w:tcPr>
            <w:tcW w:w="2040" w:type="dxa"/>
            <w:vAlign w:val="center"/>
          </w:tcPr>
          <w:p w:rsidR="0062453B" w:rsidRPr="00F77D8C" w:rsidRDefault="0062453B" w:rsidP="00063838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1619" w:type="dxa"/>
            <w:vAlign w:val="center"/>
          </w:tcPr>
          <w:p w:rsidR="0062453B" w:rsidRPr="00F77D8C" w:rsidRDefault="0062453B" w:rsidP="00063838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1619" w:type="dxa"/>
            <w:vAlign w:val="center"/>
          </w:tcPr>
          <w:p w:rsidR="0062453B" w:rsidRPr="00F77D8C" w:rsidRDefault="0062453B" w:rsidP="00063838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62453B" w:rsidTr="00063838">
        <w:trPr>
          <w:trHeight w:val="430"/>
          <w:jc w:val="center"/>
        </w:trPr>
        <w:tc>
          <w:tcPr>
            <w:tcW w:w="2040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% DGEBA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3.680%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0.7308%</w:t>
            </w:r>
          </w:p>
        </w:tc>
      </w:tr>
      <w:tr w:rsidR="0062453B" w:rsidTr="00063838">
        <w:trPr>
          <w:trHeight w:val="451"/>
          <w:jc w:val="center"/>
        </w:trPr>
        <w:tc>
          <w:tcPr>
            <w:tcW w:w="2040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% DGEBA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2.376%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1.031%</w:t>
            </w:r>
          </w:p>
        </w:tc>
      </w:tr>
      <w:tr w:rsidR="0062453B" w:rsidTr="00871DE9">
        <w:trPr>
          <w:trHeight w:val="430"/>
          <w:jc w:val="center"/>
        </w:trPr>
        <w:tc>
          <w:tcPr>
            <w:tcW w:w="2040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% DGEBA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1.807%</w:t>
            </w:r>
          </w:p>
        </w:tc>
        <w:tc>
          <w:tcPr>
            <w:tcW w:w="1619" w:type="dxa"/>
            <w:vAlign w:val="center"/>
          </w:tcPr>
          <w:p w:rsidR="0062453B" w:rsidRDefault="0062453B" w:rsidP="000638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0.4767%</w:t>
            </w:r>
          </w:p>
        </w:tc>
      </w:tr>
      <w:tr w:rsidR="0062453B" w:rsidRPr="00F77D8C" w:rsidTr="00871DE9">
        <w:trPr>
          <w:trHeight w:val="73"/>
          <w:jc w:val="center"/>
        </w:trPr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:rsidR="0062453B" w:rsidRPr="00F77D8C" w:rsidRDefault="0062453B" w:rsidP="00063838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  <w:vAlign w:val="center"/>
          </w:tcPr>
          <w:p w:rsidR="0062453B" w:rsidRPr="00F77D8C" w:rsidRDefault="0062453B" w:rsidP="00063838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  <w:vAlign w:val="center"/>
          </w:tcPr>
          <w:p w:rsidR="0062453B" w:rsidRPr="00F77D8C" w:rsidRDefault="0062453B" w:rsidP="00063838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</w:tbl>
    <w:p w:rsidR="00BB462B" w:rsidRDefault="00BB462B" w:rsidP="006D305A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2698483" wp14:editId="550D78F2">
            <wp:extent cx="2743200" cy="1763380"/>
            <wp:effectExtent l="0" t="0" r="0" b="0"/>
            <wp:docPr id="28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l="15543" t="19207" r="38779" b="2500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63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D8D6581" wp14:editId="647BFD13">
            <wp:extent cx="4572000" cy="2618154"/>
            <wp:effectExtent l="0" t="0" r="0" b="0"/>
            <wp:docPr id="27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181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62B" w:rsidRDefault="00BB462B" w:rsidP="00BB46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Drawing of the 3-piece aluminum mold used for self-healing and welding of adaptable network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dogbone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specimens (top). The mold consisted of a single female piece and two male pieces to fit on each end. Fractured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dogbones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placed in the wells </w:t>
      </w:r>
      <w:r w:rsidR="00777A7F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mold, </w:t>
      </w:r>
      <w:r w:rsidR="00777A7F">
        <w:rPr>
          <w:rFonts w:ascii="Times New Roman" w:eastAsia="Times New Roman" w:hAnsi="Times New Roman" w:cs="Times New Roman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then placed in a hot press (bottom) to weld under 5 MPa of pressure at 110 </w:t>
      </w:r>
      <w:r>
        <w:rPr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sz w:val="24"/>
          <w:szCs w:val="24"/>
        </w:rPr>
        <w:t>C for 45 min.</w:t>
      </w:r>
    </w:p>
    <w:p w:rsidR="00BB462B" w:rsidRDefault="00BB462B" w:rsidP="00BB462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462B" w:rsidRDefault="00BB462B" w:rsidP="00BB462B">
      <w:r>
        <w:br w:type="page"/>
      </w:r>
    </w:p>
    <w:p w:rsidR="00F9081C" w:rsidRDefault="00F9081C" w:rsidP="00F9081C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C011AC" wp14:editId="0472C204">
            <wp:extent cx="5943600" cy="1778000"/>
            <wp:effectExtent l="0" t="0" r="0" b="0"/>
            <wp:docPr id="30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19.pn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62F78" w:rsidRDefault="00BB462B" w:rsidP="00BB46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S7</w:t>
      </w:r>
      <w:r w:rsidR="00262F7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0418A">
        <w:rPr>
          <w:rFonts w:ascii="Times New Roman" w:eastAsia="Times New Roman" w:hAnsi="Times New Roman" w:cs="Times New Roman"/>
          <w:sz w:val="24"/>
          <w:szCs w:val="24"/>
        </w:rPr>
        <w:t>Primary</w:t>
      </w:r>
      <w:r w:rsidR="00262F78">
        <w:rPr>
          <w:rFonts w:ascii="Times New Roman" w:eastAsia="Times New Roman" w:hAnsi="Times New Roman" w:cs="Times New Roman"/>
          <w:sz w:val="24"/>
          <w:szCs w:val="24"/>
        </w:rPr>
        <w:t xml:space="preserve"> exchange mechanism of </w:t>
      </w:r>
      <w:proofErr w:type="spellStart"/>
      <w:r w:rsidR="00262F78">
        <w:rPr>
          <w:rFonts w:ascii="Times New Roman" w:eastAsia="Times New Roman" w:hAnsi="Times New Roman" w:cs="Times New Roman"/>
          <w:sz w:val="24"/>
          <w:szCs w:val="24"/>
        </w:rPr>
        <w:t>silanolate</w:t>
      </w:r>
      <w:proofErr w:type="spellEnd"/>
      <w:r w:rsidR="00262F78">
        <w:rPr>
          <w:rFonts w:ascii="Times New Roman" w:eastAsia="Times New Roman" w:hAnsi="Times New Roman" w:cs="Times New Roman"/>
          <w:sz w:val="24"/>
          <w:szCs w:val="24"/>
        </w:rPr>
        <w:t xml:space="preserve"> adaptable networks</w:t>
      </w:r>
      <w:r w:rsidR="002041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462B" w:rsidRDefault="00BB462B" w:rsidP="00BB462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B462B" w:rsidRDefault="00BB462B" w:rsidP="00162BAC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462B" w:rsidRDefault="00BB462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162BAC" w:rsidRDefault="00162BAC" w:rsidP="00162BAC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color w:val="44546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Thermal properties </w:t>
      </w:r>
      <w:r w:rsidRPr="00243C58">
        <w:rPr>
          <w:rFonts w:ascii="Times New Roman" w:eastAsia="Times New Roman" w:hAnsi="Times New Roman" w:cs="Times New Roman"/>
          <w:sz w:val="24"/>
          <w:szCs w:val="24"/>
        </w:rPr>
        <w:t>of KPAMS-BDDE networks. Thermal characterization from DSC and DMA was repeated in triplicate, and error is reported as one standard deviation.</w:t>
      </w:r>
    </w:p>
    <w:tbl>
      <w:tblPr>
        <w:tblStyle w:val="ae"/>
        <w:tblW w:w="8706" w:type="dxa"/>
        <w:jc w:val="center"/>
        <w:tblLayout w:type="fixed"/>
        <w:tblLook w:val="0400" w:firstRow="0" w:lastRow="0" w:firstColumn="0" w:lastColumn="0" w:noHBand="0" w:noVBand="1"/>
      </w:tblPr>
      <w:tblGrid>
        <w:gridCol w:w="1187"/>
        <w:gridCol w:w="1289"/>
        <w:gridCol w:w="1192"/>
        <w:gridCol w:w="1743"/>
        <w:gridCol w:w="1650"/>
        <w:gridCol w:w="1645"/>
      </w:tblGrid>
      <w:tr w:rsidR="00162BAC" w:rsidTr="00063838">
        <w:trPr>
          <w:trHeight w:val="683"/>
          <w:jc w:val="center"/>
        </w:trPr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BDDE</w:t>
            </w:r>
          </w:p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(5%)</w:t>
            </w:r>
          </w:p>
        </w:tc>
        <w:tc>
          <w:tcPr>
            <w:tcW w:w="1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Gel Fraction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g</w:t>
            </w:r>
            <w:proofErr w:type="spellEnd"/>
          </w:p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(DSC)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g</w:t>
            </w:r>
            <w:proofErr w:type="spellEnd"/>
          </w:p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g</w:t>
            </w:r>
            <w:proofErr w:type="spellEnd"/>
          </w:p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(tan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62BAC" w:rsidTr="00063838">
        <w:trPr>
          <w:trHeight w:val="765"/>
          <w:jc w:val="center"/>
        </w:trPr>
        <w:tc>
          <w:tcPr>
            <w:tcW w:w="1187" w:type="dxa"/>
            <w:tcBorders>
              <w:top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 °C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-7 ± 1 °C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± 5 °C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± 6 °C</w:t>
            </w:r>
          </w:p>
        </w:tc>
      </w:tr>
      <w:tr w:rsidR="00162BAC" w:rsidTr="00063838">
        <w:trPr>
          <w:trHeight w:val="765"/>
          <w:jc w:val="center"/>
        </w:trPr>
        <w:tc>
          <w:tcPr>
            <w:tcW w:w="1187" w:type="dxa"/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9" w:type="dxa"/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 °C</w:t>
            </w:r>
          </w:p>
        </w:tc>
        <w:tc>
          <w:tcPr>
            <w:tcW w:w="1192" w:type="dxa"/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743" w:type="dxa"/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 ± 0.9 °C</w:t>
            </w:r>
          </w:p>
        </w:tc>
        <w:tc>
          <w:tcPr>
            <w:tcW w:w="1650" w:type="dxa"/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± 2 °C</w:t>
            </w:r>
          </w:p>
        </w:tc>
        <w:tc>
          <w:tcPr>
            <w:tcW w:w="1645" w:type="dxa"/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 ± 3 °C</w:t>
            </w:r>
          </w:p>
        </w:tc>
      </w:tr>
      <w:tr w:rsidR="00162BAC" w:rsidTr="00063838">
        <w:trPr>
          <w:trHeight w:val="765"/>
          <w:jc w:val="center"/>
        </w:trPr>
        <w:tc>
          <w:tcPr>
            <w:tcW w:w="1187" w:type="dxa"/>
            <w:tcBorders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343 °C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-7 ± 1 °C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± 1 °C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:rsidR="00162BAC" w:rsidRDefault="00162BAC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± 1 °C</w:t>
            </w:r>
          </w:p>
        </w:tc>
      </w:tr>
    </w:tbl>
    <w:p w:rsidR="00162BAC" w:rsidRDefault="00162BAC" w:rsidP="00162BA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2BAC" w:rsidRDefault="00162BAC" w:rsidP="00162BA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66F0" w:rsidRDefault="001266F0" w:rsidP="00162BA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266F0" w:rsidRDefault="001266F0" w:rsidP="00162BA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4F55" w:rsidRDefault="003F4F5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4F55" w:rsidRPr="00F46FB4" w:rsidRDefault="003F4F55" w:rsidP="003F4F55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6FB4"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46FB4">
        <w:rPr>
          <w:rFonts w:ascii="Times New Roman" w:eastAsia="Times New Roman" w:hAnsi="Times New Roman" w:cs="Times New Roman"/>
          <w:sz w:val="24"/>
          <w:szCs w:val="24"/>
        </w:rPr>
        <w:t xml:space="preserve">: Stoichiometric ratios of amine to epoxide groups within each formulation used for KPAMS-BDDE networks.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formulation with 59.73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% BDDE would give an exact 2:1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epoxide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:amine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ratio.</w:t>
      </w:r>
    </w:p>
    <w:tbl>
      <w:tblPr>
        <w:tblStyle w:val="af0"/>
        <w:tblW w:w="397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0"/>
        <w:gridCol w:w="1125"/>
        <w:gridCol w:w="1192"/>
      </w:tblGrid>
      <w:tr w:rsidR="003F4F55" w:rsidTr="00063838">
        <w:trPr>
          <w:trHeight w:val="485"/>
          <w:jc w:val="center"/>
        </w:trPr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BDDE</w:t>
            </w:r>
          </w:p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Epoxide</w:t>
            </w:r>
          </w:p>
        </w:tc>
        <w:tc>
          <w:tcPr>
            <w:tcW w:w="11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Amine</w:t>
            </w:r>
          </w:p>
        </w:tc>
      </w:tr>
      <w:tr w:rsidR="003F4F55" w:rsidTr="00063838">
        <w:trPr>
          <w:trHeight w:val="424"/>
          <w:jc w:val="center"/>
        </w:trPr>
        <w:tc>
          <w:tcPr>
            <w:tcW w:w="1660" w:type="dxa"/>
            <w:tcBorders>
              <w:top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25" w:type="dxa"/>
            <w:tcBorders>
              <w:top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2" w:type="dxa"/>
            <w:tcBorders>
              <w:top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</w:tr>
      <w:tr w:rsidR="003F4F55" w:rsidTr="00063838">
        <w:trPr>
          <w:trHeight w:val="424"/>
          <w:jc w:val="center"/>
        </w:trPr>
        <w:tc>
          <w:tcPr>
            <w:tcW w:w="1660" w:type="dxa"/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25" w:type="dxa"/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192" w:type="dxa"/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3F4F55" w:rsidTr="00063838">
        <w:trPr>
          <w:trHeight w:val="424"/>
          <w:jc w:val="center"/>
        </w:trPr>
        <w:tc>
          <w:tcPr>
            <w:tcW w:w="1660" w:type="dxa"/>
            <w:tcBorders>
              <w:bottom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25" w:type="dxa"/>
            <w:tcBorders>
              <w:bottom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 w:rsidR="003F4F55" w:rsidRDefault="003F4F55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</w:tbl>
    <w:p w:rsidR="00162BAC" w:rsidRDefault="00162BA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A62B5" w:rsidRDefault="00CF04D4">
      <w:pPr>
        <w:rPr>
          <w:rFonts w:ascii="Times New Roman" w:hAnsi="Times New Roman" w:cs="Times New Roman"/>
          <w:sz w:val="24"/>
        </w:rPr>
      </w:pPr>
      <w:r w:rsidRPr="00141605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221A66D" wp14:editId="7FFA6635">
                <wp:simplePos x="0" y="0"/>
                <wp:positionH relativeFrom="margin">
                  <wp:posOffset>0</wp:posOffset>
                </wp:positionH>
                <wp:positionV relativeFrom="paragraph">
                  <wp:posOffset>2468668</wp:posOffset>
                </wp:positionV>
                <wp:extent cx="168910" cy="270510"/>
                <wp:effectExtent l="0" t="0" r="254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22A" w:rsidRPr="00CF04D4" w:rsidRDefault="005C322A" w:rsidP="00CF04D4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b</w:t>
                            </w:r>
                            <w:r w:rsidRPr="00CF04D4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1A6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4.4pt;width:13.3pt;height:21.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" stroked="f">
                <v:textbox inset="0,0,0,0">
                  <w:txbxContent>
                    <w:p w:rsidR="005C322A" w:rsidRPr="00CF04D4" w:rsidRDefault="005C322A" w:rsidP="00CF04D4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b</w:t>
                      </w:r>
                      <w:r w:rsidRPr="00CF04D4">
                        <w:rPr>
                          <w:sz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94671B" wp14:editId="694457D7">
                <wp:simplePos x="0" y="0"/>
                <wp:positionH relativeFrom="column">
                  <wp:posOffset>4679950</wp:posOffset>
                </wp:positionH>
                <wp:positionV relativeFrom="paragraph">
                  <wp:posOffset>2628053</wp:posOffset>
                </wp:positionV>
                <wp:extent cx="292100" cy="1162050"/>
                <wp:effectExtent l="19050" t="19050" r="1270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1620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453EC3" id="Oval 7" o:spid="_x0000_s1026" style="position:absolute;margin-left:368.5pt;margin-top:206.95pt;width:23pt;height:9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" filled="f" strokecolor="red" strokeweight="2.25pt">
                <v:stroke joinstyle="miter"/>
              </v:oval>
            </w:pict>
          </mc:Fallback>
        </mc:AlternateContent>
      </w:r>
      <w:r w:rsidRPr="00141605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83608</wp:posOffset>
                </wp:positionV>
                <wp:extent cx="152400" cy="279400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22A" w:rsidRPr="00CF04D4" w:rsidRDefault="005C322A">
                            <w:pPr>
                              <w:rPr>
                                <w:sz w:val="28"/>
                              </w:rPr>
                            </w:pPr>
                            <w:r w:rsidRPr="00CF04D4">
                              <w:rPr>
                                <w:sz w:val="28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6pt;width:12pt;height:22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" stroked="f">
                <v:textbox inset="0,0,0,0">
                  <w:txbxContent>
                    <w:p w:rsidR="005C322A" w:rsidRPr="00CF04D4" w:rsidRDefault="005C322A">
                      <w:pPr>
                        <w:rPr>
                          <w:sz w:val="28"/>
                        </w:rPr>
                      </w:pPr>
                      <w:r w:rsidRPr="00CF04D4">
                        <w:rPr>
                          <w:sz w:val="28"/>
                        </w:rP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62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A956C" wp14:editId="04030EA7">
                <wp:simplePos x="0" y="0"/>
                <wp:positionH relativeFrom="column">
                  <wp:posOffset>4686300</wp:posOffset>
                </wp:positionH>
                <wp:positionV relativeFrom="paragraph">
                  <wp:posOffset>259715</wp:posOffset>
                </wp:positionV>
                <wp:extent cx="292100" cy="1162050"/>
                <wp:effectExtent l="19050" t="19050" r="1270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1620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B3E0EB" id="Oval 6" o:spid="_x0000_s1026" style="position:absolute;margin-left:369pt;margin-top:20.45pt;width:23pt;height:9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114300" distB="114300" distL="114300" distR="114300" wp14:anchorId="38B2ADE7" wp14:editId="39C6551B">
            <wp:extent cx="5943600" cy="2374900"/>
            <wp:effectExtent l="0" t="0" r="0" b="6350"/>
            <wp:docPr id="291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5A62B5">
        <w:rPr>
          <w:noProof/>
        </w:rPr>
        <w:drawing>
          <wp:inline distT="114300" distB="114300" distL="114300" distR="114300" wp14:anchorId="088E36DE" wp14:editId="52DBA077">
            <wp:extent cx="5943600" cy="2374900"/>
            <wp:effectExtent l="0" t="0" r="0" b="6350"/>
            <wp:docPr id="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978AB" w:rsidRDefault="00F978AB" w:rsidP="00AB4460">
      <w:pPr>
        <w:jc w:val="both"/>
        <w:rPr>
          <w:rFonts w:ascii="Times New Roman" w:hAnsi="Times New Roman" w:cs="Times New Roman"/>
          <w:sz w:val="24"/>
        </w:rPr>
      </w:pPr>
      <w:r w:rsidRPr="00CB641E">
        <w:rPr>
          <w:rFonts w:ascii="Times New Roman" w:hAnsi="Times New Roman" w:cs="Times New Roman"/>
          <w:b/>
          <w:sz w:val="24"/>
        </w:rPr>
        <w:t>Figure S</w:t>
      </w:r>
      <w:r w:rsidR="00141605">
        <w:rPr>
          <w:rFonts w:ascii="Times New Roman" w:hAnsi="Times New Roman" w:cs="Times New Roman"/>
          <w:b/>
          <w:sz w:val="24"/>
        </w:rPr>
        <w:t>8</w:t>
      </w:r>
      <w:r w:rsidR="00962769">
        <w:rPr>
          <w:rFonts w:ascii="Times New Roman" w:hAnsi="Times New Roman" w:cs="Times New Roman"/>
          <w:sz w:val="24"/>
        </w:rPr>
        <w:t xml:space="preserve">: In </w:t>
      </w:r>
      <w:r>
        <w:rPr>
          <w:rFonts w:ascii="Times New Roman" w:hAnsi="Times New Roman" w:cs="Times New Roman"/>
          <w:sz w:val="24"/>
        </w:rPr>
        <w:t xml:space="preserve">situ FT-IR of </w:t>
      </w:r>
      <w:r w:rsidR="00CF04D4">
        <w:rPr>
          <w:rFonts w:ascii="Times New Roman" w:hAnsi="Times New Roman" w:cs="Times New Roman"/>
          <w:sz w:val="24"/>
        </w:rPr>
        <w:t xml:space="preserve">a) </w:t>
      </w:r>
      <w:r>
        <w:rPr>
          <w:rFonts w:ascii="Times New Roman" w:hAnsi="Times New Roman" w:cs="Times New Roman"/>
          <w:sz w:val="24"/>
        </w:rPr>
        <w:t>KPAMS-</w:t>
      </w:r>
      <w:r w:rsidR="00CF04D4">
        <w:rPr>
          <w:rFonts w:ascii="Times New Roman" w:hAnsi="Times New Roman" w:cs="Times New Roman"/>
          <w:sz w:val="24"/>
        </w:rPr>
        <w:t>BDDE</w:t>
      </w:r>
      <w:r w:rsidR="005A62B5">
        <w:rPr>
          <w:rFonts w:ascii="Times New Roman" w:hAnsi="Times New Roman" w:cs="Times New Roman"/>
          <w:sz w:val="24"/>
        </w:rPr>
        <w:t xml:space="preserve"> and </w:t>
      </w:r>
      <w:r w:rsidR="00CF04D4">
        <w:rPr>
          <w:rFonts w:ascii="Times New Roman" w:hAnsi="Times New Roman" w:cs="Times New Roman"/>
          <w:sz w:val="24"/>
        </w:rPr>
        <w:t xml:space="preserve">b) </w:t>
      </w:r>
      <w:r w:rsidR="005A62B5">
        <w:rPr>
          <w:rFonts w:ascii="Times New Roman" w:hAnsi="Times New Roman" w:cs="Times New Roman"/>
          <w:sz w:val="24"/>
        </w:rPr>
        <w:t>KPAMS-</w:t>
      </w:r>
      <w:r w:rsidR="00CF04D4">
        <w:rPr>
          <w:rFonts w:ascii="Times New Roman" w:hAnsi="Times New Roman" w:cs="Times New Roman"/>
          <w:sz w:val="24"/>
        </w:rPr>
        <w:t xml:space="preserve">DGEBA </w:t>
      </w:r>
      <w:r>
        <w:rPr>
          <w:rFonts w:ascii="Times New Roman" w:hAnsi="Times New Roman" w:cs="Times New Roman"/>
          <w:sz w:val="24"/>
        </w:rPr>
        <w:t xml:space="preserve">synthesis with 60 </w:t>
      </w:r>
      <w:proofErr w:type="spellStart"/>
      <w:r>
        <w:rPr>
          <w:rFonts w:ascii="Times New Roman" w:hAnsi="Times New Roman" w:cs="Times New Roman"/>
          <w:sz w:val="24"/>
        </w:rPr>
        <w:t>wt</w:t>
      </w:r>
      <w:proofErr w:type="spellEnd"/>
      <w:r>
        <w:rPr>
          <w:rFonts w:ascii="Times New Roman" w:hAnsi="Times New Roman" w:cs="Times New Roman"/>
          <w:sz w:val="24"/>
        </w:rPr>
        <w:t xml:space="preserve">% </w:t>
      </w:r>
      <w:proofErr w:type="spellStart"/>
      <w:r w:rsidR="005A62B5">
        <w:rPr>
          <w:rFonts w:ascii="Times New Roman" w:hAnsi="Times New Roman" w:cs="Times New Roman"/>
          <w:sz w:val="24"/>
        </w:rPr>
        <w:t>diepoxide</w:t>
      </w:r>
      <w:proofErr w:type="spellEnd"/>
      <w:r w:rsidR="005A62B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A62B5">
        <w:rPr>
          <w:rFonts w:ascii="Times New Roman" w:hAnsi="Times New Roman" w:cs="Times New Roman"/>
          <w:sz w:val="24"/>
        </w:rPr>
        <w:t>crosslinker</w:t>
      </w:r>
      <w:proofErr w:type="spellEnd"/>
      <w:r>
        <w:rPr>
          <w:rFonts w:ascii="Times New Roman" w:hAnsi="Times New Roman" w:cs="Times New Roman"/>
          <w:sz w:val="24"/>
        </w:rPr>
        <w:t xml:space="preserve">. The epoxide </w:t>
      </w:r>
      <w:r w:rsidR="00CB641E">
        <w:rPr>
          <w:rFonts w:ascii="Times New Roman" w:hAnsi="Times New Roman" w:cs="Times New Roman"/>
          <w:sz w:val="24"/>
        </w:rPr>
        <w:t>groups (914 cm</w:t>
      </w:r>
      <w:r w:rsidR="00CB641E" w:rsidRPr="00CB641E">
        <w:rPr>
          <w:rFonts w:ascii="Times New Roman" w:hAnsi="Times New Roman" w:cs="Times New Roman"/>
          <w:sz w:val="24"/>
          <w:vertAlign w:val="superscript"/>
        </w:rPr>
        <w:t>-1</w:t>
      </w:r>
      <w:r w:rsidR="00CB641E">
        <w:rPr>
          <w:rFonts w:ascii="Times New Roman" w:hAnsi="Times New Roman" w:cs="Times New Roman"/>
          <w:sz w:val="24"/>
        </w:rPr>
        <w:t xml:space="preserve">) </w:t>
      </w:r>
      <w:r w:rsidR="005A62B5">
        <w:rPr>
          <w:rFonts w:ascii="Times New Roman" w:hAnsi="Times New Roman" w:cs="Times New Roman"/>
          <w:sz w:val="24"/>
        </w:rPr>
        <w:t xml:space="preserve">of the DGEBA </w:t>
      </w:r>
      <w:r w:rsidR="00CB641E">
        <w:rPr>
          <w:rFonts w:ascii="Times New Roman" w:hAnsi="Times New Roman" w:cs="Times New Roman"/>
          <w:sz w:val="24"/>
        </w:rPr>
        <w:t>were reacted away over the 180 min cure time.</w:t>
      </w:r>
      <w:r w:rsidR="005A62B5">
        <w:rPr>
          <w:rFonts w:ascii="Times New Roman" w:hAnsi="Times New Roman" w:cs="Times New Roman"/>
          <w:sz w:val="24"/>
        </w:rPr>
        <w:t xml:space="preserve"> For BDDE, epoxide groups were mostly exhausted within the first </w:t>
      </w:r>
      <w:r w:rsidR="00B43406">
        <w:rPr>
          <w:rFonts w:ascii="Times New Roman" w:hAnsi="Times New Roman" w:cs="Times New Roman"/>
          <w:sz w:val="24"/>
        </w:rPr>
        <w:t>~</w:t>
      </w:r>
      <w:r w:rsidR="005A62B5">
        <w:rPr>
          <w:rFonts w:ascii="Times New Roman" w:hAnsi="Times New Roman" w:cs="Times New Roman"/>
          <w:sz w:val="24"/>
        </w:rPr>
        <w:t xml:space="preserve">10 min. An additional FT-IR spectrum of KPAMS-BDDE was included from before the reaction was heated to 80 </w:t>
      </w:r>
      <w:r w:rsidR="005A62B5" w:rsidRPr="00F46FB4">
        <w:rPr>
          <w:rFonts w:ascii="Times New Roman" w:hAnsi="Times New Roman" w:cs="Times New Roman"/>
          <w:sz w:val="24"/>
        </w:rPr>
        <w:t>°C</w:t>
      </w:r>
      <w:r w:rsidR="005A62B5">
        <w:rPr>
          <w:rFonts w:ascii="Times New Roman" w:hAnsi="Times New Roman" w:cs="Times New Roman"/>
          <w:sz w:val="24"/>
        </w:rPr>
        <w:t xml:space="preserve"> to show the reaction of epoxy groups.</w:t>
      </w:r>
    </w:p>
    <w:p w:rsidR="006D305A" w:rsidRDefault="006D305A" w:rsidP="00AB4460">
      <w:pPr>
        <w:jc w:val="both"/>
        <w:rPr>
          <w:rFonts w:ascii="Times New Roman" w:hAnsi="Times New Roman" w:cs="Times New Roman"/>
          <w:sz w:val="24"/>
        </w:rPr>
      </w:pPr>
    </w:p>
    <w:p w:rsidR="006D305A" w:rsidRDefault="006D305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6D305A" w:rsidRDefault="006D305A" w:rsidP="006D305A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Thermal properties of KPAMS-DGEBA formulations. </w:t>
      </w:r>
      <w:r w:rsidRPr="00243C58">
        <w:rPr>
          <w:rFonts w:ascii="Times New Roman" w:eastAsia="Times New Roman" w:hAnsi="Times New Roman" w:cs="Times New Roman"/>
          <w:sz w:val="24"/>
          <w:szCs w:val="24"/>
        </w:rPr>
        <w:t>Thermal characterization from DSC and DMA was repeated in triplicate, and error is reported as one standard deviation.</w:t>
      </w:r>
    </w:p>
    <w:tbl>
      <w:tblPr>
        <w:tblStyle w:val="af"/>
        <w:tblW w:w="8914" w:type="dxa"/>
        <w:jc w:val="center"/>
        <w:tblLayout w:type="fixed"/>
        <w:tblLook w:val="0400" w:firstRow="0" w:lastRow="0" w:firstColumn="0" w:lastColumn="0" w:noHBand="0" w:noVBand="1"/>
      </w:tblPr>
      <w:tblGrid>
        <w:gridCol w:w="1306"/>
        <w:gridCol w:w="1108"/>
        <w:gridCol w:w="1252"/>
        <w:gridCol w:w="2004"/>
        <w:gridCol w:w="1410"/>
        <w:gridCol w:w="1834"/>
      </w:tblGrid>
      <w:tr w:rsidR="006D305A" w:rsidTr="008E2B2D">
        <w:trPr>
          <w:trHeight w:val="683"/>
          <w:jc w:val="center"/>
        </w:trPr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DGEBA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(5%)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Gel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Fraction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g</w:t>
            </w:r>
            <w:proofErr w:type="spellEnd"/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(DSC)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g</w:t>
            </w:r>
            <w:proofErr w:type="spellEnd"/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g</w:t>
            </w:r>
            <w:proofErr w:type="spellEnd"/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(tan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05A" w:rsidTr="008E2B2D">
        <w:trPr>
          <w:trHeight w:val="991"/>
          <w:jc w:val="center"/>
        </w:trPr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 °C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± 1 °C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± 4 °C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 ± 4 °C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± 4 °C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 ± 4 °C</w:t>
            </w:r>
          </w:p>
        </w:tc>
      </w:tr>
      <w:tr w:rsidR="006D305A" w:rsidTr="008E2B2D">
        <w:trPr>
          <w:trHeight w:val="991"/>
          <w:jc w:val="center"/>
        </w:trPr>
        <w:tc>
          <w:tcPr>
            <w:tcW w:w="1306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 °C</w:t>
            </w:r>
          </w:p>
        </w:tc>
        <w:tc>
          <w:tcPr>
            <w:tcW w:w="1252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°C</w:t>
            </w:r>
          </w:p>
          <w:p w:rsidR="006D305A" w:rsidRDefault="006D305A" w:rsidP="000E32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1410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± 1 °C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± 1 °C</w:t>
            </w:r>
          </w:p>
        </w:tc>
        <w:tc>
          <w:tcPr>
            <w:tcW w:w="1834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± 5 °C</w:t>
            </w:r>
          </w:p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 ± 1 °C</w:t>
            </w:r>
          </w:p>
        </w:tc>
      </w:tr>
      <w:tr w:rsidR="006D305A" w:rsidTr="008E2B2D">
        <w:trPr>
          <w:trHeight w:val="891"/>
          <w:jc w:val="center"/>
        </w:trPr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 °C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91.7 ± 0.8 °C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 ± 3 °C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 ± 3 °C</w:t>
            </w:r>
          </w:p>
        </w:tc>
      </w:tr>
    </w:tbl>
    <w:p w:rsidR="006D305A" w:rsidRDefault="006D305A" w:rsidP="006D305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GoBack"/>
      <w:bookmarkEnd w:id="3"/>
    </w:p>
    <w:p w:rsidR="006D305A" w:rsidRDefault="006D305A" w:rsidP="006D30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D305A" w:rsidRDefault="006D305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66F0" w:rsidRDefault="001266F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66F0" w:rsidRDefault="001266F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305A" w:rsidRPr="00F46FB4" w:rsidRDefault="006D305A" w:rsidP="006D305A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6FB4"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46FB4">
        <w:rPr>
          <w:rFonts w:ascii="Times New Roman" w:eastAsia="Times New Roman" w:hAnsi="Times New Roman" w:cs="Times New Roman"/>
          <w:sz w:val="24"/>
          <w:szCs w:val="24"/>
        </w:rPr>
        <w:t>: Stoichiometric ratios of amine to epoxide groups within each formulation used for KPAMS-DGEBA networks.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formulation with 68.41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% DGEBA would give an exact 2:1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epoxide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:amine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ratio.</w:t>
      </w:r>
    </w:p>
    <w:tbl>
      <w:tblPr>
        <w:tblStyle w:val="af1"/>
        <w:tblW w:w="397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0"/>
        <w:gridCol w:w="1125"/>
        <w:gridCol w:w="1192"/>
      </w:tblGrid>
      <w:tr w:rsidR="006D305A" w:rsidTr="00063838">
        <w:trPr>
          <w:trHeight w:val="485"/>
          <w:jc w:val="center"/>
        </w:trPr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DGEBA content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Epoxide</w:t>
            </w:r>
          </w:p>
        </w:tc>
        <w:tc>
          <w:tcPr>
            <w:tcW w:w="11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Amine</w:t>
            </w:r>
          </w:p>
        </w:tc>
      </w:tr>
      <w:tr w:rsidR="006D305A" w:rsidTr="00063838">
        <w:trPr>
          <w:trHeight w:val="424"/>
          <w:jc w:val="center"/>
        </w:trPr>
        <w:tc>
          <w:tcPr>
            <w:tcW w:w="1660" w:type="dxa"/>
            <w:tcBorders>
              <w:top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25" w:type="dxa"/>
            <w:tcBorders>
              <w:top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2" w:type="dxa"/>
            <w:tcBorders>
              <w:top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1.62</w:t>
            </w:r>
          </w:p>
        </w:tc>
      </w:tr>
      <w:tr w:rsidR="006D305A" w:rsidTr="00063838">
        <w:trPr>
          <w:trHeight w:val="424"/>
          <w:jc w:val="center"/>
        </w:trPr>
        <w:tc>
          <w:tcPr>
            <w:tcW w:w="1660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25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192" w:type="dxa"/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6D305A" w:rsidTr="00063838">
        <w:trPr>
          <w:trHeight w:val="424"/>
          <w:jc w:val="center"/>
        </w:trPr>
        <w:tc>
          <w:tcPr>
            <w:tcW w:w="1660" w:type="dxa"/>
            <w:tcBorders>
              <w:bottom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25" w:type="dxa"/>
            <w:tcBorders>
              <w:bottom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 w:rsidR="006D305A" w:rsidRDefault="006D305A" w:rsidP="00063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</w:tbl>
    <w:p w:rsidR="006D305A" w:rsidRDefault="006D305A" w:rsidP="006D30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D305A" w:rsidRDefault="006D305A" w:rsidP="006D305A"/>
    <w:p w:rsidR="006D305A" w:rsidRDefault="006D305A" w:rsidP="006D305A"/>
    <w:p w:rsidR="006D305A" w:rsidRDefault="006D305A" w:rsidP="006D305A">
      <w:bookmarkStart w:id="4" w:name="_heading=h.1t3h5sf" w:colFirst="0" w:colLast="0"/>
      <w:bookmarkEnd w:id="4"/>
    </w:p>
    <w:p w:rsidR="006D305A" w:rsidRDefault="006D305A" w:rsidP="006D30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D305A" w:rsidRDefault="006D30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41605" w:rsidRDefault="00141605" w:rsidP="001416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70A5342C" wp14:editId="0CCF82C9">
            <wp:extent cx="5943600" cy="2438400"/>
            <wp:effectExtent l="0" t="0" r="0" b="0"/>
            <wp:docPr id="28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41605" w:rsidRDefault="00141605" w:rsidP="00141605">
      <w:pPr>
        <w:jc w:val="both"/>
        <w:rPr>
          <w:rFonts w:ascii="Arial" w:eastAsia="Arial" w:hAnsi="Arial" w:cs="Arial"/>
          <w:color w:val="5D6879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</w:t>
      </w:r>
      <w:r w:rsidR="00CF04D4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Representative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DSC 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DMA results of 60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% DGEBA with 40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% KPAMS (green) or PAMS (black) as a control without dynamic bonding. The single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shown in the PAMS-DGEBA network (74.64 ± 0.06 °C from DSC) suggests a more uniform distribution 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polysiloxane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silanolate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-containing KPAMS-DGEBA has two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values present, indicating poor mixing between the starting materials.</w:t>
      </w:r>
    </w:p>
    <w:p w:rsidR="00141605" w:rsidRDefault="00141605" w:rsidP="001416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1605" w:rsidRDefault="00141605" w:rsidP="008C1E08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bookmarkStart w:id="5" w:name="_heading=h.gjdgxs" w:colFirst="0" w:colLast="0"/>
      <w:bookmarkStart w:id="6" w:name="_heading=h.3znysh7" w:colFirst="0" w:colLast="0"/>
      <w:bookmarkStart w:id="7" w:name="_heading=h.1fob9te" w:colFirst="0" w:colLast="0"/>
      <w:bookmarkStart w:id="8" w:name="_heading=h.3dy6vkm" w:colFirst="0" w:colLast="0"/>
      <w:bookmarkEnd w:id="5"/>
      <w:bookmarkEnd w:id="6"/>
      <w:bookmarkEnd w:id="7"/>
      <w:bookmarkEnd w:id="8"/>
    </w:p>
    <w:p w:rsidR="00DE6A01" w:rsidRDefault="00DE6A01" w:rsidP="00DE6A01">
      <w:r>
        <w:rPr>
          <w:noProof/>
        </w:rPr>
        <w:lastRenderedPageBreak/>
        <w:drawing>
          <wp:inline distT="0" distB="0" distL="0" distR="0" wp14:anchorId="11F5586F" wp14:editId="0C4E6448">
            <wp:extent cx="5943600" cy="2590800"/>
            <wp:effectExtent l="0" t="0" r="0" b="0"/>
            <wp:docPr id="28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DE6A01">
        <w:t xml:space="preserve"> </w:t>
      </w:r>
    </w:p>
    <w:p w:rsidR="00DE6A01" w:rsidRDefault="00DE6A01" w:rsidP="00DE6A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</w:t>
      </w:r>
      <w:r w:rsidR="000C7179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Pristine samples of a) 60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% BDDE and b) 60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% DGEBA.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dogbone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specimens were then healed and retested, and </w:t>
      </w:r>
      <w:r w:rsidR="00EF5903">
        <w:rPr>
          <w:rFonts w:ascii="Times New Roman" w:eastAsia="Times New Roman" w:hAnsi="Times New Roman" w:cs="Times New Roman"/>
          <w:sz w:val="24"/>
          <w:szCs w:val="24"/>
        </w:rPr>
        <w:t>a representative sample</w:t>
      </w:r>
      <w:r w:rsidR="00983916">
        <w:rPr>
          <w:rFonts w:ascii="Times New Roman" w:eastAsia="Times New Roman" w:hAnsi="Times New Roman" w:cs="Times New Roman"/>
          <w:sz w:val="24"/>
          <w:szCs w:val="24"/>
        </w:rPr>
        <w:t xml:space="preserve"> (black trace)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5903"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shown in Fig. 6 with multiple healing iterations.</w:t>
      </w:r>
    </w:p>
    <w:p w:rsidR="00D86FF5" w:rsidRDefault="00D86FF5" w:rsidP="00DE6A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467C" w:rsidRDefault="0052467C" w:rsidP="00AB4460">
      <w:pPr>
        <w:jc w:val="both"/>
        <w:rPr>
          <w:rFonts w:ascii="Times New Roman" w:hAnsi="Times New Roman" w:cs="Times New Roman"/>
          <w:sz w:val="24"/>
        </w:rPr>
      </w:pPr>
    </w:p>
    <w:p w:rsidR="00487133" w:rsidRDefault="00487133" w:rsidP="00AB4460">
      <w:pPr>
        <w:jc w:val="both"/>
        <w:rPr>
          <w:rFonts w:ascii="Times New Roman" w:hAnsi="Times New Roman" w:cs="Times New Roman"/>
          <w:sz w:val="24"/>
        </w:rPr>
      </w:pPr>
    </w:p>
    <w:p w:rsidR="00DE6A01" w:rsidRDefault="00DE6A01"/>
    <w:p w:rsidR="00F9081C" w:rsidRDefault="00F9081C" w:rsidP="0052467C">
      <w:pPr>
        <w:jc w:val="center"/>
      </w:pPr>
      <w:r>
        <w:rPr>
          <w:noProof/>
        </w:rPr>
        <w:drawing>
          <wp:inline distT="0" distB="0" distL="0" distR="0" wp14:anchorId="5FEBF2EE" wp14:editId="40692411">
            <wp:extent cx="3195320" cy="2604135"/>
            <wp:effectExtent l="0" t="0" r="5080" b="5715"/>
            <wp:docPr id="29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5.png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604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2467C" w:rsidRDefault="0052467C" w:rsidP="0052467C">
      <w:pPr>
        <w:jc w:val="both"/>
        <w:rPr>
          <w:rFonts w:ascii="Times New Roman" w:hAnsi="Times New Roman" w:cs="Times New Roman"/>
          <w:sz w:val="24"/>
        </w:rPr>
      </w:pPr>
      <w:r w:rsidRPr="00CB641E">
        <w:rPr>
          <w:rFonts w:ascii="Times New Roman" w:hAnsi="Times New Roman" w:cs="Times New Roman"/>
          <w:b/>
          <w:sz w:val="24"/>
        </w:rPr>
        <w:t>Figure S</w:t>
      </w:r>
      <w:r w:rsidR="000C7179">
        <w:rPr>
          <w:rFonts w:ascii="Times New Roman" w:hAnsi="Times New Roman" w:cs="Times New Roman"/>
          <w:b/>
          <w:sz w:val="24"/>
        </w:rPr>
        <w:t>11</w:t>
      </w:r>
      <w:r>
        <w:rPr>
          <w:rFonts w:ascii="Times New Roman" w:hAnsi="Times New Roman" w:cs="Times New Roman"/>
          <w:sz w:val="24"/>
        </w:rPr>
        <w:t xml:space="preserve">: DSC curves of a 60 </w:t>
      </w:r>
      <w:proofErr w:type="spellStart"/>
      <w:r>
        <w:rPr>
          <w:rFonts w:ascii="Times New Roman" w:hAnsi="Times New Roman" w:cs="Times New Roman"/>
          <w:sz w:val="24"/>
        </w:rPr>
        <w:t>wt</w:t>
      </w:r>
      <w:proofErr w:type="spellEnd"/>
      <w:r>
        <w:rPr>
          <w:rFonts w:ascii="Times New Roman" w:hAnsi="Times New Roman" w:cs="Times New Roman"/>
          <w:sz w:val="24"/>
        </w:rPr>
        <w:t>% BDDE sample before and after a self-healing</w:t>
      </w:r>
      <w:r w:rsidR="000C7179">
        <w:rPr>
          <w:rFonts w:ascii="Times New Roman" w:hAnsi="Times New Roman" w:cs="Times New Roman"/>
          <w:sz w:val="24"/>
        </w:rPr>
        <w:t>/welding</w:t>
      </w:r>
      <w:r w:rsidR="00221245">
        <w:rPr>
          <w:rFonts w:ascii="Times New Roman" w:hAnsi="Times New Roman" w:cs="Times New Roman"/>
          <w:sz w:val="24"/>
        </w:rPr>
        <w:t xml:space="preserve"> cycle (110 °C, 5 MPa, 45 min). </w:t>
      </w:r>
      <w:r>
        <w:rPr>
          <w:rFonts w:ascii="Times New Roman" w:hAnsi="Times New Roman" w:cs="Times New Roman"/>
          <w:sz w:val="24"/>
        </w:rPr>
        <w:t xml:space="preserve">The similar </w:t>
      </w:r>
      <w:proofErr w:type="spellStart"/>
      <w:proofErr w:type="gramStart"/>
      <w:r w:rsidRPr="00221245">
        <w:rPr>
          <w:rFonts w:ascii="Times New Roman" w:hAnsi="Times New Roman" w:cs="Times New Roman"/>
          <w:i/>
          <w:sz w:val="24"/>
        </w:rPr>
        <w:t>T</w:t>
      </w:r>
      <w:r w:rsidRPr="00221245">
        <w:rPr>
          <w:rFonts w:ascii="Times New Roman" w:hAnsi="Times New Roman" w:cs="Times New Roman"/>
          <w:i/>
          <w:sz w:val="24"/>
          <w:vertAlign w:val="subscript"/>
        </w:rPr>
        <w:t>g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in both experiments</w:t>
      </w:r>
      <w:r w:rsidR="000C7179">
        <w:rPr>
          <w:rFonts w:ascii="Times New Roman" w:hAnsi="Times New Roman" w:cs="Times New Roman"/>
          <w:sz w:val="24"/>
        </w:rPr>
        <w:t xml:space="preserve"> indicates that the self-healing properties were not </w:t>
      </w:r>
      <w:r w:rsidR="005E32D8">
        <w:rPr>
          <w:rFonts w:ascii="Times New Roman" w:hAnsi="Times New Roman" w:cs="Times New Roman"/>
          <w:sz w:val="24"/>
        </w:rPr>
        <w:t>a result</w:t>
      </w:r>
      <w:r w:rsidR="00221245">
        <w:rPr>
          <w:rFonts w:ascii="Times New Roman" w:hAnsi="Times New Roman" w:cs="Times New Roman"/>
          <w:sz w:val="24"/>
        </w:rPr>
        <w:t xml:space="preserve"> of</w:t>
      </w:r>
      <w:r w:rsidR="000C7179">
        <w:rPr>
          <w:rFonts w:ascii="Times New Roman" w:hAnsi="Times New Roman" w:cs="Times New Roman"/>
          <w:sz w:val="24"/>
        </w:rPr>
        <w:t xml:space="preserve"> additional curing within the material.</w:t>
      </w:r>
    </w:p>
    <w:p w:rsidR="0052467C" w:rsidRPr="00F46FB4" w:rsidRDefault="0052467C" w:rsidP="0052467C">
      <w:pPr>
        <w:jc w:val="center"/>
        <w:rPr>
          <w:rFonts w:ascii="Times New Roman" w:hAnsi="Times New Roman" w:cs="Times New Roman"/>
          <w:sz w:val="24"/>
        </w:rPr>
      </w:pPr>
    </w:p>
    <w:sectPr w:rsidR="0052467C" w:rsidRPr="00F46FB4">
      <w:footerReference w:type="default" r:id="rId2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C3D" w:rsidRDefault="00A75C3D">
      <w:pPr>
        <w:spacing w:after="0" w:line="240" w:lineRule="auto"/>
      </w:pPr>
      <w:r>
        <w:separator/>
      </w:r>
    </w:p>
  </w:endnote>
  <w:endnote w:type="continuationSeparator" w:id="0">
    <w:p w:rsidR="00A75C3D" w:rsidRDefault="00A7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22A" w:rsidRDefault="005C32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S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E2B2D">
      <w:rPr>
        <w:noProof/>
        <w:color w:val="000000"/>
      </w:rPr>
      <w:t>12</w:t>
    </w:r>
    <w:r>
      <w:rPr>
        <w:color w:val="000000"/>
      </w:rPr>
      <w:fldChar w:fldCharType="end"/>
    </w:r>
  </w:p>
  <w:p w:rsidR="005C322A" w:rsidRDefault="005C32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C3D" w:rsidRDefault="00A75C3D">
      <w:pPr>
        <w:spacing w:after="0" w:line="240" w:lineRule="auto"/>
      </w:pPr>
      <w:r>
        <w:separator/>
      </w:r>
    </w:p>
  </w:footnote>
  <w:footnote w:type="continuationSeparator" w:id="0">
    <w:p w:rsidR="00A75C3D" w:rsidRDefault="00A75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86"/>
    <w:rsid w:val="0001103E"/>
    <w:rsid w:val="00063838"/>
    <w:rsid w:val="0007501D"/>
    <w:rsid w:val="000B3108"/>
    <w:rsid w:val="000C7179"/>
    <w:rsid w:val="000D65A4"/>
    <w:rsid w:val="000E32C6"/>
    <w:rsid w:val="001266F0"/>
    <w:rsid w:val="0013736C"/>
    <w:rsid w:val="00141605"/>
    <w:rsid w:val="00162BAC"/>
    <w:rsid w:val="0020418A"/>
    <w:rsid w:val="00221245"/>
    <w:rsid w:val="00224D4D"/>
    <w:rsid w:val="00243C58"/>
    <w:rsid w:val="00262F78"/>
    <w:rsid w:val="00322F9A"/>
    <w:rsid w:val="003434CE"/>
    <w:rsid w:val="00383DA4"/>
    <w:rsid w:val="003A537A"/>
    <w:rsid w:val="003B24A5"/>
    <w:rsid w:val="003C4978"/>
    <w:rsid w:val="003D320E"/>
    <w:rsid w:val="003F4F55"/>
    <w:rsid w:val="00407146"/>
    <w:rsid w:val="00487133"/>
    <w:rsid w:val="004908FC"/>
    <w:rsid w:val="004E3819"/>
    <w:rsid w:val="0050170C"/>
    <w:rsid w:val="0052467C"/>
    <w:rsid w:val="00530C57"/>
    <w:rsid w:val="00582C12"/>
    <w:rsid w:val="005A62B5"/>
    <w:rsid w:val="005C322A"/>
    <w:rsid w:val="005D2D85"/>
    <w:rsid w:val="005E32D8"/>
    <w:rsid w:val="005F5CAF"/>
    <w:rsid w:val="00606AD3"/>
    <w:rsid w:val="00615586"/>
    <w:rsid w:val="0062453B"/>
    <w:rsid w:val="00630366"/>
    <w:rsid w:val="006D305A"/>
    <w:rsid w:val="00715229"/>
    <w:rsid w:val="00743B55"/>
    <w:rsid w:val="00777A7F"/>
    <w:rsid w:val="007B6142"/>
    <w:rsid w:val="007B7629"/>
    <w:rsid w:val="00811FE6"/>
    <w:rsid w:val="00850E81"/>
    <w:rsid w:val="00871DE9"/>
    <w:rsid w:val="008B057E"/>
    <w:rsid w:val="008B0E18"/>
    <w:rsid w:val="008B6D41"/>
    <w:rsid w:val="008B7B58"/>
    <w:rsid w:val="008C1E08"/>
    <w:rsid w:val="008D6C59"/>
    <w:rsid w:val="008E2B2D"/>
    <w:rsid w:val="008E45D7"/>
    <w:rsid w:val="008F0F21"/>
    <w:rsid w:val="009429CA"/>
    <w:rsid w:val="00962769"/>
    <w:rsid w:val="00983916"/>
    <w:rsid w:val="009C44A4"/>
    <w:rsid w:val="00A06C8A"/>
    <w:rsid w:val="00A3788B"/>
    <w:rsid w:val="00A457AA"/>
    <w:rsid w:val="00A5385B"/>
    <w:rsid w:val="00A75C3D"/>
    <w:rsid w:val="00AB4460"/>
    <w:rsid w:val="00AC6164"/>
    <w:rsid w:val="00B025AD"/>
    <w:rsid w:val="00B43406"/>
    <w:rsid w:val="00B46FC5"/>
    <w:rsid w:val="00B579AB"/>
    <w:rsid w:val="00B7386C"/>
    <w:rsid w:val="00B75D1B"/>
    <w:rsid w:val="00B855B5"/>
    <w:rsid w:val="00B93335"/>
    <w:rsid w:val="00BB462B"/>
    <w:rsid w:val="00C74FCA"/>
    <w:rsid w:val="00CB25A8"/>
    <w:rsid w:val="00CB641E"/>
    <w:rsid w:val="00CF04D4"/>
    <w:rsid w:val="00D15C96"/>
    <w:rsid w:val="00D3118C"/>
    <w:rsid w:val="00D86FF5"/>
    <w:rsid w:val="00DE270E"/>
    <w:rsid w:val="00DE6A01"/>
    <w:rsid w:val="00EF5903"/>
    <w:rsid w:val="00F46FB4"/>
    <w:rsid w:val="00F77D8C"/>
    <w:rsid w:val="00F9081C"/>
    <w:rsid w:val="00F9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5825C"/>
  <w15:docId w15:val="{B0D7B5A0-16CD-48AA-A583-EB92623C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259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6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833"/>
  </w:style>
  <w:style w:type="paragraph" w:styleId="Footer">
    <w:name w:val="footer"/>
    <w:basedOn w:val="Normal"/>
    <w:link w:val="FooterChar"/>
    <w:uiPriority w:val="99"/>
    <w:unhideWhenUsed/>
    <w:rsid w:val="00D36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833"/>
  </w:style>
  <w:style w:type="paragraph" w:styleId="Caption">
    <w:name w:val="caption"/>
    <w:basedOn w:val="Normal"/>
    <w:next w:val="Normal"/>
    <w:uiPriority w:val="35"/>
    <w:unhideWhenUsed/>
    <w:qFormat/>
    <w:rsid w:val="00A91C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8D7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D1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E2B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aDL699UdHxVPiaZ+FQhHEBoEcA==">AMUW2mWkkxTQ0BQ3hAr8bTABmPRG0KYNeKE2eqcIdaDhkNZ3lWrlMNweL6LOlZ/LYuQ6xVBPCLoilh1USizejyVsH0NeKs71Go8mzQ7wpyqhEVszpKZJPxPGZZXEBxcPbHt+FgSzFnkjxi+ZAuWLCRCcS2tAKoF05IdwffSITjLLxbUpQoUSMMkb6SL5TYSYJcd+pQ5hCCqsEIgA8Kn+ToOwSxAFb/weQGySZlibPF539ofgwvmmi5U=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25971</TotalTime>
  <Pages>12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AFRL-WRS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Putnam, Amelia A CTR USAF AFMC AFRL/RXAS</dc:creator>
  <cp:lastModifiedBy>NEEB, AMELIA A CTR USAF AFMC AFRL/RXAS</cp:lastModifiedBy>
  <cp:revision>47</cp:revision>
  <cp:lastPrinted>2022-04-26T20:15:00Z</cp:lastPrinted>
  <dcterms:created xsi:type="dcterms:W3CDTF">2022-03-09T15:51:00Z</dcterms:created>
  <dcterms:modified xsi:type="dcterms:W3CDTF">2022-09-20T16:48:00Z</dcterms:modified>
</cp:coreProperties>
</file>