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398A5">
      <w:pPr>
        <w:spacing w:after="312" w:afterLines="100"/>
        <w:jc w:val="center"/>
        <w:rPr>
          <w:rFonts w:ascii="Times New Roman" w:hAnsi="Times New Roman" w:eastAsia="宋体" w:cs="Times New Roman"/>
          <w:sz w:val="24"/>
          <w:highlight w:val="yellow"/>
        </w:rPr>
      </w:pPr>
      <w:r>
        <w:rPr>
          <w:rFonts w:ascii="Times New Roman" w:hAnsi="Times New Roman" w:eastAsia="宋体" w:cs="Times New Roman"/>
          <w:sz w:val="24"/>
        </w:rPr>
        <w:t>Ionic Liquid-Assisted Polarized Alignment of Boron Nitride under Electric Fields: A New Paradigm for Constructing Thermal Conductive Pathways in Polymer Composites</w:t>
      </w:r>
    </w:p>
    <w:p w14:paraId="40E2D0AC">
      <w:pPr>
        <w:jc w:val="left"/>
        <w:rPr>
          <w:rFonts w:ascii="Times New Roman" w:hAnsi="Times New Roman" w:eastAsia="MS Mincho" w:cs="Times New Roman"/>
          <w:kern w:val="0"/>
          <w:vertAlign w:val="superscript"/>
        </w:rPr>
      </w:pPr>
      <w:r>
        <w:rPr>
          <w:rFonts w:ascii="Times New Roman" w:hAnsi="Times New Roman" w:eastAsia="宋体" w:cs="Times New Roman"/>
          <w:kern w:val="0"/>
        </w:rPr>
        <w:t>Jianwen Wang</w:t>
      </w:r>
      <w:r>
        <w:rPr>
          <w:rFonts w:ascii="Times New Roman" w:hAnsi="Times New Roman" w:eastAsia="MS Mincho" w:cs="Times New Roman"/>
          <w:kern w:val="0"/>
          <w:vertAlign w:val="superscript"/>
        </w:rPr>
        <w:t>a</w:t>
      </w:r>
      <w:r>
        <w:rPr>
          <w:rFonts w:ascii="Times New Roman" w:hAnsi="Times New Roman" w:cs="Times New Roman"/>
          <w:kern w:val="0"/>
        </w:rPr>
        <w:t xml:space="preserve">, </w:t>
      </w:r>
      <w:r>
        <w:rPr>
          <w:rFonts w:ascii="Times New Roman" w:hAnsi="Times New Roman" w:eastAsia="MS Mincho" w:cs="Times New Roman"/>
          <w:kern w:val="0"/>
        </w:rPr>
        <w:t>Xueqing Liu</w:t>
      </w:r>
      <w:r>
        <w:rPr>
          <w:rFonts w:ascii="Times New Roman" w:hAnsi="Times New Roman" w:eastAsia="宋体" w:cs="Times New Roman"/>
          <w:kern w:val="0"/>
          <w:vertAlign w:val="superscript"/>
        </w:rPr>
        <w:t>b</w:t>
      </w:r>
      <w:r>
        <w:rPr>
          <w:rFonts w:ascii="Times New Roman" w:hAnsi="Times New Roman" w:cs="Times New Roman"/>
          <w:kern w:val="0"/>
        </w:rPr>
        <w:t>, Beizhi Chu</w:t>
      </w:r>
      <w:r>
        <w:rPr>
          <w:rFonts w:ascii="Times New Roman" w:hAnsi="Times New Roman" w:eastAsia="MS Mincho" w:cs="Times New Roman"/>
          <w:kern w:val="0"/>
          <w:vertAlign w:val="superscript"/>
        </w:rPr>
        <w:t>a</w:t>
      </w:r>
      <w:r>
        <w:rPr>
          <w:rFonts w:ascii="Times New Roman" w:hAnsi="Times New Roman" w:cs="Times New Roman"/>
          <w:kern w:val="0"/>
        </w:rPr>
        <w:t xml:space="preserve">, </w:t>
      </w:r>
      <w:r>
        <w:rPr>
          <w:rFonts w:ascii="Times New Roman" w:hAnsi="Times New Roman" w:eastAsia="MS Mincho" w:cs="Times New Roman"/>
          <w:kern w:val="0"/>
        </w:rPr>
        <w:t>Yumin Xia</w:t>
      </w:r>
      <w:r>
        <w:rPr>
          <w:rFonts w:ascii="Times New Roman" w:hAnsi="Times New Roman" w:cs="Times New Roman"/>
          <w:kern w:val="0"/>
          <w:vertAlign w:val="superscript"/>
        </w:rPr>
        <w:t>c</w:t>
      </w:r>
      <w:r>
        <w:rPr>
          <w:rFonts w:ascii="Times New Roman" w:hAnsi="Times New Roman" w:eastAsia="MS Mincho" w:cs="Times New Roman"/>
          <w:kern w:val="0"/>
        </w:rPr>
        <w:t xml:space="preserve">, </w:t>
      </w:r>
      <w:r>
        <w:rPr>
          <w:rFonts w:ascii="Times New Roman" w:hAnsi="Times New Roman" w:cs="Times New Roman"/>
          <w:kern w:val="0"/>
        </w:rPr>
        <w:t>Yuwei Chen</w:t>
      </w:r>
      <w:r>
        <w:rPr>
          <w:rFonts w:ascii="Times New Roman" w:hAnsi="Times New Roman" w:cs="Times New Roman"/>
          <w:kern w:val="0"/>
          <w:vertAlign w:val="superscript"/>
        </w:rPr>
        <w:t>a</w:t>
      </w:r>
      <w:r>
        <w:rPr>
          <w:rFonts w:ascii="Times New Roman" w:hAnsi="Times New Roman" w:eastAsia="MS Mincho" w:cs="Times New Roman"/>
          <w:kern w:val="0"/>
          <w:vertAlign w:val="superscript"/>
        </w:rPr>
        <w:t>*</w:t>
      </w:r>
      <w:r>
        <w:rPr>
          <w:rFonts w:ascii="Times New Roman" w:hAnsi="Times New Roman" w:eastAsia="MS Mincho" w:cs="Times New Roman"/>
          <w:kern w:val="0"/>
        </w:rPr>
        <w:t xml:space="preserve">, </w:t>
      </w:r>
      <w:r>
        <w:rPr>
          <w:rFonts w:ascii="Times New Roman" w:hAnsi="Times New Roman" w:eastAsia="宋体" w:cs="Times New Roman"/>
          <w:kern w:val="0"/>
        </w:rPr>
        <w:t>Yue Li</w:t>
      </w:r>
      <w:r>
        <w:rPr>
          <w:rFonts w:ascii="Times New Roman" w:hAnsi="Times New Roman" w:cs="Times New Roman"/>
          <w:kern w:val="0"/>
          <w:vertAlign w:val="superscript"/>
        </w:rPr>
        <w:t>a</w:t>
      </w:r>
      <w:r>
        <w:rPr>
          <w:rFonts w:ascii="Times New Roman" w:hAnsi="Times New Roman" w:eastAsia="MS Mincho" w:cs="Times New Roman"/>
          <w:kern w:val="0"/>
          <w:vertAlign w:val="superscript"/>
        </w:rPr>
        <w:t>*</w:t>
      </w:r>
      <w:r>
        <w:rPr>
          <w:rFonts w:ascii="Times New Roman" w:hAnsi="Times New Roman" w:eastAsia="宋体" w:cs="Times New Roman"/>
          <w:kern w:val="0"/>
        </w:rPr>
        <w:t xml:space="preserve"> and </w:t>
      </w:r>
      <w:r>
        <w:rPr>
          <w:rFonts w:ascii="Times New Roman" w:hAnsi="Times New Roman" w:eastAsia="MS Mincho" w:cs="Times New Roman"/>
          <w:kern w:val="0"/>
        </w:rPr>
        <w:t>Jianming Zhang</w:t>
      </w:r>
      <w:r>
        <w:rPr>
          <w:rFonts w:ascii="Times New Roman" w:hAnsi="Times New Roman" w:eastAsia="MS Mincho" w:cs="Times New Roman"/>
          <w:kern w:val="0"/>
          <w:vertAlign w:val="superscript"/>
        </w:rPr>
        <w:t>a*</w:t>
      </w:r>
    </w:p>
    <w:p w14:paraId="75A47493">
      <w:pPr>
        <w:rPr>
          <w:rFonts w:ascii="Times New Roman" w:hAnsi="Times New Roman" w:eastAsia="MS Mincho" w:cs="Times New Roman"/>
          <w:kern w:val="0"/>
          <w:vertAlign w:val="superscript"/>
        </w:rPr>
      </w:pPr>
      <w:r>
        <w:rPr>
          <w:rFonts w:ascii="Times New Roman" w:hAnsi="Times New Roman" w:eastAsia="MS Mincho" w:cs="Times New Roman"/>
          <w:kern w:val="0"/>
          <w:vertAlign w:val="superscript"/>
        </w:rPr>
        <w:t xml:space="preserve"> </w:t>
      </w:r>
    </w:p>
    <w:p w14:paraId="7150CFAC">
      <w:pPr>
        <w:numPr>
          <w:ilvl w:val="0"/>
          <w:numId w:val="1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Key Laboratory of Advanced Rubber Material, Ministry of Education, Qingdao University of Science and Technology, Qingdao 266042</w:t>
      </w:r>
    </w:p>
    <w:p w14:paraId="2E35A694">
      <w:pPr>
        <w:rPr>
          <w:rFonts w:ascii="Times New Roman" w:hAnsi="Times New Roman" w:eastAsia="MS Mincho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b. </w:t>
      </w:r>
      <w:r>
        <w:rPr>
          <w:rFonts w:ascii="Times New Roman" w:hAnsi="Times New Roman" w:eastAsia="MS Mincho" w:cs="Times New Roman"/>
          <w:kern w:val="0"/>
        </w:rPr>
        <w:t>Key Laboratory of Optoelectronic Chemical Materials and Devices, Ministry of Education and Flexible Display Materials and Technology Co-innovation Centre of Hubei Province, Jianghan University, Wuhan 430056, China</w:t>
      </w:r>
    </w:p>
    <w:p w14:paraId="2889F64F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c. State Key Laboratory for Modification of Chemical Fibers and Polymer Materials, College of Materials Science and Engineering, Donghua University, Shanghai 201600, China</w:t>
      </w:r>
    </w:p>
    <w:p w14:paraId="74E0128B">
      <w:r>
        <w:t xml:space="preserve">Corresponding author: </w:t>
      </w:r>
    </w:p>
    <w:p w14:paraId="2BABA1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Yuwei Chen, Email: </w:t>
      </w:r>
      <w:r>
        <w:fldChar w:fldCharType="begin"/>
      </w:r>
      <w:r>
        <w:instrText xml:space="preserve"> HYPERLINK "mailto:YuweiChen@qust.edu.cn" </w:instrText>
      </w:r>
      <w:r>
        <w:fldChar w:fldCharType="separate"/>
      </w:r>
      <w:r>
        <w:rPr>
          <w:rStyle w:val="15"/>
          <w:rFonts w:ascii="Times New Roman" w:hAnsi="Times New Roman" w:cs="Times New Roman"/>
        </w:rPr>
        <w:t>YuweiChen@qust.edu.cn</w:t>
      </w:r>
      <w:r>
        <w:rPr>
          <w:rStyle w:val="15"/>
          <w:rFonts w:ascii="Times New Roman" w:hAnsi="Times New Roman" w:cs="Times New Roman"/>
        </w:rPr>
        <w:fldChar w:fldCharType="end"/>
      </w:r>
    </w:p>
    <w:p w14:paraId="51F67C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Yue Li, Email: </w:t>
      </w:r>
      <w:r>
        <w:fldChar w:fldCharType="begin"/>
      </w:r>
      <w:r>
        <w:instrText xml:space="preserve"> HYPERLINK "mailto:03096@qust.edu.cn" </w:instrText>
      </w:r>
      <w:r>
        <w:fldChar w:fldCharType="separate"/>
      </w:r>
      <w:r>
        <w:rPr>
          <w:rStyle w:val="15"/>
          <w:rFonts w:ascii="Times New Roman" w:hAnsi="Times New Roman" w:eastAsia="宋体" w:cs="Times New Roman"/>
        </w:rPr>
        <w:t>03096@qust.edu.cn</w:t>
      </w:r>
      <w:r>
        <w:rPr>
          <w:rStyle w:val="15"/>
          <w:rFonts w:ascii="Times New Roman" w:hAnsi="Times New Roman" w:eastAsia="宋体" w:cs="Times New Roman"/>
        </w:rPr>
        <w:fldChar w:fldCharType="end"/>
      </w:r>
    </w:p>
    <w:p w14:paraId="1E4974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Jianming Zhang, Email: </w:t>
      </w:r>
      <w:r>
        <w:rPr>
          <w:rStyle w:val="15"/>
          <w:rFonts w:ascii="Times New Roman" w:hAnsi="Times New Roman" w:eastAsia="宋体" w:cs="Times New Roman"/>
        </w:rPr>
        <w:t>zjm@qust.edu.cn</w:t>
      </w:r>
    </w:p>
    <w:p w14:paraId="5C87661F">
      <w:pPr>
        <w:rPr>
          <w:rFonts w:ascii="Times New Roman" w:hAnsi="Times New Roman" w:eastAsia="宋体" w:cs="Times New Roman"/>
          <w:kern w:val="0"/>
          <w:szCs w:val="21"/>
          <w:lang w:bidi="ar"/>
        </w:rPr>
      </w:pPr>
    </w:p>
    <w:p w14:paraId="5759612C">
      <w:pPr>
        <w:rPr>
          <w:rFonts w:ascii="Times New Roman" w:hAnsi="Times New Roman" w:eastAsia="宋体" w:cs="Times New Roman"/>
          <w:kern w:val="0"/>
          <w:szCs w:val="21"/>
          <w:lang w:bidi="ar"/>
        </w:rPr>
      </w:pPr>
      <w:r>
        <w:rPr>
          <w:rFonts w:hint="eastAsia" w:ascii="Times New Roman" w:hAnsi="Times New Roman" w:eastAsia="宋体" w:cs="Times New Roman"/>
          <w:kern w:val="0"/>
          <w:szCs w:val="21"/>
          <w:lang w:bidi="ar"/>
        </w:rPr>
        <w:drawing>
          <wp:inline distT="0" distB="0" distL="114300" distR="114300">
            <wp:extent cx="5266690" cy="2962910"/>
            <wp:effectExtent l="0" t="0" r="6350" b="8890"/>
            <wp:docPr id="1" name="图片 1" descr="幻灯片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幻灯片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6F82C">
      <w:pPr>
        <w:spacing w:after="312" w:afterLines="100"/>
        <w:rPr>
          <w:rFonts w:ascii="Times New Roman" w:hAnsi="Times New Roman" w:eastAsia="宋体" w:cs="Times New Roman"/>
          <w:kern w:val="0"/>
          <w:sz w:val="24"/>
          <w:lang w:bidi="ar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lang w:bidi="ar"/>
        </w:rPr>
        <w:t>Figure S1.</w:t>
      </w:r>
      <w:r>
        <w:rPr>
          <w:rFonts w:hint="eastAsia" w:ascii="Times New Roman" w:hAnsi="Times New Roman" w:eastAsia="宋体" w:cs="Times New Roman"/>
          <w:kern w:val="0"/>
          <w:sz w:val="24"/>
          <w:lang w:bidi="ar"/>
        </w:rPr>
        <w:t xml:space="preserve"> (a) and (a</w:t>
      </w:r>
      <w:r>
        <w:rPr>
          <w:rFonts w:ascii="Times New Roman" w:hAnsi="Times New Roman" w:eastAsia="宋体" w:cs="Times New Roman"/>
          <w:kern w:val="0"/>
          <w:sz w:val="24"/>
          <w:lang w:bidi="ar"/>
        </w:rPr>
        <w:t>’</w:t>
      </w:r>
      <w:r>
        <w:rPr>
          <w:rFonts w:hint="eastAsia" w:ascii="Times New Roman" w:hAnsi="Times New Roman" w:eastAsia="宋体" w:cs="Times New Roman"/>
          <w:kern w:val="0"/>
          <w:sz w:val="24"/>
          <w:lang w:bidi="ar"/>
        </w:rPr>
        <w:t xml:space="preserve">) are RDF graphs of the </w:t>
      </w:r>
      <w:r>
        <w:rPr>
          <w:rFonts w:ascii="Times New Roman" w:hAnsi="Times New Roman" w:eastAsia="宋体" w:cs="Times New Roman"/>
          <w:kern w:val="0"/>
          <w:sz w:val="24"/>
          <w:lang w:bidi="ar"/>
        </w:rPr>
        <w:t>BN-</w:t>
      </w:r>
      <w:r>
        <w:rPr>
          <w:rFonts w:hint="eastAsia" w:ascii="Times New Roman" w:hAnsi="Times New Roman" w:eastAsia="宋体" w:cs="Times New Roman"/>
          <w:kern w:val="0"/>
          <w:sz w:val="24"/>
          <w:lang w:bidi="ar"/>
        </w:rPr>
        <w:t>IL41 system; (b~g) and (b</w:t>
      </w:r>
      <w:r>
        <w:rPr>
          <w:rFonts w:ascii="Times New Roman" w:hAnsi="Times New Roman" w:eastAsia="宋体" w:cs="Times New Roman"/>
          <w:kern w:val="0"/>
          <w:sz w:val="24"/>
          <w:lang w:bidi="ar"/>
        </w:rPr>
        <w:t>’</w:t>
      </w:r>
      <w:r>
        <w:rPr>
          <w:rFonts w:hint="eastAsia" w:ascii="Times New Roman" w:hAnsi="Times New Roman" w:eastAsia="宋体" w:cs="Times New Roman"/>
          <w:kern w:val="0"/>
          <w:sz w:val="24"/>
          <w:lang w:bidi="ar"/>
        </w:rPr>
        <w:t>~g</w:t>
      </w:r>
      <w:r>
        <w:rPr>
          <w:rFonts w:ascii="Times New Roman" w:hAnsi="Times New Roman" w:eastAsia="宋体" w:cs="Times New Roman"/>
          <w:kern w:val="0"/>
          <w:sz w:val="24"/>
          <w:lang w:bidi="ar"/>
        </w:rPr>
        <w:t>’</w:t>
      </w:r>
      <w:r>
        <w:rPr>
          <w:rFonts w:hint="eastAsia" w:ascii="Times New Roman" w:hAnsi="Times New Roman" w:eastAsia="宋体" w:cs="Times New Roman"/>
          <w:kern w:val="0"/>
          <w:sz w:val="24"/>
          <w:lang w:bidi="ar"/>
        </w:rPr>
        <w:t>) are RDF graphs of the P110</w:t>
      </w:r>
      <w:r>
        <w:rPr>
          <w:rFonts w:ascii="Times New Roman" w:hAnsi="Times New Roman" w:eastAsia="宋体" w:cs="Times New Roman"/>
          <w:kern w:val="0"/>
          <w:sz w:val="24"/>
          <w:lang w:bidi="ar"/>
        </w:rPr>
        <w:t>-BN</w:t>
      </w:r>
      <w:r>
        <w:rPr>
          <w:rFonts w:hint="eastAsia" w:ascii="Times New Roman" w:hAnsi="Times New Roman" w:eastAsia="宋体" w:cs="Times New Roman"/>
          <w:kern w:val="0"/>
          <w:sz w:val="24"/>
          <w:lang w:bidi="ar"/>
        </w:rPr>
        <w:t>-IL2 system.</w:t>
      </w:r>
    </w:p>
    <w:p w14:paraId="69349473">
      <w:pPr>
        <w:rPr>
          <w:rFonts w:ascii="Times New Roman" w:hAnsi="Times New Roman" w:eastAsia="宋体" w:cs="Times New Roman"/>
          <w:kern w:val="0"/>
          <w:szCs w:val="21"/>
          <w:lang w:bidi="ar"/>
        </w:rPr>
      </w:pPr>
      <w:r>
        <w:rPr>
          <w:rFonts w:hint="eastAsia" w:ascii="Times New Roman" w:hAnsi="Times New Roman" w:eastAsia="宋体" w:cs="Times New Roman"/>
          <w:kern w:val="0"/>
          <w:szCs w:val="21"/>
          <w:lang w:bidi="ar"/>
        </w:rPr>
        <w:drawing>
          <wp:inline distT="0" distB="0" distL="114300" distR="114300">
            <wp:extent cx="5292090" cy="1883410"/>
            <wp:effectExtent l="0" t="0" r="11430" b="6350"/>
            <wp:docPr id="7" name="图片 7" descr="幻灯片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幻灯片13"/>
                    <pic:cNvPicPr>
                      <a:picLocks noChangeAspect="1"/>
                    </pic:cNvPicPr>
                  </pic:nvPicPr>
                  <pic:blipFill>
                    <a:blip r:embed="rId5"/>
                    <a:srcRect l="18085" t="6068" r="19170" b="54195"/>
                    <a:stretch>
                      <a:fillRect/>
                    </a:stretch>
                  </pic:blipFill>
                  <pic:spPr>
                    <a:xfrm>
                      <a:off x="0" y="0"/>
                      <a:ext cx="5292090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C94FE">
      <w:pPr>
        <w:spacing w:after="312" w:afterLines="100"/>
        <w:rPr>
          <w:rFonts w:ascii="Times New Roman" w:hAnsi="Times New Roman" w:eastAsia="宋体" w:cs="Times New Roman"/>
          <w:kern w:val="0"/>
          <w:sz w:val="24"/>
          <w:lang w:bidi="ar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lang w:bidi="ar"/>
        </w:rPr>
        <w:t>Figure S2.</w:t>
      </w:r>
      <w:r>
        <w:rPr>
          <w:rFonts w:hint="eastAsia" w:ascii="Times New Roman" w:hAnsi="Times New Roman" w:eastAsia="宋体" w:cs="Times New Roman"/>
          <w:kern w:val="0"/>
          <w:sz w:val="24"/>
          <w:lang w:bidi="ar"/>
        </w:rPr>
        <w:t xml:space="preserve"> (a) Probability of hydrogen bond length distribution, (b) Probability of hydrogen bond angle distribution.</w:t>
      </w:r>
    </w:p>
    <w:p w14:paraId="0822AAA5">
      <w:pPr>
        <w:rPr>
          <w:rFonts w:ascii="Times New Roman" w:hAnsi="Times New Roman" w:eastAsia="宋体" w:cs="Times New Roman"/>
          <w:kern w:val="0"/>
          <w:sz w:val="24"/>
          <w:lang w:bidi="ar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kern w:val="0"/>
          <w:sz w:val="24"/>
          <w:lang w:bidi="ar"/>
        </w:rPr>
        <w:t>Table S3. Zate potential of BN reagent</w:t>
      </w:r>
    </w:p>
    <w:tbl>
      <w:tblPr>
        <w:tblStyle w:val="10"/>
        <w:tblW w:w="8337" w:type="dxa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91"/>
        <w:gridCol w:w="1191"/>
        <w:gridCol w:w="1191"/>
        <w:gridCol w:w="1191"/>
        <w:gridCol w:w="1191"/>
        <w:gridCol w:w="1191"/>
        <w:gridCol w:w="1191"/>
      </w:tblGrid>
      <w:tr w14:paraId="4587F4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tblCellSpacing w:w="0" w:type="dxa"/>
        </w:trPr>
        <w:tc>
          <w:tcPr>
            <w:tcW w:w="1191" w:type="dxa"/>
            <w:tcBorders>
              <w:top w:val="single" w:color="auto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CB1C910">
            <w:pPr>
              <w:pStyle w:val="9"/>
              <w:widowControl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Sample ID</w:t>
            </w:r>
          </w:p>
        </w:tc>
        <w:tc>
          <w:tcPr>
            <w:tcW w:w="1191" w:type="dxa"/>
            <w:tcBorders>
              <w:top w:val="single" w:color="auto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BB221E9">
            <w:pPr>
              <w:pStyle w:val="9"/>
              <w:widowControl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Zeta Potential</w:t>
            </w:r>
          </w:p>
        </w:tc>
        <w:tc>
          <w:tcPr>
            <w:tcW w:w="1191" w:type="dxa"/>
            <w:tcBorders>
              <w:top w:val="single" w:color="auto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4C9069A">
            <w:pPr>
              <w:pStyle w:val="9"/>
              <w:widowControl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Mobility</w:t>
            </w:r>
          </w:p>
        </w:tc>
        <w:tc>
          <w:tcPr>
            <w:tcW w:w="1191" w:type="dxa"/>
            <w:tcBorders>
              <w:top w:val="single" w:color="auto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B073C90">
            <w:pPr>
              <w:pStyle w:val="9"/>
              <w:widowControl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Conductance</w:t>
            </w:r>
          </w:p>
        </w:tc>
        <w:tc>
          <w:tcPr>
            <w:tcW w:w="1191" w:type="dxa"/>
            <w:tcBorders>
              <w:top w:val="single" w:color="auto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959742F">
            <w:pPr>
              <w:pStyle w:val="9"/>
              <w:widowControl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Sample Count</w:t>
            </w:r>
          </w:p>
        </w:tc>
        <w:tc>
          <w:tcPr>
            <w:tcW w:w="1191" w:type="dxa"/>
            <w:tcBorders>
              <w:top w:val="single" w:color="auto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EFD11B5">
            <w:pPr>
              <w:pStyle w:val="9"/>
              <w:widowControl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Ref. Count</w:t>
            </w:r>
          </w:p>
        </w:tc>
        <w:tc>
          <w:tcPr>
            <w:tcW w:w="1191" w:type="dxa"/>
            <w:tcBorders>
              <w:top w:val="single" w:color="auto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8C7EA35">
            <w:pPr>
              <w:pStyle w:val="9"/>
              <w:widowControl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Electric Field</w:t>
            </w:r>
          </w:p>
        </w:tc>
      </w:tr>
      <w:tr w14:paraId="1B64EE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tblCellSpacing w:w="0" w:type="dxa"/>
        </w:trPr>
        <w:tc>
          <w:tcPr>
            <w:tcW w:w="1191" w:type="dxa"/>
            <w:tcBorders>
              <w:bottom w:val="single" w:color="auto" w:sz="8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0996617">
            <w:pPr>
              <w:pStyle w:val="9"/>
              <w:widowControl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1" w:type="dxa"/>
            <w:tcBorders>
              <w:bottom w:val="single" w:color="auto" w:sz="8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BD9AA10">
            <w:pPr>
              <w:pStyle w:val="9"/>
              <w:widowControl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(mV)</w:t>
            </w:r>
          </w:p>
        </w:tc>
        <w:tc>
          <w:tcPr>
            <w:tcW w:w="1191" w:type="dxa"/>
            <w:tcBorders>
              <w:bottom w:val="single" w:color="auto" w:sz="8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8F09BB7">
            <w:pPr>
              <w:pStyle w:val="9"/>
              <w:widowControl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(μ/s)/(V/cm)</w:t>
            </w:r>
          </w:p>
        </w:tc>
        <w:tc>
          <w:tcPr>
            <w:tcW w:w="1191" w:type="dxa"/>
            <w:tcBorders>
              <w:bottom w:val="single" w:color="auto" w:sz="8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6659A72">
            <w:pPr>
              <w:pStyle w:val="9"/>
              <w:widowControl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(μS)</w:t>
            </w:r>
          </w:p>
        </w:tc>
        <w:tc>
          <w:tcPr>
            <w:tcW w:w="1191" w:type="dxa"/>
            <w:tcBorders>
              <w:bottom w:val="single" w:color="auto" w:sz="8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B06BC20">
            <w:pPr>
              <w:pStyle w:val="9"/>
              <w:widowControl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Rate (kcps)</w:t>
            </w:r>
          </w:p>
        </w:tc>
        <w:tc>
          <w:tcPr>
            <w:tcW w:w="1191" w:type="dxa"/>
            <w:tcBorders>
              <w:bottom w:val="single" w:color="auto" w:sz="8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C6F88E3">
            <w:pPr>
              <w:pStyle w:val="9"/>
              <w:widowControl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Rate (kcps)</w:t>
            </w:r>
          </w:p>
        </w:tc>
        <w:tc>
          <w:tcPr>
            <w:tcW w:w="1191" w:type="dxa"/>
            <w:tcBorders>
              <w:bottom w:val="single" w:color="auto" w:sz="8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58C057A">
            <w:pPr>
              <w:pStyle w:val="9"/>
              <w:widowControl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(V/cm)</w:t>
            </w:r>
          </w:p>
        </w:tc>
      </w:tr>
      <w:tr w14:paraId="1B443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tblCellSpacing w:w="0" w:type="dxa"/>
        </w:trPr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18DE67B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BN-1</w:t>
            </w:r>
          </w:p>
        </w:tc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D3D44FC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-13.52</w:t>
            </w:r>
          </w:p>
        </w:tc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CE67E79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-1.06</w:t>
            </w:r>
          </w:p>
        </w:tc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D633FA2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0D6199F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1,275</w:t>
            </w:r>
          </w:p>
        </w:tc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9D7FC91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3,590</w:t>
            </w:r>
          </w:p>
        </w:tc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BBE1BB3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11.08</w:t>
            </w:r>
          </w:p>
        </w:tc>
      </w:tr>
      <w:tr w14:paraId="09EBC6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tblCellSpacing w:w="0" w:type="dxa"/>
        </w:trPr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1256EC4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BN-2</w:t>
            </w:r>
          </w:p>
        </w:tc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5EF49CA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-13.98</w:t>
            </w:r>
          </w:p>
        </w:tc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636D100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-1.09</w:t>
            </w:r>
          </w:p>
        </w:tc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66F70CE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ABCC69F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1,275</w:t>
            </w:r>
          </w:p>
        </w:tc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0629A7C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3,590</w:t>
            </w:r>
          </w:p>
        </w:tc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21E63B1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11.08</w:t>
            </w:r>
          </w:p>
        </w:tc>
      </w:tr>
      <w:tr w14:paraId="000DA3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tblCellSpacing w:w="0" w:type="dxa"/>
        </w:trPr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27C17D5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BN-3</w:t>
            </w:r>
          </w:p>
        </w:tc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AA73C46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-14.22</w:t>
            </w:r>
          </w:p>
        </w:tc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242A9AC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-1.11</w:t>
            </w:r>
          </w:p>
        </w:tc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22C79A1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E2ADD1A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1,275</w:t>
            </w:r>
          </w:p>
        </w:tc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AB7122F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3,590</w:t>
            </w:r>
          </w:p>
        </w:tc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2DADBAB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11.08</w:t>
            </w:r>
          </w:p>
        </w:tc>
      </w:tr>
      <w:tr w14:paraId="0C294C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tblCellSpacing w:w="0" w:type="dxa"/>
        </w:trPr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380B361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Mean:</w:t>
            </w:r>
          </w:p>
        </w:tc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19F31B0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-13.91</w:t>
            </w:r>
          </w:p>
        </w:tc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17867C1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-1.09</w:t>
            </w:r>
          </w:p>
        </w:tc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6761890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C09B704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1,275</w:t>
            </w:r>
          </w:p>
        </w:tc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076C6C0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3,590</w:t>
            </w:r>
          </w:p>
        </w:tc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17CD850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11.08</w:t>
            </w:r>
          </w:p>
        </w:tc>
      </w:tr>
      <w:tr w14:paraId="243075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tblCellSpacing w:w="0" w:type="dxa"/>
        </w:trPr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DAB098A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Std Err:</w:t>
            </w:r>
          </w:p>
        </w:tc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4F908E0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7D15EC9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27B2588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970A528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0722E5F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A727341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0.00</w:t>
            </w:r>
          </w:p>
        </w:tc>
      </w:tr>
      <w:tr w14:paraId="0E06E3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tblCellSpacing w:w="0" w:type="dxa"/>
        </w:trPr>
        <w:tc>
          <w:tcPr>
            <w:tcW w:w="1191" w:type="dxa"/>
            <w:tcBorders>
              <w:bottom w:val="single" w:color="auto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6C6B27F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Std Dev:</w:t>
            </w:r>
          </w:p>
        </w:tc>
        <w:tc>
          <w:tcPr>
            <w:tcW w:w="1191" w:type="dxa"/>
            <w:tcBorders>
              <w:bottom w:val="single" w:color="auto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16A03FA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1191" w:type="dxa"/>
            <w:tcBorders>
              <w:bottom w:val="single" w:color="auto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802A994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191" w:type="dxa"/>
            <w:tcBorders>
              <w:bottom w:val="single" w:color="auto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2E775DD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1" w:type="dxa"/>
            <w:tcBorders>
              <w:bottom w:val="single" w:color="auto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2550792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1" w:type="dxa"/>
            <w:tcBorders>
              <w:bottom w:val="single" w:color="auto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E36F49D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1" w:type="dxa"/>
            <w:tcBorders>
              <w:bottom w:val="single" w:color="auto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1A976EC">
            <w:pPr>
              <w:pStyle w:val="9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0.00</w:t>
            </w:r>
          </w:p>
        </w:tc>
      </w:tr>
    </w:tbl>
    <w:p w14:paraId="30B46781">
      <w:pPr>
        <w:rPr>
          <w:rFonts w:ascii="Times New Roman" w:hAnsi="Times New Roman" w:eastAsia="宋体" w:cs="Times New Roman"/>
          <w:kern w:val="0"/>
          <w:szCs w:val="21"/>
          <w:lang w:bidi="ar"/>
        </w:rPr>
      </w:pPr>
    </w:p>
    <w:p w14:paraId="12A2830D">
      <w:pPr>
        <w:rPr>
          <w:rFonts w:ascii="Times New Roman" w:hAnsi="Times New Roman" w:eastAsia="宋体" w:cs="Times New Roman"/>
          <w:kern w:val="0"/>
          <w:szCs w:val="21"/>
          <w:lang w:bidi="ar"/>
        </w:rPr>
      </w:pPr>
    </w:p>
    <w:p w14:paraId="591D9BE2">
      <w:pPr>
        <w:rPr>
          <w:rFonts w:ascii="Times New Roman" w:hAnsi="Times New Roman" w:eastAsia="宋体" w:cs="Times New Roman"/>
          <w:kern w:val="0"/>
          <w:szCs w:val="21"/>
          <w:lang w:bidi="ar"/>
        </w:rPr>
      </w:pPr>
      <w:r>
        <w:rPr>
          <w:rFonts w:ascii="Times New Roman" w:hAnsi="Times New Roman" w:eastAsia="宋体" w:cs="Times New Roman"/>
          <w:kern w:val="0"/>
          <w:szCs w:val="21"/>
          <w:lang w:bidi="ar"/>
        </w:rPr>
        <w:drawing>
          <wp:inline distT="0" distB="0" distL="0" distR="0">
            <wp:extent cx="5274310" cy="213931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88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946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E2B05">
      <w:pPr>
        <w:rPr>
          <w:rFonts w:ascii="Times New Roman" w:hAnsi="Times New Roman"/>
          <w:sz w:val="22"/>
          <w:szCs w:val="22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lang w:bidi="ar"/>
        </w:rPr>
        <w:t>Figure S</w:t>
      </w:r>
      <w:r>
        <w:rPr>
          <w:rFonts w:ascii="Times New Roman" w:hAnsi="Times New Roman" w:eastAsia="宋体" w:cs="Times New Roman"/>
          <w:b/>
          <w:bCs/>
          <w:kern w:val="0"/>
          <w:sz w:val="24"/>
          <w:lang w:bidi="ar"/>
        </w:rPr>
        <w:t>4.</w:t>
      </w:r>
      <w:r>
        <w:rPr>
          <w:rFonts w:ascii="Times New Roman" w:hAnsi="Times New Roman"/>
          <w:sz w:val="22"/>
          <w:szCs w:val="22"/>
        </w:rPr>
        <w:t xml:space="preserve"> (a–d)</w:t>
      </w:r>
      <w:r>
        <w:rPr>
          <w:rFonts w:hint="eastAsia" w:ascii="Times New Roman" w:hAnsi="Times New Roman"/>
          <w:sz w:val="22"/>
          <w:szCs w:val="22"/>
          <w:lang w:val="en-US" w:eastAsia="zh-CN"/>
        </w:rPr>
        <w:t xml:space="preserve"> are </w:t>
      </w:r>
      <w:r>
        <w:rPr>
          <w:rFonts w:ascii="Times New Roman" w:hAnsi="Times New Roman"/>
          <w:sz w:val="22"/>
          <w:szCs w:val="22"/>
        </w:rPr>
        <w:t>SEM images of non-aligned IL/BN/PDMS composite films with IL:BN:PDMS ratios of 1:2:10, 1:3:10, 1:4:10, and 1:5:10, respectively. (a'–d') are the corresponding SEM images of the IL/BN/PDMS composite films after electric field-induced alignment.</w:t>
      </w:r>
    </w:p>
    <w:p w14:paraId="6CD2E81E">
      <w:pPr>
        <w:rPr>
          <w:rFonts w:ascii="Times New Roman" w:hAnsi="Times New Roman" w:eastAsia="宋体" w:cs="Times New Roman"/>
          <w:b/>
          <w:bCs/>
          <w:kern w:val="0"/>
          <w:sz w:val="24"/>
          <w:lang w:bidi="ar"/>
        </w:rPr>
      </w:pPr>
    </w:p>
    <w:p w14:paraId="0E11FE05">
      <w:pPr>
        <w:rPr>
          <w:rFonts w:ascii="Times New Roman" w:hAnsi="Times New Roman" w:eastAsia="宋体" w:cs="Times New Roman"/>
          <w:b/>
          <w:bCs/>
          <w:kern w:val="0"/>
          <w:sz w:val="24"/>
          <w:lang w:bidi="ar"/>
        </w:rPr>
      </w:pPr>
    </w:p>
    <w:p w14:paraId="1F3CCC43">
      <w:pPr>
        <w:rPr>
          <w:rFonts w:ascii="Times New Roman" w:hAnsi="Times New Roman" w:eastAsia="宋体" w:cs="Times New Roman"/>
          <w:b/>
          <w:bCs/>
          <w:kern w:val="0"/>
          <w:sz w:val="24"/>
          <w:lang w:bidi="ar"/>
        </w:rPr>
      </w:pPr>
    </w:p>
    <w:p w14:paraId="0FD05951">
      <w:pPr>
        <w:rPr>
          <w:rFonts w:ascii="Times New Roman" w:hAnsi="Times New Roman" w:eastAsia="宋体" w:cs="Times New Roman"/>
          <w:b/>
          <w:bCs/>
          <w:kern w:val="0"/>
          <w:sz w:val="24"/>
          <w:lang w:bidi="ar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lang w:bidi="ar"/>
        </w:rPr>
        <w:drawing>
          <wp:inline distT="0" distB="0" distL="0" distR="0">
            <wp:extent cx="5274310" cy="215646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29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704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FE9E5">
      <w:pPr>
        <w:rPr>
          <w:rFonts w:ascii="Times New Roman" w:hAnsi="Times New Roman" w:eastAsia="宋体" w:cs="Times New Roman"/>
          <w:b/>
          <w:bCs/>
          <w:kern w:val="0"/>
          <w:sz w:val="24"/>
          <w:lang w:bidi="ar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lang w:bidi="ar"/>
        </w:rPr>
        <w:t>Figure S</w:t>
      </w:r>
      <w:r>
        <w:rPr>
          <w:rFonts w:ascii="Times New Roman" w:hAnsi="Times New Roman" w:eastAsia="宋体" w:cs="Times New Roman"/>
          <w:b/>
          <w:bCs/>
          <w:kern w:val="0"/>
          <w:sz w:val="24"/>
          <w:lang w:bidi="ar"/>
        </w:rPr>
        <w:t>5</w:t>
      </w:r>
      <w:r>
        <w:rPr>
          <w:rFonts w:ascii="Times New Roman" w:hAnsi="Times New Roman"/>
          <w:sz w:val="22"/>
          <w:szCs w:val="22"/>
        </w:rPr>
        <w:t>. (a–e) show SEM images of non-aligned IL/BN/PDMS composite films with IL:BN:PDMS ratios of 0.25:2:10, 0.5:2:10, 0.75:2:10, 1:2:10, and 1.5:2:10, respectively. (a'–e') are the corresponding SEM images of the IL/BN/PDMS composite films after electric field-induced alignment.</w:t>
      </w:r>
    </w:p>
    <w:p w14:paraId="1B13AA9E">
      <w:pPr>
        <w:rPr>
          <w:rFonts w:ascii="Times New Roman" w:hAnsi="Times New Roman" w:eastAsia="宋体" w:cs="Times New Roman"/>
          <w:b/>
          <w:bCs/>
          <w:kern w:val="0"/>
          <w:sz w:val="24"/>
          <w:lang w:bidi="ar"/>
        </w:rPr>
      </w:pPr>
    </w:p>
    <w:p w14:paraId="79A2B1AF">
      <w:pPr>
        <w:rPr>
          <w:rFonts w:ascii="Times New Roman" w:hAnsi="Times New Roman" w:eastAsia="宋体" w:cs="Times New Roman"/>
          <w:b/>
          <w:bCs/>
          <w:kern w:val="0"/>
          <w:sz w:val="24"/>
          <w:lang w:bidi="ar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lang w:bidi="ar"/>
        </w:rPr>
        <w:drawing>
          <wp:inline distT="0" distB="0" distL="0" distR="0">
            <wp:extent cx="5274310" cy="2150745"/>
            <wp:effectExtent l="0" t="0" r="254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49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118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B08F9">
      <w:pPr>
        <w:rPr>
          <w:rFonts w:ascii="Times New Roman" w:hAnsi="Times New Roman"/>
          <w:sz w:val="22"/>
          <w:szCs w:val="22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lang w:bidi="ar"/>
        </w:rPr>
        <w:t>Figure S</w:t>
      </w:r>
      <w:r>
        <w:rPr>
          <w:rFonts w:ascii="Times New Roman" w:hAnsi="Times New Roman" w:eastAsia="宋体" w:cs="Times New Roman"/>
          <w:b/>
          <w:bCs/>
          <w:kern w:val="0"/>
          <w:sz w:val="24"/>
          <w:lang w:bidi="ar"/>
        </w:rPr>
        <w:t>6.</w:t>
      </w:r>
      <w:r>
        <w:rPr>
          <w:rFonts w:ascii="Times New Roman" w:hAnsi="Times New Roman"/>
          <w:sz w:val="22"/>
          <w:szCs w:val="22"/>
        </w:rPr>
        <w:t xml:space="preserve"> (a–d) show SEM images of non-aligned IL/BN/PDMS composite films with a fixed IL:BN ratio of 1:4 and varying IL/BN mass fractions of 20 wt%, 27 wt%, 33 wt%, and 38 wt%, respectively. (a'–d') are the corresponding SEM images of the IL/BN/PDMS composite films after electric field-induced alignment.</w:t>
      </w:r>
    </w:p>
    <w:p w14:paraId="587ED8D5">
      <w:pPr>
        <w:rPr>
          <w:rFonts w:ascii="Times New Roman" w:hAnsi="Times New Roman" w:eastAsia="宋体" w:cs="Times New Roman"/>
          <w:kern w:val="0"/>
          <w:szCs w:val="21"/>
          <w:lang w:bidi="ar"/>
        </w:rPr>
      </w:pPr>
      <w:r>
        <w:rPr>
          <w:rFonts w:ascii="Times New Roman" w:hAnsi="Times New Roman" w:eastAsia="宋体" w:cs="Times New Roman"/>
          <w:kern w:val="0"/>
          <w:szCs w:val="21"/>
          <w:lang w:bidi="ar"/>
        </w:rPr>
        <w:drawing>
          <wp:inline distT="0" distB="0" distL="0" distR="0">
            <wp:extent cx="5274310" cy="1869440"/>
            <wp:effectExtent l="0" t="0" r="8890" b="1016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97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983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5EB93">
      <w:pPr>
        <w:rPr>
          <w:rFonts w:ascii="Times New Roman" w:hAnsi="Times New Roman" w:eastAsia="宋体" w:cs="Times New Roman"/>
          <w:kern w:val="0"/>
          <w:szCs w:val="21"/>
          <w:lang w:bidi="ar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lang w:bidi="ar"/>
        </w:rPr>
        <w:t>Figure S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lang w:val="en-US" w:eastAsia="zh-CN" w:bidi="ar"/>
        </w:rPr>
        <w:t>7</w:t>
      </w:r>
      <w:r>
        <w:rPr>
          <w:rFonts w:ascii="Times New Roman" w:hAnsi="Times New Roman" w:eastAsia="宋体" w:cs="Times New Roman"/>
          <w:b/>
          <w:bCs/>
          <w:kern w:val="0"/>
          <w:sz w:val="24"/>
          <w:lang w:bidi="ar"/>
        </w:rPr>
        <w:t>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 w:eastAsia="宋体" w:cs="Times New Roman"/>
          <w:b w:val="0"/>
          <w:bCs w:val="0"/>
          <w:kern w:val="0"/>
          <w:sz w:val="24"/>
          <w:lang w:bidi="ar"/>
        </w:rPr>
        <w:t xml:space="preserve">(a, b) 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 w:bidi="ar"/>
        </w:rPr>
        <w:t>are</w:t>
      </w:r>
      <w:r>
        <w:rPr>
          <w:rFonts w:ascii="Times New Roman" w:hAnsi="Times New Roman" w:eastAsia="宋体" w:cs="Times New Roman"/>
          <w:b w:val="0"/>
          <w:bCs w:val="0"/>
          <w:kern w:val="0"/>
          <w:sz w:val="24"/>
          <w:lang w:bidi="ar"/>
        </w:rPr>
        <w:t xml:space="preserve"> the thermal conductivity of the composites with varying IL and BN ratios.</w:t>
      </w:r>
    </w:p>
    <w:p w14:paraId="669F4FA5">
      <w:pPr>
        <w:rPr>
          <w:rFonts w:ascii="Times New Roman" w:hAnsi="Times New Roman" w:eastAsia="宋体" w:cs="Times New Roman"/>
          <w:kern w:val="0"/>
          <w:szCs w:val="21"/>
          <w:lang w:bidi="ar"/>
        </w:rPr>
      </w:pPr>
    </w:p>
    <w:p w14:paraId="6E860F89">
      <w:pPr>
        <w:rPr>
          <w:rFonts w:ascii="Times New Roman" w:hAnsi="Times New Roman" w:eastAsia="宋体" w:cs="Times New Roman"/>
          <w:kern w:val="0"/>
          <w:szCs w:val="21"/>
          <w:lang w:bidi="ar"/>
        </w:rPr>
      </w:pPr>
      <w:r>
        <w:rPr>
          <w:rFonts w:ascii="Times New Roman" w:hAnsi="Times New Roman" w:eastAsia="宋体" w:cs="Times New Roman"/>
          <w:kern w:val="0"/>
          <w:szCs w:val="21"/>
          <w:lang w:bidi="ar"/>
        </w:rPr>
        <w:drawing>
          <wp:inline distT="0" distB="0" distL="0" distR="0">
            <wp:extent cx="5274310" cy="1981200"/>
            <wp:effectExtent l="0" t="0" r="889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2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1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4DF12">
      <w:pPr>
        <w:rPr>
          <w:rFonts w:ascii="Times New Roman" w:hAnsi="Times New Roman"/>
          <w:sz w:val="22"/>
          <w:szCs w:val="22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lang w:bidi="ar"/>
        </w:rPr>
        <w:t>Figure S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lang w:val="en-US" w:eastAsia="zh-CN" w:bidi="ar"/>
        </w:rPr>
        <w:t>8</w:t>
      </w:r>
      <w:r>
        <w:rPr>
          <w:rFonts w:ascii="Times New Roman" w:hAnsi="Times New Roman" w:eastAsia="宋体" w:cs="Times New Roman"/>
          <w:b/>
          <w:bCs/>
          <w:kern w:val="0"/>
          <w:sz w:val="24"/>
          <w:lang w:bidi="ar"/>
        </w:rPr>
        <w:t>.</w:t>
      </w:r>
      <w:r>
        <w:rPr>
          <w:rFonts w:ascii="Times New Roman" w:hAnsi="Times New Roman"/>
          <w:sz w:val="22"/>
          <w:szCs w:val="22"/>
        </w:rPr>
        <w:t xml:space="preserve"> (a, b) </w:t>
      </w:r>
      <w:r>
        <w:rPr>
          <w:rFonts w:hint="eastAsia" w:ascii="Times New Roman" w:hAnsi="Times New Roman"/>
          <w:sz w:val="22"/>
          <w:szCs w:val="22"/>
          <w:lang w:val="en-US" w:eastAsia="zh-CN"/>
        </w:rPr>
        <w:t>T</w:t>
      </w:r>
      <w:r>
        <w:rPr>
          <w:rFonts w:ascii="Times New Roman" w:hAnsi="Times New Roman"/>
          <w:sz w:val="22"/>
          <w:szCs w:val="22"/>
        </w:rPr>
        <w:t xml:space="preserve">he difference in thermal conductivity between </w:t>
      </w:r>
      <w:r>
        <w:rPr>
          <w:rFonts w:hint="eastAsia" w:ascii="Times New Roman" w:hAnsi="Times New Roman"/>
          <w:sz w:val="22"/>
          <w:szCs w:val="22"/>
          <w:lang w:val="en-US" w:eastAsia="zh-CN"/>
        </w:rPr>
        <w:t>align</w:t>
      </w:r>
      <w:r>
        <w:rPr>
          <w:rFonts w:ascii="Times New Roman" w:hAnsi="Times New Roman"/>
          <w:sz w:val="22"/>
          <w:szCs w:val="22"/>
        </w:rPr>
        <w:t>ed and non-</w:t>
      </w:r>
      <w:r>
        <w:rPr>
          <w:rFonts w:hint="eastAsia" w:ascii="Times New Roman" w:hAnsi="Times New Roman"/>
          <w:sz w:val="22"/>
          <w:szCs w:val="22"/>
          <w:lang w:val="en-US" w:eastAsia="zh-CN"/>
        </w:rPr>
        <w:t>align</w:t>
      </w:r>
      <w:r>
        <w:rPr>
          <w:rFonts w:ascii="Times New Roman" w:hAnsi="Times New Roman"/>
          <w:sz w:val="22"/>
          <w:szCs w:val="22"/>
        </w:rPr>
        <w:t>ed composite materials with varying IL and BN ratios.</w:t>
      </w:r>
    </w:p>
    <w:p w14:paraId="58EE05C4">
      <w:pPr>
        <w:rPr>
          <w:rFonts w:ascii="Times New Roman" w:hAnsi="Times New Roman" w:eastAsia="宋体" w:cs="Times New Roman"/>
          <w:b/>
          <w:bCs/>
          <w:kern w:val="0"/>
          <w:sz w:val="24"/>
          <w:lang w:bidi="ar"/>
        </w:rPr>
      </w:pPr>
    </w:p>
    <w:p w14:paraId="791CF660">
      <w:pPr>
        <w:rPr>
          <w:rFonts w:ascii="Times New Roman" w:hAnsi="Times New Roman" w:eastAsia="宋体" w:cs="Times New Roman"/>
          <w:kern w:val="0"/>
          <w:szCs w:val="21"/>
          <w:lang w:bidi="ar"/>
        </w:rPr>
      </w:pPr>
    </w:p>
    <w:p w14:paraId="04298190">
      <w:pPr>
        <w:rPr>
          <w:rFonts w:ascii="Times New Roman" w:hAnsi="Times New Roman" w:eastAsia="宋体" w:cs="Times New Roman"/>
          <w:kern w:val="0"/>
          <w:szCs w:val="21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E060C9"/>
    <w:multiLevelType w:val="singleLevel"/>
    <w:tmpl w:val="D5E060C9"/>
    <w:lvl w:ilvl="0" w:tentative="0">
      <w:start w:val="1"/>
      <w:numFmt w:val="low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hY2ZlMjUzNzQyYzBkMjA0YjhmNWE3MjFjYzI0NjcifQ=="/>
    <w:docVar w:name="KSO_WPS_MARK_KEY" w:val="dfdedda9-f251-404d-bf3a-49a4a7c55fbf"/>
  </w:docVars>
  <w:rsids>
    <w:rsidRoot w:val="00172A27"/>
    <w:rsid w:val="000B6A81"/>
    <w:rsid w:val="00172A27"/>
    <w:rsid w:val="001B4D21"/>
    <w:rsid w:val="00225767"/>
    <w:rsid w:val="003A0FC0"/>
    <w:rsid w:val="003E425A"/>
    <w:rsid w:val="00535223"/>
    <w:rsid w:val="00592C98"/>
    <w:rsid w:val="005D4DE0"/>
    <w:rsid w:val="006B368D"/>
    <w:rsid w:val="006B45D4"/>
    <w:rsid w:val="0072068B"/>
    <w:rsid w:val="007D1615"/>
    <w:rsid w:val="008F0544"/>
    <w:rsid w:val="009A0379"/>
    <w:rsid w:val="009D6756"/>
    <w:rsid w:val="00A8498E"/>
    <w:rsid w:val="00BE3B2E"/>
    <w:rsid w:val="00C32F01"/>
    <w:rsid w:val="00F06116"/>
    <w:rsid w:val="00F27942"/>
    <w:rsid w:val="00F92BC7"/>
    <w:rsid w:val="045D3E64"/>
    <w:rsid w:val="0486630B"/>
    <w:rsid w:val="099E7C90"/>
    <w:rsid w:val="0AB96515"/>
    <w:rsid w:val="0C75349B"/>
    <w:rsid w:val="10714E27"/>
    <w:rsid w:val="11E1304C"/>
    <w:rsid w:val="141A068F"/>
    <w:rsid w:val="14995F11"/>
    <w:rsid w:val="15B0573C"/>
    <w:rsid w:val="161F2A95"/>
    <w:rsid w:val="174764F6"/>
    <w:rsid w:val="18BC23B6"/>
    <w:rsid w:val="19CA0B53"/>
    <w:rsid w:val="1BC07422"/>
    <w:rsid w:val="1D2C7CF5"/>
    <w:rsid w:val="215743E0"/>
    <w:rsid w:val="29BB2216"/>
    <w:rsid w:val="2AA63A23"/>
    <w:rsid w:val="2AD10DA0"/>
    <w:rsid w:val="2C0941F1"/>
    <w:rsid w:val="2DA10055"/>
    <w:rsid w:val="2F685E34"/>
    <w:rsid w:val="302E6FCB"/>
    <w:rsid w:val="30DA63B1"/>
    <w:rsid w:val="30DE2B4D"/>
    <w:rsid w:val="35BD7EAC"/>
    <w:rsid w:val="36391385"/>
    <w:rsid w:val="368F4AC5"/>
    <w:rsid w:val="36D0472B"/>
    <w:rsid w:val="3753436B"/>
    <w:rsid w:val="37CD5FA4"/>
    <w:rsid w:val="3894668E"/>
    <w:rsid w:val="3A9F13D2"/>
    <w:rsid w:val="3AB1502C"/>
    <w:rsid w:val="3D195A9B"/>
    <w:rsid w:val="3EBD2EB5"/>
    <w:rsid w:val="40056E14"/>
    <w:rsid w:val="41D84E55"/>
    <w:rsid w:val="429A0279"/>
    <w:rsid w:val="444A0362"/>
    <w:rsid w:val="48BB48D2"/>
    <w:rsid w:val="4F29196E"/>
    <w:rsid w:val="543607E8"/>
    <w:rsid w:val="55F51736"/>
    <w:rsid w:val="57250C88"/>
    <w:rsid w:val="58BF792A"/>
    <w:rsid w:val="599E1E22"/>
    <w:rsid w:val="59F8572E"/>
    <w:rsid w:val="5AD01456"/>
    <w:rsid w:val="5BDB72CE"/>
    <w:rsid w:val="5D125C04"/>
    <w:rsid w:val="5F003C06"/>
    <w:rsid w:val="605E6E7C"/>
    <w:rsid w:val="6290611A"/>
    <w:rsid w:val="63142424"/>
    <w:rsid w:val="6506704B"/>
    <w:rsid w:val="66182944"/>
    <w:rsid w:val="66DC2153"/>
    <w:rsid w:val="68546A1E"/>
    <w:rsid w:val="6DCD01C7"/>
    <w:rsid w:val="6FF90C9A"/>
    <w:rsid w:val="71030CED"/>
    <w:rsid w:val="73D02CE0"/>
    <w:rsid w:val="74220495"/>
    <w:rsid w:val="76820804"/>
    <w:rsid w:val="776700BA"/>
    <w:rsid w:val="79FC5D6C"/>
    <w:rsid w:val="7A9E3CC9"/>
    <w:rsid w:val="7C0567D1"/>
    <w:rsid w:val="7E564978"/>
    <w:rsid w:val="7FC54B74"/>
    <w:rsid w:val="7FCB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Emphasis"/>
    <w:basedOn w:val="12"/>
    <w:qFormat/>
    <w:uiPriority w:val="0"/>
    <w:rPr>
      <w:i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character" w:styleId="16">
    <w:name w:val="HTML Cite"/>
    <w:basedOn w:val="12"/>
    <w:qFormat/>
    <w:uiPriority w:val="0"/>
    <w:rPr>
      <w:i/>
    </w:rPr>
  </w:style>
  <w:style w:type="paragraph" w:customStyle="1" w:styleId="17">
    <w:name w:val="节标题"/>
    <w:basedOn w:val="1"/>
    <w:qFormat/>
    <w:uiPriority w:val="0"/>
    <w:pPr>
      <w:spacing w:before="50" w:beforeLines="50" w:after="50" w:afterLines="50"/>
      <w:jc w:val="left"/>
      <w:outlineLvl w:val="1"/>
    </w:pPr>
    <w:rPr>
      <w:rFonts w:eastAsia="黑体"/>
      <w:sz w:val="28"/>
      <w:szCs w:val="21"/>
    </w:rPr>
  </w:style>
  <w:style w:type="paragraph" w:customStyle="1" w:styleId="18">
    <w:name w:val="小节标题"/>
    <w:basedOn w:val="1"/>
    <w:next w:val="1"/>
    <w:qFormat/>
    <w:uiPriority w:val="0"/>
    <w:pPr>
      <w:spacing w:before="50" w:beforeLines="50" w:after="50" w:afterLines="50"/>
      <w:jc w:val="left"/>
      <w:outlineLvl w:val="2"/>
    </w:pPr>
    <w:rPr>
      <w:rFonts w:eastAsia="黑体"/>
    </w:rPr>
  </w:style>
  <w:style w:type="character" w:customStyle="1" w:styleId="19">
    <w:name w:val="批注框文本 字符"/>
    <w:basedOn w:val="12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页眉 字符"/>
    <w:basedOn w:val="12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页脚 字符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387</Words>
  <Characters>2259</Characters>
  <Lines>17</Lines>
  <Paragraphs>4</Paragraphs>
  <TotalTime>6</TotalTime>
  <ScaleCrop>false</ScaleCrop>
  <LinksUpToDate>false</LinksUpToDate>
  <CharactersWithSpaces>2576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2024-10-30T08:02:00Z</dcterms:created>
  <dc:creator>DELL-PC</dc:creator>
  <cp:lastModifiedBy>WPS_1641861754</cp:lastModifiedBy>
  <dcterms:modified xsi:type="dcterms:W3CDTF">2025-04-10T03:16:28Z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71215278EB3E41569E2D504519EB97EA_13</vt:lpwstr>
  </property>
  <property fmtid="{D5CDD505-2E9C-101B-9397-08002B2CF9AE}" pid="4" name="KSOTemplateDocerSaveRecord">
    <vt:lpwstr>eyJoZGlkIjoiYTE5ZTIzZjgxMWUwMDBlM2Y0ZTM2ZTI4YjkxMDczOTIiLCJ1c2VySWQiOiIxMzEzMzgwNDU5In0=</vt:lpwstr>
  </property>
</Properties>
</file>