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822FD5" w14:textId="77777777" w:rsidR="005120DB" w:rsidRPr="00991141" w:rsidRDefault="005120DB" w:rsidP="0045764D">
      <w:pPr>
        <w:spacing w:line="480" w:lineRule="auto"/>
        <w:jc w:val="center"/>
        <w:rPr>
          <w:rFonts w:cs="Times New Roman"/>
          <w:b/>
          <w:sz w:val="28"/>
          <w:szCs w:val="28"/>
        </w:rPr>
      </w:pPr>
      <w:bookmarkStart w:id="0" w:name="OLE_LINK39"/>
      <w:bookmarkStart w:id="1" w:name="OLE_LINK49"/>
      <w:r w:rsidRPr="00991141">
        <w:rPr>
          <w:rFonts w:cs="Times New Roman"/>
          <w:b/>
          <w:sz w:val="32"/>
          <w:szCs w:val="28"/>
        </w:rPr>
        <w:t>Supporting information</w:t>
      </w:r>
    </w:p>
    <w:p w14:paraId="475D61D1" w14:textId="77777777" w:rsidR="00ED659A" w:rsidRDefault="00ED659A" w:rsidP="00ED659A">
      <w:pPr>
        <w:spacing w:line="480" w:lineRule="auto"/>
        <w:rPr>
          <w:rFonts w:cs="Times New Roman"/>
          <w:b/>
          <w:bCs/>
          <w:sz w:val="28"/>
          <w:szCs w:val="28"/>
        </w:rPr>
      </w:pPr>
      <w:bookmarkStart w:id="2" w:name="_Hlk181200748"/>
      <w:bookmarkStart w:id="3" w:name="_Hlk182524322"/>
      <w:bookmarkStart w:id="4" w:name="_Hlk182524344"/>
      <w:bookmarkEnd w:id="0"/>
      <w:bookmarkEnd w:id="1"/>
      <w:r w:rsidRPr="00FC7B22">
        <w:rPr>
          <w:rFonts w:cs="Times New Roman"/>
          <w:b/>
          <w:bCs/>
          <w:sz w:val="28"/>
          <w:szCs w:val="28"/>
        </w:rPr>
        <w:t>Synergisti</w:t>
      </w:r>
      <w:r>
        <w:rPr>
          <w:rFonts w:cs="Times New Roman"/>
          <w:b/>
          <w:bCs/>
          <w:sz w:val="28"/>
          <w:szCs w:val="28"/>
        </w:rPr>
        <w:t>cally</w:t>
      </w:r>
      <w:r>
        <w:rPr>
          <w:rFonts w:cs="Times New Roman" w:hint="eastAsia"/>
          <w:b/>
          <w:bCs/>
          <w:sz w:val="28"/>
          <w:szCs w:val="28"/>
        </w:rPr>
        <w:t xml:space="preserve"> enhanced safety and energy density of energetic materials </w:t>
      </w:r>
      <w:r w:rsidRPr="005711E8">
        <w:rPr>
          <w:rFonts w:cs="Times New Roman" w:hint="eastAsia"/>
          <w:b/>
          <w:bCs/>
          <w:i/>
          <w:iCs/>
          <w:sz w:val="28"/>
          <w:szCs w:val="28"/>
        </w:rPr>
        <w:t>via</w:t>
      </w:r>
      <w:r>
        <w:rPr>
          <w:rFonts w:cs="Times New Roman" w:hint="eastAsia"/>
          <w:b/>
          <w:bCs/>
          <w:sz w:val="28"/>
          <w:szCs w:val="28"/>
        </w:rPr>
        <w:t xml:space="preserve"> i</w:t>
      </w:r>
      <w:r w:rsidRPr="00165EDF">
        <w:rPr>
          <w:rFonts w:cs="Times New Roman"/>
          <w:b/>
          <w:bCs/>
          <w:sz w:val="28"/>
          <w:szCs w:val="28"/>
        </w:rPr>
        <w:t>nter</w:t>
      </w:r>
      <w:r>
        <w:rPr>
          <w:rFonts w:cs="Times New Roman" w:hint="eastAsia"/>
          <w:b/>
          <w:bCs/>
          <w:sz w:val="28"/>
          <w:szCs w:val="28"/>
        </w:rPr>
        <w:t>f</w:t>
      </w:r>
      <w:r w:rsidRPr="00165EDF">
        <w:rPr>
          <w:rFonts w:cs="Times New Roman"/>
          <w:b/>
          <w:bCs/>
          <w:sz w:val="28"/>
          <w:szCs w:val="28"/>
        </w:rPr>
        <w:t>a</w:t>
      </w:r>
      <w:r>
        <w:rPr>
          <w:rFonts w:cs="Times New Roman" w:hint="eastAsia"/>
          <w:b/>
          <w:bCs/>
          <w:sz w:val="28"/>
          <w:szCs w:val="28"/>
        </w:rPr>
        <w:t>c</w:t>
      </w:r>
      <w:bookmarkEnd w:id="2"/>
      <w:bookmarkEnd w:id="3"/>
      <w:r>
        <w:rPr>
          <w:rFonts w:cs="Times New Roman" w:hint="eastAsia"/>
          <w:b/>
          <w:bCs/>
          <w:sz w:val="28"/>
          <w:szCs w:val="28"/>
        </w:rPr>
        <w:t xml:space="preserve">ial constraint </w:t>
      </w:r>
    </w:p>
    <w:p w14:paraId="1BE44D56" w14:textId="77777777" w:rsidR="00271C89" w:rsidRPr="00991141" w:rsidRDefault="00271C89" w:rsidP="00271C89">
      <w:pPr>
        <w:spacing w:line="480" w:lineRule="auto"/>
        <w:jc w:val="center"/>
        <w:rPr>
          <w:rFonts w:cs="Times New Roman"/>
          <w:bCs/>
          <w:szCs w:val="24"/>
          <w:vertAlign w:val="superscript"/>
        </w:rPr>
      </w:pPr>
      <w:r w:rsidRPr="00991141">
        <w:rPr>
          <w:rFonts w:cs="Times New Roman" w:hint="eastAsia"/>
          <w:bCs/>
          <w:szCs w:val="24"/>
        </w:rPr>
        <w:t>Xu Zhao</w:t>
      </w:r>
      <w:r w:rsidRPr="00991141">
        <w:rPr>
          <w:rFonts w:cs="Times New Roman" w:hint="eastAsia"/>
          <w:bCs/>
          <w:szCs w:val="24"/>
          <w:vertAlign w:val="superscript"/>
        </w:rPr>
        <w:t>1</w:t>
      </w:r>
      <w:r w:rsidRPr="00991141">
        <w:rPr>
          <w:rFonts w:cs="Times New Roman" w:hint="eastAsia"/>
          <w:bCs/>
          <w:szCs w:val="24"/>
        </w:rPr>
        <w:t xml:space="preserve">, </w:t>
      </w:r>
      <w:proofErr w:type="spellStart"/>
      <w:r w:rsidRPr="00991141">
        <w:rPr>
          <w:rFonts w:cs="Times New Roman" w:hint="eastAsia"/>
          <w:bCs/>
          <w:szCs w:val="24"/>
        </w:rPr>
        <w:t>Minghui</w:t>
      </w:r>
      <w:proofErr w:type="spellEnd"/>
      <w:r w:rsidRPr="00991141">
        <w:rPr>
          <w:rFonts w:cs="Times New Roman" w:hint="eastAsia"/>
          <w:bCs/>
          <w:szCs w:val="24"/>
        </w:rPr>
        <w:t xml:space="preserve"> Yu</w:t>
      </w:r>
      <w:r w:rsidRPr="00991141">
        <w:rPr>
          <w:rFonts w:cs="Times New Roman" w:hint="eastAsia"/>
          <w:bCs/>
          <w:szCs w:val="24"/>
          <w:vertAlign w:val="superscript"/>
        </w:rPr>
        <w:t>3</w:t>
      </w:r>
      <w:r w:rsidRPr="00991141">
        <w:rPr>
          <w:rFonts w:cs="Times New Roman" w:hint="eastAsia"/>
          <w:bCs/>
          <w:szCs w:val="24"/>
        </w:rPr>
        <w:t>, Dan Liu</w:t>
      </w:r>
      <w:r w:rsidRPr="00991141">
        <w:rPr>
          <w:rFonts w:cs="Times New Roman" w:hint="eastAsia"/>
          <w:bCs/>
          <w:szCs w:val="24"/>
          <w:vertAlign w:val="superscript"/>
        </w:rPr>
        <w:t>1</w:t>
      </w:r>
      <w:r w:rsidRPr="00991141">
        <w:rPr>
          <w:rFonts w:cs="Times New Roman" w:hint="eastAsia"/>
          <w:bCs/>
          <w:szCs w:val="24"/>
        </w:rPr>
        <w:t xml:space="preserve">, </w:t>
      </w:r>
      <w:proofErr w:type="spellStart"/>
      <w:r w:rsidRPr="00991141">
        <w:rPr>
          <w:rFonts w:cs="Times New Roman" w:hint="eastAsia"/>
          <w:bCs/>
          <w:szCs w:val="24"/>
        </w:rPr>
        <w:t>Haorui</w:t>
      </w:r>
      <w:proofErr w:type="spellEnd"/>
      <w:r w:rsidRPr="00991141">
        <w:rPr>
          <w:rFonts w:cs="Times New Roman" w:hint="eastAsia"/>
          <w:bCs/>
          <w:szCs w:val="24"/>
        </w:rPr>
        <w:t xml:space="preserve"> Zhang</w:t>
      </w:r>
      <w:r w:rsidRPr="00991141">
        <w:rPr>
          <w:rFonts w:cs="Times New Roman" w:hint="eastAsia"/>
          <w:bCs/>
          <w:szCs w:val="24"/>
          <w:vertAlign w:val="superscript"/>
        </w:rPr>
        <w:t>1,2</w:t>
      </w:r>
      <w:r w:rsidRPr="00991141">
        <w:rPr>
          <w:rFonts w:cs="Times New Roman" w:hint="eastAsia"/>
          <w:bCs/>
          <w:szCs w:val="24"/>
        </w:rPr>
        <w:t>, Junru Wang</w:t>
      </w:r>
      <w:r w:rsidRPr="00991141">
        <w:rPr>
          <w:rFonts w:cs="Times New Roman" w:hint="eastAsia"/>
          <w:bCs/>
          <w:szCs w:val="24"/>
          <w:vertAlign w:val="superscript"/>
        </w:rPr>
        <w:t>1</w:t>
      </w:r>
      <w:r w:rsidRPr="00991141">
        <w:rPr>
          <w:rFonts w:cs="Times New Roman" w:hint="eastAsia"/>
          <w:bCs/>
          <w:szCs w:val="24"/>
        </w:rPr>
        <w:t xml:space="preserve">, </w:t>
      </w:r>
      <w:proofErr w:type="spellStart"/>
      <w:r w:rsidRPr="00991141">
        <w:rPr>
          <w:rFonts w:cs="Times New Roman" w:hint="eastAsia"/>
          <w:bCs/>
          <w:szCs w:val="24"/>
        </w:rPr>
        <w:t>Guansong</w:t>
      </w:r>
      <w:proofErr w:type="spellEnd"/>
      <w:r w:rsidRPr="00991141">
        <w:rPr>
          <w:rFonts w:cs="Times New Roman" w:hint="eastAsia"/>
          <w:bCs/>
          <w:szCs w:val="24"/>
        </w:rPr>
        <w:t xml:space="preserve"> He</w:t>
      </w:r>
      <w:r w:rsidRPr="00991141">
        <w:rPr>
          <w:rFonts w:cs="Times New Roman" w:hint="eastAsia"/>
          <w:bCs/>
          <w:szCs w:val="24"/>
          <w:vertAlign w:val="superscript"/>
        </w:rPr>
        <w:t>1</w:t>
      </w:r>
      <w:r w:rsidRPr="00991141">
        <w:rPr>
          <w:rFonts w:cs="Times New Roman" w:hint="eastAsia"/>
          <w:bCs/>
          <w:szCs w:val="24"/>
        </w:rPr>
        <w:t>, Qi-Long Yan</w:t>
      </w:r>
      <w:r w:rsidRPr="00991141">
        <w:rPr>
          <w:rFonts w:cs="Times New Roman" w:hint="eastAsia"/>
          <w:bCs/>
          <w:szCs w:val="24"/>
          <w:vertAlign w:val="superscript"/>
        </w:rPr>
        <w:t>2</w:t>
      </w:r>
      <w:r w:rsidRPr="00991141">
        <w:rPr>
          <w:rFonts w:cs="Times New Roman" w:hint="eastAsia"/>
          <w:bCs/>
          <w:szCs w:val="24"/>
        </w:rPr>
        <w:t>, Zhijian Yang</w:t>
      </w:r>
      <w:r w:rsidRPr="00991141">
        <w:rPr>
          <w:rFonts w:cs="Times New Roman" w:hint="eastAsia"/>
          <w:bCs/>
          <w:szCs w:val="24"/>
          <w:vertAlign w:val="superscript"/>
        </w:rPr>
        <w:t>1*</w:t>
      </w:r>
    </w:p>
    <w:p w14:paraId="2077AE37" w14:textId="77777777" w:rsidR="00271C89" w:rsidRPr="00991141" w:rsidRDefault="00271C89" w:rsidP="00271C89">
      <w:pPr>
        <w:pStyle w:val="Addresses"/>
        <w:spacing w:line="480" w:lineRule="auto"/>
        <w:jc w:val="both"/>
        <w:rPr>
          <w:rFonts w:eastAsiaTheme="minorEastAsia"/>
          <w:lang w:eastAsia="zh-CN"/>
        </w:rPr>
      </w:pPr>
      <w:bookmarkStart w:id="5" w:name="_Hlk182524737"/>
      <w:bookmarkEnd w:id="4"/>
      <w:r w:rsidRPr="00991141">
        <w:rPr>
          <w:rFonts w:eastAsiaTheme="minorEastAsia" w:hint="eastAsia"/>
          <w:vertAlign w:val="superscript"/>
          <w:lang w:eastAsia="zh-CN"/>
        </w:rPr>
        <w:t xml:space="preserve">1 </w:t>
      </w:r>
      <w:r w:rsidRPr="00991141">
        <w:rPr>
          <w:rFonts w:eastAsiaTheme="minorEastAsia"/>
          <w:lang w:eastAsia="zh-CN"/>
        </w:rPr>
        <w:t>Institute of Chemical Materials, China Academy of Engineering Physics</w:t>
      </w:r>
      <w:r w:rsidRPr="00991141">
        <w:rPr>
          <w:rFonts w:eastAsiaTheme="minorEastAsia" w:hint="eastAsia"/>
          <w:lang w:eastAsia="zh-CN"/>
        </w:rPr>
        <w:t xml:space="preserve"> (CAEP)</w:t>
      </w:r>
      <w:r w:rsidRPr="00991141">
        <w:rPr>
          <w:rFonts w:eastAsiaTheme="minorEastAsia"/>
          <w:lang w:eastAsia="zh-CN"/>
        </w:rPr>
        <w:t xml:space="preserve">, </w:t>
      </w:r>
      <w:proofErr w:type="spellStart"/>
      <w:r w:rsidRPr="00991141">
        <w:rPr>
          <w:rFonts w:eastAsiaTheme="minorEastAsia"/>
          <w:lang w:eastAsia="zh-CN"/>
        </w:rPr>
        <w:t>Mianyang</w:t>
      </w:r>
      <w:proofErr w:type="spellEnd"/>
      <w:r w:rsidRPr="00991141">
        <w:rPr>
          <w:rFonts w:eastAsiaTheme="minorEastAsia"/>
          <w:lang w:eastAsia="zh-CN"/>
        </w:rPr>
        <w:t xml:space="preserve"> 621900, China</w:t>
      </w:r>
      <w:bookmarkEnd w:id="5"/>
      <w:r w:rsidRPr="00991141">
        <w:rPr>
          <w:rFonts w:eastAsiaTheme="minorEastAsia" w:hint="eastAsia"/>
          <w:lang w:eastAsia="zh-CN"/>
        </w:rPr>
        <w:t xml:space="preserve">. </w:t>
      </w:r>
      <w:r w:rsidRPr="00991141">
        <w:rPr>
          <w:rFonts w:hint="eastAsia"/>
          <w:bCs/>
          <w:iCs/>
        </w:rPr>
        <w:t xml:space="preserve">Email: </w:t>
      </w:r>
      <w:hyperlink r:id="rId7" w:history="1">
        <w:r w:rsidRPr="00991141">
          <w:rPr>
            <w:rStyle w:val="aa"/>
            <w:rFonts w:hint="eastAsia"/>
            <w:bCs/>
            <w:iCs/>
            <w:color w:val="auto"/>
          </w:rPr>
          <w:t>zhijianyang@caep.cn</w:t>
        </w:r>
      </w:hyperlink>
      <w:r w:rsidRPr="00991141">
        <w:rPr>
          <w:rFonts w:hint="eastAsia"/>
          <w:bCs/>
          <w:iCs/>
        </w:rPr>
        <w:t xml:space="preserve"> </w:t>
      </w:r>
    </w:p>
    <w:p w14:paraId="2A6342E2" w14:textId="77777777" w:rsidR="00271C89" w:rsidRPr="00991141" w:rsidRDefault="00271C89" w:rsidP="00271C89">
      <w:pPr>
        <w:pStyle w:val="Addresses"/>
        <w:spacing w:line="480" w:lineRule="auto"/>
        <w:jc w:val="both"/>
        <w:rPr>
          <w:rFonts w:eastAsiaTheme="minorEastAsia"/>
          <w:lang w:eastAsia="zh-CN"/>
        </w:rPr>
      </w:pPr>
      <w:bookmarkStart w:id="6" w:name="_Hlk182524794"/>
      <w:r w:rsidRPr="00991141">
        <w:rPr>
          <w:rFonts w:eastAsiaTheme="minorEastAsia" w:hint="eastAsia"/>
          <w:vertAlign w:val="superscript"/>
          <w:lang w:eastAsia="zh-CN"/>
        </w:rPr>
        <w:t xml:space="preserve">2 </w:t>
      </w:r>
      <w:r w:rsidRPr="00991141">
        <w:rPr>
          <w:rFonts w:eastAsiaTheme="minorEastAsia"/>
          <w:lang w:eastAsia="zh-CN"/>
        </w:rPr>
        <w:t>Science and Technology on Combustion, Internal Flow and Thermo-structure Laboratory, Northwestern Polytechnical University, Xi’an 710072, China</w:t>
      </w:r>
      <w:r w:rsidRPr="00991141">
        <w:rPr>
          <w:rFonts w:eastAsiaTheme="minorEastAsia" w:hint="eastAsia"/>
          <w:lang w:eastAsia="zh-CN"/>
        </w:rPr>
        <w:t xml:space="preserve">. </w:t>
      </w:r>
      <w:bookmarkEnd w:id="6"/>
    </w:p>
    <w:p w14:paraId="3D0995D8" w14:textId="77777777" w:rsidR="00271C89" w:rsidRPr="00991141" w:rsidRDefault="00271C89" w:rsidP="00271C89">
      <w:pPr>
        <w:spacing w:line="480" w:lineRule="auto"/>
        <w:rPr>
          <w:rFonts w:cs="Times New Roman"/>
          <w:iCs/>
          <w:szCs w:val="24"/>
        </w:rPr>
      </w:pPr>
      <w:bookmarkStart w:id="7" w:name="_Hlk182524812"/>
      <w:r w:rsidRPr="00991141">
        <w:rPr>
          <w:rFonts w:cs="Times New Roman" w:hint="eastAsia"/>
          <w:iCs/>
          <w:szCs w:val="24"/>
          <w:vertAlign w:val="superscript"/>
        </w:rPr>
        <w:t xml:space="preserve">3 </w:t>
      </w:r>
      <w:r w:rsidRPr="00991141">
        <w:rPr>
          <w:rFonts w:cs="Times New Roman"/>
          <w:iCs/>
          <w:szCs w:val="24"/>
        </w:rPr>
        <w:t>State Key Lab of Metal Matrix Composites</w:t>
      </w:r>
      <w:r w:rsidRPr="00991141">
        <w:rPr>
          <w:rFonts w:cs="Times New Roman" w:hint="eastAsia"/>
          <w:iCs/>
          <w:szCs w:val="24"/>
        </w:rPr>
        <w:t xml:space="preserve">, </w:t>
      </w:r>
      <w:r w:rsidRPr="00991141">
        <w:rPr>
          <w:rFonts w:cs="Times New Roman"/>
          <w:iCs/>
          <w:szCs w:val="24"/>
        </w:rPr>
        <w:t>School of Materials Science and Engineering</w:t>
      </w:r>
      <w:r w:rsidRPr="00991141">
        <w:rPr>
          <w:rFonts w:cs="Times New Roman" w:hint="eastAsia"/>
          <w:iCs/>
          <w:szCs w:val="24"/>
        </w:rPr>
        <w:t xml:space="preserve">, </w:t>
      </w:r>
      <w:r w:rsidRPr="00991141">
        <w:rPr>
          <w:rFonts w:cs="Times New Roman"/>
          <w:iCs/>
          <w:szCs w:val="24"/>
        </w:rPr>
        <w:t>Shanghai Jiao Tong University</w:t>
      </w:r>
      <w:r w:rsidRPr="00991141">
        <w:rPr>
          <w:rFonts w:cs="Times New Roman" w:hint="eastAsia"/>
          <w:iCs/>
          <w:szCs w:val="24"/>
        </w:rPr>
        <w:t xml:space="preserve">, </w:t>
      </w:r>
      <w:r w:rsidRPr="00991141">
        <w:rPr>
          <w:rFonts w:cs="Times New Roman"/>
          <w:iCs/>
          <w:szCs w:val="24"/>
        </w:rPr>
        <w:t>Shanghai 200240, China</w:t>
      </w:r>
      <w:bookmarkEnd w:id="7"/>
      <w:r w:rsidRPr="00991141">
        <w:rPr>
          <w:rFonts w:cs="Times New Roman" w:hint="eastAsia"/>
          <w:iCs/>
          <w:szCs w:val="24"/>
        </w:rPr>
        <w:t>.</w:t>
      </w:r>
    </w:p>
    <w:p w14:paraId="6E8EFE25" w14:textId="77777777" w:rsidR="00DD411E" w:rsidRPr="00991141" w:rsidRDefault="00DD411E" w:rsidP="0045764D">
      <w:pPr>
        <w:spacing w:line="480" w:lineRule="auto"/>
        <w:rPr>
          <w:rFonts w:cs="Times New Roman"/>
          <w:b/>
          <w:szCs w:val="24"/>
        </w:rPr>
      </w:pPr>
    </w:p>
    <w:p w14:paraId="4EA0089E" w14:textId="77777777" w:rsidR="0020377C" w:rsidRPr="00991141" w:rsidRDefault="0020377C" w:rsidP="0045764D">
      <w:pPr>
        <w:spacing w:line="480" w:lineRule="auto"/>
        <w:jc w:val="left"/>
        <w:rPr>
          <w:rFonts w:cs="Times New Roman"/>
          <w:b/>
          <w:bCs/>
        </w:rPr>
      </w:pPr>
      <w:r w:rsidRPr="00991141">
        <w:rPr>
          <w:rFonts w:cs="Times New Roman"/>
          <w:b/>
          <w:bCs/>
        </w:rPr>
        <w:br w:type="page"/>
      </w:r>
    </w:p>
    <w:p w14:paraId="7A47CEAD" w14:textId="221CFA5B" w:rsidR="006A0C71" w:rsidRPr="00991141" w:rsidRDefault="006A0C71" w:rsidP="0045764D">
      <w:pPr>
        <w:spacing w:line="480" w:lineRule="auto"/>
        <w:rPr>
          <w:rFonts w:cs="Times New Roman"/>
          <w:b/>
          <w:bCs/>
        </w:rPr>
      </w:pPr>
      <w:r w:rsidRPr="00991141">
        <w:rPr>
          <w:rFonts w:cs="Times New Roman"/>
          <w:b/>
          <w:bCs/>
        </w:rPr>
        <w:lastRenderedPageBreak/>
        <w:t>Characterization techniques</w:t>
      </w:r>
    </w:p>
    <w:p w14:paraId="4F81CDCE" w14:textId="12B318B7" w:rsidR="00DF3294" w:rsidRDefault="006A0C71" w:rsidP="00A910DE">
      <w:pPr>
        <w:spacing w:line="480" w:lineRule="auto"/>
        <w:rPr>
          <w:rFonts w:cs="Times New Roman"/>
          <w:szCs w:val="21"/>
        </w:rPr>
      </w:pPr>
      <w:r w:rsidRPr="00991141">
        <w:rPr>
          <w:rFonts w:cs="Times New Roman"/>
          <w:szCs w:val="21"/>
        </w:rPr>
        <w:t xml:space="preserve">The microstructure and morphologies of </w:t>
      </w:r>
      <w:r w:rsidRPr="00991141">
        <w:rPr>
          <w:rFonts w:cs="Times New Roman"/>
        </w:rPr>
        <w:t>LLM-105</w:t>
      </w:r>
      <w:r w:rsidR="00A44416" w:rsidRPr="00991141">
        <w:rPr>
          <w:rFonts w:cs="Times New Roman"/>
        </w:rPr>
        <w:t xml:space="preserve"> </w:t>
      </w:r>
      <w:r w:rsidRPr="00991141">
        <w:rPr>
          <w:rFonts w:cs="Times New Roman"/>
        </w:rPr>
        <w:t xml:space="preserve">and </w:t>
      </w:r>
      <w:r w:rsidR="00A44416" w:rsidRPr="00991141">
        <w:rPr>
          <w:rFonts w:cs="Times New Roman"/>
        </w:rPr>
        <w:t>hd</w:t>
      </w:r>
      <w:r w:rsidRPr="00991141">
        <w:rPr>
          <w:rFonts w:cs="Times New Roman"/>
        </w:rPr>
        <w:t xml:space="preserve">-LLM-105 </w:t>
      </w:r>
      <w:r w:rsidRPr="00991141">
        <w:rPr>
          <w:rFonts w:cs="Times New Roman"/>
          <w:szCs w:val="21"/>
        </w:rPr>
        <w:t xml:space="preserve">were carried out by scanning electron microscopy (SEM). </w:t>
      </w:r>
      <w:r w:rsidR="003B390D" w:rsidRPr="00991141">
        <w:rPr>
          <w:rFonts w:cs="Times New Roman"/>
          <w:szCs w:val="21"/>
        </w:rPr>
        <w:t>Transmission electron microscopy (TEM)</w:t>
      </w:r>
      <w:r w:rsidR="003B390D" w:rsidRPr="00991141">
        <w:rPr>
          <w:rFonts w:cs="Times New Roman" w:hint="eastAsia"/>
          <w:szCs w:val="21"/>
        </w:rPr>
        <w:t xml:space="preserve"> was conducted using </w:t>
      </w:r>
      <w:r w:rsidR="003B390D" w:rsidRPr="00991141">
        <w:rPr>
          <w:rFonts w:cs="Times New Roman"/>
          <w:szCs w:val="21"/>
        </w:rPr>
        <w:t>JEM-ARM 200F</w:t>
      </w:r>
      <w:r w:rsidR="003B390D" w:rsidRPr="00991141">
        <w:rPr>
          <w:rFonts w:cs="Times New Roman" w:hint="eastAsia"/>
          <w:szCs w:val="21"/>
        </w:rPr>
        <w:t xml:space="preserve"> instrument at 80 kV to deeply observe the microstructure of hd-LLM-105.</w:t>
      </w:r>
      <w:r w:rsidR="004745FF" w:rsidRPr="00991141">
        <w:rPr>
          <w:rFonts w:cs="Times New Roman" w:hint="eastAsia"/>
          <w:szCs w:val="21"/>
        </w:rPr>
        <w:t xml:space="preserve"> </w:t>
      </w:r>
      <w:r w:rsidR="001626B5" w:rsidRPr="00991141">
        <w:rPr>
          <w:rFonts w:cs="Times New Roman"/>
          <w:szCs w:val="21"/>
        </w:rPr>
        <w:t>X-ray diffraction</w:t>
      </w:r>
      <w:r w:rsidR="001958E2" w:rsidRPr="00991141">
        <w:rPr>
          <w:rFonts w:cs="Times New Roman" w:hint="eastAsia"/>
          <w:szCs w:val="21"/>
        </w:rPr>
        <w:t xml:space="preserve"> </w:t>
      </w:r>
      <w:r w:rsidR="001626B5" w:rsidRPr="00991141">
        <w:rPr>
          <w:rFonts w:cs="Times New Roman" w:hint="eastAsia"/>
          <w:szCs w:val="21"/>
        </w:rPr>
        <w:t>(XRD)</w:t>
      </w:r>
      <w:r w:rsidR="001626B5" w:rsidRPr="00991141">
        <w:rPr>
          <w:rFonts w:cs="Times New Roman"/>
          <w:szCs w:val="21"/>
        </w:rPr>
        <w:t xml:space="preserve"> </w:t>
      </w:r>
      <w:r w:rsidR="003275CF" w:rsidRPr="00991141">
        <w:t>using Cu Kα radiation (λ = 0.154056 nm)</w:t>
      </w:r>
      <w:r w:rsidR="003275CF" w:rsidRPr="00991141">
        <w:rPr>
          <w:rFonts w:hint="eastAsia"/>
        </w:rPr>
        <w:t xml:space="preserve"> </w:t>
      </w:r>
      <w:r w:rsidR="001958E2" w:rsidRPr="00991141">
        <w:rPr>
          <w:rFonts w:cs="Times New Roman" w:hint="eastAsia"/>
          <w:szCs w:val="21"/>
        </w:rPr>
        <w:t>between two-theta of 10</w:t>
      </w:r>
      <w:r w:rsidR="001958E2" w:rsidRPr="00991141">
        <w:rPr>
          <w:rFonts w:cs="Times New Roman" w:hint="eastAsia"/>
          <w:szCs w:val="21"/>
          <w:vertAlign w:val="superscript"/>
        </w:rPr>
        <w:t>o</w:t>
      </w:r>
      <w:r w:rsidR="001958E2" w:rsidRPr="00991141">
        <w:rPr>
          <w:rFonts w:cs="Times New Roman" w:hint="eastAsia"/>
          <w:szCs w:val="21"/>
        </w:rPr>
        <w:t xml:space="preserve"> to 30</w:t>
      </w:r>
      <w:r w:rsidR="001958E2" w:rsidRPr="00991141">
        <w:rPr>
          <w:rFonts w:cs="Times New Roman" w:hint="eastAsia"/>
          <w:szCs w:val="21"/>
          <w:vertAlign w:val="superscript"/>
        </w:rPr>
        <w:t>o</w:t>
      </w:r>
      <w:r w:rsidR="001958E2" w:rsidRPr="00991141">
        <w:rPr>
          <w:rFonts w:cs="Times New Roman" w:hint="eastAsia"/>
          <w:szCs w:val="21"/>
        </w:rPr>
        <w:t xml:space="preserve"> </w:t>
      </w:r>
      <w:r w:rsidR="002F4A43" w:rsidRPr="00991141">
        <w:rPr>
          <w:rFonts w:cs="Times New Roman" w:hint="eastAsia"/>
          <w:szCs w:val="21"/>
        </w:rPr>
        <w:t>were used to</w:t>
      </w:r>
      <w:r w:rsidR="001958E2" w:rsidRPr="00991141">
        <w:rPr>
          <w:rFonts w:cs="Times New Roman" w:hint="eastAsia"/>
          <w:szCs w:val="21"/>
        </w:rPr>
        <w:t xml:space="preserve"> analy</w:t>
      </w:r>
      <w:r w:rsidR="002F4A43" w:rsidRPr="00991141">
        <w:rPr>
          <w:rFonts w:cs="Times New Roman" w:hint="eastAsia"/>
          <w:szCs w:val="21"/>
        </w:rPr>
        <w:t>ze</w:t>
      </w:r>
      <w:r w:rsidR="00DA029B" w:rsidRPr="00991141">
        <w:rPr>
          <w:rFonts w:cs="Times New Roman" w:hint="eastAsia"/>
          <w:szCs w:val="21"/>
        </w:rPr>
        <w:t xml:space="preserve"> the</w:t>
      </w:r>
      <w:r w:rsidR="001958E2" w:rsidRPr="00991141">
        <w:rPr>
          <w:rFonts w:cs="Times New Roman" w:hint="eastAsia"/>
          <w:szCs w:val="21"/>
        </w:rPr>
        <w:t xml:space="preserve"> phase purity and potential crystal </w:t>
      </w:r>
      <w:r w:rsidR="001958E2" w:rsidRPr="00991141">
        <w:rPr>
          <w:rFonts w:cs="Times New Roman"/>
          <w:szCs w:val="21"/>
        </w:rPr>
        <w:t>orientation</w:t>
      </w:r>
      <w:r w:rsidR="001958E2" w:rsidRPr="00991141">
        <w:rPr>
          <w:rFonts w:cs="Times New Roman" w:hint="eastAsia"/>
          <w:szCs w:val="21"/>
        </w:rPr>
        <w:t xml:space="preserve">. </w:t>
      </w:r>
      <w:r w:rsidR="008B3399" w:rsidRPr="00991141">
        <w:rPr>
          <w:rFonts w:cs="Times New Roman" w:hint="eastAsia"/>
          <w:szCs w:val="21"/>
        </w:rPr>
        <w:t>Raman spectra of products were carried out using the light at 532 cm</w:t>
      </w:r>
      <w:r w:rsidR="008B3399" w:rsidRPr="00991141">
        <w:rPr>
          <w:rFonts w:cs="Times New Roman" w:hint="eastAsia"/>
          <w:szCs w:val="21"/>
          <w:vertAlign w:val="superscript"/>
        </w:rPr>
        <w:t>-1</w:t>
      </w:r>
      <w:r w:rsidR="008B3399" w:rsidRPr="00991141">
        <w:rPr>
          <w:rFonts w:cs="Times New Roman" w:hint="eastAsia"/>
          <w:szCs w:val="21"/>
        </w:rPr>
        <w:t xml:space="preserve"> for </w:t>
      </w:r>
      <w:r w:rsidR="000304DE" w:rsidRPr="00991141">
        <w:rPr>
          <w:rFonts w:cs="Times New Roman" w:hint="eastAsia"/>
          <w:szCs w:val="21"/>
        </w:rPr>
        <w:t xml:space="preserve">measuring </w:t>
      </w:r>
      <w:r w:rsidR="008B3399" w:rsidRPr="00991141">
        <w:rPr>
          <w:rFonts w:cs="Times New Roman" w:hint="eastAsia"/>
          <w:szCs w:val="21"/>
        </w:rPr>
        <w:t>the c</w:t>
      </w:r>
      <w:r w:rsidR="008B3399" w:rsidRPr="00991141">
        <w:rPr>
          <w:rFonts w:cs="Times New Roman"/>
          <w:szCs w:val="21"/>
        </w:rPr>
        <w:t>haracteristic vibration</w:t>
      </w:r>
      <w:r w:rsidR="008B3399" w:rsidRPr="00991141">
        <w:rPr>
          <w:rFonts w:cs="Times New Roman" w:hint="eastAsia"/>
          <w:szCs w:val="21"/>
        </w:rPr>
        <w:t xml:space="preserve"> modes. </w:t>
      </w:r>
      <w:r w:rsidR="00E01881" w:rsidRPr="00991141">
        <w:rPr>
          <w:rFonts w:cs="Times New Roman" w:hint="eastAsia"/>
          <w:szCs w:val="21"/>
        </w:rPr>
        <w:t xml:space="preserve">The </w:t>
      </w:r>
      <w:r w:rsidR="00E01881" w:rsidRPr="00991141">
        <w:rPr>
          <w:rFonts w:cs="Times New Roman"/>
          <w:szCs w:val="21"/>
        </w:rPr>
        <w:t>X-ray photoelectron spectroscopy (XPS</w:t>
      </w:r>
      <w:r w:rsidR="00E01881" w:rsidRPr="00991141">
        <w:rPr>
          <w:rFonts w:cs="Times New Roman" w:hint="eastAsia"/>
          <w:szCs w:val="21"/>
        </w:rPr>
        <w:t xml:space="preserve">) </w:t>
      </w:r>
      <w:r w:rsidR="00D3402C" w:rsidRPr="00991141">
        <w:rPr>
          <w:rFonts w:cs="Times New Roman"/>
        </w:rPr>
        <w:t>equipped with monochromatic Al Kα radiation (1486.6 eV)</w:t>
      </w:r>
      <w:r w:rsidR="00FB28BD" w:rsidRPr="00991141">
        <w:rPr>
          <w:rFonts w:cs="Times New Roman" w:hint="eastAsia"/>
        </w:rPr>
        <w:t xml:space="preserve"> </w:t>
      </w:r>
      <w:r w:rsidR="00E01881" w:rsidRPr="00991141">
        <w:rPr>
          <w:rFonts w:cs="Times New Roman" w:hint="eastAsia"/>
          <w:szCs w:val="21"/>
        </w:rPr>
        <w:t xml:space="preserve">was conducted to determine the chemical state of samples. </w:t>
      </w:r>
    </w:p>
    <w:p w14:paraId="53610A84" w14:textId="77777777" w:rsidR="00261A82" w:rsidRDefault="00261A82" w:rsidP="00A910DE">
      <w:pPr>
        <w:spacing w:line="480" w:lineRule="auto"/>
        <w:rPr>
          <w:rFonts w:cs="Times New Roman"/>
          <w:szCs w:val="21"/>
        </w:rPr>
      </w:pPr>
    </w:p>
    <w:p w14:paraId="09CD8222" w14:textId="02432EF1" w:rsidR="00261A82" w:rsidRPr="00991141" w:rsidRDefault="00261A82" w:rsidP="00261A82">
      <w:pPr>
        <w:spacing w:line="480" w:lineRule="auto"/>
      </w:pPr>
      <w:r w:rsidRPr="00991141">
        <w:rPr>
          <w:rFonts w:cs="Times New Roman"/>
        </w:rPr>
        <w:t>The gaseous products from thermal decomposition of samples</w:t>
      </w:r>
      <w:r w:rsidRPr="00991141">
        <w:rPr>
          <w:rFonts w:cs="Times New Roman" w:hint="eastAsia"/>
        </w:rPr>
        <w:t xml:space="preserve"> </w:t>
      </w:r>
      <w:r w:rsidRPr="00991141">
        <w:rPr>
          <w:rFonts w:cs="Times New Roman"/>
        </w:rPr>
        <w:t>were detected by using the TG-DSC/MS technique. This experiment was</w:t>
      </w:r>
      <w:r w:rsidRPr="00991141">
        <w:rPr>
          <w:rFonts w:cs="Times New Roman" w:hint="eastAsia"/>
        </w:rPr>
        <w:t xml:space="preserve"> </w:t>
      </w:r>
      <w:r w:rsidRPr="00991141">
        <w:rPr>
          <w:rFonts w:cs="Times New Roman"/>
        </w:rPr>
        <w:t>realized on a simultaneous thermos</w:t>
      </w:r>
      <w:r w:rsidRPr="00991141">
        <w:rPr>
          <w:rFonts w:cs="Times New Roman" w:hint="eastAsia"/>
        </w:rPr>
        <w:t>-</w:t>
      </w:r>
      <w:r w:rsidRPr="00991141">
        <w:rPr>
          <w:rFonts w:cs="Times New Roman"/>
        </w:rPr>
        <w:t>analyzer STA 449 F3 coupled with a</w:t>
      </w:r>
      <w:r w:rsidRPr="00991141">
        <w:rPr>
          <w:rFonts w:cs="Times New Roman" w:hint="eastAsia"/>
        </w:rPr>
        <w:t xml:space="preserve"> </w:t>
      </w:r>
      <w:r w:rsidRPr="00991141">
        <w:rPr>
          <w:rFonts w:cs="Times New Roman"/>
        </w:rPr>
        <w:t xml:space="preserve">quadrupole mass spectrometer QMS 403C </w:t>
      </w:r>
      <w:proofErr w:type="spellStart"/>
      <w:r w:rsidRPr="00991141">
        <w:rPr>
          <w:rFonts w:cs="Times New Roman"/>
        </w:rPr>
        <w:t>Aëolos</w:t>
      </w:r>
      <w:proofErr w:type="spellEnd"/>
      <w:r w:rsidRPr="00991141">
        <w:rPr>
          <w:rFonts w:cs="Times New Roman" w:hint="eastAsia"/>
        </w:rPr>
        <w:t xml:space="preserve">. </w:t>
      </w:r>
      <w:r w:rsidRPr="00991141">
        <w:rPr>
          <w:rFonts w:cs="Times New Roman"/>
        </w:rPr>
        <w:t>An alumina pan with a pin-hole cover was used. The sample</w:t>
      </w:r>
      <w:r w:rsidRPr="00991141">
        <w:rPr>
          <w:rFonts w:cs="Times New Roman" w:hint="eastAsia"/>
        </w:rPr>
        <w:t xml:space="preserve"> </w:t>
      </w:r>
      <w:r w:rsidRPr="00991141">
        <w:rPr>
          <w:rFonts w:cs="Times New Roman"/>
        </w:rPr>
        <w:t>masses for these measurements were about 3 mg</w:t>
      </w:r>
      <w:r w:rsidRPr="00991141">
        <w:rPr>
          <w:rFonts w:cs="Times New Roman" w:hint="eastAsia"/>
        </w:rPr>
        <w:t xml:space="preserve"> </w:t>
      </w:r>
      <w:r w:rsidRPr="00991141">
        <w:rPr>
          <w:rFonts w:cs="Times New Roman"/>
        </w:rPr>
        <w:t>with a heating rate of</w:t>
      </w:r>
      <w:r w:rsidRPr="00991141">
        <w:rPr>
          <w:rFonts w:cs="Times New Roman" w:hint="eastAsia"/>
        </w:rPr>
        <w:t xml:space="preserve"> </w:t>
      </w:r>
      <w:r w:rsidRPr="00991141">
        <w:rPr>
          <w:rFonts w:cs="Times New Roman"/>
        </w:rPr>
        <w:t>10 °C</w:t>
      </w:r>
      <w:r w:rsidRPr="00991141">
        <w:rPr>
          <w:rFonts w:cs="Times New Roman" w:hint="eastAsia"/>
        </w:rPr>
        <w:t>/K</w:t>
      </w:r>
      <w:r w:rsidRPr="00991141">
        <w:rPr>
          <w:rFonts w:cs="Times New Roman"/>
        </w:rPr>
        <w:t xml:space="preserve"> using </w:t>
      </w:r>
      <w:r w:rsidRPr="00991141">
        <w:rPr>
          <w:rFonts w:cs="Times New Roman" w:hint="eastAsia"/>
        </w:rPr>
        <w:t xml:space="preserve">the </w:t>
      </w:r>
      <w:r w:rsidRPr="00991141">
        <w:rPr>
          <w:rFonts w:cs="Times New Roman"/>
        </w:rPr>
        <w:t>argon atmosphere (gas ﬂow: 50 ml</w:t>
      </w:r>
      <w:r w:rsidRPr="00991141">
        <w:rPr>
          <w:rFonts w:cs="Times New Roman" w:hint="eastAsia"/>
        </w:rPr>
        <w:t>/</w:t>
      </w:r>
      <w:r w:rsidRPr="00991141">
        <w:rPr>
          <w:rFonts w:cs="Times New Roman"/>
        </w:rPr>
        <w:t>min).</w:t>
      </w:r>
      <w:r w:rsidRPr="00991141">
        <w:rPr>
          <w:rFonts w:cs="Times New Roman" w:hint="eastAsia"/>
        </w:rPr>
        <w:t xml:space="preserve"> </w:t>
      </w:r>
      <w:r w:rsidRPr="00991141">
        <w:rPr>
          <w:rFonts w:cs="Times New Roman"/>
        </w:rPr>
        <w:t>The element content was test</w:t>
      </w:r>
      <w:r w:rsidRPr="00991141">
        <w:rPr>
          <w:rFonts w:cs="Times New Roman" w:hint="eastAsia"/>
        </w:rPr>
        <w:t>ed</w:t>
      </w:r>
      <w:r w:rsidRPr="00991141">
        <w:rPr>
          <w:rFonts w:cs="Times New Roman"/>
        </w:rPr>
        <w:t xml:space="preserve"> by combustion method (Vario EL/micro cube)</w:t>
      </w:r>
      <w:r w:rsidRPr="00991141">
        <w:rPr>
          <w:rFonts w:cs="Times New Roman" w:hint="eastAsia"/>
        </w:rPr>
        <w:t xml:space="preserve">. </w:t>
      </w:r>
      <w:r w:rsidRPr="00991141">
        <w:rPr>
          <w:rFonts w:cs="Times New Roman"/>
          <w:szCs w:val="21"/>
        </w:rPr>
        <w:t xml:space="preserve">The combustion heat was measured by bomb calorimetry with an oxygen pressure of </w:t>
      </w:r>
      <w:r w:rsidRPr="00991141">
        <w:rPr>
          <w:rFonts w:ascii="Cambria Math" w:hAnsi="Cambria Math" w:cs="Cambria Math"/>
          <w:szCs w:val="21"/>
        </w:rPr>
        <w:t>∼</w:t>
      </w:r>
      <w:r w:rsidRPr="00991141">
        <w:rPr>
          <w:rFonts w:cs="Times New Roman"/>
          <w:szCs w:val="21"/>
        </w:rPr>
        <w:t>3.0 MPa, where the samples were ignited by an electric-heated nickel-chromium wire (</w:t>
      </w:r>
      <w:r w:rsidRPr="00991141">
        <w:rPr>
          <w:rFonts w:ascii="Cambria Math" w:hAnsi="Cambria Math" w:cs="Cambria Math"/>
          <w:szCs w:val="21"/>
        </w:rPr>
        <w:t>∼</w:t>
      </w:r>
      <w:r w:rsidRPr="00991141">
        <w:rPr>
          <w:rFonts w:cs="Times New Roman"/>
          <w:szCs w:val="21"/>
        </w:rPr>
        <w:t xml:space="preserve">0.5 mm in diameter). </w:t>
      </w:r>
      <w:r w:rsidRPr="00991141">
        <w:t>General</w:t>
      </w:r>
      <w:r w:rsidR="004F2505">
        <w:rPr>
          <w:rFonts w:hint="eastAsia"/>
        </w:rPr>
        <w:t>ly</w:t>
      </w:r>
      <w:r w:rsidRPr="00991141">
        <w:t xml:space="preserve"> adopted </w:t>
      </w:r>
      <w:proofErr w:type="spellStart"/>
      <w:r w:rsidRPr="00991141">
        <w:t>Bundesanstalt</w:t>
      </w:r>
      <w:proofErr w:type="spellEnd"/>
      <w:r w:rsidRPr="00991141">
        <w:t>-für-</w:t>
      </w:r>
      <w:proofErr w:type="spellStart"/>
      <w:r w:rsidRPr="00991141">
        <w:t>Materialforschung</w:t>
      </w:r>
      <w:proofErr w:type="spellEnd"/>
      <w:r w:rsidRPr="00991141">
        <w:t xml:space="preserve"> (BAM) impact and friction sensitivity</w:t>
      </w:r>
      <w:r w:rsidRPr="00991141">
        <w:rPr>
          <w:rFonts w:hint="eastAsia"/>
        </w:rPr>
        <w:t xml:space="preserve"> </w:t>
      </w:r>
      <w:r w:rsidRPr="00991141">
        <w:t xml:space="preserve">were conducted to evaluate the safety performance of </w:t>
      </w:r>
      <w:r w:rsidRPr="00991141">
        <w:rPr>
          <w:rFonts w:hint="eastAsia"/>
        </w:rPr>
        <w:t>as-prepared</w:t>
      </w:r>
      <w:r w:rsidRPr="00991141">
        <w:t xml:space="preserve"> products</w:t>
      </w:r>
      <w:r w:rsidRPr="00991141">
        <w:rPr>
          <w:rFonts w:hint="eastAsia"/>
        </w:rPr>
        <w:t xml:space="preserve">. </w:t>
      </w:r>
    </w:p>
    <w:p w14:paraId="20091DF6" w14:textId="179E7F31" w:rsidR="00DF07D0" w:rsidRPr="00991141" w:rsidRDefault="00DF07D0" w:rsidP="00DF07D0">
      <w:pPr>
        <w:spacing w:line="480" w:lineRule="auto"/>
        <w:rPr>
          <w:rFonts w:cs="Times New Roman"/>
          <w:b/>
          <w:bCs/>
        </w:rPr>
      </w:pPr>
      <w:r>
        <w:rPr>
          <w:rFonts w:cs="Times New Roman" w:hint="eastAsia"/>
          <w:b/>
          <w:bCs/>
        </w:rPr>
        <w:lastRenderedPageBreak/>
        <w:t>Decomposition kinetics analysis</w:t>
      </w:r>
    </w:p>
    <w:p w14:paraId="4605EDA8" w14:textId="6EC1AC62" w:rsidR="005C55CF" w:rsidRDefault="006A0C71" w:rsidP="00DF3294">
      <w:pPr>
        <w:spacing w:line="480" w:lineRule="auto"/>
        <w:rPr>
          <w:rFonts w:cs="Times New Roman"/>
        </w:rPr>
      </w:pPr>
      <w:r w:rsidRPr="00991141">
        <w:rPr>
          <w:rFonts w:cs="Times New Roman"/>
          <w:szCs w:val="21"/>
        </w:rPr>
        <w:t>Thermal gravimetric analysis (TGA) and differential scanning calorimetry (DSC) techniques were used to study the thermal decomposition behavior of the involved samples herein, performed on a simultaneous TGA/DSC Instrument under 50 mL</w:t>
      </w:r>
      <w:r w:rsidR="00DA35E7" w:rsidRPr="00991141">
        <w:rPr>
          <w:rFonts w:cs="Times New Roman"/>
          <w:szCs w:val="21"/>
        </w:rPr>
        <w:t>/</w:t>
      </w:r>
      <w:r w:rsidRPr="00991141">
        <w:rPr>
          <w:rFonts w:cs="Times New Roman"/>
          <w:szCs w:val="21"/>
        </w:rPr>
        <w:t>mi</w:t>
      </w:r>
      <w:r w:rsidR="00DA35E7" w:rsidRPr="00991141">
        <w:rPr>
          <w:rFonts w:cs="Times New Roman"/>
          <w:szCs w:val="21"/>
        </w:rPr>
        <w:t>n</w:t>
      </w:r>
      <w:r w:rsidRPr="00991141">
        <w:rPr>
          <w:rFonts w:cs="Times New Roman"/>
          <w:szCs w:val="21"/>
        </w:rPr>
        <w:t xml:space="preserve"> Ar atmosphere. The heating rate</w:t>
      </w:r>
      <w:r w:rsidR="006F026C" w:rsidRPr="00991141">
        <w:rPr>
          <w:rFonts w:cs="Times New Roman"/>
          <w:szCs w:val="21"/>
        </w:rPr>
        <w:t>s</w:t>
      </w:r>
      <w:r w:rsidRPr="00991141">
        <w:rPr>
          <w:rFonts w:cs="Times New Roman"/>
          <w:szCs w:val="21"/>
        </w:rPr>
        <w:t xml:space="preserve"> w</w:t>
      </w:r>
      <w:r w:rsidR="006F026C" w:rsidRPr="00991141">
        <w:rPr>
          <w:rFonts w:cs="Times New Roman"/>
          <w:szCs w:val="21"/>
        </w:rPr>
        <w:t xml:space="preserve">ere </w:t>
      </w:r>
      <w:r w:rsidRPr="00991141">
        <w:rPr>
          <w:rFonts w:cs="Times New Roman"/>
          <w:szCs w:val="21"/>
        </w:rPr>
        <w:t>5, 7.5, 10 and 15 °C</w:t>
      </w:r>
      <w:r w:rsidR="00BD36AE" w:rsidRPr="00991141">
        <w:rPr>
          <w:rFonts w:eastAsiaTheme="minorEastAsia" w:cs="Times New Roman"/>
          <w:szCs w:val="21"/>
        </w:rPr>
        <w:t>/</w:t>
      </w:r>
      <w:r w:rsidR="00BD36AE" w:rsidRPr="00991141">
        <w:rPr>
          <w:rFonts w:cs="Times New Roman"/>
          <w:szCs w:val="21"/>
        </w:rPr>
        <w:t>K</w:t>
      </w:r>
      <w:r w:rsidRPr="00991141">
        <w:rPr>
          <w:rFonts w:cs="Times New Roman"/>
          <w:szCs w:val="21"/>
        </w:rPr>
        <w:t xml:space="preserve"> in the temperature range of 50°C</w:t>
      </w:r>
      <w:r w:rsidR="005A6F72" w:rsidRPr="00991141">
        <w:rPr>
          <w:rFonts w:cs="Times New Roman"/>
          <w:szCs w:val="21"/>
        </w:rPr>
        <w:t xml:space="preserve"> to </w:t>
      </w:r>
      <w:r w:rsidRPr="00991141">
        <w:rPr>
          <w:rFonts w:cs="Times New Roman"/>
          <w:szCs w:val="21"/>
        </w:rPr>
        <w:t xml:space="preserve">500 °C. </w:t>
      </w:r>
      <w:r w:rsidR="00D76095" w:rsidRPr="00991141">
        <w:rPr>
          <w:rFonts w:cs="Times New Roman" w:hint="eastAsia"/>
          <w:szCs w:val="21"/>
        </w:rPr>
        <w:t>Samples</w:t>
      </w:r>
      <w:r w:rsidR="004B175A" w:rsidRPr="00991141">
        <w:rPr>
          <w:rFonts w:cs="Times New Roman" w:hint="eastAsia"/>
          <w:szCs w:val="21"/>
        </w:rPr>
        <w:t xml:space="preserve"> </w:t>
      </w:r>
      <w:r w:rsidR="00BD4B51" w:rsidRPr="00991141">
        <w:rPr>
          <w:rFonts w:cs="Times New Roman"/>
          <w:szCs w:val="21"/>
        </w:rPr>
        <w:t>used</w:t>
      </w:r>
      <w:r w:rsidR="00D76095" w:rsidRPr="00991141">
        <w:rPr>
          <w:rFonts w:cs="Times New Roman" w:hint="eastAsia"/>
          <w:szCs w:val="21"/>
        </w:rPr>
        <w:t xml:space="preserve"> for DSC tests were </w:t>
      </w:r>
      <w:r w:rsidR="00722209" w:rsidRPr="00991141">
        <w:rPr>
          <w:rFonts w:cs="Times New Roman" w:hint="eastAsia"/>
          <w:szCs w:val="21"/>
        </w:rPr>
        <w:t>about</w:t>
      </w:r>
      <w:r w:rsidR="00D76095" w:rsidRPr="00991141">
        <w:rPr>
          <w:rFonts w:cs="Times New Roman" w:hint="eastAsia"/>
          <w:szCs w:val="21"/>
        </w:rPr>
        <w:t xml:space="preserve"> 2.5 mg. </w:t>
      </w:r>
      <w:r w:rsidR="001958E2" w:rsidRPr="00991141">
        <w:rPr>
          <w:rFonts w:cs="Times New Roman" w:hint="eastAsia"/>
          <w:szCs w:val="21"/>
        </w:rPr>
        <w:t>K</w:t>
      </w:r>
      <w:r w:rsidR="007735A3" w:rsidRPr="00991141">
        <w:rPr>
          <w:rFonts w:cs="Times New Roman"/>
          <w:szCs w:val="21"/>
        </w:rPr>
        <w:t xml:space="preserve">inetics were analyzed using different </w:t>
      </w:r>
      <w:r w:rsidR="007B155F" w:rsidRPr="00991141">
        <w:rPr>
          <w:rFonts w:cs="Times New Roman"/>
          <w:szCs w:val="21"/>
        </w:rPr>
        <w:t>methods</w:t>
      </w:r>
      <w:r w:rsidR="007735A3" w:rsidRPr="00991141">
        <w:rPr>
          <w:rFonts w:cs="Times New Roman"/>
          <w:szCs w:val="21"/>
        </w:rPr>
        <w:t xml:space="preserve">. </w:t>
      </w:r>
      <w:r w:rsidR="007735A3" w:rsidRPr="00991141">
        <w:rPr>
          <w:rFonts w:cs="Times New Roman"/>
        </w:rPr>
        <w:t xml:space="preserve">The Friedman method offers a more precise correlation between the activation energy variation with the conversion rate while mitigating the impact of the model on calculation outcomes. On the other hand, the CKA method considers factors such as decomposition peak temperature, peak width, peak height, and symmetry to derive comprehensive kinetic parameters and decomposition models. Hence, the results obtained from both the CKA and Friedman methods are utilized in the subsequent discussion to delve deeper into the decomposition model and the activation energy variation. </w:t>
      </w:r>
    </w:p>
    <w:p w14:paraId="05F9F4F8" w14:textId="77777777" w:rsidR="00FD20A3" w:rsidRDefault="00FD20A3" w:rsidP="00DF3294">
      <w:pPr>
        <w:spacing w:line="480" w:lineRule="auto"/>
        <w:rPr>
          <w:rFonts w:cs="Times New Roman"/>
        </w:rPr>
      </w:pPr>
    </w:p>
    <w:p w14:paraId="07C0657E" w14:textId="21848CE1" w:rsidR="00792CB9" w:rsidRDefault="009B00E3" w:rsidP="00DF3294">
      <w:pPr>
        <w:spacing w:line="480" w:lineRule="auto"/>
        <w:rPr>
          <w:rFonts w:cs="Times New Roman"/>
          <w:szCs w:val="24"/>
        </w:rPr>
      </w:pPr>
      <w:bookmarkStart w:id="8" w:name="_Hlk197294861"/>
      <w:r w:rsidRPr="005325F2">
        <w:rPr>
          <w:rFonts w:cs="Times New Roman" w:hint="eastAsia"/>
          <w:highlight w:val="yellow"/>
        </w:rPr>
        <w:t>T</w:t>
      </w:r>
      <w:r w:rsidR="00FD20A3" w:rsidRPr="005325F2">
        <w:rPr>
          <w:rFonts w:cs="Times New Roman" w:hint="eastAsia"/>
          <w:highlight w:val="yellow"/>
        </w:rPr>
        <w:t>he</w:t>
      </w:r>
      <w:r w:rsidR="005325F2" w:rsidRPr="005325F2">
        <w:rPr>
          <w:rFonts w:cs="Times New Roman" w:hint="eastAsia"/>
          <w:highlight w:val="yellow"/>
        </w:rPr>
        <w:t xml:space="preserve"> models in</w:t>
      </w:r>
      <w:r w:rsidR="00FD20A3" w:rsidRPr="005325F2">
        <w:rPr>
          <w:rFonts w:cs="Times New Roman" w:hint="eastAsia"/>
          <w:highlight w:val="yellow"/>
        </w:rPr>
        <w:t xml:space="preserve"> kinetic analysis</w:t>
      </w:r>
      <w:r w:rsidR="005325F2" w:rsidRPr="005325F2">
        <w:rPr>
          <w:rFonts w:cs="Times New Roman" w:hint="eastAsia"/>
          <w:highlight w:val="yellow"/>
        </w:rPr>
        <w:t xml:space="preserve"> could be concluded </w:t>
      </w:r>
      <w:r w:rsidR="004F23A4">
        <w:rPr>
          <w:rFonts w:cs="Times New Roman" w:hint="eastAsia"/>
          <w:highlight w:val="yellow"/>
        </w:rPr>
        <w:t>in Table S1. Among them, some commonly used models include</w:t>
      </w:r>
      <w:r w:rsidR="005325F2" w:rsidRPr="005325F2">
        <w:rPr>
          <w:rFonts w:cs="Times New Roman" w:hint="eastAsia"/>
          <w:highlight w:val="yellow"/>
        </w:rPr>
        <w:t xml:space="preserve"> </w:t>
      </w:r>
      <w:r w:rsidR="00792CB9" w:rsidRPr="005325F2">
        <w:rPr>
          <w:rFonts w:cs="Times New Roman"/>
          <w:szCs w:val="24"/>
          <w:highlight w:val="yellow"/>
        </w:rPr>
        <w:t>D2, two-dimensional diffusion; R2, phase boundary</w:t>
      </w:r>
      <w:r w:rsidR="00792CB9" w:rsidRPr="005325F2">
        <w:rPr>
          <w:rFonts w:cs="Times New Roman" w:hint="eastAsia"/>
          <w:szCs w:val="24"/>
          <w:highlight w:val="yellow"/>
        </w:rPr>
        <w:t>-</w:t>
      </w:r>
      <w:r w:rsidR="00792CB9" w:rsidRPr="005325F2">
        <w:rPr>
          <w:rFonts w:cs="Times New Roman"/>
          <w:szCs w:val="24"/>
          <w:highlight w:val="yellow"/>
        </w:rPr>
        <w:t>controlled reaction (contracting area)</w:t>
      </w:r>
      <w:r w:rsidR="00792CB9" w:rsidRPr="005325F2">
        <w:rPr>
          <w:rFonts w:cs="Times New Roman" w:hint="eastAsia"/>
          <w:szCs w:val="24"/>
          <w:highlight w:val="yellow"/>
        </w:rPr>
        <w:t>;</w:t>
      </w:r>
      <w:r w:rsidR="00792CB9" w:rsidRPr="005325F2">
        <w:rPr>
          <w:rFonts w:cs="Times New Roman"/>
          <w:szCs w:val="24"/>
          <w:highlight w:val="yellow"/>
        </w:rPr>
        <w:t xml:space="preserve"> R3, phase-boundary controlled reaction (contracting volume); F1, first-order reaction, so-called unimolecular decay law, where random nucleation occurs followed by an instantaneous growth of nuclei; A2 and A3, random two- and three-dimensional nucleation and nucleus growth models</w:t>
      </w:r>
      <w:r w:rsidR="00792CB9" w:rsidRPr="005325F2">
        <w:rPr>
          <w:rFonts w:cs="Times New Roman" w:hint="eastAsia"/>
          <w:szCs w:val="24"/>
          <w:highlight w:val="yellow"/>
        </w:rPr>
        <w:t>;</w:t>
      </w:r>
      <w:r w:rsidR="00792CB9" w:rsidRPr="005325F2">
        <w:rPr>
          <w:rFonts w:cs="Times New Roman"/>
          <w:szCs w:val="24"/>
          <w:highlight w:val="yellow"/>
        </w:rPr>
        <w:t xml:space="preserve"> L2, random chain scission model.</w:t>
      </w:r>
    </w:p>
    <w:p w14:paraId="654C666A" w14:textId="77777777" w:rsidR="005F4319" w:rsidRPr="00475D31" w:rsidRDefault="005F4319" w:rsidP="005F4319">
      <w:pPr>
        <w:jc w:val="center"/>
        <w:rPr>
          <w:rFonts w:cs="Times New Roman"/>
          <w:highlight w:val="yellow"/>
        </w:rPr>
      </w:pPr>
      <w:r w:rsidRPr="00475D31">
        <w:rPr>
          <w:rFonts w:cs="Times New Roman"/>
          <w:highlight w:val="yellow"/>
        </w:rPr>
        <w:lastRenderedPageBreak/>
        <w:t>Table R1. The ideal physical decomposition model</w:t>
      </w:r>
    </w:p>
    <w:tbl>
      <w:tblPr>
        <w:tblStyle w:val="a9"/>
        <w:tblW w:w="5000" w:type="pct"/>
        <w:jc w:val="center"/>
        <w:tblBorders>
          <w:insideH w:val="none" w:sz="0" w:space="0" w:color="auto"/>
          <w:insideV w:val="none" w:sz="0" w:space="0" w:color="auto"/>
        </w:tblBorders>
        <w:tblLook w:val="04A0" w:firstRow="1" w:lastRow="0" w:firstColumn="1" w:lastColumn="0" w:noHBand="0" w:noVBand="1"/>
      </w:tblPr>
      <w:tblGrid>
        <w:gridCol w:w="666"/>
        <w:gridCol w:w="5253"/>
        <w:gridCol w:w="2377"/>
      </w:tblGrid>
      <w:tr w:rsidR="00475D31" w:rsidRPr="00475D31" w14:paraId="44C863F7" w14:textId="77777777" w:rsidTr="00E234CD">
        <w:trPr>
          <w:trHeight w:val="261"/>
          <w:jc w:val="center"/>
        </w:trPr>
        <w:tc>
          <w:tcPr>
            <w:tcW w:w="400" w:type="pct"/>
            <w:tcBorders>
              <w:top w:val="single" w:sz="12" w:space="0" w:color="auto"/>
              <w:left w:val="single" w:sz="4" w:space="0" w:color="FFFFFF" w:themeColor="background1"/>
              <w:bottom w:val="single" w:sz="4" w:space="0" w:color="auto"/>
            </w:tcBorders>
            <w:shd w:val="clear" w:color="auto" w:fill="auto"/>
            <w:vAlign w:val="center"/>
          </w:tcPr>
          <w:p w14:paraId="3F01E0C0"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Abbr.</w:t>
            </w:r>
          </w:p>
        </w:tc>
        <w:tc>
          <w:tcPr>
            <w:tcW w:w="3167" w:type="pct"/>
            <w:tcBorders>
              <w:top w:val="single" w:sz="12" w:space="0" w:color="auto"/>
              <w:left w:val="single" w:sz="4" w:space="0" w:color="FFFFFF" w:themeColor="background1"/>
              <w:bottom w:val="single" w:sz="4" w:space="0" w:color="auto"/>
            </w:tcBorders>
            <w:shd w:val="clear" w:color="auto" w:fill="auto"/>
            <w:vAlign w:val="center"/>
          </w:tcPr>
          <w:p w14:paraId="46180356"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Ideal Physical Model</w:t>
            </w:r>
          </w:p>
        </w:tc>
        <w:tc>
          <w:tcPr>
            <w:tcW w:w="1433" w:type="pct"/>
            <w:tcBorders>
              <w:top w:val="single" w:sz="12" w:space="0" w:color="auto"/>
              <w:bottom w:val="single" w:sz="4" w:space="0" w:color="auto"/>
              <w:right w:val="single" w:sz="4" w:space="0" w:color="FFFFFF" w:themeColor="background1"/>
            </w:tcBorders>
            <w:shd w:val="clear" w:color="auto" w:fill="auto"/>
            <w:vAlign w:val="center"/>
          </w:tcPr>
          <w:p w14:paraId="2244CF10" w14:textId="77777777" w:rsidR="005F4319" w:rsidRPr="00475D31" w:rsidRDefault="005F4319" w:rsidP="00E234CD">
            <w:pPr>
              <w:jc w:val="center"/>
              <w:rPr>
                <w:rFonts w:cs="Times New Roman"/>
                <w:sz w:val="20"/>
                <w:szCs w:val="20"/>
                <w:highlight w:val="yellow"/>
              </w:rPr>
            </w:pPr>
            <w:r w:rsidRPr="00475D31">
              <w:rPr>
                <w:rFonts w:cs="Times New Roman"/>
                <w:i/>
                <w:sz w:val="20"/>
                <w:szCs w:val="20"/>
                <w:highlight w:val="yellow"/>
              </w:rPr>
              <w:t>f(α)</w:t>
            </w:r>
          </w:p>
        </w:tc>
      </w:tr>
      <w:tr w:rsidR="00475D31" w:rsidRPr="00475D31" w14:paraId="2B5635B7" w14:textId="77777777" w:rsidTr="00E234CD">
        <w:trPr>
          <w:trHeight w:val="354"/>
          <w:jc w:val="center"/>
        </w:trPr>
        <w:tc>
          <w:tcPr>
            <w:tcW w:w="400" w:type="pct"/>
            <w:tcBorders>
              <w:left w:val="single" w:sz="4" w:space="0" w:color="FFFFFF" w:themeColor="background1"/>
            </w:tcBorders>
            <w:vAlign w:val="center"/>
          </w:tcPr>
          <w:p w14:paraId="56AFDBB0"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F1</w:t>
            </w:r>
          </w:p>
        </w:tc>
        <w:tc>
          <w:tcPr>
            <w:tcW w:w="3167" w:type="pct"/>
            <w:tcBorders>
              <w:left w:val="single" w:sz="4" w:space="0" w:color="FFFFFF" w:themeColor="background1"/>
            </w:tcBorders>
            <w:vAlign w:val="center"/>
          </w:tcPr>
          <w:p w14:paraId="338BCA6D"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Unimolecular decay law</w:t>
            </w:r>
          </w:p>
        </w:tc>
        <w:tc>
          <w:tcPr>
            <w:tcW w:w="1433" w:type="pct"/>
            <w:tcBorders>
              <w:right w:val="single" w:sz="4" w:space="0" w:color="FFFFFF" w:themeColor="background1"/>
            </w:tcBorders>
            <w:vAlign w:val="center"/>
          </w:tcPr>
          <w:p w14:paraId="14E1891F" w14:textId="77777777" w:rsidR="005F4319" w:rsidRPr="00475D31" w:rsidRDefault="005F4319" w:rsidP="00E234CD">
            <w:pPr>
              <w:jc w:val="center"/>
              <w:rPr>
                <w:rFonts w:cs="Times New Roman"/>
                <w:sz w:val="20"/>
                <w:szCs w:val="20"/>
                <w:highlight w:val="yellow"/>
              </w:rPr>
            </w:pPr>
            <w:bookmarkStart w:id="9" w:name="OLE_LINK37"/>
            <w:r w:rsidRPr="00475D31">
              <w:rPr>
                <w:rFonts w:cs="Times New Roman"/>
                <w:sz w:val="20"/>
                <w:szCs w:val="20"/>
                <w:highlight w:val="yellow"/>
              </w:rPr>
              <w:t>1-</w:t>
            </w:r>
            <w:r w:rsidRPr="00475D31">
              <w:rPr>
                <w:rFonts w:cs="Times New Roman"/>
                <w:i/>
                <w:iCs/>
                <w:sz w:val="20"/>
                <w:szCs w:val="20"/>
                <w:highlight w:val="yellow"/>
              </w:rPr>
              <w:t>α</w:t>
            </w:r>
            <w:bookmarkEnd w:id="9"/>
          </w:p>
        </w:tc>
      </w:tr>
      <w:tr w:rsidR="00475D31" w:rsidRPr="00475D31" w14:paraId="3EC6D714" w14:textId="77777777" w:rsidTr="00E234CD">
        <w:trPr>
          <w:trHeight w:val="368"/>
          <w:jc w:val="center"/>
        </w:trPr>
        <w:tc>
          <w:tcPr>
            <w:tcW w:w="400" w:type="pct"/>
            <w:tcBorders>
              <w:left w:val="single" w:sz="4" w:space="0" w:color="FFFFFF" w:themeColor="background1"/>
            </w:tcBorders>
            <w:vAlign w:val="center"/>
          </w:tcPr>
          <w:p w14:paraId="255783F3"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D2</w:t>
            </w:r>
          </w:p>
        </w:tc>
        <w:tc>
          <w:tcPr>
            <w:tcW w:w="3167" w:type="pct"/>
            <w:tcBorders>
              <w:left w:val="single" w:sz="4" w:space="0" w:color="FFFFFF" w:themeColor="background1"/>
            </w:tcBorders>
            <w:vAlign w:val="center"/>
          </w:tcPr>
          <w:p w14:paraId="296DCC48"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2D diffusion (bidimensional particle shape)</w:t>
            </w:r>
          </w:p>
        </w:tc>
        <w:tc>
          <w:tcPr>
            <w:tcW w:w="1433" w:type="pct"/>
            <w:tcBorders>
              <w:right w:val="single" w:sz="4" w:space="0" w:color="FFFFFF" w:themeColor="background1"/>
            </w:tcBorders>
            <w:vAlign w:val="center"/>
          </w:tcPr>
          <w:p w14:paraId="7442B92D" w14:textId="77777777" w:rsidR="005F4319" w:rsidRPr="00475D31" w:rsidRDefault="005F4319" w:rsidP="00E234CD">
            <w:pPr>
              <w:jc w:val="center"/>
              <w:rPr>
                <w:rFonts w:cs="Times New Roman"/>
                <w:sz w:val="20"/>
                <w:szCs w:val="20"/>
                <w:highlight w:val="yellow"/>
                <w:vertAlign w:val="superscript"/>
              </w:rPr>
            </w:pPr>
            <w:r w:rsidRPr="00475D31">
              <w:rPr>
                <w:rFonts w:cs="Times New Roman"/>
                <w:sz w:val="20"/>
                <w:szCs w:val="20"/>
                <w:highlight w:val="yellow"/>
              </w:rPr>
              <w:t>[-ln(1-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-1</w:t>
            </w:r>
          </w:p>
        </w:tc>
      </w:tr>
      <w:tr w:rsidR="00475D31" w:rsidRPr="00475D31" w14:paraId="09713F8A" w14:textId="77777777" w:rsidTr="00E234CD">
        <w:trPr>
          <w:trHeight w:val="354"/>
          <w:jc w:val="center"/>
        </w:trPr>
        <w:tc>
          <w:tcPr>
            <w:tcW w:w="400" w:type="pct"/>
            <w:tcBorders>
              <w:left w:val="single" w:sz="4" w:space="0" w:color="FFFFFF" w:themeColor="background1"/>
            </w:tcBorders>
            <w:vAlign w:val="center"/>
          </w:tcPr>
          <w:p w14:paraId="6D35EB1C"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D3</w:t>
            </w:r>
          </w:p>
        </w:tc>
        <w:tc>
          <w:tcPr>
            <w:tcW w:w="3167" w:type="pct"/>
            <w:tcBorders>
              <w:left w:val="single" w:sz="4" w:space="0" w:color="FFFFFF" w:themeColor="background1"/>
            </w:tcBorders>
            <w:vAlign w:val="center"/>
          </w:tcPr>
          <w:p w14:paraId="48899100"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3D diffusion (tridimensional particle shape)</w:t>
            </w:r>
          </w:p>
        </w:tc>
        <w:tc>
          <w:tcPr>
            <w:tcW w:w="1433" w:type="pct"/>
            <w:tcBorders>
              <w:right w:val="single" w:sz="4" w:space="0" w:color="FFFFFF" w:themeColor="background1"/>
            </w:tcBorders>
            <w:vAlign w:val="center"/>
          </w:tcPr>
          <w:p w14:paraId="608C8257"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[3(1-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2/3]</w:t>
            </w:r>
            <w:r w:rsidRPr="00475D31">
              <w:rPr>
                <w:rFonts w:cs="Times New Roman"/>
                <w:sz w:val="20"/>
                <w:szCs w:val="20"/>
                <w:highlight w:val="yellow"/>
              </w:rPr>
              <w:t>/2[1-(1-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1/3</w:t>
            </w:r>
            <w:r w:rsidRPr="00475D31">
              <w:rPr>
                <w:rFonts w:cs="Times New Roman"/>
                <w:sz w:val="20"/>
                <w:szCs w:val="20"/>
                <w:highlight w:val="yellow"/>
              </w:rPr>
              <w:t>]</w:t>
            </w:r>
          </w:p>
        </w:tc>
      </w:tr>
      <w:tr w:rsidR="00475D31" w:rsidRPr="00475D31" w14:paraId="37A4FFBD" w14:textId="77777777" w:rsidTr="00E234CD">
        <w:trPr>
          <w:trHeight w:val="368"/>
          <w:jc w:val="center"/>
        </w:trPr>
        <w:tc>
          <w:tcPr>
            <w:tcW w:w="400" w:type="pct"/>
            <w:tcBorders>
              <w:left w:val="single" w:sz="4" w:space="0" w:color="FFFFFF" w:themeColor="background1"/>
            </w:tcBorders>
            <w:vAlign w:val="center"/>
          </w:tcPr>
          <w:p w14:paraId="589F553E"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R2</w:t>
            </w:r>
          </w:p>
        </w:tc>
        <w:tc>
          <w:tcPr>
            <w:tcW w:w="3167" w:type="pct"/>
            <w:tcBorders>
              <w:left w:val="single" w:sz="4" w:space="0" w:color="FFFFFF" w:themeColor="background1"/>
            </w:tcBorders>
            <w:vAlign w:val="center"/>
          </w:tcPr>
          <w:p w14:paraId="739609A1"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Phase boundary-controlled reaction (bidimensional shape)</w:t>
            </w:r>
          </w:p>
        </w:tc>
        <w:tc>
          <w:tcPr>
            <w:tcW w:w="1433" w:type="pct"/>
            <w:tcBorders>
              <w:right w:val="single" w:sz="4" w:space="0" w:color="FFFFFF" w:themeColor="background1"/>
            </w:tcBorders>
            <w:vAlign w:val="center"/>
          </w:tcPr>
          <w:p w14:paraId="5DFC6B15" w14:textId="77777777" w:rsidR="005F4319" w:rsidRPr="00475D31" w:rsidRDefault="005F4319" w:rsidP="00E234CD">
            <w:pPr>
              <w:jc w:val="center"/>
              <w:rPr>
                <w:rFonts w:cs="Times New Roman"/>
                <w:sz w:val="20"/>
                <w:szCs w:val="20"/>
                <w:highlight w:val="yellow"/>
                <w:vertAlign w:val="superscript"/>
              </w:rPr>
            </w:pPr>
            <w:r w:rsidRPr="00475D31">
              <w:rPr>
                <w:rFonts w:cs="Times New Roman"/>
                <w:sz w:val="20"/>
                <w:szCs w:val="20"/>
                <w:highlight w:val="yellow"/>
              </w:rPr>
              <w:t>(1-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1/2</w:t>
            </w:r>
          </w:p>
        </w:tc>
      </w:tr>
      <w:tr w:rsidR="00475D31" w:rsidRPr="00475D31" w14:paraId="2D65BE81" w14:textId="77777777" w:rsidTr="00E234CD">
        <w:trPr>
          <w:trHeight w:val="368"/>
          <w:jc w:val="center"/>
        </w:trPr>
        <w:tc>
          <w:tcPr>
            <w:tcW w:w="400" w:type="pct"/>
            <w:tcBorders>
              <w:left w:val="single" w:sz="4" w:space="0" w:color="FFFFFF" w:themeColor="background1"/>
            </w:tcBorders>
            <w:vAlign w:val="center"/>
          </w:tcPr>
          <w:p w14:paraId="4FF3B9D8"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R3</w:t>
            </w:r>
          </w:p>
        </w:tc>
        <w:tc>
          <w:tcPr>
            <w:tcW w:w="3167" w:type="pct"/>
            <w:tcBorders>
              <w:left w:val="single" w:sz="4" w:space="0" w:color="FFFFFF" w:themeColor="background1"/>
            </w:tcBorders>
            <w:vAlign w:val="center"/>
          </w:tcPr>
          <w:p w14:paraId="542D788C"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Phase boundary-controlled reaction (tridimensional shape)</w:t>
            </w:r>
          </w:p>
        </w:tc>
        <w:tc>
          <w:tcPr>
            <w:tcW w:w="1433" w:type="pct"/>
            <w:tcBorders>
              <w:right w:val="single" w:sz="4" w:space="0" w:color="FFFFFF" w:themeColor="background1"/>
            </w:tcBorders>
            <w:vAlign w:val="center"/>
          </w:tcPr>
          <w:p w14:paraId="6F766DF8"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(1-</w:t>
            </w:r>
            <w:bookmarkStart w:id="10" w:name="OLE_LINK47"/>
            <w:bookmarkStart w:id="11" w:name="OLE_LINK48"/>
            <w:r w:rsidRPr="00475D31">
              <w:rPr>
                <w:rFonts w:cs="Times New Roman"/>
                <w:i/>
                <w:iCs/>
                <w:sz w:val="20"/>
                <w:szCs w:val="20"/>
                <w:highlight w:val="yellow"/>
              </w:rPr>
              <w:t>α</w:t>
            </w:r>
            <w:bookmarkEnd w:id="10"/>
            <w:bookmarkEnd w:id="11"/>
            <w:r w:rsidRPr="00475D31">
              <w:rPr>
                <w:rFonts w:cs="Times New Roman"/>
                <w:sz w:val="20"/>
                <w:szCs w:val="20"/>
                <w:highlight w:val="yellow"/>
              </w:rPr>
              <w:t>)</w:t>
            </w:r>
            <w:r w:rsidRPr="00475D31">
              <w:rPr>
                <w:rFonts w:cs="Times New Roman"/>
                <w:sz w:val="20"/>
                <w:szCs w:val="20"/>
                <w:highlight w:val="yellow"/>
                <w:vertAlign w:val="superscript"/>
              </w:rPr>
              <w:t>2/3</w:t>
            </w:r>
          </w:p>
        </w:tc>
      </w:tr>
      <w:tr w:rsidR="00475D31" w:rsidRPr="00475D31" w14:paraId="2C92CC55" w14:textId="77777777" w:rsidTr="00E234CD">
        <w:trPr>
          <w:trHeight w:val="354"/>
          <w:jc w:val="center"/>
        </w:trPr>
        <w:tc>
          <w:tcPr>
            <w:tcW w:w="400" w:type="pct"/>
            <w:tcBorders>
              <w:left w:val="single" w:sz="4" w:space="0" w:color="FFFFFF" w:themeColor="background1"/>
            </w:tcBorders>
            <w:vAlign w:val="center"/>
          </w:tcPr>
          <w:p w14:paraId="334A14A2"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A2</w:t>
            </w:r>
          </w:p>
        </w:tc>
        <w:tc>
          <w:tcPr>
            <w:tcW w:w="3167" w:type="pct"/>
            <w:tcBorders>
              <w:left w:val="single" w:sz="4" w:space="0" w:color="FFFFFF" w:themeColor="background1"/>
            </w:tcBorders>
            <w:vAlign w:val="center"/>
          </w:tcPr>
          <w:p w14:paraId="3C06666A"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Random instant nucleation and 2D growth of nuclei</w:t>
            </w:r>
          </w:p>
        </w:tc>
        <w:tc>
          <w:tcPr>
            <w:tcW w:w="1433" w:type="pct"/>
            <w:tcBorders>
              <w:right w:val="single" w:sz="4" w:space="0" w:color="FFFFFF" w:themeColor="background1"/>
            </w:tcBorders>
            <w:vAlign w:val="center"/>
          </w:tcPr>
          <w:p w14:paraId="5C93C8FF"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2(1-</w:t>
            </w:r>
            <w:r w:rsidRPr="00475D31">
              <w:rPr>
                <w:rFonts w:cs="Times New Roman"/>
                <w:i/>
                <w:iCs/>
                <w:sz w:val="20"/>
                <w:szCs w:val="20"/>
                <w:highlight w:val="yellow"/>
              </w:rPr>
              <w:t>α</w:t>
            </w:r>
            <w:r w:rsidRPr="00475D31">
              <w:rPr>
                <w:rFonts w:eastAsia="TimesNewRomanPSMT" w:cs="Times New Roman"/>
                <w:kern w:val="0"/>
                <w:sz w:val="20"/>
                <w:szCs w:val="20"/>
                <w:highlight w:val="yellow"/>
              </w:rPr>
              <w:t>) [-ln(1-</w:t>
            </w:r>
            <w:r w:rsidRPr="00475D31">
              <w:rPr>
                <w:rFonts w:cs="Times New Roman"/>
                <w:i/>
                <w:iCs/>
                <w:sz w:val="20"/>
                <w:szCs w:val="20"/>
                <w:highlight w:val="yellow"/>
              </w:rPr>
              <w:t>α</w:t>
            </w:r>
            <w:r w:rsidRPr="00475D31">
              <w:rPr>
                <w:rFonts w:eastAsia="TimesNewRomanPSMT" w:cs="Times New Roman"/>
                <w:kern w:val="0"/>
                <w:sz w:val="20"/>
                <w:szCs w:val="20"/>
                <w:highlight w:val="yellow"/>
              </w:rPr>
              <w:t>)]</w:t>
            </w:r>
            <w:r w:rsidRPr="00475D31">
              <w:rPr>
                <w:rFonts w:eastAsia="TimesNewRomanPSMT" w:cs="Times New Roman"/>
                <w:kern w:val="0"/>
                <w:sz w:val="20"/>
                <w:szCs w:val="20"/>
                <w:highlight w:val="yellow"/>
                <w:vertAlign w:val="superscript"/>
              </w:rPr>
              <w:t>1/2</w:t>
            </w:r>
          </w:p>
        </w:tc>
      </w:tr>
      <w:tr w:rsidR="00475D31" w:rsidRPr="00475D31" w14:paraId="2514F116" w14:textId="77777777" w:rsidTr="00E234CD">
        <w:trPr>
          <w:trHeight w:val="368"/>
          <w:jc w:val="center"/>
        </w:trPr>
        <w:tc>
          <w:tcPr>
            <w:tcW w:w="400" w:type="pct"/>
            <w:tcBorders>
              <w:left w:val="single" w:sz="4" w:space="0" w:color="FFFFFF" w:themeColor="background1"/>
            </w:tcBorders>
            <w:vAlign w:val="center"/>
          </w:tcPr>
          <w:p w14:paraId="16B5AFB9"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A3</w:t>
            </w:r>
          </w:p>
        </w:tc>
        <w:tc>
          <w:tcPr>
            <w:tcW w:w="3167" w:type="pct"/>
            <w:tcBorders>
              <w:left w:val="single" w:sz="4" w:space="0" w:color="FFFFFF" w:themeColor="background1"/>
            </w:tcBorders>
            <w:vAlign w:val="center"/>
          </w:tcPr>
          <w:p w14:paraId="532313B0"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Random instant nucleation and 3D growth of nuclei</w:t>
            </w:r>
          </w:p>
        </w:tc>
        <w:tc>
          <w:tcPr>
            <w:tcW w:w="1433" w:type="pct"/>
            <w:tcBorders>
              <w:right w:val="single" w:sz="4" w:space="0" w:color="FFFFFF" w:themeColor="background1"/>
            </w:tcBorders>
            <w:vAlign w:val="center"/>
          </w:tcPr>
          <w:p w14:paraId="03B72BB8"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3(1-</w:t>
            </w:r>
            <w:r w:rsidRPr="00475D31">
              <w:rPr>
                <w:rFonts w:cs="Times New Roman"/>
                <w:i/>
                <w:iCs/>
                <w:sz w:val="20"/>
                <w:szCs w:val="20"/>
                <w:highlight w:val="yellow"/>
              </w:rPr>
              <w:t>α</w:t>
            </w:r>
            <w:r w:rsidRPr="00475D31">
              <w:rPr>
                <w:rFonts w:eastAsia="TimesNewRomanPSMT" w:cs="Times New Roman"/>
                <w:kern w:val="0"/>
                <w:sz w:val="20"/>
                <w:szCs w:val="20"/>
                <w:highlight w:val="yellow"/>
              </w:rPr>
              <w:t>) [-ln(1-</w:t>
            </w:r>
            <w:r w:rsidRPr="00475D31">
              <w:rPr>
                <w:rFonts w:cs="Times New Roman"/>
                <w:i/>
                <w:iCs/>
                <w:sz w:val="20"/>
                <w:szCs w:val="20"/>
                <w:highlight w:val="yellow"/>
              </w:rPr>
              <w:t>α</w:t>
            </w:r>
            <w:r w:rsidRPr="00475D31">
              <w:rPr>
                <w:rFonts w:eastAsia="TimesNewRomanPSMT" w:cs="Times New Roman"/>
                <w:kern w:val="0"/>
                <w:sz w:val="20"/>
                <w:szCs w:val="20"/>
                <w:highlight w:val="yellow"/>
              </w:rPr>
              <w:t>)]</w:t>
            </w:r>
            <w:r w:rsidRPr="00475D31">
              <w:rPr>
                <w:rFonts w:eastAsia="TimesNewRomanPSMT" w:cs="Times New Roman"/>
                <w:kern w:val="0"/>
                <w:sz w:val="20"/>
                <w:szCs w:val="20"/>
                <w:highlight w:val="yellow"/>
                <w:vertAlign w:val="superscript"/>
              </w:rPr>
              <w:t>2/3</w:t>
            </w:r>
          </w:p>
        </w:tc>
      </w:tr>
      <w:tr w:rsidR="00475D31" w:rsidRPr="00475D31" w14:paraId="628B9993" w14:textId="77777777" w:rsidTr="00E234CD">
        <w:trPr>
          <w:trHeight w:val="354"/>
          <w:jc w:val="center"/>
        </w:trPr>
        <w:tc>
          <w:tcPr>
            <w:tcW w:w="400" w:type="pct"/>
            <w:tcBorders>
              <w:left w:val="single" w:sz="4" w:space="0" w:color="FFFFFF" w:themeColor="background1"/>
            </w:tcBorders>
            <w:vAlign w:val="center"/>
          </w:tcPr>
          <w:p w14:paraId="2F719828"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C2</w:t>
            </w:r>
          </w:p>
        </w:tc>
        <w:tc>
          <w:tcPr>
            <w:tcW w:w="3167" w:type="pct"/>
            <w:tcBorders>
              <w:left w:val="single" w:sz="4" w:space="0" w:color="FFFFFF" w:themeColor="background1"/>
            </w:tcBorders>
            <w:vAlign w:val="center"/>
          </w:tcPr>
          <w:p w14:paraId="33E71518"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Cylinder contraction</w:t>
            </w:r>
          </w:p>
        </w:tc>
        <w:tc>
          <w:tcPr>
            <w:tcW w:w="1433" w:type="pct"/>
            <w:tcBorders>
              <w:right w:val="single" w:sz="4" w:space="0" w:color="FFFFFF" w:themeColor="background1"/>
            </w:tcBorders>
            <w:vAlign w:val="center"/>
          </w:tcPr>
          <w:p w14:paraId="4320F609"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2(1-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1/2</w:t>
            </w:r>
          </w:p>
        </w:tc>
      </w:tr>
      <w:tr w:rsidR="00475D31" w:rsidRPr="00475D31" w14:paraId="7A271B40" w14:textId="77777777" w:rsidTr="00E234CD">
        <w:trPr>
          <w:trHeight w:val="368"/>
          <w:jc w:val="center"/>
        </w:trPr>
        <w:tc>
          <w:tcPr>
            <w:tcW w:w="400" w:type="pct"/>
            <w:tcBorders>
              <w:left w:val="single" w:sz="4" w:space="0" w:color="FFFFFF" w:themeColor="background1"/>
            </w:tcBorders>
            <w:vAlign w:val="center"/>
          </w:tcPr>
          <w:p w14:paraId="208F823B"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C3</w:t>
            </w:r>
          </w:p>
        </w:tc>
        <w:tc>
          <w:tcPr>
            <w:tcW w:w="3167" w:type="pct"/>
            <w:tcBorders>
              <w:left w:val="single" w:sz="4" w:space="0" w:color="FFFFFF" w:themeColor="background1"/>
            </w:tcBorders>
            <w:vAlign w:val="center"/>
          </w:tcPr>
          <w:p w14:paraId="3C83E581"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Sphere contraction</w:t>
            </w:r>
          </w:p>
        </w:tc>
        <w:tc>
          <w:tcPr>
            <w:tcW w:w="1433" w:type="pct"/>
            <w:tcBorders>
              <w:right w:val="single" w:sz="4" w:space="0" w:color="FFFFFF" w:themeColor="background1"/>
            </w:tcBorders>
            <w:vAlign w:val="center"/>
          </w:tcPr>
          <w:p w14:paraId="2B085810"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3(1-</w:t>
            </w:r>
            <w:r w:rsidRPr="00475D31">
              <w:rPr>
                <w:rFonts w:cs="Times New Roman"/>
                <w:i/>
                <w:iCs/>
                <w:sz w:val="20"/>
                <w:szCs w:val="20"/>
                <w:highlight w:val="yellow"/>
              </w:rPr>
              <w:t>α</w:t>
            </w:r>
            <w:r w:rsidRPr="00475D31">
              <w:rPr>
                <w:rFonts w:cs="Times New Roman"/>
                <w:sz w:val="20"/>
                <w:szCs w:val="20"/>
                <w:highlight w:val="yellow"/>
              </w:rPr>
              <w:t>)</w:t>
            </w:r>
            <w:r w:rsidRPr="00475D31">
              <w:rPr>
                <w:rFonts w:cs="Times New Roman"/>
                <w:sz w:val="20"/>
                <w:szCs w:val="20"/>
                <w:highlight w:val="yellow"/>
                <w:vertAlign w:val="superscript"/>
              </w:rPr>
              <w:t>2/3</w:t>
            </w:r>
          </w:p>
        </w:tc>
      </w:tr>
      <w:tr w:rsidR="00475D31" w:rsidRPr="00475D31" w14:paraId="30448015" w14:textId="77777777" w:rsidTr="00E234CD">
        <w:trPr>
          <w:trHeight w:val="354"/>
          <w:jc w:val="center"/>
        </w:trPr>
        <w:tc>
          <w:tcPr>
            <w:tcW w:w="400" w:type="pct"/>
            <w:tcBorders>
              <w:left w:val="single" w:sz="4" w:space="0" w:color="FFFFFF" w:themeColor="background1"/>
            </w:tcBorders>
            <w:vAlign w:val="center"/>
          </w:tcPr>
          <w:p w14:paraId="494D645B"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P1</w:t>
            </w:r>
          </w:p>
        </w:tc>
        <w:tc>
          <w:tcPr>
            <w:tcW w:w="3167" w:type="pct"/>
            <w:tcBorders>
              <w:left w:val="single" w:sz="4" w:space="0" w:color="FFFFFF" w:themeColor="background1"/>
            </w:tcBorders>
            <w:vAlign w:val="center"/>
          </w:tcPr>
          <w:p w14:paraId="390FC582" w14:textId="77777777" w:rsidR="005F4319" w:rsidRPr="00475D31" w:rsidRDefault="005F4319" w:rsidP="00E234CD">
            <w:pPr>
              <w:jc w:val="center"/>
              <w:rPr>
                <w:rFonts w:eastAsia="TimesNewRomanPSMT" w:cs="Times New Roman"/>
                <w:kern w:val="0"/>
                <w:sz w:val="20"/>
                <w:szCs w:val="20"/>
                <w:highlight w:val="yellow"/>
              </w:rPr>
            </w:pPr>
            <w:bookmarkStart w:id="12" w:name="OLE_LINK45"/>
            <w:bookmarkStart w:id="13" w:name="OLE_LINK46"/>
            <w:r w:rsidRPr="00475D31">
              <w:rPr>
                <w:rFonts w:eastAsia="TimesNewRomanPSMT" w:cs="Times New Roman"/>
                <w:kern w:val="0"/>
                <w:sz w:val="20"/>
                <w:szCs w:val="20"/>
                <w:highlight w:val="yellow"/>
              </w:rPr>
              <w:t>Power law</w:t>
            </w:r>
            <w:bookmarkEnd w:id="12"/>
            <w:bookmarkEnd w:id="13"/>
          </w:p>
        </w:tc>
        <w:tc>
          <w:tcPr>
            <w:tcW w:w="1433" w:type="pct"/>
            <w:tcBorders>
              <w:right w:val="single" w:sz="4" w:space="0" w:color="FFFFFF" w:themeColor="background1"/>
            </w:tcBorders>
            <w:vAlign w:val="center"/>
          </w:tcPr>
          <w:p w14:paraId="2D18ECE3" w14:textId="77777777" w:rsidR="005F4319" w:rsidRPr="00475D31" w:rsidRDefault="005F4319" w:rsidP="00E234CD">
            <w:pPr>
              <w:jc w:val="center"/>
              <w:rPr>
                <w:rFonts w:cs="Times New Roman"/>
                <w:sz w:val="20"/>
                <w:szCs w:val="20"/>
                <w:highlight w:val="yellow"/>
                <w:vertAlign w:val="superscript"/>
              </w:rPr>
            </w:pPr>
            <w:r w:rsidRPr="00475D31">
              <w:rPr>
                <w:rFonts w:cs="Times New Roman"/>
                <w:sz w:val="20"/>
                <w:szCs w:val="20"/>
                <w:highlight w:val="yellow"/>
              </w:rPr>
              <w:t>2</w:t>
            </w:r>
            <w:r w:rsidRPr="00475D31">
              <w:rPr>
                <w:rFonts w:cs="Times New Roman"/>
                <w:i/>
                <w:iCs/>
                <w:sz w:val="20"/>
                <w:szCs w:val="20"/>
                <w:highlight w:val="yellow"/>
              </w:rPr>
              <w:t>α</w:t>
            </w:r>
            <w:r w:rsidRPr="00475D31">
              <w:rPr>
                <w:rFonts w:cs="Times New Roman"/>
                <w:sz w:val="20"/>
                <w:szCs w:val="20"/>
                <w:highlight w:val="yellow"/>
                <w:vertAlign w:val="superscript"/>
              </w:rPr>
              <w:t>1/2</w:t>
            </w:r>
          </w:p>
        </w:tc>
      </w:tr>
      <w:tr w:rsidR="00475D31" w:rsidRPr="00475D31" w14:paraId="5345373A" w14:textId="77777777" w:rsidTr="00E234CD">
        <w:trPr>
          <w:trHeight w:val="368"/>
          <w:jc w:val="center"/>
        </w:trPr>
        <w:tc>
          <w:tcPr>
            <w:tcW w:w="400" w:type="pct"/>
            <w:tcBorders>
              <w:left w:val="single" w:sz="4" w:space="0" w:color="FFFFFF" w:themeColor="background1"/>
            </w:tcBorders>
            <w:vAlign w:val="center"/>
          </w:tcPr>
          <w:p w14:paraId="4EF26145"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P2</w:t>
            </w:r>
          </w:p>
        </w:tc>
        <w:tc>
          <w:tcPr>
            <w:tcW w:w="3167" w:type="pct"/>
            <w:tcBorders>
              <w:left w:val="single" w:sz="4" w:space="0" w:color="FFFFFF" w:themeColor="background1"/>
            </w:tcBorders>
            <w:vAlign w:val="center"/>
          </w:tcPr>
          <w:p w14:paraId="438A8462"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Power law</w:t>
            </w:r>
          </w:p>
        </w:tc>
        <w:tc>
          <w:tcPr>
            <w:tcW w:w="1433" w:type="pct"/>
            <w:tcBorders>
              <w:right w:val="single" w:sz="4" w:space="0" w:color="FFFFFF" w:themeColor="background1"/>
            </w:tcBorders>
            <w:vAlign w:val="center"/>
          </w:tcPr>
          <w:p w14:paraId="34058828"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3</w:t>
            </w:r>
            <w:r w:rsidRPr="00475D31">
              <w:rPr>
                <w:rFonts w:cs="Times New Roman"/>
                <w:i/>
                <w:iCs/>
                <w:kern w:val="0"/>
                <w:sz w:val="20"/>
                <w:szCs w:val="20"/>
                <w:highlight w:val="yellow"/>
              </w:rPr>
              <w:t>α</w:t>
            </w:r>
            <w:r w:rsidRPr="00475D31">
              <w:rPr>
                <w:rFonts w:cs="Times New Roman"/>
                <w:sz w:val="20"/>
                <w:szCs w:val="20"/>
                <w:highlight w:val="yellow"/>
                <w:vertAlign w:val="superscript"/>
              </w:rPr>
              <w:t>2/3</w:t>
            </w:r>
          </w:p>
        </w:tc>
      </w:tr>
      <w:tr w:rsidR="00475D31" w:rsidRPr="00475D31" w14:paraId="737D723C" w14:textId="77777777" w:rsidTr="00E234CD">
        <w:trPr>
          <w:trHeight w:val="368"/>
          <w:jc w:val="center"/>
        </w:trPr>
        <w:tc>
          <w:tcPr>
            <w:tcW w:w="400" w:type="pct"/>
            <w:tcBorders>
              <w:left w:val="single" w:sz="4" w:space="0" w:color="FFFFFF" w:themeColor="background1"/>
            </w:tcBorders>
            <w:vAlign w:val="center"/>
          </w:tcPr>
          <w:p w14:paraId="21649DF7"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P3</w:t>
            </w:r>
          </w:p>
        </w:tc>
        <w:tc>
          <w:tcPr>
            <w:tcW w:w="3167" w:type="pct"/>
            <w:tcBorders>
              <w:left w:val="single" w:sz="4" w:space="0" w:color="FFFFFF" w:themeColor="background1"/>
            </w:tcBorders>
            <w:vAlign w:val="center"/>
          </w:tcPr>
          <w:p w14:paraId="2C0CC3CE"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Power law</w:t>
            </w:r>
          </w:p>
        </w:tc>
        <w:tc>
          <w:tcPr>
            <w:tcW w:w="1433" w:type="pct"/>
            <w:tcBorders>
              <w:right w:val="single" w:sz="4" w:space="0" w:color="FFFFFF" w:themeColor="background1"/>
            </w:tcBorders>
            <w:vAlign w:val="center"/>
          </w:tcPr>
          <w:p w14:paraId="00C07CB9" w14:textId="77777777" w:rsidR="005F4319" w:rsidRPr="00475D31" w:rsidRDefault="005F4319" w:rsidP="00E234CD">
            <w:pPr>
              <w:jc w:val="center"/>
              <w:rPr>
                <w:rFonts w:cs="Times New Roman"/>
                <w:sz w:val="20"/>
                <w:szCs w:val="20"/>
                <w:highlight w:val="yellow"/>
                <w:vertAlign w:val="superscript"/>
              </w:rPr>
            </w:pPr>
            <w:r w:rsidRPr="00475D31">
              <w:rPr>
                <w:rFonts w:cs="Times New Roman"/>
                <w:sz w:val="20"/>
                <w:szCs w:val="20"/>
                <w:highlight w:val="yellow"/>
              </w:rPr>
              <w:t>4</w:t>
            </w:r>
            <w:r w:rsidRPr="00475D31">
              <w:rPr>
                <w:rFonts w:cs="Times New Roman"/>
                <w:i/>
                <w:iCs/>
                <w:kern w:val="0"/>
                <w:sz w:val="20"/>
                <w:szCs w:val="20"/>
                <w:highlight w:val="yellow"/>
              </w:rPr>
              <w:t>α</w:t>
            </w:r>
            <w:r w:rsidRPr="00475D31">
              <w:rPr>
                <w:rFonts w:cs="Times New Roman"/>
                <w:kern w:val="0"/>
                <w:sz w:val="20"/>
                <w:szCs w:val="20"/>
                <w:highlight w:val="yellow"/>
                <w:vertAlign w:val="superscript"/>
              </w:rPr>
              <w:t>3/4</w:t>
            </w:r>
          </w:p>
        </w:tc>
      </w:tr>
      <w:tr w:rsidR="00475D31" w:rsidRPr="00475D31" w14:paraId="570597FF" w14:textId="77777777" w:rsidTr="00E234CD">
        <w:trPr>
          <w:trHeight w:val="354"/>
          <w:jc w:val="center"/>
        </w:trPr>
        <w:tc>
          <w:tcPr>
            <w:tcW w:w="400" w:type="pct"/>
            <w:tcBorders>
              <w:left w:val="single" w:sz="4" w:space="0" w:color="FFFFFF" w:themeColor="background1"/>
            </w:tcBorders>
            <w:vAlign w:val="center"/>
          </w:tcPr>
          <w:p w14:paraId="2E946E5F"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P4</w:t>
            </w:r>
          </w:p>
        </w:tc>
        <w:tc>
          <w:tcPr>
            <w:tcW w:w="3167" w:type="pct"/>
            <w:tcBorders>
              <w:left w:val="single" w:sz="4" w:space="0" w:color="FFFFFF" w:themeColor="background1"/>
            </w:tcBorders>
            <w:vAlign w:val="center"/>
          </w:tcPr>
          <w:p w14:paraId="0F5AFA39"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Power law</w:t>
            </w:r>
          </w:p>
        </w:tc>
        <w:tc>
          <w:tcPr>
            <w:tcW w:w="1433" w:type="pct"/>
            <w:tcBorders>
              <w:right w:val="single" w:sz="4" w:space="0" w:color="FFFFFF" w:themeColor="background1"/>
            </w:tcBorders>
            <w:vAlign w:val="center"/>
          </w:tcPr>
          <w:p w14:paraId="303E09AA"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2/3</w:t>
            </w:r>
            <w:r w:rsidRPr="00475D31">
              <w:rPr>
                <w:rFonts w:cs="Times New Roman"/>
                <w:i/>
                <w:iCs/>
                <w:kern w:val="0"/>
                <w:sz w:val="20"/>
                <w:szCs w:val="20"/>
                <w:highlight w:val="yellow"/>
              </w:rPr>
              <w:t>α</w:t>
            </w:r>
            <w:r w:rsidRPr="00475D31">
              <w:rPr>
                <w:rFonts w:cs="Times New Roman"/>
                <w:sz w:val="20"/>
                <w:szCs w:val="20"/>
                <w:highlight w:val="yellow"/>
                <w:vertAlign w:val="superscript"/>
              </w:rPr>
              <w:t>1/2</w:t>
            </w:r>
          </w:p>
        </w:tc>
      </w:tr>
      <w:tr w:rsidR="00475D31" w:rsidRPr="00475D31" w14:paraId="6EE4B7A7" w14:textId="77777777" w:rsidTr="00E234CD">
        <w:trPr>
          <w:trHeight w:val="368"/>
          <w:jc w:val="center"/>
        </w:trPr>
        <w:tc>
          <w:tcPr>
            <w:tcW w:w="400" w:type="pct"/>
            <w:tcBorders>
              <w:left w:val="single" w:sz="4" w:space="0" w:color="FFFFFF" w:themeColor="background1"/>
            </w:tcBorders>
            <w:vAlign w:val="center"/>
          </w:tcPr>
          <w:p w14:paraId="0CA4F84B"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A4</w:t>
            </w:r>
          </w:p>
        </w:tc>
        <w:tc>
          <w:tcPr>
            <w:tcW w:w="3167" w:type="pct"/>
            <w:tcBorders>
              <w:left w:val="single" w:sz="4" w:space="0" w:color="FFFFFF" w:themeColor="background1"/>
            </w:tcBorders>
            <w:vAlign w:val="center"/>
          </w:tcPr>
          <w:p w14:paraId="2FD602E1"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Nucleation-nuclear growth</w:t>
            </w:r>
          </w:p>
        </w:tc>
        <w:tc>
          <w:tcPr>
            <w:tcW w:w="1433" w:type="pct"/>
            <w:tcBorders>
              <w:right w:val="single" w:sz="4" w:space="0" w:color="FFFFFF" w:themeColor="background1"/>
            </w:tcBorders>
            <w:vAlign w:val="center"/>
          </w:tcPr>
          <w:p w14:paraId="40393CF7" w14:textId="77777777" w:rsidR="005F4319" w:rsidRPr="00475D31" w:rsidRDefault="005F4319" w:rsidP="00E234CD">
            <w:pPr>
              <w:jc w:val="center"/>
              <w:rPr>
                <w:rFonts w:cs="Times New Roman"/>
                <w:sz w:val="20"/>
                <w:szCs w:val="20"/>
                <w:highlight w:val="yellow"/>
              </w:rPr>
            </w:pPr>
            <w:r w:rsidRPr="00475D31">
              <w:rPr>
                <w:rFonts w:eastAsia="TimesNewRomanPSMT" w:cs="Times New Roman"/>
                <w:kern w:val="0"/>
                <w:sz w:val="20"/>
                <w:szCs w:val="20"/>
                <w:highlight w:val="yellow"/>
              </w:rPr>
              <w:t>4(1-</w:t>
            </w:r>
            <w:r w:rsidRPr="00475D31">
              <w:rPr>
                <w:rFonts w:cs="Times New Roman"/>
                <w:i/>
                <w:iCs/>
                <w:sz w:val="20"/>
                <w:szCs w:val="20"/>
                <w:highlight w:val="yellow"/>
              </w:rPr>
              <w:t>α</w:t>
            </w:r>
            <w:r w:rsidRPr="00475D31">
              <w:rPr>
                <w:rFonts w:eastAsia="TimesNewRomanPSMT" w:cs="Times New Roman"/>
                <w:kern w:val="0"/>
                <w:sz w:val="20"/>
                <w:szCs w:val="20"/>
                <w:highlight w:val="yellow"/>
              </w:rPr>
              <w:t>) [-ln(1-</w:t>
            </w:r>
            <w:r w:rsidRPr="00475D31">
              <w:rPr>
                <w:rFonts w:cs="Times New Roman"/>
                <w:i/>
                <w:iCs/>
                <w:sz w:val="20"/>
                <w:szCs w:val="20"/>
                <w:highlight w:val="yellow"/>
              </w:rPr>
              <w:t>α</w:t>
            </w:r>
            <w:r w:rsidRPr="00475D31">
              <w:rPr>
                <w:rFonts w:eastAsia="TimesNewRomanPSMT" w:cs="Times New Roman"/>
                <w:kern w:val="0"/>
                <w:sz w:val="20"/>
                <w:szCs w:val="20"/>
                <w:highlight w:val="yellow"/>
              </w:rPr>
              <w:t>)]</w:t>
            </w:r>
            <w:r w:rsidRPr="00475D31">
              <w:rPr>
                <w:rFonts w:eastAsia="TimesNewRomanPSMT" w:cs="Times New Roman"/>
                <w:kern w:val="0"/>
                <w:sz w:val="20"/>
                <w:szCs w:val="20"/>
                <w:highlight w:val="yellow"/>
                <w:vertAlign w:val="superscript"/>
              </w:rPr>
              <w:t>3/4</w:t>
            </w:r>
          </w:p>
        </w:tc>
      </w:tr>
      <w:tr w:rsidR="00475D31" w:rsidRPr="00475D31" w14:paraId="0F277A0D" w14:textId="77777777" w:rsidTr="00E234CD">
        <w:trPr>
          <w:trHeight w:val="354"/>
          <w:jc w:val="center"/>
        </w:trPr>
        <w:tc>
          <w:tcPr>
            <w:tcW w:w="400" w:type="pct"/>
            <w:tcBorders>
              <w:left w:val="single" w:sz="4" w:space="0" w:color="FFFFFF" w:themeColor="background1"/>
            </w:tcBorders>
            <w:vAlign w:val="center"/>
          </w:tcPr>
          <w:p w14:paraId="57667F66" w14:textId="77777777" w:rsidR="005F4319" w:rsidRPr="00475D31" w:rsidRDefault="005F4319" w:rsidP="00E234CD">
            <w:pPr>
              <w:jc w:val="center"/>
              <w:rPr>
                <w:rFonts w:eastAsia="TimesNewRomanPSMT" w:cs="Times New Roman"/>
                <w:kern w:val="0"/>
                <w:sz w:val="20"/>
                <w:szCs w:val="20"/>
                <w:highlight w:val="yellow"/>
              </w:rPr>
            </w:pPr>
            <w:r w:rsidRPr="00475D31">
              <w:rPr>
                <w:rFonts w:eastAsia="TimesNewRomanPSMT" w:cs="Times New Roman"/>
                <w:kern w:val="0"/>
                <w:sz w:val="20"/>
                <w:szCs w:val="20"/>
                <w:highlight w:val="yellow"/>
              </w:rPr>
              <w:t>L2</w:t>
            </w:r>
          </w:p>
        </w:tc>
        <w:tc>
          <w:tcPr>
            <w:tcW w:w="3167" w:type="pct"/>
            <w:tcBorders>
              <w:left w:val="single" w:sz="4" w:space="0" w:color="FFFFFF" w:themeColor="background1"/>
            </w:tcBorders>
            <w:vAlign w:val="center"/>
          </w:tcPr>
          <w:p w14:paraId="12323E1B" w14:textId="77777777" w:rsidR="005F4319" w:rsidRPr="00475D31" w:rsidRDefault="005F4319" w:rsidP="00E234CD">
            <w:pPr>
              <w:jc w:val="center"/>
              <w:rPr>
                <w:rFonts w:cs="Times New Roman"/>
                <w:sz w:val="20"/>
                <w:szCs w:val="20"/>
                <w:highlight w:val="yellow"/>
              </w:rPr>
            </w:pPr>
            <w:bookmarkStart w:id="14" w:name="OLE_LINK58"/>
            <w:bookmarkStart w:id="15" w:name="OLE_LINK59"/>
            <w:r w:rsidRPr="00475D31">
              <w:rPr>
                <w:rFonts w:eastAsia="TimesNewRomanPSMT" w:cs="Times New Roman"/>
                <w:kern w:val="0"/>
                <w:sz w:val="20"/>
                <w:szCs w:val="20"/>
                <w:highlight w:val="yellow"/>
              </w:rPr>
              <w:t>Random scission</w:t>
            </w:r>
            <w:bookmarkEnd w:id="14"/>
            <w:bookmarkEnd w:id="15"/>
          </w:p>
        </w:tc>
        <w:tc>
          <w:tcPr>
            <w:tcW w:w="1433" w:type="pct"/>
            <w:tcBorders>
              <w:right w:val="single" w:sz="4" w:space="0" w:color="FFFFFF" w:themeColor="background1"/>
            </w:tcBorders>
            <w:vAlign w:val="center"/>
          </w:tcPr>
          <w:p w14:paraId="2C854151"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2(</w:t>
            </w:r>
            <w:r w:rsidRPr="00475D31">
              <w:rPr>
                <w:rFonts w:cs="Times New Roman"/>
                <w:i/>
                <w:iCs/>
                <w:sz w:val="20"/>
                <w:szCs w:val="20"/>
                <w:highlight w:val="yellow"/>
              </w:rPr>
              <w:t>α</w:t>
            </w:r>
            <w:r w:rsidRPr="00475D31">
              <w:rPr>
                <w:rFonts w:cs="Times New Roman"/>
                <w:sz w:val="20"/>
                <w:szCs w:val="20"/>
                <w:highlight w:val="yellow"/>
                <w:vertAlign w:val="superscript"/>
              </w:rPr>
              <w:t>1/2</w:t>
            </w:r>
            <w:r w:rsidRPr="00475D31">
              <w:rPr>
                <w:rFonts w:cs="Times New Roman"/>
                <w:sz w:val="20"/>
                <w:szCs w:val="20"/>
                <w:highlight w:val="yellow"/>
              </w:rPr>
              <w:t>-α)</w:t>
            </w:r>
          </w:p>
        </w:tc>
      </w:tr>
      <w:tr w:rsidR="00475D31" w:rsidRPr="00475D31" w14:paraId="1713BB6B" w14:textId="77777777" w:rsidTr="00E234CD">
        <w:trPr>
          <w:trHeight w:val="368"/>
          <w:jc w:val="center"/>
        </w:trPr>
        <w:tc>
          <w:tcPr>
            <w:tcW w:w="400" w:type="pct"/>
            <w:tcBorders>
              <w:left w:val="single" w:sz="4" w:space="0" w:color="FFFFFF" w:themeColor="background1"/>
              <w:bottom w:val="single" w:sz="12" w:space="0" w:color="auto"/>
            </w:tcBorders>
            <w:vAlign w:val="center"/>
          </w:tcPr>
          <w:p w14:paraId="7881EBFB"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AC</w:t>
            </w:r>
          </w:p>
        </w:tc>
        <w:tc>
          <w:tcPr>
            <w:tcW w:w="3167" w:type="pct"/>
            <w:tcBorders>
              <w:left w:val="single" w:sz="4" w:space="0" w:color="FFFFFF" w:themeColor="background1"/>
              <w:bottom w:val="single" w:sz="12" w:space="0" w:color="auto"/>
            </w:tcBorders>
            <w:vAlign w:val="center"/>
          </w:tcPr>
          <w:p w14:paraId="2B470348" w14:textId="77777777" w:rsidR="005F4319" w:rsidRPr="00475D31" w:rsidRDefault="005F4319" w:rsidP="00E234CD">
            <w:pPr>
              <w:jc w:val="center"/>
              <w:rPr>
                <w:rFonts w:cs="Times New Roman"/>
                <w:sz w:val="20"/>
                <w:szCs w:val="20"/>
                <w:highlight w:val="yellow"/>
              </w:rPr>
            </w:pPr>
            <w:r w:rsidRPr="00475D31">
              <w:rPr>
                <w:rFonts w:cs="Times New Roman"/>
                <w:sz w:val="20"/>
                <w:szCs w:val="20"/>
                <w:highlight w:val="yellow"/>
              </w:rPr>
              <w:t>First order autocatalytic (self-heating) model</w:t>
            </w:r>
          </w:p>
        </w:tc>
        <w:tc>
          <w:tcPr>
            <w:tcW w:w="1433" w:type="pct"/>
            <w:tcBorders>
              <w:bottom w:val="single" w:sz="12" w:space="0" w:color="auto"/>
              <w:right w:val="single" w:sz="4" w:space="0" w:color="FFFFFF" w:themeColor="background1"/>
            </w:tcBorders>
            <w:vAlign w:val="center"/>
          </w:tcPr>
          <w:p w14:paraId="5E55A7D0" w14:textId="77777777" w:rsidR="005F4319" w:rsidRPr="00475D31" w:rsidRDefault="005F4319" w:rsidP="00E234CD">
            <w:pPr>
              <w:jc w:val="center"/>
              <w:rPr>
                <w:rFonts w:cs="Times New Roman"/>
                <w:sz w:val="20"/>
                <w:szCs w:val="20"/>
              </w:rPr>
            </w:pPr>
            <w:r w:rsidRPr="00475D31">
              <w:rPr>
                <w:rFonts w:cs="Times New Roman"/>
                <w:i/>
                <w:iCs/>
                <w:sz w:val="20"/>
                <w:szCs w:val="20"/>
                <w:highlight w:val="yellow"/>
              </w:rPr>
              <w:t>α</w:t>
            </w:r>
            <w:r w:rsidRPr="00475D31">
              <w:rPr>
                <w:rFonts w:cs="Times New Roman"/>
                <w:sz w:val="20"/>
                <w:szCs w:val="20"/>
                <w:highlight w:val="yellow"/>
              </w:rPr>
              <w:t>(1-α)</w:t>
            </w:r>
            <w:r w:rsidRPr="00475D31">
              <w:rPr>
                <w:rFonts w:cs="Times New Roman"/>
                <w:sz w:val="20"/>
                <w:szCs w:val="20"/>
                <w:highlight w:val="yellow"/>
                <w:vertAlign w:val="superscript"/>
              </w:rPr>
              <w:t>0.5</w:t>
            </w:r>
          </w:p>
        </w:tc>
      </w:tr>
      <w:bookmarkEnd w:id="8"/>
    </w:tbl>
    <w:p w14:paraId="4D11E232" w14:textId="77777777" w:rsidR="005C55CF" w:rsidRPr="00991141" w:rsidRDefault="005C55CF" w:rsidP="00DF3294">
      <w:pPr>
        <w:spacing w:line="480" w:lineRule="auto"/>
        <w:rPr>
          <w:rFonts w:cs="Times New Roman"/>
        </w:rPr>
      </w:pPr>
    </w:p>
    <w:p w14:paraId="5098B80D" w14:textId="33F3ACC7" w:rsidR="00D34166" w:rsidRPr="008856ED" w:rsidRDefault="008856ED" w:rsidP="00DF3294">
      <w:pPr>
        <w:spacing w:line="480" w:lineRule="auto"/>
        <w:rPr>
          <w:b/>
          <w:bCs/>
        </w:rPr>
      </w:pPr>
      <w:r w:rsidRPr="008856ED">
        <w:rPr>
          <w:rFonts w:hint="eastAsia"/>
          <w:b/>
          <w:bCs/>
        </w:rPr>
        <w:t>Detonation performances tests</w:t>
      </w:r>
    </w:p>
    <w:p w14:paraId="627C3767" w14:textId="3FE38A96" w:rsidR="006D4736" w:rsidRDefault="00D34166" w:rsidP="00DF3294">
      <w:pPr>
        <w:spacing w:line="480" w:lineRule="auto"/>
        <w:rPr>
          <w:rFonts w:cs="Times New Roman"/>
        </w:rPr>
      </w:pPr>
      <w:r w:rsidRPr="00991141">
        <w:rPr>
          <w:rFonts w:cs="Times New Roman"/>
        </w:rPr>
        <w:t xml:space="preserve">Explosives used in the </w:t>
      </w:r>
      <w:r w:rsidRPr="00991141">
        <w:rPr>
          <w:rFonts w:cs="Times New Roman" w:hint="eastAsia"/>
        </w:rPr>
        <w:t>polymer-bonded-explosive (PBX)</w:t>
      </w:r>
      <w:r w:rsidRPr="00991141">
        <w:rPr>
          <w:rFonts w:cs="Times New Roman"/>
        </w:rPr>
        <w:t xml:space="preserve"> composites consisted of </w:t>
      </w:r>
      <w:r w:rsidRPr="00991141">
        <w:rPr>
          <w:rFonts w:cs="Times New Roman" w:hint="eastAsia"/>
        </w:rPr>
        <w:t xml:space="preserve">as-prepared hd-LLM-105 and F2314 </w:t>
      </w:r>
      <w:r w:rsidRPr="00991141">
        <w:rPr>
          <w:rFonts w:cs="Times New Roman"/>
        </w:rPr>
        <w:t>polymer binder</w:t>
      </w:r>
      <w:r w:rsidRPr="00991141">
        <w:rPr>
          <w:rFonts w:cs="Times New Roman" w:hint="eastAsia"/>
        </w:rPr>
        <w:t xml:space="preserve"> at a ratio of 95:5 in </w:t>
      </w:r>
      <w:r w:rsidRPr="00991141">
        <w:rPr>
          <w:rFonts w:cs="Times New Roman"/>
        </w:rPr>
        <w:t>weight</w:t>
      </w:r>
      <w:r w:rsidR="00307924" w:rsidRPr="00991141">
        <w:rPr>
          <w:rFonts w:cs="Times New Roman" w:hint="eastAsia"/>
        </w:rPr>
        <w:t xml:space="preserve">. They </w:t>
      </w:r>
      <w:r w:rsidR="00307924" w:rsidRPr="00991141">
        <w:rPr>
          <w:rFonts w:cs="Times New Roman"/>
        </w:rPr>
        <w:t xml:space="preserve">were fabricated following a standard manufacturing process for water slurry. </w:t>
      </w:r>
      <w:r w:rsidR="009A21DD" w:rsidRPr="00991141">
        <w:rPr>
          <w:rFonts w:cs="Times New Roman" w:hint="eastAsia"/>
        </w:rPr>
        <w:t xml:space="preserve">F2314 binder with a </w:t>
      </w:r>
      <w:r w:rsidR="009A21DD" w:rsidRPr="00991141">
        <w:rPr>
          <w:rFonts w:cs="Times New Roman"/>
        </w:rPr>
        <w:t>concentration of 6 ​wt% was prepared by dissolving fluoropolymer in a mixed organic solvent consisting of ethyl acetate and butyl acetate.</w:t>
      </w:r>
      <w:r w:rsidR="009A21DD" w:rsidRPr="00991141">
        <w:rPr>
          <w:rFonts w:cs="Times New Roman" w:hint="eastAsia"/>
        </w:rPr>
        <w:t xml:space="preserve"> </w:t>
      </w:r>
      <w:r w:rsidR="006D4736" w:rsidRPr="00991141">
        <w:rPr>
          <w:rFonts w:cs="Times New Roman" w:hint="eastAsia"/>
        </w:rPr>
        <w:t>T</w:t>
      </w:r>
      <w:r w:rsidR="006D4736" w:rsidRPr="00991141">
        <w:rPr>
          <w:rFonts w:cs="Times New Roman"/>
        </w:rPr>
        <w:t xml:space="preserve">he </w:t>
      </w:r>
      <w:r w:rsidR="006D4736" w:rsidRPr="00991141">
        <w:rPr>
          <w:rFonts w:cs="Times New Roman" w:hint="eastAsia"/>
        </w:rPr>
        <w:t xml:space="preserve">hd-LLM-105 </w:t>
      </w:r>
      <w:r w:rsidR="006D4736" w:rsidRPr="00991141">
        <w:rPr>
          <w:rFonts w:cs="Times New Roman"/>
        </w:rPr>
        <w:t xml:space="preserve">was added into water, yielding an explosive/water mixture at a ratio of 1:1 in weight. The explosive mixture was stirred </w:t>
      </w:r>
      <w:r w:rsidR="00522109" w:rsidRPr="00991141">
        <w:rPr>
          <w:rFonts w:cs="Times New Roman" w:hint="eastAsia"/>
        </w:rPr>
        <w:t xml:space="preserve">for </w:t>
      </w:r>
      <w:r w:rsidR="006D4736" w:rsidRPr="00991141">
        <w:rPr>
          <w:rFonts w:cs="Times New Roman"/>
        </w:rPr>
        <w:t xml:space="preserve">complete </w:t>
      </w:r>
      <w:r w:rsidR="00522109" w:rsidRPr="00991141">
        <w:rPr>
          <w:rFonts w:cs="Times New Roman"/>
        </w:rPr>
        <w:t>immersion</w:t>
      </w:r>
      <w:r w:rsidR="006D4736" w:rsidRPr="00991141">
        <w:rPr>
          <w:rFonts w:cs="Times New Roman" w:hint="eastAsia"/>
        </w:rPr>
        <w:t xml:space="preserve">. </w:t>
      </w:r>
      <w:r w:rsidR="006D4736" w:rsidRPr="00991141">
        <w:rPr>
          <w:rFonts w:cs="Times New Roman"/>
        </w:rPr>
        <w:t>Within an hour, the polymer solution containing nanofillers was added to the stirred mixture in the reactor, where the explosive mixture was coated with the polymer solution, forming molding powder granules.</w:t>
      </w:r>
      <w:r w:rsidR="009A21DD" w:rsidRPr="00991141">
        <w:rPr>
          <w:rFonts w:cs="Times New Roman" w:hint="eastAsia"/>
        </w:rPr>
        <w:t xml:space="preserve"> </w:t>
      </w:r>
      <w:r w:rsidR="009A21DD" w:rsidRPr="00991141">
        <w:rPr>
          <w:rFonts w:cs="Times New Roman"/>
        </w:rPr>
        <w:t xml:space="preserve">Then, the granules were carefully dried in a vacuum oven at 60 ​°C for 48 ​h to </w:t>
      </w:r>
      <w:r w:rsidR="009A21DD" w:rsidRPr="00991141">
        <w:rPr>
          <w:rFonts w:cs="Times New Roman"/>
        </w:rPr>
        <w:lastRenderedPageBreak/>
        <w:t>eliminate moisture</w:t>
      </w:r>
      <w:r w:rsidR="009A21DD" w:rsidRPr="00991141">
        <w:rPr>
          <w:rFonts w:cs="Times New Roman" w:hint="eastAsia"/>
        </w:rPr>
        <w:t xml:space="preserve"> </w:t>
      </w:r>
      <w:r w:rsidR="009A21DD" w:rsidRPr="00991141">
        <w:rPr>
          <w:rFonts w:cs="Times New Roman"/>
        </w:rPr>
        <w:t>thoroughly. Afterward, dry granules were hot pressed in a mold with a desired geometry under 1</w:t>
      </w:r>
      <w:r w:rsidR="009A21DD" w:rsidRPr="00991141">
        <w:rPr>
          <w:rFonts w:cs="Times New Roman" w:hint="eastAsia"/>
        </w:rPr>
        <w:t>25</w:t>
      </w:r>
      <w:r w:rsidR="009A21DD" w:rsidRPr="00991141">
        <w:rPr>
          <w:rFonts w:cs="Times New Roman"/>
        </w:rPr>
        <w:t> ​°C and 3</w:t>
      </w:r>
      <w:r w:rsidR="00DD04D4" w:rsidRPr="00991141">
        <w:rPr>
          <w:rFonts w:cs="Times New Roman" w:hint="eastAsia"/>
        </w:rPr>
        <w:t>2</w:t>
      </w:r>
      <w:r w:rsidR="009A21DD" w:rsidRPr="00991141">
        <w:rPr>
          <w:rFonts w:cs="Times New Roman"/>
        </w:rPr>
        <w:t>0 ​MPa</w:t>
      </w:r>
      <w:r w:rsidR="009A21DD" w:rsidRPr="00991141">
        <w:rPr>
          <w:rFonts w:cs="Times New Roman" w:hint="eastAsia"/>
        </w:rPr>
        <w:t xml:space="preserve"> for the future tests. </w:t>
      </w:r>
    </w:p>
    <w:p w14:paraId="6BC7107D" w14:textId="77777777" w:rsidR="00B4496F" w:rsidRDefault="00B4496F" w:rsidP="00DF3294">
      <w:pPr>
        <w:spacing w:line="480" w:lineRule="auto"/>
        <w:rPr>
          <w:rFonts w:cs="Times New Roman"/>
        </w:rPr>
      </w:pPr>
    </w:p>
    <w:p w14:paraId="439C7FFE" w14:textId="136129E8" w:rsidR="00B4496F" w:rsidRPr="000A4FC6" w:rsidRDefault="00B4496F" w:rsidP="00EF6BD1">
      <w:pPr>
        <w:spacing w:line="480" w:lineRule="auto"/>
        <w:rPr>
          <w:rFonts w:cs="Times New Roman"/>
          <w:highlight w:val="yellow"/>
        </w:rPr>
      </w:pPr>
      <w:r w:rsidRPr="000A4FC6">
        <w:rPr>
          <w:rFonts w:cs="Times New Roman" w:hint="eastAsia"/>
          <w:highlight w:val="yellow"/>
        </w:rPr>
        <w:t xml:space="preserve">The </w:t>
      </w:r>
      <w:r w:rsidRPr="000A4FC6">
        <w:rPr>
          <w:rFonts w:cs="Times New Roman"/>
          <w:highlight w:val="yellow"/>
        </w:rPr>
        <w:t>reckoned</w:t>
      </w:r>
      <w:r w:rsidRPr="000A4FC6">
        <w:rPr>
          <w:rFonts w:cs="Times New Roman" w:hint="eastAsia"/>
          <w:highlight w:val="yellow"/>
        </w:rPr>
        <w:t xml:space="preserve"> crystal velocity could be </w:t>
      </w:r>
      <w:r w:rsidRPr="000A4FC6">
        <w:rPr>
          <w:rFonts w:cs="Times New Roman"/>
          <w:highlight w:val="yellow"/>
        </w:rPr>
        <w:t>calculated</w:t>
      </w:r>
      <w:r w:rsidRPr="000A4FC6">
        <w:rPr>
          <w:rFonts w:cs="Times New Roman" w:hint="eastAsia"/>
          <w:highlight w:val="yellow"/>
        </w:rPr>
        <w:t xml:space="preserve"> from real tested PBX velocity, the press density. </w:t>
      </w:r>
      <w:r w:rsidRPr="000A4FC6">
        <w:rPr>
          <w:rFonts w:hint="eastAsia"/>
          <w:highlight w:val="yellow"/>
        </w:rPr>
        <w:t>R</w:t>
      </w:r>
      <w:r w:rsidRPr="000A4FC6">
        <w:rPr>
          <w:highlight w:val="yellow"/>
        </w:rPr>
        <w:t>eckoning</w:t>
      </w:r>
      <w:r w:rsidRPr="000A4FC6">
        <w:rPr>
          <w:rFonts w:hint="eastAsia"/>
          <w:highlight w:val="yellow"/>
        </w:rPr>
        <w:t xml:space="preserve"> </w:t>
      </w:r>
      <w:proofErr w:type="spellStart"/>
      <w:r w:rsidRPr="000A4FC6">
        <w:rPr>
          <w:rFonts w:hint="eastAsia"/>
          <w:highlight w:val="yellow"/>
        </w:rPr>
        <w:t>velocity</w:t>
      </w:r>
      <w:r w:rsidRPr="000A4FC6">
        <w:rPr>
          <w:rFonts w:hint="eastAsia"/>
          <w:highlight w:val="yellow"/>
          <w:vertAlign w:val="subscript"/>
        </w:rPr>
        <w:t>crystal</w:t>
      </w:r>
      <w:proofErr w:type="spellEnd"/>
      <w:r w:rsidRPr="000A4FC6">
        <w:rPr>
          <w:highlight w:val="yellow"/>
        </w:rPr>
        <w:t>=(</w:t>
      </w:r>
      <w:r w:rsidRPr="000A4FC6">
        <w:rPr>
          <w:rFonts w:hint="eastAsia"/>
          <w:highlight w:val="yellow"/>
        </w:rPr>
        <w:t>Real-tested Velocity</w:t>
      </w:r>
      <w:r w:rsidRPr="000A4FC6">
        <w:rPr>
          <w:rFonts w:hint="eastAsia"/>
          <w:highlight w:val="yellow"/>
          <w:vertAlign w:val="subscript"/>
        </w:rPr>
        <w:t>PBX</w:t>
      </w:r>
      <w:r w:rsidRPr="000A4FC6">
        <w:rPr>
          <w:highlight w:val="yellow"/>
        </w:rPr>
        <w:t>-1500*</w:t>
      </w:r>
      <w:r w:rsidRPr="000A4FC6">
        <w:rPr>
          <w:rFonts w:hint="eastAsia"/>
          <w:highlight w:val="yellow"/>
        </w:rPr>
        <w:t>Volume Raio</w:t>
      </w:r>
      <w:r w:rsidRPr="000A4FC6">
        <w:rPr>
          <w:rFonts w:hint="eastAsia"/>
          <w:highlight w:val="yellow"/>
          <w:vertAlign w:val="subscript"/>
        </w:rPr>
        <w:t>air</w:t>
      </w:r>
      <w:r w:rsidRPr="000A4FC6">
        <w:rPr>
          <w:highlight w:val="yellow"/>
        </w:rPr>
        <w:t>-5400*</w:t>
      </w:r>
      <w:r w:rsidRPr="000A4FC6">
        <w:rPr>
          <w:rFonts w:hint="eastAsia"/>
          <w:highlight w:val="yellow"/>
        </w:rPr>
        <w:t xml:space="preserve">Volume </w:t>
      </w:r>
      <w:proofErr w:type="spellStart"/>
      <w:r w:rsidRPr="000A4FC6">
        <w:rPr>
          <w:rFonts w:hint="eastAsia"/>
          <w:highlight w:val="yellow"/>
        </w:rPr>
        <w:t>Ratio</w:t>
      </w:r>
      <w:r w:rsidRPr="000A4FC6">
        <w:rPr>
          <w:rFonts w:hint="eastAsia"/>
          <w:highlight w:val="yellow"/>
          <w:vertAlign w:val="subscript"/>
        </w:rPr>
        <w:t>binder</w:t>
      </w:r>
      <w:proofErr w:type="spellEnd"/>
      <w:r w:rsidRPr="000A4FC6">
        <w:rPr>
          <w:highlight w:val="yellow"/>
        </w:rPr>
        <w:t>)/</w:t>
      </w:r>
      <w:r w:rsidRPr="000A4FC6">
        <w:rPr>
          <w:rFonts w:hint="eastAsia"/>
          <w:highlight w:val="yellow"/>
        </w:rPr>
        <w:t xml:space="preserve">Volume </w:t>
      </w:r>
      <w:proofErr w:type="spellStart"/>
      <w:r w:rsidRPr="000A4FC6">
        <w:rPr>
          <w:rFonts w:hint="eastAsia"/>
          <w:highlight w:val="yellow"/>
        </w:rPr>
        <w:t>Ratio</w:t>
      </w:r>
      <w:r w:rsidRPr="000A4FC6">
        <w:rPr>
          <w:rFonts w:hint="eastAsia"/>
          <w:highlight w:val="yellow"/>
          <w:vertAlign w:val="subscript"/>
        </w:rPr>
        <w:t>crystal</w:t>
      </w:r>
      <w:proofErr w:type="spellEnd"/>
    </w:p>
    <w:p w14:paraId="65E6FA14" w14:textId="77777777" w:rsidR="00B4496F" w:rsidRPr="000A4FC6" w:rsidRDefault="00B4496F" w:rsidP="00EF6BD1">
      <w:pPr>
        <w:spacing w:line="480" w:lineRule="auto"/>
        <w:rPr>
          <w:highlight w:val="yellow"/>
        </w:rPr>
      </w:pPr>
    </w:p>
    <w:p w14:paraId="6914C40E" w14:textId="21D9A829" w:rsidR="00B4496F" w:rsidRPr="000A4FC6" w:rsidRDefault="00B4496F" w:rsidP="00EF6BD1">
      <w:pPr>
        <w:spacing w:line="480" w:lineRule="auto"/>
        <w:rPr>
          <w:highlight w:val="yellow"/>
        </w:rPr>
      </w:pPr>
      <w:r w:rsidRPr="000A4FC6">
        <w:rPr>
          <w:rFonts w:hint="eastAsia"/>
          <w:highlight w:val="yellow"/>
        </w:rPr>
        <w:t>The volume ratio (%) of air, binder and crystal calculated from press density, binder density (2.02 g/cm</w:t>
      </w:r>
      <w:r w:rsidRPr="000A4FC6">
        <w:rPr>
          <w:rFonts w:hint="eastAsia"/>
          <w:highlight w:val="yellow"/>
          <w:vertAlign w:val="superscript"/>
        </w:rPr>
        <w:t>3</w:t>
      </w:r>
      <w:r w:rsidRPr="000A4FC6">
        <w:rPr>
          <w:rFonts w:hint="eastAsia"/>
          <w:highlight w:val="yellow"/>
        </w:rPr>
        <w:t xml:space="preserve">) and crystal density. In hd-LLM-105 PBX, the binder and crystal </w:t>
      </w:r>
      <w:r w:rsidRPr="000A4FC6">
        <w:rPr>
          <w:highlight w:val="yellow"/>
        </w:rPr>
        <w:t>consist of</w:t>
      </w:r>
      <w:r w:rsidRPr="000A4FC6">
        <w:rPr>
          <w:rFonts w:hint="eastAsia"/>
          <w:highlight w:val="yellow"/>
        </w:rPr>
        <w:t xml:space="preserve"> 5% and 95% in weight. Using the PBX real tested velocity and the press density, the volume of whole PBX </w:t>
      </w:r>
      <w:r w:rsidRPr="000A4FC6">
        <w:rPr>
          <w:szCs w:val="24"/>
          <w:highlight w:val="yellow"/>
        </w:rPr>
        <w:t>cylinder</w:t>
      </w:r>
      <w:r w:rsidRPr="000A4FC6">
        <w:rPr>
          <w:rFonts w:hint="eastAsia"/>
          <w:highlight w:val="yellow"/>
        </w:rPr>
        <w:t xml:space="preserve">, the volume ratio of binder, crystal and air could be calculated. From the equation, the </w:t>
      </w:r>
      <w:r w:rsidRPr="000A4FC6">
        <w:rPr>
          <w:highlight w:val="yellow"/>
        </w:rPr>
        <w:t>reckoning</w:t>
      </w:r>
      <w:r w:rsidRPr="000A4FC6">
        <w:rPr>
          <w:rFonts w:hint="eastAsia"/>
          <w:highlight w:val="yellow"/>
        </w:rPr>
        <w:t xml:space="preserve"> velocity could be calculated. </w:t>
      </w:r>
    </w:p>
    <w:p w14:paraId="31F8F2D0" w14:textId="5CB2316A" w:rsidR="00B4496F" w:rsidRPr="00B4496F" w:rsidRDefault="00B4496F" w:rsidP="00DF3294">
      <w:pPr>
        <w:spacing w:line="480" w:lineRule="auto"/>
        <w:rPr>
          <w:rFonts w:cs="Times New Roman"/>
        </w:rPr>
      </w:pPr>
    </w:p>
    <w:p w14:paraId="649FC0F4" w14:textId="2CECC373" w:rsidR="00DF7A1C" w:rsidRPr="00991141" w:rsidRDefault="0046493F" w:rsidP="0045764D">
      <w:pPr>
        <w:spacing w:line="480" w:lineRule="auto"/>
        <w:rPr>
          <w:rFonts w:cs="Times New Roman"/>
          <w:b/>
          <w:bCs/>
        </w:rPr>
      </w:pPr>
      <w:r w:rsidRPr="00991141">
        <w:rPr>
          <w:rFonts w:cs="Times New Roman"/>
          <w:b/>
          <w:bCs/>
        </w:rPr>
        <w:t>Theoretical</w:t>
      </w:r>
      <w:r w:rsidRPr="00991141">
        <w:rPr>
          <w:rFonts w:cs="Times New Roman" w:hint="eastAsia"/>
          <w:b/>
          <w:bCs/>
        </w:rPr>
        <w:t xml:space="preserve"> </w:t>
      </w:r>
      <w:r w:rsidR="00AE63B0" w:rsidRPr="00991141">
        <w:rPr>
          <w:rFonts w:cs="Times New Roman"/>
          <w:b/>
          <w:bCs/>
        </w:rPr>
        <w:t xml:space="preserve">calculation </w:t>
      </w:r>
      <w:r w:rsidRPr="00991141">
        <w:rPr>
          <w:rFonts w:cs="Times New Roman" w:hint="eastAsia"/>
          <w:b/>
          <w:bCs/>
        </w:rPr>
        <w:t>details</w:t>
      </w:r>
    </w:p>
    <w:p w14:paraId="74D0BE54" w14:textId="17B5CDA1" w:rsidR="00FD3E4F" w:rsidRPr="00991141" w:rsidRDefault="00AE63B0" w:rsidP="0045764D">
      <w:pPr>
        <w:spacing w:line="480" w:lineRule="auto"/>
        <w:rPr>
          <w:rFonts w:cs="Times New Roman"/>
          <w:szCs w:val="24"/>
        </w:rPr>
      </w:pPr>
      <w:r w:rsidRPr="00991141">
        <w:rPr>
          <w:rFonts w:cs="Times New Roman"/>
          <w:szCs w:val="28"/>
        </w:rPr>
        <w:t>The first-principles simulations were performed using the CP2K software packag</w:t>
      </w:r>
      <w:r w:rsidR="006C741E" w:rsidRPr="00991141">
        <w:rPr>
          <w:rFonts w:cs="Times New Roman"/>
          <w:szCs w:val="28"/>
        </w:rPr>
        <w:t>e</w:t>
      </w:r>
      <w:r w:rsidRPr="00991141">
        <w:rPr>
          <w:rFonts w:cs="Times New Roman"/>
          <w:szCs w:val="28"/>
        </w:rPr>
        <w:t>. This comprehensive approach encompassed the calculation of binding energy, differential charge density, and the interaction region indicator (IRI), all of which are vital for elucidating the interactions between TAGP and LLM-105.</w:t>
      </w:r>
      <w:r w:rsidRPr="00991141">
        <w:rPr>
          <w:rFonts w:cs="Times New Roman"/>
          <w:szCs w:val="24"/>
        </w:rPr>
        <w:t xml:space="preserve"> For the electronic structure calculations, the </w:t>
      </w:r>
      <w:proofErr w:type="spellStart"/>
      <w:r w:rsidRPr="00991141">
        <w:rPr>
          <w:rFonts w:cs="Times New Roman"/>
          <w:szCs w:val="24"/>
        </w:rPr>
        <w:t>Goedecker</w:t>
      </w:r>
      <w:proofErr w:type="spellEnd"/>
      <w:r w:rsidRPr="00991141">
        <w:rPr>
          <w:rFonts w:cs="Times New Roman"/>
          <w:szCs w:val="24"/>
        </w:rPr>
        <w:t xml:space="preserve">-Teter-Hutter (GTH) pseudopotentials were employed, which are efficient for core electron treatment, in conjunction with the Perdew Burke Ernzerhof (PBE) generalized gradient approximation. the DZVP-MOLOPT basis set was employed. Long-range interactions inherent in the system under investigation, </w:t>
      </w:r>
      <w:r w:rsidRPr="00991141">
        <w:rPr>
          <w:rFonts w:cs="Times New Roman"/>
          <w:szCs w:val="24"/>
        </w:rPr>
        <w:lastRenderedPageBreak/>
        <w:t>dispersion corrections were integrated through Grimme’s DFT-D3 method. The wave function energy cutoff was set at 900.</w:t>
      </w:r>
    </w:p>
    <w:p w14:paraId="56618AE6" w14:textId="77777777" w:rsidR="00FD3E4F" w:rsidRPr="00991141" w:rsidRDefault="00FD3E4F" w:rsidP="0045764D">
      <w:pPr>
        <w:spacing w:line="480" w:lineRule="auto"/>
        <w:rPr>
          <w:rFonts w:cs="Times New Roman"/>
          <w:szCs w:val="24"/>
        </w:rPr>
      </w:pPr>
    </w:p>
    <w:p w14:paraId="77B0112C" w14:textId="0722A005" w:rsidR="00AE63B0" w:rsidRPr="00991141" w:rsidRDefault="00AE63B0" w:rsidP="0045764D">
      <w:pPr>
        <w:spacing w:line="480" w:lineRule="auto"/>
        <w:rPr>
          <w:rFonts w:cs="Times New Roman"/>
          <w:szCs w:val="24"/>
        </w:rPr>
      </w:pPr>
      <w:r w:rsidRPr="00991141">
        <w:rPr>
          <w:rFonts w:cs="Times New Roman"/>
          <w:szCs w:val="24"/>
        </w:rPr>
        <w:t>Binding energy refers to the energy released when two or more particles in a free state come together to form a composite particle. In chemistry, it often refers to the energy released when free atoms combine to form a molecule, which is also known as chemical binding energy. The higher the binding energy, the more stable the structure of the molecule. This is because during the combination process, the sum of the masses of the individual particles is greater than the mass of the composite particle they form. Binding energy can be expressed by the following formula:</w:t>
      </w:r>
    </w:p>
    <w:p w14:paraId="388FC45D" w14:textId="77777777" w:rsidR="00AE63B0" w:rsidRPr="00991141" w:rsidRDefault="00000000" w:rsidP="0045764D">
      <w:pPr>
        <w:spacing w:line="480" w:lineRule="auto"/>
        <w:rPr>
          <w:rFonts w:cs="Times New Roman"/>
          <w:szCs w:val="24"/>
        </w:rPr>
      </w:pPr>
      <m:oMathPara>
        <m:oMath>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binding </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molecule </m:t>
              </m:r>
            </m:sub>
          </m:sSub>
          <m:r>
            <w:rPr>
              <w:rFonts w:ascii="Cambria Math" w:hAnsi="Cambria Math" w:cs="Times New Roman"/>
              <w:szCs w:val="24"/>
            </w:rPr>
            <m:t>-∑</m:t>
          </m:r>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atom </m:t>
              </m:r>
            </m:sub>
          </m:sSub>
        </m:oMath>
      </m:oMathPara>
    </w:p>
    <w:p w14:paraId="7E6CF587" w14:textId="77777777" w:rsidR="00AE63B0" w:rsidRPr="00991141" w:rsidRDefault="00AE63B0" w:rsidP="0045764D">
      <w:pPr>
        <w:spacing w:line="480" w:lineRule="auto"/>
        <w:rPr>
          <w:rFonts w:cs="Times New Roman"/>
          <w:szCs w:val="24"/>
        </w:rPr>
      </w:pPr>
      <w:r w:rsidRPr="00991141">
        <w:rPr>
          <w:rFonts w:cs="Times New Roman"/>
          <w:szCs w:val="24"/>
        </w:rPr>
        <w:t xml:space="preserve">where </w:t>
      </w:r>
      <m:oMath>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binding </m:t>
            </m:r>
          </m:sub>
        </m:sSub>
      </m:oMath>
      <w:r w:rsidRPr="00991141">
        <w:rPr>
          <w:rFonts w:cs="Times New Roman"/>
          <w:szCs w:val="24"/>
        </w:rPr>
        <w:t xml:space="preserve"> is the binding energy, </w:t>
      </w:r>
      <m:oMath>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molecule </m:t>
            </m:r>
          </m:sub>
        </m:sSub>
      </m:oMath>
      <w:r w:rsidRPr="00991141">
        <w:rPr>
          <w:rFonts w:cs="Times New Roman"/>
          <w:szCs w:val="24"/>
        </w:rPr>
        <w:t xml:space="preserve"> is the total energy of the molecule, and </w:t>
      </w:r>
      <m:oMath>
        <m:sSub>
          <m:sSubPr>
            <m:ctrlPr>
              <w:rPr>
                <w:rFonts w:ascii="Cambria Math" w:hAnsi="Cambria Math" w:cs="Times New Roman"/>
                <w:szCs w:val="24"/>
              </w:rPr>
            </m:ctrlPr>
          </m:sSubPr>
          <m:e>
            <m:r>
              <w:rPr>
                <w:rFonts w:ascii="Cambria Math" w:hAnsi="Cambria Math" w:cs="Times New Roman"/>
                <w:szCs w:val="24"/>
              </w:rPr>
              <m:t>E</m:t>
            </m:r>
          </m:e>
          <m:sub>
            <m:r>
              <m:rPr>
                <m:nor/>
              </m:rPr>
              <w:rPr>
                <w:rFonts w:cs="Times New Roman"/>
                <w:szCs w:val="24"/>
              </w:rPr>
              <m:t xml:space="preserve">atom </m:t>
            </m:r>
          </m:sub>
        </m:sSub>
      </m:oMath>
      <w:r w:rsidRPr="00991141">
        <w:rPr>
          <w:rFonts w:cs="Times New Roman"/>
          <w:szCs w:val="24"/>
        </w:rPr>
        <w:t>is the energy of the individual atoms that make up the molecule.</w:t>
      </w:r>
    </w:p>
    <w:p w14:paraId="3E8E145A" w14:textId="77777777" w:rsidR="00CA00B3" w:rsidRPr="00991141" w:rsidRDefault="00CA00B3" w:rsidP="0045764D">
      <w:pPr>
        <w:spacing w:line="480" w:lineRule="auto"/>
        <w:rPr>
          <w:rFonts w:cs="Times New Roman"/>
          <w:szCs w:val="24"/>
        </w:rPr>
      </w:pPr>
    </w:p>
    <w:p w14:paraId="351442C4" w14:textId="70992785" w:rsidR="00AE63B0" w:rsidRPr="00991141" w:rsidRDefault="00AE63B0" w:rsidP="0045764D">
      <w:pPr>
        <w:spacing w:line="480" w:lineRule="auto"/>
        <w:rPr>
          <w:rFonts w:cs="Times New Roman"/>
          <w:szCs w:val="24"/>
        </w:rPr>
      </w:pPr>
      <w:r w:rsidRPr="00991141">
        <w:rPr>
          <w:rFonts w:cs="Times New Roman"/>
          <w:szCs w:val="24"/>
        </w:rPr>
        <w:t>Difference charge density is a method for analyzing the redistribution of charge within materials. It can reveal the movement of charge and the direction of polarization during bonding and electron coupling processes. The calculation formula for difference charge density is usually defined as:</w:t>
      </w:r>
    </w:p>
    <w:p w14:paraId="65522375" w14:textId="77777777" w:rsidR="00AE63B0" w:rsidRPr="00991141" w:rsidRDefault="00AE63B0" w:rsidP="0045764D">
      <w:pPr>
        <w:pStyle w:val="a7"/>
        <w:spacing w:line="480" w:lineRule="auto"/>
        <w:ind w:firstLineChars="0" w:firstLine="0"/>
        <w:rPr>
          <w:rFonts w:cs="Times New Roman"/>
          <w:szCs w:val="20"/>
        </w:rPr>
      </w:pPr>
      <m:oMathPara>
        <m:oMath>
          <m:r>
            <m:rPr>
              <m:sty m:val="p"/>
            </m:rPr>
            <w:rPr>
              <w:rFonts w:ascii="Cambria Math" w:hAnsi="Cambria Math" w:cs="Times New Roman"/>
              <w:szCs w:val="24"/>
            </w:rPr>
            <m:t>∆</m:t>
          </m:r>
          <m:r>
            <w:rPr>
              <w:rFonts w:ascii="Cambria Math" w:hAnsi="Cambria Math" w:cs="Times New Roman"/>
              <w:szCs w:val="24"/>
            </w:rPr>
            <m:t>ρ</m:t>
          </m:r>
          <m:r>
            <m:rPr>
              <m:sty m:val="p"/>
            </m:rPr>
            <w:rPr>
              <w:rFonts w:ascii="Cambria Math" w:hAnsi="Cambria Math" w:cs="Times New Roman"/>
              <w:szCs w:val="24"/>
            </w:rPr>
            <m:t>=</m:t>
          </m:r>
          <m:r>
            <w:rPr>
              <w:rFonts w:ascii="Cambria Math" w:hAnsi="Cambria Math" w:cs="Times New Roman"/>
              <w:szCs w:val="24"/>
            </w:rPr>
            <m:t>ρ</m:t>
          </m:r>
          <m:d>
            <m:dPr>
              <m:ctrlPr>
                <w:rPr>
                  <w:rFonts w:ascii="Cambria Math" w:hAnsi="Cambria Math" w:cs="Times New Roman"/>
                  <w:bCs/>
                  <w:iCs/>
                  <w:szCs w:val="24"/>
                </w:rPr>
              </m:ctrlPr>
            </m:dPr>
            <m:e>
              <m:r>
                <m:rPr>
                  <m:sty m:val="p"/>
                </m:rPr>
                <w:rPr>
                  <w:rFonts w:ascii="Cambria Math" w:hAnsi="Cambria Math" w:cs="Times New Roman"/>
                  <w:szCs w:val="24"/>
                </w:rPr>
                <m:t>AB</m:t>
              </m:r>
            </m:e>
          </m:d>
          <m:r>
            <m:rPr>
              <m:sty m:val="p"/>
            </m:rPr>
            <w:rPr>
              <w:rFonts w:ascii="Cambria Math" w:hAnsi="Cambria Math" w:cs="Times New Roman"/>
              <w:szCs w:val="24"/>
            </w:rPr>
            <m:t>-</m:t>
          </m:r>
          <m:r>
            <w:rPr>
              <w:rFonts w:ascii="Cambria Math" w:hAnsi="Cambria Math" w:cs="Times New Roman"/>
              <w:szCs w:val="24"/>
            </w:rPr>
            <m:t>ρ</m:t>
          </m:r>
          <m:d>
            <m:dPr>
              <m:ctrlPr>
                <w:rPr>
                  <w:rFonts w:ascii="Cambria Math" w:hAnsi="Cambria Math" w:cs="Times New Roman"/>
                  <w:bCs/>
                  <w:iCs/>
                  <w:szCs w:val="24"/>
                </w:rPr>
              </m:ctrlPr>
            </m:dPr>
            <m:e>
              <m:r>
                <m:rPr>
                  <m:sty m:val="p"/>
                </m:rPr>
                <w:rPr>
                  <w:rFonts w:ascii="Cambria Math" w:hAnsi="Cambria Math" w:cs="Times New Roman"/>
                  <w:szCs w:val="24"/>
                </w:rPr>
                <m:t>A</m:t>
              </m:r>
            </m:e>
          </m:d>
          <m:r>
            <m:rPr>
              <m:sty m:val="p"/>
            </m:rPr>
            <w:rPr>
              <w:rFonts w:ascii="Cambria Math" w:hAnsi="Cambria Math" w:cs="Times New Roman"/>
              <w:szCs w:val="24"/>
            </w:rPr>
            <m:t>-</m:t>
          </m:r>
          <m:r>
            <w:rPr>
              <w:rFonts w:ascii="Cambria Math" w:hAnsi="Cambria Math" w:cs="Times New Roman"/>
              <w:szCs w:val="24"/>
            </w:rPr>
            <m:t>ρ</m:t>
          </m:r>
          <m:d>
            <m:dPr>
              <m:ctrlPr>
                <w:rPr>
                  <w:rFonts w:ascii="Cambria Math" w:hAnsi="Cambria Math" w:cs="Times New Roman"/>
                  <w:szCs w:val="24"/>
                </w:rPr>
              </m:ctrlPr>
            </m:dPr>
            <m:e>
              <m:r>
                <m:rPr>
                  <m:sty m:val="p"/>
                </m:rPr>
                <w:rPr>
                  <w:rFonts w:ascii="Cambria Math" w:hAnsi="Cambria Math" w:cs="Times New Roman"/>
                  <w:szCs w:val="24"/>
                </w:rPr>
                <m:t>B</m:t>
              </m:r>
            </m:e>
          </m:d>
        </m:oMath>
      </m:oMathPara>
    </w:p>
    <w:p w14:paraId="1B271992" w14:textId="77777777" w:rsidR="00AE63B0" w:rsidRPr="00991141" w:rsidRDefault="00AE63B0" w:rsidP="0045764D">
      <w:pPr>
        <w:pStyle w:val="a7"/>
        <w:spacing w:line="480" w:lineRule="auto"/>
        <w:ind w:firstLineChars="0" w:firstLine="0"/>
        <w:rPr>
          <w:rFonts w:cs="Times New Roman"/>
          <w:szCs w:val="20"/>
        </w:rPr>
      </w:pPr>
      <w:r w:rsidRPr="00991141">
        <w:rPr>
          <w:rFonts w:cs="Times New Roman"/>
          <w:szCs w:val="20"/>
        </w:rPr>
        <w:t xml:space="preserve">Where, </w:t>
      </w:r>
      <m:oMath>
        <m:r>
          <w:rPr>
            <w:rFonts w:ascii="Cambria Math" w:hAnsi="Cambria Math" w:cs="Times New Roman"/>
            <w:szCs w:val="24"/>
          </w:rPr>
          <m:t>ρ</m:t>
        </m:r>
        <m:d>
          <m:dPr>
            <m:ctrlPr>
              <w:rPr>
                <w:rFonts w:ascii="Cambria Math" w:hAnsi="Cambria Math" w:cs="Times New Roman"/>
                <w:bCs/>
                <w:iCs/>
                <w:szCs w:val="24"/>
              </w:rPr>
            </m:ctrlPr>
          </m:dPr>
          <m:e>
            <m:r>
              <m:rPr>
                <m:sty m:val="p"/>
              </m:rPr>
              <w:rPr>
                <w:rFonts w:ascii="Cambria Math" w:hAnsi="Cambria Math" w:cs="Times New Roman"/>
                <w:szCs w:val="24"/>
              </w:rPr>
              <m:t>AB</m:t>
            </m:r>
          </m:e>
        </m:d>
      </m:oMath>
      <w:r w:rsidRPr="00991141">
        <w:rPr>
          <w:rFonts w:cs="Times New Roman"/>
          <w:szCs w:val="20"/>
        </w:rPr>
        <w:t xml:space="preserve">represents the total charge density of the optimized system, </w:t>
      </w:r>
      <m:oMath>
        <m:r>
          <w:rPr>
            <w:rFonts w:ascii="Cambria Math" w:hAnsi="Cambria Math" w:cs="Times New Roman"/>
            <w:szCs w:val="24"/>
          </w:rPr>
          <m:t>ρ</m:t>
        </m:r>
        <m:d>
          <m:dPr>
            <m:ctrlPr>
              <w:rPr>
                <w:rFonts w:ascii="Cambria Math" w:hAnsi="Cambria Math" w:cs="Times New Roman"/>
                <w:bCs/>
                <w:iCs/>
                <w:szCs w:val="24"/>
              </w:rPr>
            </m:ctrlPr>
          </m:dPr>
          <m:e>
            <m:r>
              <m:rPr>
                <m:sty m:val="p"/>
              </m:rPr>
              <w:rPr>
                <w:rFonts w:ascii="Cambria Math" w:hAnsi="Cambria Math" w:cs="Times New Roman"/>
                <w:szCs w:val="24"/>
              </w:rPr>
              <m:t>A</m:t>
            </m:r>
          </m:e>
        </m:d>
      </m:oMath>
      <w:r w:rsidRPr="00991141">
        <w:rPr>
          <w:rFonts w:cs="Times New Roman"/>
          <w:szCs w:val="20"/>
        </w:rPr>
        <w:t xml:space="preserve"> is the charge density of material A, and </w:t>
      </w:r>
      <m:oMath>
        <m:r>
          <w:rPr>
            <w:rFonts w:ascii="Cambria Math" w:hAnsi="Cambria Math" w:cs="Times New Roman"/>
            <w:szCs w:val="24"/>
          </w:rPr>
          <m:t>ρ</m:t>
        </m:r>
        <m:d>
          <m:dPr>
            <m:ctrlPr>
              <w:rPr>
                <w:rFonts w:ascii="Cambria Math" w:hAnsi="Cambria Math" w:cs="Times New Roman"/>
                <w:szCs w:val="24"/>
              </w:rPr>
            </m:ctrlPr>
          </m:dPr>
          <m:e>
            <m:r>
              <m:rPr>
                <m:sty m:val="p"/>
              </m:rPr>
              <w:rPr>
                <w:rFonts w:ascii="Cambria Math" w:hAnsi="Cambria Math" w:cs="Times New Roman"/>
                <w:szCs w:val="24"/>
              </w:rPr>
              <m:t>B</m:t>
            </m:r>
          </m:e>
        </m:d>
      </m:oMath>
      <w:r w:rsidRPr="00991141">
        <w:rPr>
          <w:rFonts w:cs="Times New Roman"/>
          <w:szCs w:val="20"/>
        </w:rPr>
        <w:t xml:space="preserve"> is the charge density of material B. By subtracting the charge densities of materials A and B from the total charge density of </w:t>
      </w:r>
      <w:r w:rsidRPr="00991141">
        <w:rPr>
          <w:rFonts w:cs="Times New Roman"/>
          <w:szCs w:val="20"/>
        </w:rPr>
        <w:lastRenderedPageBreak/>
        <w:t xml:space="preserve">the system, the differential charge density upon the formation of a composite of materials A and B were obtained. </w:t>
      </w:r>
    </w:p>
    <w:p w14:paraId="4838E8ED" w14:textId="77777777" w:rsidR="00CA00B3" w:rsidRPr="00991141" w:rsidRDefault="00CA00B3" w:rsidP="0045764D">
      <w:pPr>
        <w:spacing w:line="480" w:lineRule="auto"/>
        <w:rPr>
          <w:rFonts w:cs="Times New Roman"/>
          <w:szCs w:val="24"/>
        </w:rPr>
      </w:pPr>
    </w:p>
    <w:p w14:paraId="460CB641" w14:textId="6BAF8973" w:rsidR="00AE63B0" w:rsidRPr="00991141" w:rsidRDefault="00AE63B0" w:rsidP="0045764D">
      <w:pPr>
        <w:spacing w:line="480" w:lineRule="auto"/>
        <w:rPr>
          <w:rFonts w:cs="Times New Roman"/>
          <w:szCs w:val="24"/>
        </w:rPr>
      </w:pPr>
      <w:r w:rsidRPr="00991141">
        <w:rPr>
          <w:rFonts w:cs="Times New Roman"/>
          <w:szCs w:val="24"/>
        </w:rPr>
        <w:t>For the analysis of non-covalent interaction energies, the IRI calculation can be used to assess these interactions. The IRI function is defined as:</w:t>
      </w:r>
    </w:p>
    <w:p w14:paraId="70B8A8A3" w14:textId="77777777" w:rsidR="00AE63B0" w:rsidRPr="00991141" w:rsidRDefault="00AE63B0" w:rsidP="0045764D">
      <w:pPr>
        <w:pStyle w:val="a7"/>
        <w:spacing w:line="480" w:lineRule="auto"/>
        <w:ind w:firstLine="480"/>
        <w:rPr>
          <w:rFonts w:cs="Times New Roman"/>
          <w:szCs w:val="20"/>
        </w:rPr>
      </w:pPr>
      <m:oMathPara>
        <m:oMath>
          <m:r>
            <m:rPr>
              <m:sty m:val="p"/>
            </m:rPr>
            <w:rPr>
              <w:rFonts w:ascii="Cambria Math" w:hAnsi="Cambria Math" w:cs="Times New Roman"/>
              <w:szCs w:val="20"/>
            </w:rPr>
            <m:t>IRI</m:t>
          </m:r>
          <m:r>
            <w:rPr>
              <w:rFonts w:ascii="Cambria Math" w:hAnsi="Cambria Math" w:cs="Times New Roman"/>
              <w:szCs w:val="20"/>
            </w:rPr>
            <m:t>⁡(</m:t>
          </m:r>
          <m:r>
            <m:rPr>
              <m:sty m:val="b"/>
            </m:rPr>
            <w:rPr>
              <w:rFonts w:ascii="Cambria Math" w:hAnsi="Cambria Math" w:cs="Times New Roman"/>
              <w:szCs w:val="20"/>
            </w:rPr>
            <m:t>r</m:t>
          </m:r>
          <m:r>
            <w:rPr>
              <w:rFonts w:ascii="Cambria Math" w:hAnsi="Cambria Math" w:cs="Times New Roman"/>
              <w:szCs w:val="20"/>
            </w:rPr>
            <m:t>)=</m:t>
          </m:r>
          <m:f>
            <m:fPr>
              <m:ctrlPr>
                <w:rPr>
                  <w:rFonts w:ascii="Cambria Math" w:hAnsi="Cambria Math" w:cs="Times New Roman"/>
                  <w:szCs w:val="20"/>
                </w:rPr>
              </m:ctrlPr>
            </m:fPr>
            <m:num>
              <m:r>
                <w:rPr>
                  <w:rFonts w:ascii="Cambria Math" w:hAnsi="Cambria Math" w:cs="Times New Roman"/>
                  <w:szCs w:val="20"/>
                </w:rPr>
                <m:t>|</m:t>
              </m:r>
              <m:r>
                <m:rPr>
                  <m:sty m:val="p"/>
                </m:rPr>
                <w:rPr>
                  <w:rFonts w:ascii="Cambria Math" w:hAnsi="Cambria Math" w:cs="Times New Roman"/>
                  <w:szCs w:val="20"/>
                </w:rPr>
                <m:t>∇</m:t>
              </m:r>
              <m:r>
                <w:rPr>
                  <w:rFonts w:ascii="Cambria Math" w:hAnsi="Cambria Math" w:cs="Times New Roman"/>
                  <w:szCs w:val="20"/>
                </w:rPr>
                <m:t>ρ(</m:t>
              </m:r>
              <m:r>
                <m:rPr>
                  <m:sty m:val="b"/>
                </m:rPr>
                <w:rPr>
                  <w:rFonts w:ascii="Cambria Math" w:hAnsi="Cambria Math" w:cs="Times New Roman"/>
                  <w:szCs w:val="20"/>
                </w:rPr>
                <m:t>r</m:t>
              </m:r>
              <m:r>
                <w:rPr>
                  <w:rFonts w:ascii="Cambria Math" w:hAnsi="Cambria Math" w:cs="Times New Roman"/>
                  <w:szCs w:val="20"/>
                </w:rPr>
                <m:t>)|</m:t>
              </m:r>
            </m:num>
            <m:den>
              <m:r>
                <w:rPr>
                  <w:rFonts w:ascii="Cambria Math" w:hAnsi="Cambria Math" w:cs="Times New Roman"/>
                  <w:szCs w:val="20"/>
                </w:rPr>
                <m:t>[ρ(</m:t>
              </m:r>
              <m:r>
                <m:rPr>
                  <m:sty m:val="b"/>
                </m:rPr>
                <w:rPr>
                  <w:rFonts w:ascii="Cambria Math" w:hAnsi="Cambria Math" w:cs="Times New Roman"/>
                  <w:szCs w:val="20"/>
                </w:rPr>
                <m:t>r</m:t>
              </m:r>
              <m:r>
                <w:rPr>
                  <w:rFonts w:ascii="Cambria Math" w:hAnsi="Cambria Math" w:cs="Times New Roman"/>
                  <w:szCs w:val="20"/>
                </w:rPr>
                <m:t>)</m:t>
              </m:r>
              <m:sSup>
                <m:sSupPr>
                  <m:ctrlPr>
                    <w:rPr>
                      <w:rFonts w:ascii="Cambria Math" w:hAnsi="Cambria Math" w:cs="Times New Roman"/>
                      <w:szCs w:val="20"/>
                    </w:rPr>
                  </m:ctrlPr>
                </m:sSupPr>
                <m:e>
                  <m:r>
                    <w:rPr>
                      <w:rFonts w:ascii="Cambria Math" w:hAnsi="Cambria Math" w:cs="Times New Roman"/>
                      <w:szCs w:val="20"/>
                    </w:rPr>
                    <m:t>]</m:t>
                  </m:r>
                </m:e>
                <m:sup>
                  <m:r>
                    <w:rPr>
                      <w:rFonts w:ascii="Cambria Math" w:hAnsi="Cambria Math" w:cs="Times New Roman"/>
                      <w:szCs w:val="20"/>
                    </w:rPr>
                    <m:t>a</m:t>
                  </m:r>
                </m:sup>
              </m:sSup>
            </m:den>
          </m:f>
        </m:oMath>
      </m:oMathPara>
    </w:p>
    <w:p w14:paraId="772A6AED" w14:textId="77777777" w:rsidR="00AE63B0" w:rsidRPr="00991141" w:rsidRDefault="00AE63B0" w:rsidP="0045764D">
      <w:pPr>
        <w:pStyle w:val="a7"/>
        <w:spacing w:line="480" w:lineRule="auto"/>
        <w:ind w:firstLineChars="0" w:firstLine="0"/>
        <w:rPr>
          <w:rFonts w:cs="Times New Roman"/>
          <w:szCs w:val="20"/>
        </w:rPr>
      </w:pPr>
      <w:r w:rsidRPr="00991141">
        <w:rPr>
          <w:rFonts w:cs="Times New Roman"/>
          <w:szCs w:val="20"/>
        </w:rPr>
        <w:t xml:space="preserve">where ρ is the electron density, </w:t>
      </w:r>
      <w:r w:rsidRPr="00991141">
        <w:rPr>
          <w:rFonts w:ascii="Cambria Math" w:hAnsi="Cambria Math" w:cs="Cambria Math"/>
          <w:szCs w:val="20"/>
        </w:rPr>
        <w:t>∇</w:t>
      </w:r>
      <w:r w:rsidRPr="00991141">
        <w:rPr>
          <w:rFonts w:cs="Times New Roman"/>
          <w:szCs w:val="20"/>
        </w:rPr>
        <w:t>ρ is the gradient of the electron density, and a is a parameter critical for distinguishing different types of interactions (with a standard value of 1.1).</w:t>
      </w:r>
    </w:p>
    <w:p w14:paraId="6F33518E" w14:textId="1ECCACB3" w:rsidR="00920A41" w:rsidRPr="00991141" w:rsidRDefault="00A02761" w:rsidP="00A02761">
      <w:pPr>
        <w:jc w:val="left"/>
        <w:rPr>
          <w:rFonts w:cs="Times New Roman"/>
          <w:szCs w:val="28"/>
        </w:rPr>
      </w:pPr>
      <w:r w:rsidRPr="00991141">
        <w:rPr>
          <w:rFonts w:cs="Times New Roman"/>
          <w:szCs w:val="28"/>
        </w:rPr>
        <w:br w:type="page"/>
      </w:r>
    </w:p>
    <w:p w14:paraId="055295F9" w14:textId="4989E832" w:rsidR="0055384C" w:rsidRPr="00991141" w:rsidRDefault="00066E69" w:rsidP="0045764D">
      <w:pPr>
        <w:keepNext/>
        <w:spacing w:line="480" w:lineRule="auto"/>
        <w:jc w:val="center"/>
        <w:rPr>
          <w:rFonts w:cs="Times New Roman"/>
        </w:rPr>
      </w:pPr>
      <w:r w:rsidRPr="00991141">
        <w:rPr>
          <w:rFonts w:cs="Times New Roman"/>
          <w:noProof/>
        </w:rPr>
        <w:lastRenderedPageBreak/>
        <w:drawing>
          <wp:inline distT="0" distB="0" distL="0" distR="0" wp14:anchorId="45F4B1A0" wp14:editId="2A3F6A6F">
            <wp:extent cx="5196186" cy="2088107"/>
            <wp:effectExtent l="0" t="0" r="5080" b="7620"/>
            <wp:docPr id="1753360765"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8915" cy="2097241"/>
                    </a:xfrm>
                    <a:prstGeom prst="rect">
                      <a:avLst/>
                    </a:prstGeom>
                    <a:noFill/>
                  </pic:spPr>
                </pic:pic>
              </a:graphicData>
            </a:graphic>
          </wp:inline>
        </w:drawing>
      </w:r>
    </w:p>
    <w:p w14:paraId="30590F80" w14:textId="289B2224" w:rsidR="00230AE7" w:rsidRDefault="0055384C" w:rsidP="0045764D">
      <w:pPr>
        <w:pStyle w:val="a8"/>
        <w:spacing w:line="480" w:lineRule="auto"/>
        <w:jc w:val="center"/>
        <w:rPr>
          <w:rFonts w:ascii="Times New Roman" w:hAnsi="Times New Roman" w:cs="Times New Roman"/>
          <w:szCs w:val="21"/>
        </w:rPr>
      </w:pPr>
      <w:r w:rsidRPr="00991141">
        <w:rPr>
          <w:rFonts w:ascii="Times New Roman" w:hAnsi="Times New Roman" w:cs="Times New Roman"/>
        </w:rPr>
        <w:t>Fig</w:t>
      </w:r>
      <w:r w:rsidR="008814AE" w:rsidRPr="00991141">
        <w:rPr>
          <w:rFonts w:ascii="Times New Roman" w:hAnsi="Times New Roman" w:cs="Times New Roman"/>
        </w:rPr>
        <w:t>ure S1.</w:t>
      </w:r>
      <w:r w:rsidRPr="00991141">
        <w:rPr>
          <w:rFonts w:ascii="Times New Roman" w:hAnsi="Times New Roman" w:cs="Times New Roman"/>
        </w:rPr>
        <w:t xml:space="preserve"> </w:t>
      </w:r>
      <w:r w:rsidR="008814AE" w:rsidRPr="00991141">
        <w:rPr>
          <w:rFonts w:ascii="Times New Roman" w:hAnsi="Times New Roman" w:cs="Times New Roman"/>
        </w:rPr>
        <w:t>The SEM</w:t>
      </w:r>
      <w:r w:rsidRPr="00991141">
        <w:rPr>
          <w:rFonts w:ascii="Times New Roman" w:hAnsi="Times New Roman" w:cs="Times New Roman"/>
          <w:szCs w:val="21"/>
        </w:rPr>
        <w:t xml:space="preserve"> image of </w:t>
      </w:r>
      <w:r w:rsidR="008814AE" w:rsidRPr="00991141">
        <w:rPr>
          <w:rFonts w:ascii="Times New Roman" w:hAnsi="Times New Roman" w:cs="Times New Roman"/>
          <w:szCs w:val="21"/>
        </w:rPr>
        <w:t xml:space="preserve">raw </w:t>
      </w:r>
      <w:r w:rsidRPr="00991141">
        <w:rPr>
          <w:rFonts w:ascii="Times New Roman" w:hAnsi="Times New Roman" w:cs="Times New Roman"/>
          <w:szCs w:val="21"/>
        </w:rPr>
        <w:t>LLM</w:t>
      </w:r>
      <w:r w:rsidR="008814AE" w:rsidRPr="00991141">
        <w:rPr>
          <w:rFonts w:ascii="Times New Roman" w:hAnsi="Times New Roman" w:cs="Times New Roman"/>
          <w:szCs w:val="21"/>
        </w:rPr>
        <w:t>-</w:t>
      </w:r>
      <w:r w:rsidRPr="00991141">
        <w:rPr>
          <w:rFonts w:ascii="Times New Roman" w:hAnsi="Times New Roman" w:cs="Times New Roman"/>
          <w:szCs w:val="21"/>
        </w:rPr>
        <w:t>105</w:t>
      </w:r>
      <w:r w:rsidR="00026B7A" w:rsidRPr="00991141">
        <w:rPr>
          <w:rFonts w:ascii="Times New Roman" w:hAnsi="Times New Roman" w:cs="Times New Roman"/>
          <w:szCs w:val="21"/>
        </w:rPr>
        <w:t xml:space="preserve"> and the particle size distributions</w:t>
      </w:r>
      <w:r w:rsidR="00EE30A5" w:rsidRPr="00991141">
        <w:rPr>
          <w:rFonts w:ascii="Times New Roman" w:hAnsi="Times New Roman" w:cs="Times New Roman"/>
          <w:szCs w:val="21"/>
        </w:rPr>
        <w:t xml:space="preserve">. </w:t>
      </w:r>
    </w:p>
    <w:p w14:paraId="70410CF8" w14:textId="77777777" w:rsidR="00222FCD" w:rsidRPr="00222FCD" w:rsidRDefault="00222FCD" w:rsidP="00222FCD"/>
    <w:p w14:paraId="70AEFB46" w14:textId="3EB4BD11" w:rsidR="00026B7A" w:rsidRPr="00991141" w:rsidRDefault="00026B7A" w:rsidP="0045764D">
      <w:pPr>
        <w:spacing w:line="480" w:lineRule="auto"/>
        <w:jc w:val="center"/>
        <w:rPr>
          <w:rFonts w:cs="Times New Roman"/>
        </w:rPr>
      </w:pPr>
      <w:r w:rsidRPr="00991141">
        <w:rPr>
          <w:rFonts w:cs="Times New Roman"/>
          <w:noProof/>
        </w:rPr>
        <w:drawing>
          <wp:inline distT="0" distB="0" distL="0" distR="0" wp14:anchorId="36C60A25" wp14:editId="35617752">
            <wp:extent cx="3772129" cy="3111689"/>
            <wp:effectExtent l="0" t="0" r="0" b="0"/>
            <wp:docPr id="11" name="图片 10" descr="图表, 直方图&#10;&#10;描述已自动生成">
              <a:extLst xmlns:a="http://schemas.openxmlformats.org/drawingml/2006/main">
                <a:ext uri="{FF2B5EF4-FFF2-40B4-BE49-F238E27FC236}">
                  <a16:creationId xmlns:a16="http://schemas.microsoft.com/office/drawing/2014/main" id="{3C561CEA-86D0-0B8D-A564-31EA0C3C5B3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0" descr="图表, 直方图&#10;&#10;描述已自动生成">
                      <a:extLst>
                        <a:ext uri="{FF2B5EF4-FFF2-40B4-BE49-F238E27FC236}">
                          <a16:creationId xmlns:a16="http://schemas.microsoft.com/office/drawing/2014/main" id="{3C561CEA-86D0-0B8D-A564-31EA0C3C5B3D}"/>
                        </a:ext>
                      </a:extLst>
                    </pic:cNvPr>
                    <pic:cNvPicPr>
                      <a:picLocks noChangeAspect="1"/>
                    </pic:cNvPicPr>
                  </pic:nvPicPr>
                  <pic:blipFill>
                    <a:blip r:embed="rId9" cstate="print">
                      <a:clrChange>
                        <a:clrFrom>
                          <a:srgbClr val="FFFFFF"/>
                        </a:clrFrom>
                        <a:clrTo>
                          <a:srgbClr val="FFFFFF">
                            <a:alpha val="0"/>
                          </a:srgbClr>
                        </a:clrTo>
                      </a:clrChange>
                      <a:extLst>
                        <a:ext uri="{28A0092B-C50C-407E-A947-70E740481C1C}">
                          <a14:useLocalDpi xmlns:a14="http://schemas.microsoft.com/office/drawing/2010/main" val="0"/>
                        </a:ext>
                      </a:extLst>
                    </a:blip>
                    <a:stretch>
                      <a:fillRect/>
                    </a:stretch>
                  </pic:blipFill>
                  <pic:spPr>
                    <a:xfrm>
                      <a:off x="0" y="0"/>
                      <a:ext cx="3799810" cy="3134523"/>
                    </a:xfrm>
                    <a:prstGeom prst="rect">
                      <a:avLst/>
                    </a:prstGeom>
                  </pic:spPr>
                </pic:pic>
              </a:graphicData>
            </a:graphic>
          </wp:inline>
        </w:drawing>
      </w:r>
    </w:p>
    <w:p w14:paraId="19AA9674" w14:textId="64528DC7" w:rsidR="00BA5AB9" w:rsidRPr="00991141" w:rsidRDefault="00BA5AB9" w:rsidP="0045764D">
      <w:pPr>
        <w:pStyle w:val="a8"/>
        <w:spacing w:line="480" w:lineRule="auto"/>
        <w:jc w:val="center"/>
        <w:rPr>
          <w:rFonts w:ascii="Times New Roman" w:hAnsi="Times New Roman" w:cs="Times New Roman"/>
          <w:szCs w:val="21"/>
        </w:rPr>
      </w:pPr>
      <w:r w:rsidRPr="00991141">
        <w:rPr>
          <w:rFonts w:ascii="Times New Roman" w:hAnsi="Times New Roman" w:cs="Times New Roman"/>
        </w:rPr>
        <w:t>Figure S</w:t>
      </w:r>
      <w:r w:rsidR="00F8410C" w:rsidRPr="00991141">
        <w:rPr>
          <w:rFonts w:ascii="Times New Roman" w:hAnsi="Times New Roman" w:cs="Times New Roman"/>
        </w:rPr>
        <w:t>2</w:t>
      </w:r>
      <w:r w:rsidRPr="00991141">
        <w:rPr>
          <w:rFonts w:ascii="Times New Roman" w:hAnsi="Times New Roman" w:cs="Times New Roman"/>
        </w:rPr>
        <w:t xml:space="preserve">. The </w:t>
      </w:r>
      <w:r w:rsidRPr="00991141">
        <w:rPr>
          <w:rFonts w:ascii="Times New Roman" w:hAnsi="Times New Roman" w:cs="Times New Roman"/>
          <w:szCs w:val="21"/>
        </w:rPr>
        <w:t>particle size distributions of hd-LLM-105</w:t>
      </w:r>
      <w:r w:rsidR="00011994" w:rsidRPr="00991141">
        <w:rPr>
          <w:rFonts w:ascii="Times New Roman" w:hAnsi="Times New Roman" w:cs="Times New Roman"/>
          <w:szCs w:val="21"/>
        </w:rPr>
        <w:t>.</w:t>
      </w:r>
    </w:p>
    <w:p w14:paraId="7B273BCD" w14:textId="1102B34B" w:rsidR="00F8410C" w:rsidRPr="00991141" w:rsidRDefault="00714283" w:rsidP="0045764D">
      <w:pPr>
        <w:keepNext/>
        <w:spacing w:line="480" w:lineRule="auto"/>
        <w:jc w:val="center"/>
        <w:rPr>
          <w:rFonts w:cs="Times New Roman"/>
        </w:rPr>
      </w:pPr>
      <w:r>
        <w:rPr>
          <w:rFonts w:cs="Times New Roman"/>
          <w:noProof/>
        </w:rPr>
        <w:lastRenderedPageBreak/>
        <w:drawing>
          <wp:inline distT="0" distB="0" distL="0" distR="0" wp14:anchorId="085212B6" wp14:editId="1B6FD971">
            <wp:extent cx="5155919" cy="2156346"/>
            <wp:effectExtent l="0" t="0" r="6985" b="0"/>
            <wp:docPr id="169065533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t="10783" r="5034"/>
                    <a:stretch/>
                  </pic:blipFill>
                  <pic:spPr bwMode="auto">
                    <a:xfrm>
                      <a:off x="0" y="0"/>
                      <a:ext cx="5182358" cy="2167404"/>
                    </a:xfrm>
                    <a:prstGeom prst="rect">
                      <a:avLst/>
                    </a:prstGeom>
                    <a:noFill/>
                    <a:ln>
                      <a:noFill/>
                    </a:ln>
                    <a:extLst>
                      <a:ext uri="{53640926-AAD7-44D8-BBD7-CCE9431645EC}">
                        <a14:shadowObscured xmlns:a14="http://schemas.microsoft.com/office/drawing/2010/main"/>
                      </a:ext>
                    </a:extLst>
                  </pic:spPr>
                </pic:pic>
              </a:graphicData>
            </a:graphic>
          </wp:inline>
        </w:drawing>
      </w:r>
    </w:p>
    <w:p w14:paraId="2B2E1518" w14:textId="4788EDBF" w:rsidR="00F8410C" w:rsidRPr="00991141" w:rsidRDefault="00F8410C" w:rsidP="0045764D">
      <w:pPr>
        <w:pStyle w:val="a8"/>
        <w:spacing w:line="480" w:lineRule="auto"/>
        <w:jc w:val="center"/>
        <w:rPr>
          <w:rFonts w:ascii="Times New Roman" w:hAnsi="Times New Roman" w:cs="Times New Roman"/>
        </w:rPr>
      </w:pPr>
      <w:r w:rsidRPr="00602987">
        <w:rPr>
          <w:rFonts w:ascii="Times New Roman" w:hAnsi="Times New Roman" w:cs="Times New Roman"/>
          <w:highlight w:val="yellow"/>
        </w:rPr>
        <w:t>Fig</w:t>
      </w:r>
      <w:r w:rsidR="00234FE6" w:rsidRPr="00602987">
        <w:rPr>
          <w:rFonts w:ascii="Times New Roman" w:hAnsi="Times New Roman" w:cs="Times New Roman"/>
          <w:highlight w:val="yellow"/>
        </w:rPr>
        <w:t xml:space="preserve">ure </w:t>
      </w:r>
      <w:r w:rsidRPr="00602987">
        <w:rPr>
          <w:rFonts w:ascii="Times New Roman" w:hAnsi="Times New Roman" w:cs="Times New Roman"/>
          <w:highlight w:val="yellow"/>
        </w:rPr>
        <w:t>S</w:t>
      </w:r>
      <w:r w:rsidR="00234FE6" w:rsidRPr="00602987">
        <w:rPr>
          <w:rFonts w:ascii="Times New Roman" w:hAnsi="Times New Roman" w:cs="Times New Roman"/>
          <w:highlight w:val="yellow"/>
        </w:rPr>
        <w:t>3</w:t>
      </w:r>
      <w:r w:rsidR="001171F4" w:rsidRPr="00602987">
        <w:rPr>
          <w:rFonts w:ascii="Times New Roman" w:hAnsi="Times New Roman" w:cs="Times New Roman"/>
          <w:highlight w:val="yellow"/>
        </w:rPr>
        <w:t>.</w:t>
      </w:r>
      <w:r w:rsidRPr="00602987">
        <w:rPr>
          <w:rFonts w:ascii="Times New Roman" w:hAnsi="Times New Roman" w:cs="Times New Roman"/>
          <w:highlight w:val="yellow"/>
        </w:rPr>
        <w:t xml:space="preserve"> </w:t>
      </w:r>
      <w:r w:rsidR="00602987">
        <w:rPr>
          <w:rFonts w:ascii="Times New Roman" w:hAnsi="Times New Roman" w:cs="Times New Roman" w:hint="eastAsia"/>
          <w:highlight w:val="yellow"/>
        </w:rPr>
        <w:t xml:space="preserve">(a) Raman spectra of </w:t>
      </w:r>
      <w:r w:rsidR="00602987" w:rsidRPr="00602987">
        <w:rPr>
          <w:rFonts w:ascii="Times New Roman" w:hAnsi="Times New Roman" w:cs="Times New Roman"/>
          <w:highlight w:val="yellow"/>
        </w:rPr>
        <w:t>Raman spectra of hd-LLM-105 and LLM-105, the inset is the enlarged area of the typical vibration comparation</w:t>
      </w:r>
      <w:r w:rsidR="00602987">
        <w:rPr>
          <w:rFonts w:ascii="Times New Roman" w:hAnsi="Times New Roman" w:cs="Times New Roman" w:hint="eastAsia"/>
          <w:highlight w:val="yellow"/>
        </w:rPr>
        <w:t xml:space="preserve">. </w:t>
      </w:r>
      <w:r w:rsidR="00602987" w:rsidRPr="00602987">
        <w:rPr>
          <w:rFonts w:ascii="Times New Roman" w:hAnsi="Times New Roman" w:cs="Times New Roman" w:hint="eastAsia"/>
          <w:highlight w:val="yellow"/>
        </w:rPr>
        <w:t xml:space="preserve">(b) </w:t>
      </w:r>
      <w:r w:rsidRPr="00602987">
        <w:rPr>
          <w:rFonts w:ascii="Times New Roman" w:hAnsi="Times New Roman" w:cs="Times New Roman"/>
          <w:highlight w:val="yellow"/>
        </w:rPr>
        <w:t xml:space="preserve">XPS peaks of raw LLM-105 and </w:t>
      </w:r>
      <w:r w:rsidR="000E2AEB" w:rsidRPr="00602987">
        <w:rPr>
          <w:rFonts w:ascii="Times New Roman" w:hAnsi="Times New Roman" w:cs="Times New Roman"/>
          <w:highlight w:val="yellow"/>
        </w:rPr>
        <w:t>hd</w:t>
      </w:r>
      <w:r w:rsidRPr="00602987">
        <w:rPr>
          <w:rFonts w:ascii="Times New Roman" w:hAnsi="Times New Roman" w:cs="Times New Roman"/>
          <w:highlight w:val="yellow"/>
        </w:rPr>
        <w:t>-LLM</w:t>
      </w:r>
      <w:r w:rsidR="00422605">
        <w:rPr>
          <w:rFonts w:ascii="Times New Roman" w:hAnsi="Times New Roman" w:cs="Times New Roman" w:hint="eastAsia"/>
          <w:highlight w:val="yellow"/>
        </w:rPr>
        <w:t>-</w:t>
      </w:r>
      <w:r w:rsidRPr="00602987">
        <w:rPr>
          <w:rFonts w:ascii="Times New Roman" w:hAnsi="Times New Roman" w:cs="Times New Roman"/>
          <w:highlight w:val="yellow"/>
        </w:rPr>
        <w:t>105</w:t>
      </w:r>
    </w:p>
    <w:p w14:paraId="57232AA1" w14:textId="2738540E" w:rsidR="00F8410C" w:rsidRPr="00991141" w:rsidRDefault="00F8410C" w:rsidP="0045764D">
      <w:pPr>
        <w:spacing w:line="480" w:lineRule="auto"/>
        <w:rPr>
          <w:rFonts w:cs="Times New Roman"/>
        </w:rPr>
      </w:pPr>
    </w:p>
    <w:p w14:paraId="632B2946" w14:textId="22A167F4" w:rsidR="00920201" w:rsidRPr="00991141" w:rsidRDefault="00920201" w:rsidP="0045764D">
      <w:pPr>
        <w:spacing w:line="480" w:lineRule="auto"/>
        <w:jc w:val="center"/>
        <w:rPr>
          <w:rFonts w:cs="Times New Roman"/>
        </w:rPr>
      </w:pPr>
      <w:r w:rsidRPr="00991141">
        <w:rPr>
          <w:rFonts w:cs="Times New Roman"/>
          <w:noProof/>
        </w:rPr>
        <w:drawing>
          <wp:inline distT="0" distB="0" distL="0" distR="0" wp14:anchorId="5E3D9C05" wp14:editId="40A8C7CD">
            <wp:extent cx="3804739" cy="2862487"/>
            <wp:effectExtent l="0" t="0" r="5715" b="0"/>
            <wp:docPr id="1457159041" name="图片 1" descr="图示&#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159041" name="图片 1" descr="图示&#10;&#10;描述已自动生成"/>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809868" cy="2866346"/>
                    </a:xfrm>
                    <a:prstGeom prst="rect">
                      <a:avLst/>
                    </a:prstGeom>
                    <a:noFill/>
                    <a:ln>
                      <a:noFill/>
                    </a:ln>
                  </pic:spPr>
                </pic:pic>
              </a:graphicData>
            </a:graphic>
          </wp:inline>
        </w:drawing>
      </w:r>
    </w:p>
    <w:p w14:paraId="1B5A1581" w14:textId="705BA06D" w:rsidR="009468B5" w:rsidRDefault="00920201" w:rsidP="0045764D">
      <w:pPr>
        <w:pStyle w:val="a8"/>
        <w:spacing w:line="480" w:lineRule="auto"/>
        <w:jc w:val="center"/>
        <w:rPr>
          <w:rFonts w:ascii="Times New Roman" w:hAnsi="Times New Roman" w:cs="Times New Roman"/>
        </w:rPr>
      </w:pPr>
      <w:r w:rsidRPr="00991141">
        <w:rPr>
          <w:rFonts w:ascii="Times New Roman" w:hAnsi="Times New Roman" w:cs="Times New Roman"/>
        </w:rPr>
        <w:t>Figure S4. TG and DSC of LLM-105.</w:t>
      </w:r>
    </w:p>
    <w:p w14:paraId="1FB16E38" w14:textId="77777777" w:rsidR="00234BDA" w:rsidRPr="00234BDA" w:rsidRDefault="00234BDA" w:rsidP="00234BDA"/>
    <w:p w14:paraId="552E6814" w14:textId="1C7B6250" w:rsidR="00920201" w:rsidRPr="00991141" w:rsidRDefault="006659FF" w:rsidP="0045764D">
      <w:pPr>
        <w:spacing w:line="480" w:lineRule="auto"/>
        <w:jc w:val="center"/>
        <w:rPr>
          <w:rFonts w:cs="Times New Roman"/>
        </w:rPr>
      </w:pPr>
      <w:r w:rsidRPr="00991141">
        <w:rPr>
          <w:rFonts w:cs="Times New Roman"/>
          <w:noProof/>
        </w:rPr>
        <w:lastRenderedPageBreak/>
        <w:drawing>
          <wp:inline distT="0" distB="0" distL="0" distR="0" wp14:anchorId="22C8C311" wp14:editId="7FC96A97">
            <wp:extent cx="5089835" cy="1986643"/>
            <wp:effectExtent l="0" t="0" r="0" b="0"/>
            <wp:docPr id="393630358"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3471" cy="1995869"/>
                    </a:xfrm>
                    <a:prstGeom prst="rect">
                      <a:avLst/>
                    </a:prstGeom>
                    <a:noFill/>
                  </pic:spPr>
                </pic:pic>
              </a:graphicData>
            </a:graphic>
          </wp:inline>
        </w:drawing>
      </w:r>
    </w:p>
    <w:p w14:paraId="5CAD8D35" w14:textId="2178351E" w:rsidR="005D7E75" w:rsidRPr="00991141" w:rsidRDefault="005D7E75" w:rsidP="0045764D">
      <w:pPr>
        <w:pStyle w:val="a8"/>
        <w:spacing w:line="480" w:lineRule="auto"/>
        <w:jc w:val="center"/>
        <w:rPr>
          <w:rFonts w:ascii="Times New Roman" w:hAnsi="Times New Roman" w:cs="Times New Roman"/>
        </w:rPr>
      </w:pPr>
      <w:r w:rsidRPr="00991141">
        <w:rPr>
          <w:rFonts w:ascii="Times New Roman" w:hAnsi="Times New Roman" w:cs="Times New Roman"/>
        </w:rPr>
        <w:t>Figure S5. DSC of LLM-105 at different heating rates.</w:t>
      </w:r>
    </w:p>
    <w:p w14:paraId="340B0CE9" w14:textId="77777777" w:rsidR="007E6336" w:rsidRPr="00991141" w:rsidRDefault="007E6336" w:rsidP="0045764D">
      <w:pPr>
        <w:spacing w:line="480" w:lineRule="auto"/>
        <w:rPr>
          <w:rFonts w:cs="Times New Roman"/>
        </w:rPr>
      </w:pPr>
    </w:p>
    <w:p w14:paraId="60F690A5" w14:textId="59347AEF" w:rsidR="00F20953" w:rsidRPr="00991141" w:rsidRDefault="00A401A1" w:rsidP="0045764D">
      <w:pPr>
        <w:keepNext/>
        <w:spacing w:line="480" w:lineRule="auto"/>
        <w:jc w:val="center"/>
        <w:rPr>
          <w:rFonts w:cs="Times New Roman"/>
        </w:rPr>
      </w:pPr>
      <w:r w:rsidRPr="00991141">
        <w:rPr>
          <w:rFonts w:cs="Times New Roman"/>
          <w:noProof/>
        </w:rPr>
        <w:drawing>
          <wp:inline distT="0" distB="0" distL="0" distR="0" wp14:anchorId="6D31BEBA" wp14:editId="7AE80E84">
            <wp:extent cx="3259209" cy="2429692"/>
            <wp:effectExtent l="0" t="0" r="0" b="8890"/>
            <wp:docPr id="398511175" name="图片 4"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8511175" name="图片 4" descr="图表, 折线图&#10;&#10;描述已自动生成"/>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63882" cy="2433175"/>
                    </a:xfrm>
                    <a:prstGeom prst="rect">
                      <a:avLst/>
                    </a:prstGeom>
                    <a:noFill/>
                    <a:ln>
                      <a:noFill/>
                    </a:ln>
                  </pic:spPr>
                </pic:pic>
              </a:graphicData>
            </a:graphic>
          </wp:inline>
        </w:drawing>
      </w:r>
    </w:p>
    <w:p w14:paraId="6E180233" w14:textId="207737E2" w:rsidR="00F20953" w:rsidRPr="00991141" w:rsidRDefault="00F20953" w:rsidP="0045764D">
      <w:pPr>
        <w:pStyle w:val="a8"/>
        <w:spacing w:line="480" w:lineRule="auto"/>
        <w:jc w:val="center"/>
        <w:rPr>
          <w:rFonts w:ascii="Times New Roman" w:hAnsi="Times New Roman" w:cs="Times New Roman"/>
        </w:rPr>
      </w:pPr>
      <w:r w:rsidRPr="00991141">
        <w:rPr>
          <w:rFonts w:ascii="Times New Roman" w:hAnsi="Times New Roman" w:cs="Times New Roman"/>
        </w:rPr>
        <w:t>Fig</w:t>
      </w:r>
      <w:r w:rsidR="00F06478" w:rsidRPr="00991141">
        <w:rPr>
          <w:rFonts w:ascii="Times New Roman" w:hAnsi="Times New Roman" w:cs="Times New Roman"/>
        </w:rPr>
        <w:t>ure</w:t>
      </w:r>
      <w:r w:rsidRPr="00991141">
        <w:rPr>
          <w:rFonts w:ascii="Times New Roman" w:hAnsi="Times New Roman" w:cs="Times New Roman"/>
        </w:rPr>
        <w:t xml:space="preserve"> S</w:t>
      </w:r>
      <w:r w:rsidRPr="00991141">
        <w:rPr>
          <w:rFonts w:ascii="Times New Roman" w:hAnsi="Times New Roman" w:cs="Times New Roman"/>
        </w:rPr>
        <w:fldChar w:fldCharType="begin"/>
      </w:r>
      <w:r w:rsidRPr="00991141">
        <w:rPr>
          <w:rFonts w:ascii="Times New Roman" w:hAnsi="Times New Roman" w:cs="Times New Roman"/>
        </w:rPr>
        <w:instrText xml:space="preserve"> SEQ Figure \* ARABIC </w:instrText>
      </w:r>
      <w:r w:rsidRPr="00991141">
        <w:rPr>
          <w:rFonts w:ascii="Times New Roman" w:hAnsi="Times New Roman" w:cs="Times New Roman"/>
        </w:rPr>
        <w:fldChar w:fldCharType="separate"/>
      </w:r>
      <w:r w:rsidRPr="00991141">
        <w:rPr>
          <w:rFonts w:ascii="Times New Roman" w:hAnsi="Times New Roman" w:cs="Times New Roman"/>
          <w:noProof/>
        </w:rPr>
        <w:t>6</w:t>
      </w:r>
      <w:r w:rsidRPr="00991141">
        <w:rPr>
          <w:rFonts w:ascii="Times New Roman" w:hAnsi="Times New Roman" w:cs="Times New Roman"/>
        </w:rPr>
        <w:fldChar w:fldCharType="end"/>
      </w:r>
      <w:r w:rsidR="00AE25F3" w:rsidRPr="00991141">
        <w:rPr>
          <w:rFonts w:ascii="Times New Roman" w:hAnsi="Times New Roman" w:cs="Times New Roman"/>
        </w:rPr>
        <w:t>.</w:t>
      </w:r>
      <w:r w:rsidRPr="00991141">
        <w:rPr>
          <w:rFonts w:ascii="Times New Roman" w:hAnsi="Times New Roman" w:cs="Times New Roman"/>
        </w:rPr>
        <w:t xml:space="preserve"> Mass spectra with the minimum retention time at 300 °C</w:t>
      </w:r>
      <w:r w:rsidR="00A401A1" w:rsidRPr="00991141">
        <w:rPr>
          <w:rFonts w:ascii="Times New Roman" w:hAnsi="Times New Roman" w:cs="Times New Roman"/>
        </w:rPr>
        <w:t xml:space="preserve">. </w:t>
      </w:r>
    </w:p>
    <w:p w14:paraId="5DE979E8" w14:textId="3DD167DA" w:rsidR="00F20953" w:rsidRDefault="00EF3163" w:rsidP="00EF3163">
      <w:pPr>
        <w:spacing w:line="480" w:lineRule="auto"/>
        <w:jc w:val="center"/>
        <w:rPr>
          <w:rFonts w:cs="Times New Roman"/>
        </w:rPr>
      </w:pPr>
      <w:r>
        <w:rPr>
          <w:rFonts w:cs="Times New Roman"/>
          <w:noProof/>
        </w:rPr>
        <w:drawing>
          <wp:inline distT="0" distB="0" distL="0" distR="0" wp14:anchorId="0D90B4D0" wp14:editId="5FF69E3F">
            <wp:extent cx="2974645" cy="1748300"/>
            <wp:effectExtent l="0" t="0" r="0" b="4445"/>
            <wp:docPr id="10756583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83249" cy="1753357"/>
                    </a:xfrm>
                    <a:prstGeom prst="rect">
                      <a:avLst/>
                    </a:prstGeom>
                    <a:noFill/>
                  </pic:spPr>
                </pic:pic>
              </a:graphicData>
            </a:graphic>
          </wp:inline>
        </w:drawing>
      </w:r>
    </w:p>
    <w:p w14:paraId="59274A84" w14:textId="19199CE6" w:rsidR="00EF3163" w:rsidRPr="00EF3163" w:rsidRDefault="00EF3163" w:rsidP="00EF3163">
      <w:pPr>
        <w:pStyle w:val="a8"/>
        <w:spacing w:line="480" w:lineRule="auto"/>
        <w:jc w:val="center"/>
        <w:rPr>
          <w:rFonts w:ascii="Times New Roman" w:hAnsi="Times New Roman" w:cs="Times New Roman"/>
        </w:rPr>
      </w:pPr>
      <w:r w:rsidRPr="00EF3163">
        <w:rPr>
          <w:rFonts w:ascii="Times New Roman" w:hAnsi="Times New Roman" w:cs="Times New Roman"/>
          <w:highlight w:val="yellow"/>
        </w:rPr>
        <w:t>Figure S</w:t>
      </w:r>
      <w:r w:rsidRPr="00EF3163">
        <w:rPr>
          <w:rFonts w:ascii="Times New Roman" w:hAnsi="Times New Roman" w:cs="Times New Roman" w:hint="eastAsia"/>
          <w:highlight w:val="yellow"/>
        </w:rPr>
        <w:t>7</w:t>
      </w:r>
      <w:r w:rsidRPr="00EF3163">
        <w:rPr>
          <w:rFonts w:ascii="Times New Roman" w:hAnsi="Times New Roman" w:cs="Times New Roman"/>
          <w:highlight w:val="yellow"/>
        </w:rPr>
        <w:t>.</w:t>
      </w:r>
      <w:r w:rsidRPr="00EF3163">
        <w:rPr>
          <w:rFonts w:ascii="Times New Roman" w:hAnsi="Times New Roman" w:cs="Times New Roman" w:hint="eastAsia"/>
          <w:highlight w:val="yellow"/>
        </w:rPr>
        <w:t xml:space="preserve"> Images of hd-LLM-105 sample before and after aging process. Inset is the density.</w:t>
      </w:r>
    </w:p>
    <w:p w14:paraId="59E25206" w14:textId="0A9599A3" w:rsidR="00407179" w:rsidRPr="00991141" w:rsidRDefault="00407179" w:rsidP="0045764D">
      <w:pPr>
        <w:spacing w:line="480" w:lineRule="auto"/>
        <w:jc w:val="left"/>
        <w:rPr>
          <w:rFonts w:eastAsia="黑体" w:cs="Times New Roman"/>
          <w:sz w:val="20"/>
          <w:szCs w:val="20"/>
        </w:rPr>
      </w:pPr>
      <w:r w:rsidRPr="00991141">
        <w:rPr>
          <w:rFonts w:cs="Times New Roman"/>
        </w:rPr>
        <w:br w:type="page"/>
      </w:r>
    </w:p>
    <w:p w14:paraId="35AF8B74" w14:textId="59924027" w:rsidR="003D0490" w:rsidRPr="00214B9E" w:rsidRDefault="003D0490" w:rsidP="00214B9E">
      <w:pPr>
        <w:jc w:val="center"/>
        <w:rPr>
          <w:rFonts w:cs="Times New Roman"/>
          <w:color w:val="0070C0"/>
          <w:highlight w:val="yellow"/>
        </w:rPr>
      </w:pPr>
      <w:bookmarkStart w:id="16" w:name="_Hlk197296613"/>
      <w:r w:rsidRPr="00214B9E">
        <w:rPr>
          <w:rFonts w:cs="Times New Roman"/>
          <w:color w:val="0070C0"/>
          <w:highlight w:val="yellow"/>
        </w:rPr>
        <w:lastRenderedPageBreak/>
        <w:t>Table S</w:t>
      </w:r>
      <w:r w:rsidR="00AE7F1C" w:rsidRPr="00214B9E">
        <w:rPr>
          <w:rFonts w:cs="Times New Roman" w:hint="eastAsia"/>
          <w:color w:val="0070C0"/>
          <w:highlight w:val="yellow"/>
        </w:rPr>
        <w:t>2</w:t>
      </w:r>
      <w:r w:rsidRPr="00214B9E">
        <w:rPr>
          <w:rFonts w:cs="Times New Roman"/>
          <w:color w:val="0070C0"/>
          <w:highlight w:val="yellow"/>
        </w:rPr>
        <w:t xml:space="preserve">. </w:t>
      </w:r>
      <w:r w:rsidR="006649DC" w:rsidRPr="00214B9E">
        <w:rPr>
          <w:rFonts w:cs="Times New Roman"/>
          <w:color w:val="0070C0"/>
          <w:highlight w:val="yellow"/>
        </w:rPr>
        <w:t>Elemental formula</w:t>
      </w:r>
      <w:r w:rsidR="00AE56F5" w:rsidRPr="00214B9E">
        <w:rPr>
          <w:rFonts w:cs="Times New Roman"/>
          <w:color w:val="0070C0"/>
          <w:highlight w:val="yellow"/>
        </w:rPr>
        <w:t>,</w:t>
      </w:r>
      <w:r w:rsidR="006649DC" w:rsidRPr="00214B9E">
        <w:rPr>
          <w:rFonts w:cs="Times New Roman"/>
          <w:color w:val="0070C0"/>
          <w:highlight w:val="yellow"/>
        </w:rPr>
        <w:t xml:space="preserve"> heat of formation</w:t>
      </w:r>
      <w:r w:rsidR="00AE56F5" w:rsidRPr="00214B9E">
        <w:rPr>
          <w:rFonts w:cs="Times New Roman"/>
          <w:color w:val="0070C0"/>
          <w:highlight w:val="yellow"/>
        </w:rPr>
        <w:t>, density and detonation performances</w:t>
      </w:r>
      <w:r w:rsidR="006649DC" w:rsidRPr="00214B9E">
        <w:rPr>
          <w:rFonts w:cs="Times New Roman"/>
          <w:color w:val="0070C0"/>
          <w:highlight w:val="yellow"/>
        </w:rPr>
        <w:t xml:space="preserve"> </w:t>
      </w:r>
      <w:r w:rsidRPr="00214B9E">
        <w:rPr>
          <w:rFonts w:cs="Times New Roman"/>
          <w:color w:val="0070C0"/>
          <w:highlight w:val="yellow"/>
        </w:rPr>
        <w:t xml:space="preserve">of LLM-105 and </w:t>
      </w:r>
      <w:r w:rsidR="00A81F8E" w:rsidRPr="00214B9E">
        <w:rPr>
          <w:rFonts w:cs="Times New Roman"/>
          <w:color w:val="0070C0"/>
          <w:highlight w:val="yellow"/>
        </w:rPr>
        <w:t>hd</w:t>
      </w:r>
      <w:r w:rsidRPr="00214B9E">
        <w:rPr>
          <w:rFonts w:cs="Times New Roman"/>
          <w:color w:val="0070C0"/>
          <w:highlight w:val="yellow"/>
        </w:rPr>
        <w:t>-LLM105</w:t>
      </w:r>
      <w:r w:rsidR="00AE56F5" w:rsidRPr="00214B9E">
        <w:rPr>
          <w:rFonts w:cs="Times New Roman"/>
          <w:color w:val="0070C0"/>
          <w:highlight w:val="yellow"/>
        </w:rPr>
        <w:t>.</w:t>
      </w:r>
    </w:p>
    <w:tbl>
      <w:tblPr>
        <w:tblStyle w:val="a9"/>
        <w:tblW w:w="5001" w:type="pct"/>
        <w:jc w:val="center"/>
        <w:tblBorders>
          <w:top w:val="single" w:sz="8" w:space="0" w:color="auto"/>
          <w:left w:val="none" w:sz="0" w:space="0" w:color="auto"/>
          <w:bottom w:val="single" w:sz="8" w:space="0" w:color="auto"/>
          <w:right w:val="none" w:sz="0" w:space="0" w:color="auto"/>
        </w:tblBorders>
        <w:tblLook w:val="04A0" w:firstRow="1" w:lastRow="0" w:firstColumn="1" w:lastColumn="0" w:noHBand="0" w:noVBand="1"/>
      </w:tblPr>
      <w:tblGrid>
        <w:gridCol w:w="1252"/>
        <w:gridCol w:w="1609"/>
        <w:gridCol w:w="1428"/>
        <w:gridCol w:w="1340"/>
        <w:gridCol w:w="1340"/>
        <w:gridCol w:w="1339"/>
      </w:tblGrid>
      <w:tr w:rsidR="00991141" w:rsidRPr="00991141" w14:paraId="09374767" w14:textId="13E775C8" w:rsidTr="00976C84">
        <w:trPr>
          <w:jc w:val="center"/>
        </w:trPr>
        <w:tc>
          <w:tcPr>
            <w:tcW w:w="753" w:type="pct"/>
            <w:vAlign w:val="center"/>
          </w:tcPr>
          <w:bookmarkEnd w:id="16"/>
          <w:p w14:paraId="2A85A208"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Sample</w:t>
            </w:r>
          </w:p>
        </w:tc>
        <w:tc>
          <w:tcPr>
            <w:tcW w:w="968" w:type="pct"/>
            <w:vAlign w:val="center"/>
          </w:tcPr>
          <w:p w14:paraId="63A5CBEB" w14:textId="3D54D692" w:rsidR="00976C84" w:rsidRPr="00991141" w:rsidRDefault="00976C84" w:rsidP="0045764D">
            <w:pPr>
              <w:spacing w:line="480" w:lineRule="auto"/>
              <w:jc w:val="center"/>
              <w:rPr>
                <w:rFonts w:cs="Times New Roman"/>
                <w:sz w:val="16"/>
                <w:szCs w:val="16"/>
              </w:rPr>
            </w:pPr>
            <w:r w:rsidRPr="00991141">
              <w:rPr>
                <w:rFonts w:cs="Times New Roman"/>
                <w:sz w:val="16"/>
                <w:szCs w:val="16"/>
              </w:rPr>
              <w:t>Formula</w:t>
            </w:r>
          </w:p>
        </w:tc>
        <w:tc>
          <w:tcPr>
            <w:tcW w:w="859" w:type="pct"/>
            <w:vAlign w:val="center"/>
          </w:tcPr>
          <w:p w14:paraId="6A8CED5B"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sym w:font="Symbol" w:char="F044"/>
            </w:r>
            <w:r w:rsidRPr="00991141">
              <w:rPr>
                <w:rFonts w:cs="Times New Roman"/>
                <w:i/>
                <w:iCs/>
                <w:sz w:val="16"/>
                <w:szCs w:val="16"/>
              </w:rPr>
              <w:t>H</w:t>
            </w:r>
            <w:r w:rsidRPr="00991141">
              <w:rPr>
                <w:rFonts w:cs="Times New Roman"/>
                <w:sz w:val="16"/>
                <w:szCs w:val="16"/>
                <w:vertAlign w:val="subscript"/>
              </w:rPr>
              <w:t>f</w:t>
            </w:r>
            <w:r w:rsidRPr="00991141">
              <w:rPr>
                <w:rFonts w:cs="Times New Roman"/>
                <w:sz w:val="16"/>
                <w:szCs w:val="16"/>
              </w:rPr>
              <w:t>/kJ·mol</w:t>
            </w:r>
            <w:r w:rsidRPr="00991141">
              <w:rPr>
                <w:rFonts w:cs="Times New Roman"/>
                <w:sz w:val="16"/>
                <w:szCs w:val="16"/>
                <w:vertAlign w:val="superscript"/>
              </w:rPr>
              <w:t>-1</w:t>
            </w:r>
          </w:p>
        </w:tc>
        <w:tc>
          <w:tcPr>
            <w:tcW w:w="806" w:type="pct"/>
            <w:vAlign w:val="center"/>
          </w:tcPr>
          <w:p w14:paraId="3B7AA6FB"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Density/g·cm</w:t>
            </w:r>
            <w:r w:rsidRPr="00991141">
              <w:rPr>
                <w:rFonts w:cs="Times New Roman"/>
                <w:sz w:val="16"/>
                <w:szCs w:val="16"/>
                <w:vertAlign w:val="superscript"/>
              </w:rPr>
              <w:t>-3</w:t>
            </w:r>
          </w:p>
        </w:tc>
        <w:tc>
          <w:tcPr>
            <w:tcW w:w="806" w:type="pct"/>
            <w:vAlign w:val="center"/>
          </w:tcPr>
          <w:p w14:paraId="563D12CE" w14:textId="77FD0607" w:rsidR="00976C84" w:rsidRPr="00991141" w:rsidRDefault="00976C84" w:rsidP="0045764D">
            <w:pPr>
              <w:spacing w:line="480" w:lineRule="auto"/>
              <w:jc w:val="center"/>
              <w:rPr>
                <w:rFonts w:cs="Times New Roman"/>
                <w:sz w:val="16"/>
                <w:szCs w:val="16"/>
              </w:rPr>
            </w:pPr>
            <w:r w:rsidRPr="00991141">
              <w:rPr>
                <w:rFonts w:cs="Times New Roman"/>
                <w:sz w:val="16"/>
                <w:szCs w:val="16"/>
              </w:rPr>
              <w:t>velocity m/s</w:t>
            </w:r>
          </w:p>
        </w:tc>
        <w:tc>
          <w:tcPr>
            <w:tcW w:w="806" w:type="pct"/>
            <w:vAlign w:val="center"/>
          </w:tcPr>
          <w:p w14:paraId="00074B12" w14:textId="40DD2B03" w:rsidR="00976C84" w:rsidRPr="00991141" w:rsidRDefault="00976C84" w:rsidP="0045764D">
            <w:pPr>
              <w:spacing w:line="480" w:lineRule="auto"/>
              <w:jc w:val="center"/>
              <w:rPr>
                <w:rFonts w:cs="Times New Roman"/>
                <w:sz w:val="16"/>
                <w:szCs w:val="16"/>
              </w:rPr>
            </w:pPr>
            <w:r w:rsidRPr="00991141">
              <w:rPr>
                <w:rFonts w:cs="Times New Roman"/>
                <w:sz w:val="16"/>
                <w:szCs w:val="16"/>
              </w:rPr>
              <w:t xml:space="preserve">pressure </w:t>
            </w:r>
            <w:proofErr w:type="spellStart"/>
            <w:r w:rsidRPr="00991141">
              <w:rPr>
                <w:rFonts w:cs="Times New Roman"/>
                <w:sz w:val="16"/>
                <w:szCs w:val="16"/>
              </w:rPr>
              <w:t>GPa</w:t>
            </w:r>
            <w:proofErr w:type="spellEnd"/>
          </w:p>
        </w:tc>
      </w:tr>
      <w:tr w:rsidR="00991141" w:rsidRPr="00991141" w14:paraId="3D8F0A7F" w14:textId="1E63E9F0" w:rsidTr="00976C84">
        <w:trPr>
          <w:jc w:val="center"/>
        </w:trPr>
        <w:tc>
          <w:tcPr>
            <w:tcW w:w="753" w:type="pct"/>
            <w:vAlign w:val="center"/>
          </w:tcPr>
          <w:p w14:paraId="28BAE97A" w14:textId="63807958" w:rsidR="00976C84" w:rsidRPr="00991141" w:rsidRDefault="00976C84" w:rsidP="0045764D">
            <w:pPr>
              <w:spacing w:line="480" w:lineRule="auto"/>
              <w:jc w:val="center"/>
              <w:rPr>
                <w:rFonts w:cs="Times New Roman"/>
                <w:sz w:val="16"/>
                <w:szCs w:val="16"/>
              </w:rPr>
            </w:pPr>
            <w:r w:rsidRPr="00991141">
              <w:rPr>
                <w:rFonts w:cs="Times New Roman"/>
                <w:noProof/>
                <w:sz w:val="16"/>
                <w:szCs w:val="16"/>
              </w:rPr>
              <w:t>LLM-105</w:t>
            </w:r>
          </w:p>
        </w:tc>
        <w:tc>
          <w:tcPr>
            <w:tcW w:w="968" w:type="pct"/>
            <w:vAlign w:val="center"/>
          </w:tcPr>
          <w:p w14:paraId="259BA37F"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C</w:t>
            </w:r>
            <w:r w:rsidRPr="00991141">
              <w:rPr>
                <w:rFonts w:cs="Times New Roman"/>
                <w:sz w:val="16"/>
                <w:szCs w:val="16"/>
                <w:vertAlign w:val="subscript"/>
              </w:rPr>
              <w:t>4</w:t>
            </w:r>
            <w:r w:rsidRPr="00991141">
              <w:rPr>
                <w:rFonts w:cs="Times New Roman"/>
                <w:sz w:val="16"/>
                <w:szCs w:val="16"/>
              </w:rPr>
              <w:t>H</w:t>
            </w:r>
            <w:r w:rsidRPr="00991141">
              <w:rPr>
                <w:rFonts w:cs="Times New Roman"/>
                <w:sz w:val="16"/>
                <w:szCs w:val="16"/>
                <w:vertAlign w:val="subscript"/>
              </w:rPr>
              <w:t>4</w:t>
            </w:r>
            <w:r w:rsidRPr="00991141">
              <w:rPr>
                <w:rFonts w:cs="Times New Roman"/>
                <w:sz w:val="16"/>
                <w:szCs w:val="16"/>
              </w:rPr>
              <w:t>O</w:t>
            </w:r>
            <w:r w:rsidRPr="00991141">
              <w:rPr>
                <w:rFonts w:cs="Times New Roman"/>
                <w:sz w:val="16"/>
                <w:szCs w:val="16"/>
                <w:vertAlign w:val="subscript"/>
              </w:rPr>
              <w:t>5</w:t>
            </w:r>
            <w:r w:rsidRPr="00991141">
              <w:rPr>
                <w:rFonts w:cs="Times New Roman"/>
                <w:sz w:val="16"/>
                <w:szCs w:val="16"/>
              </w:rPr>
              <w:t>N</w:t>
            </w:r>
            <w:r w:rsidRPr="00991141">
              <w:rPr>
                <w:rFonts w:cs="Times New Roman"/>
                <w:sz w:val="16"/>
                <w:szCs w:val="16"/>
                <w:vertAlign w:val="subscript"/>
              </w:rPr>
              <w:t>6</w:t>
            </w:r>
          </w:p>
        </w:tc>
        <w:tc>
          <w:tcPr>
            <w:tcW w:w="859" w:type="pct"/>
            <w:vAlign w:val="center"/>
          </w:tcPr>
          <w:p w14:paraId="5EDBFF20"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-115.26</w:t>
            </w:r>
          </w:p>
        </w:tc>
        <w:tc>
          <w:tcPr>
            <w:tcW w:w="806" w:type="pct"/>
            <w:vAlign w:val="center"/>
          </w:tcPr>
          <w:p w14:paraId="38D74D1C" w14:textId="7EE68C0B" w:rsidR="00976C84" w:rsidRPr="00991141" w:rsidRDefault="00976C84" w:rsidP="0045764D">
            <w:pPr>
              <w:spacing w:line="480" w:lineRule="auto"/>
              <w:jc w:val="center"/>
              <w:rPr>
                <w:rFonts w:cs="Times New Roman"/>
                <w:sz w:val="16"/>
                <w:szCs w:val="16"/>
              </w:rPr>
            </w:pPr>
            <w:r w:rsidRPr="00991141">
              <w:rPr>
                <w:rFonts w:cs="Times New Roman"/>
                <w:sz w:val="16"/>
                <w:szCs w:val="16"/>
              </w:rPr>
              <w:t>1.905</w:t>
            </w:r>
          </w:p>
        </w:tc>
        <w:tc>
          <w:tcPr>
            <w:tcW w:w="806" w:type="pct"/>
            <w:vAlign w:val="center"/>
          </w:tcPr>
          <w:p w14:paraId="16A2F377" w14:textId="08F58A50" w:rsidR="00976C84" w:rsidRPr="00991141" w:rsidRDefault="00976C84" w:rsidP="0045764D">
            <w:pPr>
              <w:spacing w:line="480" w:lineRule="auto"/>
              <w:jc w:val="center"/>
              <w:rPr>
                <w:rFonts w:cs="Times New Roman"/>
                <w:sz w:val="16"/>
                <w:szCs w:val="16"/>
              </w:rPr>
            </w:pPr>
            <w:r w:rsidRPr="00991141">
              <w:rPr>
                <w:rFonts w:cs="Times New Roman"/>
                <w:sz w:val="16"/>
                <w:szCs w:val="16"/>
              </w:rPr>
              <w:t>8600</w:t>
            </w:r>
          </w:p>
        </w:tc>
        <w:tc>
          <w:tcPr>
            <w:tcW w:w="806" w:type="pct"/>
            <w:vAlign w:val="center"/>
          </w:tcPr>
          <w:p w14:paraId="0462D554" w14:textId="4EC7C430" w:rsidR="00976C84" w:rsidRPr="00991141" w:rsidRDefault="00976C84" w:rsidP="0045764D">
            <w:pPr>
              <w:spacing w:line="480" w:lineRule="auto"/>
              <w:jc w:val="center"/>
              <w:rPr>
                <w:rFonts w:cs="Times New Roman"/>
                <w:sz w:val="16"/>
                <w:szCs w:val="16"/>
              </w:rPr>
            </w:pPr>
            <w:r w:rsidRPr="00991141">
              <w:rPr>
                <w:rFonts w:cs="Times New Roman"/>
                <w:sz w:val="16"/>
                <w:szCs w:val="16"/>
              </w:rPr>
              <w:t>31.6</w:t>
            </w:r>
          </w:p>
        </w:tc>
      </w:tr>
      <w:tr w:rsidR="00991141" w:rsidRPr="00991141" w14:paraId="5CF38A81" w14:textId="2C61749A" w:rsidTr="00976C84">
        <w:trPr>
          <w:jc w:val="center"/>
        </w:trPr>
        <w:tc>
          <w:tcPr>
            <w:tcW w:w="753" w:type="pct"/>
            <w:vAlign w:val="center"/>
          </w:tcPr>
          <w:p w14:paraId="418E98E4" w14:textId="4C154C40" w:rsidR="00976C84" w:rsidRPr="00991141" w:rsidRDefault="00976C84" w:rsidP="0045764D">
            <w:pPr>
              <w:spacing w:line="480" w:lineRule="auto"/>
              <w:jc w:val="center"/>
              <w:rPr>
                <w:rFonts w:cs="Times New Roman"/>
                <w:b/>
                <w:bCs/>
                <w:sz w:val="16"/>
                <w:szCs w:val="16"/>
              </w:rPr>
            </w:pPr>
            <w:r w:rsidRPr="00991141">
              <w:rPr>
                <w:rFonts w:cs="Times New Roman"/>
                <w:b/>
                <w:bCs/>
                <w:noProof/>
                <w:sz w:val="16"/>
                <w:szCs w:val="16"/>
              </w:rPr>
              <w:t>hd-LLM-105</w:t>
            </w:r>
          </w:p>
        </w:tc>
        <w:tc>
          <w:tcPr>
            <w:tcW w:w="968" w:type="pct"/>
            <w:vAlign w:val="center"/>
          </w:tcPr>
          <w:p w14:paraId="168C3EEB"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C</w:t>
            </w:r>
            <w:r w:rsidRPr="00991141">
              <w:rPr>
                <w:rFonts w:cs="Times New Roman"/>
                <w:sz w:val="16"/>
                <w:szCs w:val="16"/>
                <w:vertAlign w:val="subscript"/>
              </w:rPr>
              <w:t>4</w:t>
            </w:r>
            <w:r w:rsidRPr="00991141">
              <w:rPr>
                <w:rFonts w:cs="Times New Roman"/>
                <w:sz w:val="16"/>
                <w:szCs w:val="16"/>
              </w:rPr>
              <w:t>H</w:t>
            </w:r>
            <w:r w:rsidRPr="00991141">
              <w:rPr>
                <w:rFonts w:cs="Times New Roman"/>
                <w:sz w:val="16"/>
                <w:szCs w:val="16"/>
                <w:vertAlign w:val="subscript"/>
              </w:rPr>
              <w:t>3.52</w:t>
            </w:r>
            <w:r w:rsidRPr="00991141">
              <w:rPr>
                <w:rFonts w:cs="Times New Roman"/>
                <w:sz w:val="16"/>
                <w:szCs w:val="16"/>
              </w:rPr>
              <w:t>O</w:t>
            </w:r>
            <w:r w:rsidRPr="00991141">
              <w:rPr>
                <w:rFonts w:cs="Times New Roman"/>
                <w:sz w:val="16"/>
                <w:szCs w:val="16"/>
                <w:vertAlign w:val="subscript"/>
              </w:rPr>
              <w:t>5.06</w:t>
            </w:r>
            <w:r w:rsidRPr="00991141">
              <w:rPr>
                <w:rFonts w:cs="Times New Roman"/>
                <w:sz w:val="16"/>
                <w:szCs w:val="16"/>
              </w:rPr>
              <w:t>N</w:t>
            </w:r>
            <w:r w:rsidRPr="00991141">
              <w:rPr>
                <w:rFonts w:cs="Times New Roman"/>
                <w:sz w:val="16"/>
                <w:szCs w:val="16"/>
                <w:vertAlign w:val="subscript"/>
              </w:rPr>
              <w:t>6.01</w:t>
            </w:r>
          </w:p>
        </w:tc>
        <w:tc>
          <w:tcPr>
            <w:tcW w:w="859" w:type="pct"/>
            <w:vAlign w:val="center"/>
          </w:tcPr>
          <w:p w14:paraId="1D5679EA" w14:textId="77777777" w:rsidR="00976C84" w:rsidRPr="00991141" w:rsidRDefault="00976C84" w:rsidP="0045764D">
            <w:pPr>
              <w:spacing w:line="480" w:lineRule="auto"/>
              <w:jc w:val="center"/>
              <w:rPr>
                <w:rFonts w:cs="Times New Roman"/>
                <w:sz w:val="16"/>
                <w:szCs w:val="16"/>
              </w:rPr>
            </w:pPr>
            <w:r w:rsidRPr="00991141">
              <w:rPr>
                <w:rFonts w:cs="Times New Roman"/>
                <w:sz w:val="16"/>
                <w:szCs w:val="16"/>
              </w:rPr>
              <w:t>-111.75</w:t>
            </w:r>
          </w:p>
        </w:tc>
        <w:tc>
          <w:tcPr>
            <w:tcW w:w="806" w:type="pct"/>
            <w:vAlign w:val="center"/>
          </w:tcPr>
          <w:p w14:paraId="198FD6DC" w14:textId="77777777" w:rsidR="00976C84" w:rsidRPr="00991141" w:rsidRDefault="00976C84" w:rsidP="0045764D">
            <w:pPr>
              <w:spacing w:line="480" w:lineRule="auto"/>
              <w:jc w:val="center"/>
              <w:rPr>
                <w:rFonts w:cs="Times New Roman"/>
                <w:b/>
                <w:bCs/>
                <w:sz w:val="16"/>
                <w:szCs w:val="16"/>
              </w:rPr>
            </w:pPr>
            <w:r w:rsidRPr="00991141">
              <w:rPr>
                <w:rFonts w:cs="Times New Roman"/>
                <w:b/>
                <w:bCs/>
                <w:sz w:val="16"/>
                <w:szCs w:val="16"/>
              </w:rPr>
              <w:t>1.958</w:t>
            </w:r>
          </w:p>
        </w:tc>
        <w:tc>
          <w:tcPr>
            <w:tcW w:w="806" w:type="pct"/>
            <w:vAlign w:val="center"/>
          </w:tcPr>
          <w:p w14:paraId="0A6E48CA" w14:textId="60BE5292" w:rsidR="00976C84" w:rsidRPr="00991141" w:rsidRDefault="00976C84" w:rsidP="0045764D">
            <w:pPr>
              <w:spacing w:line="480" w:lineRule="auto"/>
              <w:jc w:val="center"/>
              <w:rPr>
                <w:rFonts w:cs="Times New Roman"/>
                <w:b/>
                <w:bCs/>
                <w:sz w:val="16"/>
                <w:szCs w:val="16"/>
              </w:rPr>
            </w:pPr>
            <w:r w:rsidRPr="00991141">
              <w:rPr>
                <w:rFonts w:cs="Times New Roman"/>
                <w:b/>
                <w:bCs/>
                <w:sz w:val="16"/>
                <w:szCs w:val="16"/>
              </w:rPr>
              <w:t>8770</w:t>
            </w:r>
          </w:p>
        </w:tc>
        <w:tc>
          <w:tcPr>
            <w:tcW w:w="806" w:type="pct"/>
            <w:vAlign w:val="center"/>
          </w:tcPr>
          <w:p w14:paraId="43EB3158" w14:textId="00728734" w:rsidR="00976C84" w:rsidRPr="00991141" w:rsidRDefault="00976C84" w:rsidP="0045764D">
            <w:pPr>
              <w:spacing w:line="480" w:lineRule="auto"/>
              <w:jc w:val="center"/>
              <w:rPr>
                <w:rFonts w:cs="Times New Roman"/>
                <w:b/>
                <w:bCs/>
                <w:sz w:val="16"/>
                <w:szCs w:val="16"/>
              </w:rPr>
            </w:pPr>
            <w:r w:rsidRPr="00991141">
              <w:rPr>
                <w:rFonts w:cs="Times New Roman"/>
                <w:b/>
                <w:bCs/>
                <w:sz w:val="16"/>
                <w:szCs w:val="16"/>
              </w:rPr>
              <w:t>33.4</w:t>
            </w:r>
          </w:p>
        </w:tc>
      </w:tr>
    </w:tbl>
    <w:p w14:paraId="06156995" w14:textId="7FB48A9C" w:rsidR="003D0490" w:rsidRPr="00991141" w:rsidRDefault="003D0490" w:rsidP="0045764D">
      <w:pPr>
        <w:spacing w:line="480" w:lineRule="auto"/>
        <w:ind w:firstLineChars="200" w:firstLine="320"/>
        <w:rPr>
          <w:rFonts w:cs="Times New Roman"/>
          <w:sz w:val="16"/>
          <w:szCs w:val="16"/>
        </w:rPr>
      </w:pPr>
      <w:r w:rsidRPr="00991141">
        <w:rPr>
          <w:rFonts w:cs="Times New Roman"/>
          <w:sz w:val="16"/>
          <w:szCs w:val="16"/>
        </w:rPr>
        <w:t xml:space="preserve">Notes: </w:t>
      </w:r>
      <w:r w:rsidRPr="00991141">
        <w:rPr>
          <w:rFonts w:cs="Times New Roman"/>
          <w:sz w:val="16"/>
          <w:szCs w:val="16"/>
        </w:rPr>
        <w:sym w:font="Symbol" w:char="F044"/>
      </w:r>
      <w:r w:rsidRPr="00991141">
        <w:rPr>
          <w:rFonts w:cs="Times New Roman"/>
          <w:i/>
          <w:iCs/>
          <w:sz w:val="16"/>
          <w:szCs w:val="16"/>
        </w:rPr>
        <w:t>H</w:t>
      </w:r>
      <w:r w:rsidRPr="00991141">
        <w:rPr>
          <w:rFonts w:cs="Times New Roman"/>
          <w:sz w:val="16"/>
          <w:szCs w:val="16"/>
          <w:vertAlign w:val="subscript"/>
        </w:rPr>
        <w:t>f</w:t>
      </w:r>
      <w:r w:rsidRPr="00991141">
        <w:rPr>
          <w:rFonts w:cs="Times New Roman"/>
          <w:sz w:val="16"/>
          <w:szCs w:val="16"/>
        </w:rPr>
        <w:t xml:space="preserve">, the </w:t>
      </w:r>
      <w:bookmarkStart w:id="17" w:name="_Hlk179559635"/>
      <w:r w:rsidRPr="00991141">
        <w:rPr>
          <w:rFonts w:cs="Times New Roman"/>
          <w:sz w:val="16"/>
          <w:szCs w:val="16"/>
        </w:rPr>
        <w:t>heat of formation</w:t>
      </w:r>
      <w:bookmarkEnd w:id="17"/>
      <w:r w:rsidRPr="00991141">
        <w:rPr>
          <w:rFonts w:cs="Times New Roman"/>
          <w:sz w:val="16"/>
          <w:szCs w:val="16"/>
        </w:rPr>
        <w:t>.</w:t>
      </w:r>
      <w:r w:rsidR="00E15849">
        <w:rPr>
          <w:rFonts w:cs="Times New Roman" w:hint="eastAsia"/>
          <w:sz w:val="16"/>
          <w:szCs w:val="16"/>
        </w:rPr>
        <w:t xml:space="preserve"> Velocity and pressure are calculated results. </w:t>
      </w:r>
    </w:p>
    <w:p w14:paraId="6C0BCD24" w14:textId="77777777" w:rsidR="00BA5B01" w:rsidRPr="00991141" w:rsidRDefault="00BA5B01" w:rsidP="0045764D">
      <w:pPr>
        <w:spacing w:line="480" w:lineRule="auto"/>
        <w:rPr>
          <w:rFonts w:cs="Times New Roman"/>
        </w:rPr>
      </w:pPr>
    </w:p>
    <w:p w14:paraId="4AE02C34" w14:textId="77777777" w:rsidR="00BA5B01" w:rsidRPr="00991141" w:rsidRDefault="00BA5B01" w:rsidP="0045764D">
      <w:pPr>
        <w:spacing w:line="480" w:lineRule="auto"/>
        <w:rPr>
          <w:rFonts w:cs="Times New Roman"/>
        </w:rPr>
      </w:pPr>
    </w:p>
    <w:sectPr w:rsidR="00BA5B01" w:rsidRPr="00991141">
      <w:footerReference w:type="default" r:id="rId1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37DA96" w14:textId="77777777" w:rsidR="00A62EF8" w:rsidRDefault="00A62EF8" w:rsidP="005120DB">
      <w:r>
        <w:separator/>
      </w:r>
    </w:p>
  </w:endnote>
  <w:endnote w:type="continuationSeparator" w:id="0">
    <w:p w14:paraId="26FA6D2E" w14:textId="77777777" w:rsidR="00A62EF8" w:rsidRDefault="00A62EF8" w:rsidP="005120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TimesNewRomanPSMT">
    <w:altName w:val="Times New Roman"/>
    <w:panose1 w:val="00000000000000000000"/>
    <w:charset w:val="00"/>
    <w:family w:val="swiss"/>
    <w:notTrueType/>
    <w:pitch w:val="default"/>
    <w:sig w:usb0="00000003" w:usb1="090E0000" w:usb2="00000010" w:usb3="00000000" w:csb0="000C0001"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4499650"/>
      <w:docPartObj>
        <w:docPartGallery w:val="Page Numbers (Bottom of Page)"/>
        <w:docPartUnique/>
      </w:docPartObj>
    </w:sdtPr>
    <w:sdtEndPr>
      <w:rPr>
        <w:rFonts w:ascii="Times New Roman" w:hAnsi="Times New Roman" w:cs="Times New Roman"/>
        <w:noProof/>
        <w:sz w:val="24"/>
        <w:szCs w:val="24"/>
      </w:rPr>
    </w:sdtEndPr>
    <w:sdtContent>
      <w:p w14:paraId="40C4C54E" w14:textId="42234CCF" w:rsidR="00C6364F" w:rsidRPr="00C6364F" w:rsidRDefault="00C6364F">
        <w:pPr>
          <w:pStyle w:val="a5"/>
          <w:jc w:val="center"/>
          <w:rPr>
            <w:rFonts w:ascii="Times New Roman" w:hAnsi="Times New Roman" w:cs="Times New Roman"/>
            <w:sz w:val="24"/>
            <w:szCs w:val="24"/>
          </w:rPr>
        </w:pPr>
        <w:r w:rsidRPr="00C6364F">
          <w:rPr>
            <w:rFonts w:ascii="Times New Roman" w:hAnsi="Times New Roman" w:cs="Times New Roman"/>
            <w:sz w:val="24"/>
            <w:szCs w:val="24"/>
          </w:rPr>
          <w:fldChar w:fldCharType="begin"/>
        </w:r>
        <w:r w:rsidRPr="00C6364F">
          <w:rPr>
            <w:rFonts w:ascii="Times New Roman" w:hAnsi="Times New Roman" w:cs="Times New Roman"/>
            <w:sz w:val="24"/>
            <w:szCs w:val="24"/>
          </w:rPr>
          <w:instrText xml:space="preserve"> PAGE   \* MERGEFORMAT </w:instrText>
        </w:r>
        <w:r w:rsidRPr="00C6364F">
          <w:rPr>
            <w:rFonts w:ascii="Times New Roman" w:hAnsi="Times New Roman" w:cs="Times New Roman"/>
            <w:sz w:val="24"/>
            <w:szCs w:val="24"/>
          </w:rPr>
          <w:fldChar w:fldCharType="separate"/>
        </w:r>
        <w:r w:rsidRPr="00C6364F">
          <w:rPr>
            <w:rFonts w:ascii="Times New Roman" w:hAnsi="Times New Roman" w:cs="Times New Roman"/>
            <w:noProof/>
            <w:sz w:val="24"/>
            <w:szCs w:val="24"/>
          </w:rPr>
          <w:t>2</w:t>
        </w:r>
        <w:r w:rsidRPr="00C6364F">
          <w:rPr>
            <w:rFonts w:ascii="Times New Roman" w:hAnsi="Times New Roman" w:cs="Times New Roman"/>
            <w:noProof/>
            <w:sz w:val="24"/>
            <w:szCs w:val="24"/>
          </w:rPr>
          <w:fldChar w:fldCharType="end"/>
        </w:r>
      </w:p>
    </w:sdtContent>
  </w:sdt>
  <w:p w14:paraId="4334D864" w14:textId="77777777" w:rsidR="00C6364F" w:rsidRDefault="00C6364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85B01" w14:textId="77777777" w:rsidR="00A62EF8" w:rsidRDefault="00A62EF8" w:rsidP="005120DB">
      <w:r>
        <w:separator/>
      </w:r>
    </w:p>
  </w:footnote>
  <w:footnote w:type="continuationSeparator" w:id="0">
    <w:p w14:paraId="34BAD67E" w14:textId="77777777" w:rsidR="00A62EF8" w:rsidRDefault="00A62EF8" w:rsidP="005120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AD42BD"/>
    <w:multiLevelType w:val="hybridMultilevel"/>
    <w:tmpl w:val="3946BF5C"/>
    <w:lvl w:ilvl="0" w:tplc="86A4C84A">
      <w:start w:val="1"/>
      <w:numFmt w:val="upp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3717D0B"/>
    <w:multiLevelType w:val="multilevel"/>
    <w:tmpl w:val="43717D0B"/>
    <w:lvl w:ilvl="0">
      <w:start w:val="1"/>
      <w:numFmt w:val="decimal"/>
      <w:lvlText w:val="%1."/>
      <w:lvlJc w:val="left"/>
      <w:pPr>
        <w:ind w:left="360" w:hanging="360"/>
      </w:pPr>
      <w:rPr>
        <w:rFonts w:hint="default"/>
      </w:r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num w:numId="1" w16cid:durableId="308749489">
    <w:abstractNumId w:val="0"/>
  </w:num>
  <w:num w:numId="2" w16cid:durableId="9031078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6C90"/>
    <w:rsid w:val="00000DB2"/>
    <w:rsid w:val="000012E2"/>
    <w:rsid w:val="000069B9"/>
    <w:rsid w:val="00011994"/>
    <w:rsid w:val="00011FF9"/>
    <w:rsid w:val="00012452"/>
    <w:rsid w:val="00015B9B"/>
    <w:rsid w:val="00026B7A"/>
    <w:rsid w:val="000278CE"/>
    <w:rsid w:val="000304DE"/>
    <w:rsid w:val="00030FC0"/>
    <w:rsid w:val="00047AE3"/>
    <w:rsid w:val="00064870"/>
    <w:rsid w:val="00065C45"/>
    <w:rsid w:val="00066E69"/>
    <w:rsid w:val="0007219F"/>
    <w:rsid w:val="00083302"/>
    <w:rsid w:val="00084FFA"/>
    <w:rsid w:val="00085B60"/>
    <w:rsid w:val="0009745E"/>
    <w:rsid w:val="000A4FC6"/>
    <w:rsid w:val="000D110E"/>
    <w:rsid w:val="000D3B7B"/>
    <w:rsid w:val="000D495C"/>
    <w:rsid w:val="000E0DC5"/>
    <w:rsid w:val="000E22E6"/>
    <w:rsid w:val="000E2AEB"/>
    <w:rsid w:val="000F6916"/>
    <w:rsid w:val="00101025"/>
    <w:rsid w:val="00103E19"/>
    <w:rsid w:val="00113CAC"/>
    <w:rsid w:val="001171F4"/>
    <w:rsid w:val="00125384"/>
    <w:rsid w:val="001268B0"/>
    <w:rsid w:val="001626B5"/>
    <w:rsid w:val="00164E35"/>
    <w:rsid w:val="00165367"/>
    <w:rsid w:val="00173F9C"/>
    <w:rsid w:val="00177634"/>
    <w:rsid w:val="00186C18"/>
    <w:rsid w:val="00186E7B"/>
    <w:rsid w:val="0018700B"/>
    <w:rsid w:val="001958E2"/>
    <w:rsid w:val="00196BC6"/>
    <w:rsid w:val="001D577E"/>
    <w:rsid w:val="001E3C06"/>
    <w:rsid w:val="001E4CDE"/>
    <w:rsid w:val="001F2644"/>
    <w:rsid w:val="001F356B"/>
    <w:rsid w:val="00202524"/>
    <w:rsid w:val="0020377C"/>
    <w:rsid w:val="002103EA"/>
    <w:rsid w:val="00213C8B"/>
    <w:rsid w:val="00214B9E"/>
    <w:rsid w:val="00222FCD"/>
    <w:rsid w:val="002273B0"/>
    <w:rsid w:val="00230AE7"/>
    <w:rsid w:val="00234BDA"/>
    <w:rsid w:val="00234FE6"/>
    <w:rsid w:val="002524F0"/>
    <w:rsid w:val="00253AB2"/>
    <w:rsid w:val="00261A82"/>
    <w:rsid w:val="00271C89"/>
    <w:rsid w:val="002A4EE2"/>
    <w:rsid w:val="002A7DBA"/>
    <w:rsid w:val="002C6565"/>
    <w:rsid w:val="002D143D"/>
    <w:rsid w:val="002F4A43"/>
    <w:rsid w:val="00307924"/>
    <w:rsid w:val="00317846"/>
    <w:rsid w:val="003243A6"/>
    <w:rsid w:val="003275CF"/>
    <w:rsid w:val="0033560C"/>
    <w:rsid w:val="00336C90"/>
    <w:rsid w:val="00346F06"/>
    <w:rsid w:val="00352BBE"/>
    <w:rsid w:val="00380FC1"/>
    <w:rsid w:val="003B390D"/>
    <w:rsid w:val="003D0490"/>
    <w:rsid w:val="00407179"/>
    <w:rsid w:val="00422605"/>
    <w:rsid w:val="00427F6D"/>
    <w:rsid w:val="0045764D"/>
    <w:rsid w:val="00460D4D"/>
    <w:rsid w:val="0046493F"/>
    <w:rsid w:val="0047060C"/>
    <w:rsid w:val="0047097F"/>
    <w:rsid w:val="004745FF"/>
    <w:rsid w:val="00475D31"/>
    <w:rsid w:val="004804A3"/>
    <w:rsid w:val="00481D45"/>
    <w:rsid w:val="0049233F"/>
    <w:rsid w:val="004A398E"/>
    <w:rsid w:val="004B1302"/>
    <w:rsid w:val="004B175A"/>
    <w:rsid w:val="004B23A5"/>
    <w:rsid w:val="004B7A28"/>
    <w:rsid w:val="004D3742"/>
    <w:rsid w:val="004F1E4D"/>
    <w:rsid w:val="004F23A4"/>
    <w:rsid w:val="004F2505"/>
    <w:rsid w:val="004F2C23"/>
    <w:rsid w:val="004F43E5"/>
    <w:rsid w:val="005120DB"/>
    <w:rsid w:val="00514432"/>
    <w:rsid w:val="00522109"/>
    <w:rsid w:val="005325F2"/>
    <w:rsid w:val="0054080F"/>
    <w:rsid w:val="0055384C"/>
    <w:rsid w:val="00563815"/>
    <w:rsid w:val="005A6A0B"/>
    <w:rsid w:val="005A6F72"/>
    <w:rsid w:val="005B06DD"/>
    <w:rsid w:val="005B39A6"/>
    <w:rsid w:val="005B5CF8"/>
    <w:rsid w:val="005C1D29"/>
    <w:rsid w:val="005C55CF"/>
    <w:rsid w:val="005C6CA2"/>
    <w:rsid w:val="005D5049"/>
    <w:rsid w:val="005D7E75"/>
    <w:rsid w:val="005E5B83"/>
    <w:rsid w:val="005F4319"/>
    <w:rsid w:val="00602987"/>
    <w:rsid w:val="0060383C"/>
    <w:rsid w:val="00620F00"/>
    <w:rsid w:val="0065008C"/>
    <w:rsid w:val="00652416"/>
    <w:rsid w:val="0066499E"/>
    <w:rsid w:val="006649DC"/>
    <w:rsid w:val="006659FF"/>
    <w:rsid w:val="00670E0C"/>
    <w:rsid w:val="006A0C71"/>
    <w:rsid w:val="006A11E6"/>
    <w:rsid w:val="006C28D0"/>
    <w:rsid w:val="006C3754"/>
    <w:rsid w:val="006C6B83"/>
    <w:rsid w:val="006C741E"/>
    <w:rsid w:val="006D3FF5"/>
    <w:rsid w:val="006D4736"/>
    <w:rsid w:val="006F026C"/>
    <w:rsid w:val="00711AD4"/>
    <w:rsid w:val="00714283"/>
    <w:rsid w:val="00722209"/>
    <w:rsid w:val="00734AAD"/>
    <w:rsid w:val="00744670"/>
    <w:rsid w:val="00756F88"/>
    <w:rsid w:val="007735A3"/>
    <w:rsid w:val="0078021F"/>
    <w:rsid w:val="0078037A"/>
    <w:rsid w:val="00781A54"/>
    <w:rsid w:val="00785FEE"/>
    <w:rsid w:val="00792CB9"/>
    <w:rsid w:val="007A0137"/>
    <w:rsid w:val="007A0D1E"/>
    <w:rsid w:val="007A42DC"/>
    <w:rsid w:val="007B155F"/>
    <w:rsid w:val="007B61D3"/>
    <w:rsid w:val="007D5C39"/>
    <w:rsid w:val="007E23B7"/>
    <w:rsid w:val="007E6336"/>
    <w:rsid w:val="007F5EEB"/>
    <w:rsid w:val="00806214"/>
    <w:rsid w:val="0081398B"/>
    <w:rsid w:val="00815F05"/>
    <w:rsid w:val="00831191"/>
    <w:rsid w:val="00833AF1"/>
    <w:rsid w:val="008516E5"/>
    <w:rsid w:val="0085298F"/>
    <w:rsid w:val="008555ED"/>
    <w:rsid w:val="0086456E"/>
    <w:rsid w:val="008814AE"/>
    <w:rsid w:val="008856ED"/>
    <w:rsid w:val="00897863"/>
    <w:rsid w:val="008A07C5"/>
    <w:rsid w:val="008B3399"/>
    <w:rsid w:val="008C6EE2"/>
    <w:rsid w:val="008D6A4F"/>
    <w:rsid w:val="008E1CFB"/>
    <w:rsid w:val="008E7EA7"/>
    <w:rsid w:val="00904793"/>
    <w:rsid w:val="00915327"/>
    <w:rsid w:val="00920201"/>
    <w:rsid w:val="00920A41"/>
    <w:rsid w:val="00922E37"/>
    <w:rsid w:val="00926172"/>
    <w:rsid w:val="009468B5"/>
    <w:rsid w:val="0094760C"/>
    <w:rsid w:val="00950FEB"/>
    <w:rsid w:val="00964B30"/>
    <w:rsid w:val="00972B0B"/>
    <w:rsid w:val="00976C84"/>
    <w:rsid w:val="00991141"/>
    <w:rsid w:val="009A21DD"/>
    <w:rsid w:val="009A5ACD"/>
    <w:rsid w:val="009A6C6B"/>
    <w:rsid w:val="009B00E3"/>
    <w:rsid w:val="009B2742"/>
    <w:rsid w:val="009C0244"/>
    <w:rsid w:val="009C1D09"/>
    <w:rsid w:val="009D63D8"/>
    <w:rsid w:val="009E7C12"/>
    <w:rsid w:val="009F00D3"/>
    <w:rsid w:val="00A0216B"/>
    <w:rsid w:val="00A02761"/>
    <w:rsid w:val="00A31612"/>
    <w:rsid w:val="00A32419"/>
    <w:rsid w:val="00A35B57"/>
    <w:rsid w:val="00A401A1"/>
    <w:rsid w:val="00A44101"/>
    <w:rsid w:val="00A44416"/>
    <w:rsid w:val="00A616FA"/>
    <w:rsid w:val="00A62EF8"/>
    <w:rsid w:val="00A77EB6"/>
    <w:rsid w:val="00A81F8E"/>
    <w:rsid w:val="00A84CCA"/>
    <w:rsid w:val="00A910DE"/>
    <w:rsid w:val="00AC0E95"/>
    <w:rsid w:val="00AC338B"/>
    <w:rsid w:val="00AE25F3"/>
    <w:rsid w:val="00AE56F5"/>
    <w:rsid w:val="00AE63B0"/>
    <w:rsid w:val="00AE7F1C"/>
    <w:rsid w:val="00AF284C"/>
    <w:rsid w:val="00AF32B5"/>
    <w:rsid w:val="00AF49E6"/>
    <w:rsid w:val="00B213BE"/>
    <w:rsid w:val="00B43A59"/>
    <w:rsid w:val="00B4496F"/>
    <w:rsid w:val="00B55F1A"/>
    <w:rsid w:val="00B917E4"/>
    <w:rsid w:val="00B965BB"/>
    <w:rsid w:val="00BA5AB9"/>
    <w:rsid w:val="00BA5B01"/>
    <w:rsid w:val="00BA6499"/>
    <w:rsid w:val="00BC1466"/>
    <w:rsid w:val="00BD36AE"/>
    <w:rsid w:val="00BD4B51"/>
    <w:rsid w:val="00BE1209"/>
    <w:rsid w:val="00BE1E6B"/>
    <w:rsid w:val="00C05B6D"/>
    <w:rsid w:val="00C118DA"/>
    <w:rsid w:val="00C159F6"/>
    <w:rsid w:val="00C209AC"/>
    <w:rsid w:val="00C20FD0"/>
    <w:rsid w:val="00C22A75"/>
    <w:rsid w:val="00C436D5"/>
    <w:rsid w:val="00C476C7"/>
    <w:rsid w:val="00C55420"/>
    <w:rsid w:val="00C5671B"/>
    <w:rsid w:val="00C57B71"/>
    <w:rsid w:val="00C6209A"/>
    <w:rsid w:val="00C6364F"/>
    <w:rsid w:val="00C65576"/>
    <w:rsid w:val="00C65740"/>
    <w:rsid w:val="00C84DF8"/>
    <w:rsid w:val="00C9296F"/>
    <w:rsid w:val="00C9651D"/>
    <w:rsid w:val="00CA00B3"/>
    <w:rsid w:val="00CA3D6E"/>
    <w:rsid w:val="00CC233E"/>
    <w:rsid w:val="00CE3A42"/>
    <w:rsid w:val="00CE638B"/>
    <w:rsid w:val="00D07AAB"/>
    <w:rsid w:val="00D1187B"/>
    <w:rsid w:val="00D32AF9"/>
    <w:rsid w:val="00D3402C"/>
    <w:rsid w:val="00D34166"/>
    <w:rsid w:val="00D40933"/>
    <w:rsid w:val="00D43D1E"/>
    <w:rsid w:val="00D637A3"/>
    <w:rsid w:val="00D76095"/>
    <w:rsid w:val="00D83406"/>
    <w:rsid w:val="00D849A1"/>
    <w:rsid w:val="00D92E8C"/>
    <w:rsid w:val="00DA029B"/>
    <w:rsid w:val="00DA0ECD"/>
    <w:rsid w:val="00DA35E7"/>
    <w:rsid w:val="00DB0925"/>
    <w:rsid w:val="00DB22D0"/>
    <w:rsid w:val="00DC2171"/>
    <w:rsid w:val="00DC2B5A"/>
    <w:rsid w:val="00DC55FE"/>
    <w:rsid w:val="00DC7B47"/>
    <w:rsid w:val="00DD04D4"/>
    <w:rsid w:val="00DD411E"/>
    <w:rsid w:val="00DF07D0"/>
    <w:rsid w:val="00DF20D4"/>
    <w:rsid w:val="00DF2558"/>
    <w:rsid w:val="00DF3294"/>
    <w:rsid w:val="00DF55D9"/>
    <w:rsid w:val="00DF7A1C"/>
    <w:rsid w:val="00E01881"/>
    <w:rsid w:val="00E15849"/>
    <w:rsid w:val="00E22282"/>
    <w:rsid w:val="00E44359"/>
    <w:rsid w:val="00E53D05"/>
    <w:rsid w:val="00E57B32"/>
    <w:rsid w:val="00E9791E"/>
    <w:rsid w:val="00EC5A7B"/>
    <w:rsid w:val="00ED441F"/>
    <w:rsid w:val="00ED659A"/>
    <w:rsid w:val="00EE30A5"/>
    <w:rsid w:val="00EF3163"/>
    <w:rsid w:val="00EF4216"/>
    <w:rsid w:val="00EF6BD1"/>
    <w:rsid w:val="00F033D1"/>
    <w:rsid w:val="00F06478"/>
    <w:rsid w:val="00F07F55"/>
    <w:rsid w:val="00F20953"/>
    <w:rsid w:val="00F3328B"/>
    <w:rsid w:val="00F41AE7"/>
    <w:rsid w:val="00F511B5"/>
    <w:rsid w:val="00F66BBC"/>
    <w:rsid w:val="00F8410C"/>
    <w:rsid w:val="00F842A9"/>
    <w:rsid w:val="00F84C7F"/>
    <w:rsid w:val="00F94B24"/>
    <w:rsid w:val="00F971E5"/>
    <w:rsid w:val="00FB28BD"/>
    <w:rsid w:val="00FD20A3"/>
    <w:rsid w:val="00FD2B36"/>
    <w:rsid w:val="00FD373A"/>
    <w:rsid w:val="00FD3E4F"/>
    <w:rsid w:val="00FD53C1"/>
    <w:rsid w:val="00FE00DA"/>
    <w:rsid w:val="00FE2FC9"/>
    <w:rsid w:val="00FE4926"/>
    <w:rsid w:val="00FF1A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2DB7F1"/>
  <w15:chartTrackingRefBased/>
  <w15:docId w15:val="{3961DF6A-F142-48EC-BA57-EC4E39C1C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120DB"/>
    <w:pPr>
      <w:jc w:val="both"/>
    </w:pPr>
    <w:rPr>
      <w:rFonts w:ascii="Times New Roman" w:eastAsia="宋体" w:hAnsi="Times New Roman"/>
      <w:sz w:val="24"/>
    </w:rPr>
  </w:style>
  <w:style w:type="paragraph" w:styleId="1">
    <w:name w:val="heading 1"/>
    <w:basedOn w:val="a"/>
    <w:next w:val="a"/>
    <w:link w:val="10"/>
    <w:uiPriority w:val="9"/>
    <w:qFormat/>
    <w:rsid w:val="005120DB"/>
    <w:pPr>
      <w:keepNext/>
      <w:keepLines/>
      <w:spacing w:before="340" w:after="330" w:line="578" w:lineRule="auto"/>
      <w:outlineLvl w:val="0"/>
    </w:pPr>
    <w:rPr>
      <w:b/>
      <w:bCs/>
      <w:kern w:val="44"/>
      <w:sz w:val="44"/>
      <w:szCs w:val="44"/>
    </w:rPr>
  </w:style>
  <w:style w:type="paragraph" w:styleId="2">
    <w:name w:val="heading 2"/>
    <w:basedOn w:val="a"/>
    <w:next w:val="a"/>
    <w:link w:val="20"/>
    <w:uiPriority w:val="9"/>
    <w:semiHidden/>
    <w:unhideWhenUsed/>
    <w:qFormat/>
    <w:rsid w:val="006A0C71"/>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120DB"/>
    <w:pPr>
      <w:widowControl w:val="0"/>
      <w:tabs>
        <w:tab w:val="center" w:pos="4153"/>
        <w:tab w:val="right" w:pos="8306"/>
      </w:tabs>
      <w:snapToGrid w:val="0"/>
      <w:jc w:val="center"/>
    </w:pPr>
    <w:rPr>
      <w:rFonts w:asciiTheme="minorHAnsi" w:eastAsiaTheme="minorEastAsia" w:hAnsiTheme="minorHAnsi"/>
      <w:sz w:val="18"/>
      <w:szCs w:val="18"/>
    </w:rPr>
  </w:style>
  <w:style w:type="character" w:customStyle="1" w:styleId="a4">
    <w:name w:val="页眉 字符"/>
    <w:basedOn w:val="a0"/>
    <w:link w:val="a3"/>
    <w:uiPriority w:val="99"/>
    <w:rsid w:val="005120DB"/>
    <w:rPr>
      <w:sz w:val="18"/>
      <w:szCs w:val="18"/>
    </w:rPr>
  </w:style>
  <w:style w:type="paragraph" w:styleId="a5">
    <w:name w:val="footer"/>
    <w:basedOn w:val="a"/>
    <w:link w:val="a6"/>
    <w:uiPriority w:val="99"/>
    <w:unhideWhenUsed/>
    <w:rsid w:val="005120DB"/>
    <w:pPr>
      <w:widowControl w:val="0"/>
      <w:tabs>
        <w:tab w:val="center" w:pos="4153"/>
        <w:tab w:val="right" w:pos="8306"/>
      </w:tabs>
      <w:snapToGrid w:val="0"/>
      <w:jc w:val="left"/>
    </w:pPr>
    <w:rPr>
      <w:rFonts w:asciiTheme="minorHAnsi" w:eastAsiaTheme="minorEastAsia" w:hAnsiTheme="minorHAnsi"/>
      <w:sz w:val="18"/>
      <w:szCs w:val="18"/>
    </w:rPr>
  </w:style>
  <w:style w:type="character" w:customStyle="1" w:styleId="a6">
    <w:name w:val="页脚 字符"/>
    <w:basedOn w:val="a0"/>
    <w:link w:val="a5"/>
    <w:uiPriority w:val="99"/>
    <w:rsid w:val="005120DB"/>
    <w:rPr>
      <w:sz w:val="18"/>
      <w:szCs w:val="18"/>
    </w:rPr>
  </w:style>
  <w:style w:type="character" w:customStyle="1" w:styleId="10">
    <w:name w:val="标题 1 字符"/>
    <w:basedOn w:val="a0"/>
    <w:link w:val="1"/>
    <w:uiPriority w:val="9"/>
    <w:qFormat/>
    <w:rsid w:val="005120DB"/>
    <w:rPr>
      <w:rFonts w:ascii="Times New Roman" w:eastAsia="宋体" w:hAnsi="Times New Roman"/>
      <w:b/>
      <w:bCs/>
      <w:kern w:val="44"/>
      <w:sz w:val="44"/>
      <w:szCs w:val="44"/>
    </w:rPr>
  </w:style>
  <w:style w:type="paragraph" w:styleId="a7">
    <w:name w:val="List Paragraph"/>
    <w:basedOn w:val="a"/>
    <w:uiPriority w:val="34"/>
    <w:qFormat/>
    <w:rsid w:val="00230AE7"/>
    <w:pPr>
      <w:ind w:firstLineChars="200" w:firstLine="420"/>
    </w:pPr>
  </w:style>
  <w:style w:type="paragraph" w:styleId="a8">
    <w:name w:val="caption"/>
    <w:basedOn w:val="a"/>
    <w:next w:val="a"/>
    <w:uiPriority w:val="35"/>
    <w:unhideWhenUsed/>
    <w:qFormat/>
    <w:rsid w:val="0055384C"/>
    <w:rPr>
      <w:rFonts w:asciiTheme="majorHAnsi" w:eastAsia="黑体" w:hAnsiTheme="majorHAnsi" w:cstheme="majorBidi"/>
      <w:sz w:val="20"/>
      <w:szCs w:val="20"/>
    </w:rPr>
  </w:style>
  <w:style w:type="table" w:styleId="a9">
    <w:name w:val="Table Grid"/>
    <w:basedOn w:val="a1"/>
    <w:uiPriority w:val="39"/>
    <w:qFormat/>
    <w:rsid w:val="003D04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qFormat/>
    <w:rsid w:val="00DD411E"/>
    <w:rPr>
      <w:color w:val="0563C1" w:themeColor="hyperlink"/>
      <w:u w:val="single"/>
    </w:rPr>
  </w:style>
  <w:style w:type="character" w:customStyle="1" w:styleId="20">
    <w:name w:val="标题 2 字符"/>
    <w:basedOn w:val="a0"/>
    <w:link w:val="2"/>
    <w:uiPriority w:val="9"/>
    <w:semiHidden/>
    <w:rsid w:val="006A0C71"/>
    <w:rPr>
      <w:rFonts w:asciiTheme="majorHAnsi" w:eastAsiaTheme="majorEastAsia" w:hAnsiTheme="majorHAnsi" w:cstheme="majorBidi"/>
      <w:color w:val="2E74B5" w:themeColor="accent1" w:themeShade="BF"/>
      <w:sz w:val="26"/>
      <w:szCs w:val="26"/>
    </w:rPr>
  </w:style>
  <w:style w:type="paragraph" w:styleId="ab">
    <w:name w:val="annotation text"/>
    <w:basedOn w:val="a"/>
    <w:link w:val="ac"/>
    <w:autoRedefine/>
    <w:uiPriority w:val="99"/>
    <w:semiHidden/>
    <w:unhideWhenUsed/>
    <w:qFormat/>
    <w:rsid w:val="006A0C71"/>
    <w:pPr>
      <w:spacing w:after="160"/>
      <w:jc w:val="left"/>
    </w:pPr>
    <w:rPr>
      <w:rFonts w:ascii="Arial" w:eastAsiaTheme="minorEastAsia" w:hAnsi="Arial"/>
      <w:kern w:val="0"/>
      <w:sz w:val="20"/>
      <w:szCs w:val="20"/>
    </w:rPr>
  </w:style>
  <w:style w:type="character" w:customStyle="1" w:styleId="ac">
    <w:name w:val="批注文字 字符"/>
    <w:basedOn w:val="a0"/>
    <w:link w:val="ab"/>
    <w:uiPriority w:val="99"/>
    <w:semiHidden/>
    <w:qFormat/>
    <w:rsid w:val="006A0C71"/>
    <w:rPr>
      <w:rFonts w:ascii="Arial" w:hAnsi="Arial"/>
      <w:kern w:val="0"/>
      <w:sz w:val="20"/>
      <w:szCs w:val="20"/>
    </w:rPr>
  </w:style>
  <w:style w:type="character" w:styleId="ad">
    <w:name w:val="annotation reference"/>
    <w:basedOn w:val="a0"/>
    <w:uiPriority w:val="99"/>
    <w:semiHidden/>
    <w:unhideWhenUsed/>
    <w:qFormat/>
    <w:rPr>
      <w:sz w:val="16"/>
      <w:szCs w:val="16"/>
    </w:rPr>
  </w:style>
  <w:style w:type="character" w:styleId="ae">
    <w:name w:val="Unresolved Mention"/>
    <w:basedOn w:val="a0"/>
    <w:uiPriority w:val="99"/>
    <w:semiHidden/>
    <w:unhideWhenUsed/>
    <w:rsid w:val="00307924"/>
    <w:rPr>
      <w:color w:val="605E5C"/>
      <w:shd w:val="clear" w:color="auto" w:fill="E1DFDD"/>
    </w:rPr>
  </w:style>
  <w:style w:type="paragraph" w:customStyle="1" w:styleId="Addresses">
    <w:name w:val="Addresses"/>
    <w:basedOn w:val="a"/>
    <w:rsid w:val="00271C89"/>
    <w:pPr>
      <w:jc w:val="left"/>
    </w:pPr>
    <w:rPr>
      <w:rFonts w:eastAsia="MS Mincho" w:cs="Times New Roman"/>
      <w:kern w:val="0"/>
      <w:szCs w:val="24"/>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7308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iff"/><Relationship Id="rId3" Type="http://schemas.openxmlformats.org/officeDocument/2006/relationships/settings" Target="settings.xml"/><Relationship Id="rId7" Type="http://schemas.openxmlformats.org/officeDocument/2006/relationships/hyperlink" Target="mailto:zhijianyang@caep.cn" TargetMode="Externa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tif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tiff"/><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225</TotalTime>
  <Pages>11</Pages>
  <Words>1494</Words>
  <Characters>8516</Characters>
  <Application>Microsoft Office Word</Application>
  <DocSecurity>0</DocSecurity>
  <Lines>70</Lines>
  <Paragraphs>19</Paragraphs>
  <ScaleCrop>false</ScaleCrop>
  <Company/>
  <LinksUpToDate>false</LinksUpToDate>
  <CharactersWithSpaces>9991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微软用户</dc:creator>
  <cp:keywords/>
  <dc:description/>
  <cp:lastModifiedBy>煦 赵</cp:lastModifiedBy>
  <cp:revision>256</cp:revision>
  <dcterms:created xsi:type="dcterms:W3CDTF">2024-04-28T10:03:00Z</dcterms:created>
  <dcterms:modified xsi:type="dcterms:W3CDTF">2025-05-14T16:11:00Z</dcterms:modified>
</cp:coreProperties>
</file>