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1CE" w:rsidRPr="000F1EC6" w:rsidRDefault="008571CE" w:rsidP="008571CE">
      <w:pPr>
        <w:pStyle w:val="Title2"/>
        <w:spacing w:line="360" w:lineRule="auto"/>
        <w:rPr>
          <w:b w:val="0"/>
          <w:sz w:val="32"/>
          <w:szCs w:val="32"/>
          <w:lang w:eastAsia="zh-CN"/>
        </w:rPr>
      </w:pPr>
      <w:r w:rsidRPr="000F1EC6">
        <w:rPr>
          <w:b w:val="0"/>
          <w:sz w:val="32"/>
          <w:szCs w:val="32"/>
        </w:rPr>
        <w:t xml:space="preserve">Supporting Information </w:t>
      </w:r>
    </w:p>
    <w:p w:rsidR="008571CE" w:rsidRPr="000F1EC6" w:rsidRDefault="008571CE" w:rsidP="008571CE">
      <w:pPr>
        <w:pStyle w:val="Title2"/>
        <w:spacing w:line="360" w:lineRule="auto"/>
        <w:rPr>
          <w:b w:val="0"/>
          <w:sz w:val="32"/>
          <w:szCs w:val="32"/>
          <w:lang w:eastAsia="zh-CN"/>
        </w:rPr>
      </w:pPr>
    </w:p>
    <w:p w:rsidR="008571CE" w:rsidRPr="000F1EC6" w:rsidRDefault="008571CE" w:rsidP="008571CE">
      <w:pPr>
        <w:spacing w:line="480" w:lineRule="auto"/>
        <w:jc w:val="both"/>
        <w:rPr>
          <w:b/>
          <w:bCs/>
          <w:i/>
          <w:iCs/>
          <w:lang w:val="en-US"/>
        </w:rPr>
      </w:pPr>
      <w:r w:rsidRPr="000F1EC6">
        <w:rPr>
          <w:b/>
          <w:bCs/>
          <w:i/>
          <w:iCs/>
          <w:lang w:val="en-US"/>
        </w:rPr>
        <w:t>Smart Tumor-Penetrating Nanocluster for Dual-Enhanced Magnetic Resonance Imaging and Synergistic Photothermal-</w:t>
      </w:r>
      <w:proofErr w:type="spellStart"/>
      <w:r w:rsidRPr="000F1EC6">
        <w:rPr>
          <w:b/>
          <w:bCs/>
          <w:i/>
          <w:iCs/>
          <w:lang w:val="en-US"/>
        </w:rPr>
        <w:t>Chemodynamic</w:t>
      </w:r>
      <w:proofErr w:type="spellEnd"/>
      <w:r w:rsidRPr="000F1EC6">
        <w:rPr>
          <w:b/>
          <w:bCs/>
          <w:i/>
          <w:iCs/>
          <w:lang w:val="en-US"/>
        </w:rPr>
        <w:t xml:space="preserve"> Treatment of Oral Squamous Cell Carcinoma</w:t>
      </w:r>
    </w:p>
    <w:p w:rsidR="008571CE" w:rsidRPr="000F1EC6" w:rsidRDefault="008571CE" w:rsidP="008571CE">
      <w:pPr>
        <w:spacing w:line="480" w:lineRule="auto"/>
        <w:rPr>
          <w:i/>
          <w:iCs/>
          <w:lang w:val="en-US" w:eastAsia="zh-CN"/>
        </w:rPr>
      </w:pPr>
      <w:proofErr w:type="spellStart"/>
      <w:r w:rsidRPr="000F1EC6">
        <w:rPr>
          <w:i/>
          <w:iCs/>
          <w:lang w:val="en-US"/>
        </w:rPr>
        <w:t>Hongtao</w:t>
      </w:r>
      <w:proofErr w:type="spellEnd"/>
      <w:r w:rsidRPr="000F1EC6">
        <w:rPr>
          <w:i/>
          <w:iCs/>
          <w:lang w:val="en-US"/>
        </w:rPr>
        <w:t xml:space="preserve"> Xu</w:t>
      </w:r>
      <w:r w:rsidRPr="000F1EC6">
        <w:rPr>
          <w:i/>
          <w:iCs/>
          <w:vertAlign w:val="superscript"/>
          <w:lang w:val="en-US"/>
        </w:rPr>
        <w:t>1</w:t>
      </w:r>
      <w:r w:rsidRPr="000F1EC6">
        <w:rPr>
          <w:i/>
          <w:iCs/>
          <w:lang w:val="en-US"/>
        </w:rPr>
        <w:t xml:space="preserve">, </w:t>
      </w:r>
      <w:r w:rsidRPr="000F1EC6">
        <w:rPr>
          <w:i/>
          <w:iCs/>
          <w:lang w:val="en-US" w:eastAsia="zh-CN"/>
        </w:rPr>
        <w:t>Han</w:t>
      </w:r>
      <w:r w:rsidRPr="000F1EC6">
        <w:rPr>
          <w:i/>
          <w:iCs/>
          <w:lang w:val="en-US"/>
        </w:rPr>
        <w:t xml:space="preserve"> Cheng</w:t>
      </w:r>
      <w:r w:rsidRPr="000F1EC6">
        <w:rPr>
          <w:i/>
          <w:iCs/>
          <w:vertAlign w:val="superscript"/>
          <w:lang w:val="en-US"/>
        </w:rPr>
        <w:t>1</w:t>
      </w:r>
      <w:r w:rsidRPr="000F1EC6">
        <w:rPr>
          <w:i/>
          <w:iCs/>
          <w:lang w:val="en-US"/>
        </w:rPr>
        <w:t xml:space="preserve">, </w:t>
      </w:r>
      <w:proofErr w:type="spellStart"/>
      <w:r w:rsidRPr="000F1EC6">
        <w:rPr>
          <w:i/>
          <w:iCs/>
          <w:lang w:val="en-US"/>
        </w:rPr>
        <w:t>Fangjie</w:t>
      </w:r>
      <w:proofErr w:type="spellEnd"/>
      <w:r w:rsidRPr="000F1EC6">
        <w:rPr>
          <w:i/>
          <w:iCs/>
          <w:lang w:val="en-US"/>
        </w:rPr>
        <w:t xml:space="preserve"> Li, </w:t>
      </w:r>
      <w:proofErr w:type="spellStart"/>
      <w:r w:rsidRPr="000F1EC6">
        <w:rPr>
          <w:i/>
          <w:iCs/>
          <w:lang w:val="en-US"/>
        </w:rPr>
        <w:t>Boyang</w:t>
      </w:r>
      <w:proofErr w:type="spellEnd"/>
      <w:r w:rsidRPr="000F1EC6">
        <w:rPr>
          <w:i/>
          <w:iCs/>
          <w:lang w:val="en-US"/>
        </w:rPr>
        <w:t xml:space="preserve"> Peng</w:t>
      </w:r>
      <w:r w:rsidRPr="000F1EC6">
        <w:rPr>
          <w:i/>
          <w:iCs/>
          <w:lang w:val="en-US" w:eastAsia="zh-CN"/>
        </w:rPr>
        <w:t xml:space="preserve">, Rui Wang, </w:t>
      </w:r>
      <w:proofErr w:type="spellStart"/>
      <w:r w:rsidRPr="000F1EC6">
        <w:rPr>
          <w:i/>
          <w:iCs/>
          <w:lang w:val="en-US"/>
        </w:rPr>
        <w:t>Chongyang</w:t>
      </w:r>
      <w:proofErr w:type="spellEnd"/>
      <w:r w:rsidRPr="000F1EC6">
        <w:rPr>
          <w:i/>
          <w:iCs/>
          <w:lang w:val="en-US"/>
        </w:rPr>
        <w:t xml:space="preserve">, Zheng*, </w:t>
      </w:r>
      <w:proofErr w:type="spellStart"/>
      <w:r w:rsidRPr="000F1EC6">
        <w:rPr>
          <w:i/>
          <w:iCs/>
          <w:lang w:val="en-US"/>
        </w:rPr>
        <w:t>Xiaojuan</w:t>
      </w:r>
      <w:proofErr w:type="spellEnd"/>
      <w:r w:rsidRPr="000F1EC6">
        <w:rPr>
          <w:i/>
          <w:iCs/>
          <w:lang w:val="en-US"/>
        </w:rPr>
        <w:t xml:space="preserve"> Huang *, </w:t>
      </w:r>
      <w:r w:rsidRPr="000F1EC6">
        <w:rPr>
          <w:lang w:val="en-US"/>
        </w:rPr>
        <w:t xml:space="preserve">and </w:t>
      </w:r>
      <w:proofErr w:type="spellStart"/>
      <w:r w:rsidRPr="000F1EC6">
        <w:rPr>
          <w:i/>
          <w:iCs/>
          <w:lang w:val="en-US"/>
        </w:rPr>
        <w:t>Zhiyuan</w:t>
      </w:r>
      <w:proofErr w:type="spellEnd"/>
      <w:r w:rsidRPr="000F1EC6">
        <w:rPr>
          <w:i/>
          <w:iCs/>
          <w:lang w:val="en-US"/>
        </w:rPr>
        <w:t xml:space="preserve"> Zhang*</w:t>
      </w:r>
    </w:p>
    <w:p w:rsidR="008571CE" w:rsidRPr="000F1EC6" w:rsidRDefault="008571CE" w:rsidP="008571CE">
      <w:pPr>
        <w:rPr>
          <w:lang w:val="en-US"/>
        </w:rPr>
      </w:pPr>
      <w:r w:rsidRPr="000F1EC6">
        <w:rPr>
          <w:lang w:val="en-US"/>
        </w:rPr>
        <w:t>H. Xu, H. Cheng, C. Zheng, X. Huang, Z. Zhang.</w:t>
      </w:r>
    </w:p>
    <w:p w:rsidR="008571CE" w:rsidRPr="000F1EC6" w:rsidRDefault="008571CE" w:rsidP="008571CE">
      <w:pPr>
        <w:spacing w:line="360" w:lineRule="auto"/>
        <w:rPr>
          <w:lang w:val="en-US"/>
        </w:rPr>
      </w:pPr>
      <w:r w:rsidRPr="000F1EC6">
        <w:rPr>
          <w:lang w:val="en-US"/>
        </w:rPr>
        <w:t>Department of Oral and Maxillofacial-Head &amp; Neck Oncology, Shanghai Ninth People’s Hospital, Shanghai Jiao Tong University School of Medicine, Shanghai 200011, P.R. China</w:t>
      </w:r>
    </w:p>
    <w:p w:rsidR="008571CE" w:rsidRPr="000F1EC6" w:rsidRDefault="008571CE" w:rsidP="008571CE">
      <w:pPr>
        <w:spacing w:line="360" w:lineRule="auto"/>
        <w:rPr>
          <w:lang w:val="en-US"/>
        </w:rPr>
      </w:pPr>
      <w:r w:rsidRPr="000F1EC6">
        <w:rPr>
          <w:lang w:val="en-US"/>
        </w:rPr>
        <w:t>College of Stomatology, Shanghai Jiao Tong University &amp; National Center for Stomatology, Shanghai 200011, P.R. China</w:t>
      </w:r>
    </w:p>
    <w:p w:rsidR="008571CE" w:rsidRPr="000F1EC6" w:rsidRDefault="008571CE" w:rsidP="008571CE">
      <w:pPr>
        <w:spacing w:line="360" w:lineRule="auto"/>
        <w:rPr>
          <w:lang w:val="en-US"/>
        </w:rPr>
      </w:pPr>
      <w:r w:rsidRPr="000F1EC6">
        <w:rPr>
          <w:lang w:val="en-US"/>
        </w:rPr>
        <w:t>National Clinical Research Center for Oral Diseases &amp; Shanghai Key Laboratory of Stomatology, Shanghai 200011, P.R. China</w:t>
      </w:r>
    </w:p>
    <w:p w:rsidR="008571CE" w:rsidRPr="000F1EC6" w:rsidRDefault="008571CE" w:rsidP="008571CE">
      <w:pPr>
        <w:pStyle w:val="Addresses"/>
        <w:spacing w:line="360" w:lineRule="auto"/>
      </w:pPr>
      <w:r w:rsidRPr="000F1EC6">
        <w:t>Shanghai Research Institute of Stomatology, Shanghai 200011, P.R. China</w:t>
      </w:r>
    </w:p>
    <w:p w:rsidR="008571CE" w:rsidRPr="000F1EC6" w:rsidRDefault="008571CE" w:rsidP="008571CE">
      <w:pPr>
        <w:spacing w:line="360" w:lineRule="auto"/>
        <w:rPr>
          <w:lang w:val="en-US" w:eastAsia="zh-CN"/>
        </w:rPr>
      </w:pPr>
      <w:r w:rsidRPr="000F1EC6">
        <w:rPr>
          <w:lang w:val="en-US"/>
        </w:rPr>
        <w:t>F. Li</w:t>
      </w:r>
    </w:p>
    <w:p w:rsidR="008571CE" w:rsidRPr="000F1EC6" w:rsidRDefault="008571CE" w:rsidP="008571CE">
      <w:pPr>
        <w:spacing w:line="360" w:lineRule="auto"/>
        <w:rPr>
          <w:lang w:val="en-US" w:eastAsia="zh-CN"/>
        </w:rPr>
      </w:pPr>
      <w:r w:rsidRPr="000F1EC6">
        <w:rPr>
          <w:lang w:val="en-US" w:eastAsia="zh-CN"/>
        </w:rPr>
        <w:t xml:space="preserve">Department of Oral and Maxillofacial Surgery, The First Affiliated Hospital of Huzhou University, Huzhou, 313000, </w:t>
      </w:r>
      <w:r w:rsidRPr="000F1EC6">
        <w:rPr>
          <w:lang w:val="en-US"/>
        </w:rPr>
        <w:t xml:space="preserve">P. R. </w:t>
      </w:r>
      <w:r w:rsidRPr="000F1EC6">
        <w:rPr>
          <w:lang w:val="en-US" w:eastAsia="zh-CN"/>
        </w:rPr>
        <w:t>China.</w:t>
      </w:r>
    </w:p>
    <w:p w:rsidR="008571CE" w:rsidRPr="000F1EC6" w:rsidRDefault="008571CE" w:rsidP="008571CE">
      <w:pPr>
        <w:spacing w:line="360" w:lineRule="auto"/>
        <w:rPr>
          <w:lang w:val="en-US" w:eastAsia="zh-CN"/>
        </w:rPr>
      </w:pPr>
      <w:r w:rsidRPr="000F1EC6">
        <w:rPr>
          <w:lang w:val="en-US" w:eastAsia="zh-CN"/>
        </w:rPr>
        <w:t>B. Peng</w:t>
      </w:r>
    </w:p>
    <w:p w:rsidR="008571CE" w:rsidRPr="000F1EC6" w:rsidRDefault="008571CE" w:rsidP="008571CE">
      <w:pPr>
        <w:spacing w:line="360" w:lineRule="auto"/>
        <w:rPr>
          <w:lang w:val="en-US" w:eastAsia="zh-CN"/>
        </w:rPr>
      </w:pPr>
      <w:r w:rsidRPr="000F1EC6">
        <w:rPr>
          <w:lang w:val="en-US" w:eastAsia="zh-CN"/>
        </w:rPr>
        <w:t>School of Computer Science and Engineering, University of New South Wales, Sydney, Australia</w:t>
      </w:r>
    </w:p>
    <w:p w:rsidR="008571CE" w:rsidRPr="000F1EC6" w:rsidRDefault="008571CE" w:rsidP="008571CE">
      <w:pPr>
        <w:spacing w:line="360" w:lineRule="auto"/>
        <w:rPr>
          <w:lang w:val="en-US" w:eastAsia="zh-CN"/>
        </w:rPr>
      </w:pPr>
      <w:r w:rsidRPr="000F1EC6">
        <w:rPr>
          <w:lang w:val="en-US" w:eastAsia="zh-CN"/>
        </w:rPr>
        <w:t>R. Wang</w:t>
      </w:r>
    </w:p>
    <w:p w:rsidR="008571CE" w:rsidRPr="000F1EC6" w:rsidRDefault="008571CE" w:rsidP="008571CE">
      <w:pPr>
        <w:spacing w:line="360" w:lineRule="auto"/>
        <w:rPr>
          <w:lang w:val="en-US" w:eastAsia="zh-CN"/>
        </w:rPr>
      </w:pPr>
      <w:r w:rsidRPr="000F1EC6">
        <w:rPr>
          <w:lang w:val="en-US" w:eastAsia="zh-CN"/>
        </w:rPr>
        <w:t xml:space="preserve">Department of Radiology, Shanghai Ninth People’s Hospital, Shanghai </w:t>
      </w:r>
      <w:proofErr w:type="spellStart"/>
      <w:r w:rsidRPr="000F1EC6">
        <w:rPr>
          <w:lang w:val="en-US" w:eastAsia="zh-CN"/>
        </w:rPr>
        <w:t>JiaoTong</w:t>
      </w:r>
      <w:proofErr w:type="spellEnd"/>
      <w:r w:rsidRPr="000F1EC6">
        <w:rPr>
          <w:lang w:val="en-US" w:eastAsia="zh-CN"/>
        </w:rPr>
        <w:t xml:space="preserve"> University School of Medicine</w:t>
      </w:r>
    </w:p>
    <w:p w:rsidR="008571CE" w:rsidRPr="000F1EC6" w:rsidRDefault="008571CE" w:rsidP="008571CE">
      <w:pPr>
        <w:pStyle w:val="FACorrespondingAuthorFootnote"/>
        <w:spacing w:beforeLines="100" w:before="312" w:after="0" w:line="360" w:lineRule="auto"/>
        <w:rPr>
          <w:rFonts w:ascii="Times New Roman" w:hAnsi="Times New Roman"/>
          <w:lang w:eastAsia="zh-CN"/>
        </w:rPr>
      </w:pPr>
      <w:r w:rsidRPr="000F1EC6">
        <w:rPr>
          <w:rFonts w:ascii="Times New Roman" w:hAnsi="Times New Roman"/>
          <w:szCs w:val="24"/>
          <w:vertAlign w:val="superscript"/>
          <w:lang w:eastAsia="zh-CN"/>
        </w:rPr>
        <w:t>1</w:t>
      </w:r>
      <w:r w:rsidRPr="000F1EC6">
        <w:rPr>
          <w:rFonts w:ascii="Times New Roman" w:hAnsi="Times New Roman"/>
          <w:lang w:eastAsia="zh-CN"/>
        </w:rPr>
        <w:t xml:space="preserve"> </w:t>
      </w:r>
      <w:r w:rsidRPr="000F1EC6">
        <w:rPr>
          <w:rFonts w:ascii="Times New Roman" w:hAnsi="Times New Roman"/>
        </w:rPr>
        <w:t xml:space="preserve">These authors contributed equally to this work. </w:t>
      </w:r>
    </w:p>
    <w:p w:rsidR="008571CE" w:rsidRPr="000F1EC6" w:rsidRDefault="008571CE" w:rsidP="008571CE">
      <w:pPr>
        <w:spacing w:line="360" w:lineRule="auto"/>
        <w:rPr>
          <w:lang w:val="en-US" w:eastAsia="zh-CN"/>
        </w:rPr>
      </w:pPr>
      <w:r w:rsidRPr="000F1EC6">
        <w:rPr>
          <w:lang w:val="en-US"/>
        </w:rPr>
        <w:t>*Corresponding Authors</w:t>
      </w:r>
    </w:p>
    <w:p w:rsidR="008571CE" w:rsidRPr="000F1EC6" w:rsidRDefault="008571CE" w:rsidP="008571CE">
      <w:pPr>
        <w:spacing w:line="360" w:lineRule="auto"/>
        <w:rPr>
          <w:lang w:val="en-US" w:eastAsia="zh-CN"/>
        </w:rPr>
      </w:pPr>
      <w:r w:rsidRPr="000F1EC6">
        <w:rPr>
          <w:i/>
          <w:iCs/>
          <w:lang w:val="en-US"/>
        </w:rPr>
        <w:t>E-mail address:</w:t>
      </w:r>
      <w:r w:rsidRPr="000F1EC6">
        <w:rPr>
          <w:lang w:val="en-US"/>
        </w:rPr>
        <w:t xml:space="preserve"> maisui518@163.com (X. Huang)</w:t>
      </w:r>
      <w:r w:rsidRPr="000F1EC6">
        <w:rPr>
          <w:i/>
          <w:iCs/>
          <w:lang w:val="en-US" w:eastAsia="zh-CN"/>
        </w:rPr>
        <w:t>;</w:t>
      </w:r>
      <w:r w:rsidRPr="000F1EC6">
        <w:rPr>
          <w:lang w:val="en-US"/>
        </w:rPr>
        <w:t xml:space="preserve"> cy.zheng0412@gmail.com (C. Zheng); zhzhy0502@12</w:t>
      </w:r>
      <w:r w:rsidRPr="000F1EC6">
        <w:rPr>
          <w:lang w:val="en-US" w:eastAsia="zh-CN"/>
        </w:rPr>
        <w:t>6</w:t>
      </w:r>
      <w:r w:rsidRPr="000F1EC6">
        <w:rPr>
          <w:lang w:val="en-US"/>
        </w:rPr>
        <w:t>.com</w:t>
      </w:r>
      <w:r w:rsidRPr="000F1EC6">
        <w:rPr>
          <w:lang w:val="en-US" w:eastAsia="zh-CN"/>
        </w:rPr>
        <w:t>（</w:t>
      </w:r>
      <w:r w:rsidRPr="000F1EC6">
        <w:rPr>
          <w:lang w:val="en-US" w:eastAsia="zh-CN"/>
        </w:rPr>
        <w:t>Z. Zhang</w:t>
      </w:r>
      <w:r w:rsidRPr="000F1EC6">
        <w:rPr>
          <w:lang w:val="en-US" w:eastAsia="zh-CN"/>
        </w:rPr>
        <w:t>）</w:t>
      </w:r>
    </w:p>
    <w:p w:rsidR="008571CE" w:rsidRPr="000F1EC6" w:rsidRDefault="008571CE" w:rsidP="008571CE">
      <w:pPr>
        <w:pStyle w:val="Addresses"/>
        <w:spacing w:line="360" w:lineRule="auto"/>
        <w:jc w:val="both"/>
        <w:rPr>
          <w:rFonts w:eastAsiaTheme="minorEastAsia"/>
          <w:lang w:eastAsia="zh-CN"/>
        </w:rPr>
      </w:pPr>
      <w:r w:rsidRPr="000F1EC6">
        <w:rPr>
          <w:rFonts w:eastAsiaTheme="minorEastAsia"/>
          <w:lang w:eastAsia="zh-CN"/>
        </w:rPr>
        <w:t xml:space="preserve">Authors: </w:t>
      </w:r>
    </w:p>
    <w:p w:rsidR="008571CE" w:rsidRPr="000F1EC6" w:rsidRDefault="008571CE" w:rsidP="008571CE">
      <w:pPr>
        <w:spacing w:line="360" w:lineRule="auto"/>
        <w:rPr>
          <w:lang w:val="en-US" w:eastAsia="zh-CN"/>
        </w:rPr>
      </w:pPr>
      <w:r w:rsidRPr="000F1EC6">
        <w:rPr>
          <w:rFonts w:eastAsiaTheme="minorEastAsia"/>
          <w:lang w:val="en-US" w:eastAsia="zh-CN"/>
        </w:rPr>
        <w:lastRenderedPageBreak/>
        <w:t>xuhongtao@sjtu.edu.cn (H. Xu); chhan_9h@sjtu.edu.cn (H. Cheng); hzyylfj@163.com (F. Li); z5499630@ad.unsw.edu.au (B. Peng); wangrui0323@sjtu.edu.cn (R. Wang).</w:t>
      </w:r>
    </w:p>
    <w:p w:rsidR="008571CE" w:rsidRPr="000F1EC6" w:rsidRDefault="008571CE" w:rsidP="008571CE">
      <w:pPr>
        <w:pStyle w:val="Tableofcontents"/>
      </w:pPr>
    </w:p>
    <w:p w:rsidR="008571CE" w:rsidRPr="000F1EC6" w:rsidRDefault="008571CE" w:rsidP="008571CE">
      <w:pPr>
        <w:pStyle w:val="Tableofcontents"/>
      </w:pPr>
    </w:p>
    <w:p w:rsidR="008571CE" w:rsidRPr="000F1EC6" w:rsidRDefault="008571CE" w:rsidP="008571CE">
      <w:pPr>
        <w:spacing w:line="360" w:lineRule="auto"/>
        <w:rPr>
          <w:lang w:val="en-US"/>
        </w:rPr>
      </w:pPr>
      <w:r w:rsidRPr="000F1EC6">
        <w:rPr>
          <w:b/>
          <w:bCs/>
          <w:lang w:val="en-US"/>
        </w:rPr>
        <w:t>Experimental Section</w:t>
      </w:r>
    </w:p>
    <w:p w:rsidR="008571CE" w:rsidRPr="000F1EC6" w:rsidRDefault="008571CE" w:rsidP="008571CE">
      <w:pPr>
        <w:spacing w:beforeLines="100" w:before="312" w:line="360" w:lineRule="auto"/>
        <w:rPr>
          <w:b/>
          <w:bCs/>
          <w:i/>
          <w:iCs/>
          <w:lang w:val="en-US"/>
        </w:rPr>
      </w:pPr>
      <w:r w:rsidRPr="000F1EC6">
        <w:rPr>
          <w:b/>
          <w:bCs/>
          <w:i/>
          <w:iCs/>
          <w:lang w:val="en-US"/>
        </w:rPr>
        <w:t>1. Materials</w:t>
      </w:r>
    </w:p>
    <w:p w:rsidR="008571CE" w:rsidRPr="000F1EC6" w:rsidRDefault="008571CE" w:rsidP="008571CE">
      <w:pPr>
        <w:spacing w:beforeLines="100" w:before="312" w:line="360" w:lineRule="auto"/>
        <w:jc w:val="both"/>
        <w:rPr>
          <w:lang w:val="en-US" w:eastAsia="zh-CN"/>
        </w:rPr>
      </w:pPr>
      <w:r w:rsidRPr="000F1EC6">
        <w:rPr>
          <w:lang w:val="en-US"/>
        </w:rPr>
        <w:t>Ethanol (C</w:t>
      </w:r>
      <w:r w:rsidRPr="000F1EC6">
        <w:rPr>
          <w:vertAlign w:val="subscript"/>
          <w:lang w:val="en-US"/>
        </w:rPr>
        <w:t>2</w:t>
      </w:r>
      <w:r w:rsidRPr="000F1EC6">
        <w:rPr>
          <w:lang w:val="en-US"/>
        </w:rPr>
        <w:t>H</w:t>
      </w:r>
      <w:r w:rsidRPr="000F1EC6">
        <w:rPr>
          <w:vertAlign w:val="subscript"/>
          <w:lang w:val="en-US"/>
        </w:rPr>
        <w:t>5</w:t>
      </w:r>
      <w:r w:rsidRPr="000F1EC6">
        <w:rPr>
          <w:lang w:val="en-US"/>
        </w:rPr>
        <w:t>OH), ethylene glycol ((CH</w:t>
      </w:r>
      <w:r w:rsidRPr="000F1EC6">
        <w:rPr>
          <w:vertAlign w:val="subscript"/>
          <w:lang w:val="en-US"/>
        </w:rPr>
        <w:t>2</w:t>
      </w:r>
      <w:r w:rsidRPr="000F1EC6">
        <w:rPr>
          <w:lang w:val="en-US"/>
        </w:rPr>
        <w:t xml:space="preserve">OH) </w:t>
      </w:r>
      <w:r w:rsidRPr="000F1EC6">
        <w:rPr>
          <w:vertAlign w:val="subscript"/>
          <w:lang w:val="en-US"/>
        </w:rPr>
        <w:t>2</w:t>
      </w:r>
      <w:r w:rsidRPr="000F1EC6">
        <w:rPr>
          <w:lang w:val="en-US"/>
        </w:rPr>
        <w:t>), and cobalt acetate (CH</w:t>
      </w:r>
      <w:r w:rsidRPr="000F1EC6">
        <w:rPr>
          <w:vertAlign w:val="subscript"/>
          <w:lang w:val="en-US"/>
        </w:rPr>
        <w:t>3</w:t>
      </w:r>
      <w:r w:rsidRPr="000F1EC6">
        <w:rPr>
          <w:lang w:val="en-US"/>
        </w:rPr>
        <w:t xml:space="preserve">COO) </w:t>
      </w:r>
      <w:r w:rsidRPr="000F1EC6">
        <w:rPr>
          <w:vertAlign w:val="subscript"/>
          <w:lang w:val="en-US"/>
        </w:rPr>
        <w:t>2</w:t>
      </w:r>
      <w:r w:rsidRPr="000F1EC6">
        <w:rPr>
          <w:lang w:val="en-US"/>
        </w:rPr>
        <w:t>Co were purchased from Shanghai Aladdin Biochemical Technology Co., Ltd; Manganese acetate Mn (CH</w:t>
      </w:r>
      <w:r w:rsidRPr="000F1EC6">
        <w:rPr>
          <w:vertAlign w:val="subscript"/>
          <w:lang w:val="en-US"/>
        </w:rPr>
        <w:t>3</w:t>
      </w:r>
      <w:r w:rsidRPr="000F1EC6">
        <w:rPr>
          <w:lang w:val="en-US"/>
        </w:rPr>
        <w:t xml:space="preserve">COO) </w:t>
      </w:r>
      <w:r w:rsidRPr="000F1EC6">
        <w:rPr>
          <w:vertAlign w:val="subscript"/>
          <w:lang w:val="en-US"/>
        </w:rPr>
        <w:t>2</w:t>
      </w:r>
      <w:r w:rsidRPr="000F1EC6">
        <w:rPr>
          <w:lang w:val="en-US"/>
        </w:rPr>
        <w:t xml:space="preserve"> was purchased from China National Pharmaceutical Group Chemical Reagent Co., Ltd; Hyaluronic acid (C</w:t>
      </w:r>
      <w:r w:rsidRPr="000F1EC6">
        <w:rPr>
          <w:vertAlign w:val="subscript"/>
          <w:lang w:val="en-US"/>
        </w:rPr>
        <w:t>14</w:t>
      </w:r>
      <w:r w:rsidRPr="000F1EC6">
        <w:rPr>
          <w:lang w:val="en-US"/>
        </w:rPr>
        <w:t>H</w:t>
      </w:r>
      <w:r w:rsidRPr="000F1EC6">
        <w:rPr>
          <w:vertAlign w:val="subscript"/>
          <w:lang w:val="en-US"/>
        </w:rPr>
        <w:t>21</w:t>
      </w:r>
      <w:r w:rsidRPr="000F1EC6">
        <w:rPr>
          <w:lang w:val="en-US"/>
        </w:rPr>
        <w:t>NO</w:t>
      </w:r>
      <w:r w:rsidRPr="000F1EC6">
        <w:rPr>
          <w:vertAlign w:val="subscript"/>
          <w:lang w:val="en-US"/>
        </w:rPr>
        <w:t>11</w:t>
      </w:r>
      <w:r w:rsidRPr="000F1EC6">
        <w:rPr>
          <w:lang w:val="en-US"/>
        </w:rPr>
        <w:t xml:space="preserve">) n was purchased from Beijing Oka Biotechnology Co., Ltd; Cell Counting Kit-8 (CCK-8) was purchased from </w:t>
      </w:r>
      <w:proofErr w:type="spellStart"/>
      <w:r w:rsidRPr="000F1EC6">
        <w:rPr>
          <w:lang w:val="en-US"/>
        </w:rPr>
        <w:t>Biyun</w:t>
      </w:r>
      <w:proofErr w:type="spellEnd"/>
      <w:r w:rsidRPr="000F1EC6">
        <w:rPr>
          <w:lang w:val="en-US"/>
        </w:rPr>
        <w:t xml:space="preserve"> Tian Biotechnology Research Institute (China); LIVE/DEAD ™  Cell viability/cytotoxicity assay kit (</w:t>
      </w:r>
      <w:proofErr w:type="spellStart"/>
      <w:r w:rsidRPr="000F1EC6">
        <w:rPr>
          <w:lang w:val="en-US"/>
        </w:rPr>
        <w:t>Calcein</w:t>
      </w:r>
      <w:proofErr w:type="spellEnd"/>
      <w:r w:rsidRPr="000F1EC6">
        <w:rPr>
          <w:lang w:val="en-US"/>
        </w:rPr>
        <w:t xml:space="preserve"> AM/PI) was purchased from </w:t>
      </w:r>
      <w:proofErr w:type="spellStart"/>
      <w:r w:rsidRPr="000F1EC6">
        <w:rPr>
          <w:lang w:val="en-US"/>
        </w:rPr>
        <w:t>Thermo</w:t>
      </w:r>
      <w:proofErr w:type="spellEnd"/>
      <w:r w:rsidRPr="000F1EC6">
        <w:rPr>
          <w:lang w:val="en-US"/>
        </w:rPr>
        <w:t xml:space="preserve"> Fisher Scientific (USA), fetal bovine serum (FBS) and high glucose DMEM medium were purchased from Gibco (USA); 0.25% EDTA trypsin digestion solution, phosphate buffered saline (PBS), and penicillin streptomycin solution were purchased from Beijing </w:t>
      </w:r>
      <w:proofErr w:type="spellStart"/>
      <w:r w:rsidRPr="000F1EC6">
        <w:rPr>
          <w:lang w:val="en-US"/>
        </w:rPr>
        <w:t>Soleibao</w:t>
      </w:r>
      <w:proofErr w:type="spellEnd"/>
      <w:r w:rsidRPr="000F1EC6">
        <w:rPr>
          <w:lang w:val="en-US"/>
        </w:rPr>
        <w:t xml:space="preserve"> Technology Co., Ltd.</w:t>
      </w:r>
    </w:p>
    <w:p w:rsidR="008571CE" w:rsidRPr="000F1EC6" w:rsidRDefault="008571CE" w:rsidP="008571CE">
      <w:pPr>
        <w:spacing w:beforeLines="100" w:before="312" w:line="360" w:lineRule="auto"/>
        <w:rPr>
          <w:b/>
          <w:bCs/>
          <w:i/>
          <w:iCs/>
          <w:lang w:val="en-US"/>
        </w:rPr>
      </w:pPr>
      <w:r w:rsidRPr="000F1EC6">
        <w:rPr>
          <w:b/>
          <w:bCs/>
          <w:i/>
          <w:iCs/>
          <w:lang w:val="en-US"/>
        </w:rPr>
        <w:t>2. Synthesis of SDCM nanocluster</w:t>
      </w:r>
    </w:p>
    <w:p w:rsidR="008571CE" w:rsidRPr="000F1EC6" w:rsidRDefault="008571CE" w:rsidP="008571CE">
      <w:pPr>
        <w:spacing w:beforeLines="100" w:before="312" w:line="360" w:lineRule="auto"/>
        <w:jc w:val="both"/>
        <w:rPr>
          <w:lang w:val="en-US" w:eastAsia="zh-CN"/>
        </w:rPr>
      </w:pPr>
      <w:r w:rsidRPr="000F1EC6">
        <w:rPr>
          <w:lang w:val="en-US"/>
        </w:rPr>
        <w:t>Dissolve 1 mmol (0.249 g) of cobalt acetate and 2 mmol (0.49 g) of manganese acetate in 60 mL of ethylene glycol, heating and stirring continuously until completely dissolved. Subsequently, heat the reaction mixture to 185°C and perform a reflux reaction for 2 hours. After the reaction is complete, centrifuge and wash the product with ethanol to remove impurities. Dry the resultant product to obtain the CMO precursor. The precursor is then subjected to thermal treatment in a high-temperature furnace at 220°C for 8 hours. Afterward, use an ultrasonic cell disruptor to pulverize the product for 40 minutes (ultrasonic duration: 3 s; interval: 7 s), yielding CMO nanoparticles. Finally, fully dissolve and uniformly disperse gelatin in a 60°C aqueous solution to form a clear gelatin solution with a concentration of 20 mg/</w:t>
      </w:r>
      <w:proofErr w:type="spellStart"/>
      <w:r w:rsidRPr="000F1EC6">
        <w:rPr>
          <w:lang w:val="en-US"/>
        </w:rPr>
        <w:t>mL.</w:t>
      </w:r>
      <w:proofErr w:type="spellEnd"/>
      <w:r w:rsidRPr="000F1EC6">
        <w:rPr>
          <w:lang w:val="en-US"/>
        </w:rPr>
        <w:t xml:space="preserve"> Add CMO nanoparticles to the gelatin solution at a mass ratio of gelatin to CMO nanoparticles of 100:1, stirring for 10 hours. Centrifuge and wash the product to obtain SDCM.</w:t>
      </w:r>
    </w:p>
    <w:p w:rsidR="008571CE" w:rsidRPr="000F1EC6" w:rsidRDefault="008571CE" w:rsidP="008571CE">
      <w:pPr>
        <w:spacing w:beforeLines="100" w:before="312" w:line="360" w:lineRule="auto"/>
        <w:rPr>
          <w:b/>
          <w:bCs/>
          <w:i/>
          <w:iCs/>
          <w:lang w:val="en-US"/>
        </w:rPr>
      </w:pPr>
      <w:r w:rsidRPr="000F1EC6">
        <w:rPr>
          <w:b/>
          <w:bCs/>
          <w:i/>
          <w:iCs/>
          <w:lang w:val="en-US"/>
        </w:rPr>
        <w:lastRenderedPageBreak/>
        <w:t>3. Analysis of extracellular matrix enzymes expression in TCGA database</w:t>
      </w:r>
    </w:p>
    <w:p w:rsidR="008571CE" w:rsidRPr="000F1EC6" w:rsidRDefault="008571CE" w:rsidP="008571CE">
      <w:pPr>
        <w:spacing w:beforeLines="100" w:before="312" w:line="360" w:lineRule="auto"/>
        <w:ind w:firstLineChars="200" w:firstLine="480"/>
        <w:jc w:val="both"/>
        <w:rPr>
          <w:lang w:val="en-US"/>
        </w:rPr>
      </w:pPr>
      <w:r w:rsidRPr="000F1EC6">
        <w:rPr>
          <w:lang w:val="en-US"/>
        </w:rPr>
        <w:t xml:space="preserve">The RNA-seq data of OSCC patients (primary tumors located in the base of the tongue, floor of the mouth, gum, other and unspecified parts of the mouth, other and unspecified parts of the tongue, and palate) were retrieved from TCGA, supplemented by normal samples from TCGA-HNSC. Cases with uncontrolled count data were excluded. Raw RNA-seq count data were downloaded from the GDC data portal in November 2024 and analyzed in the R software environment (version X.X.X). The data processing workflow included quality control, filtering out low-expression genes, normalization, and log transformation. Differential gene expression analysis was performed using the </w:t>
      </w:r>
      <w:proofErr w:type="spellStart"/>
      <w:r w:rsidRPr="000F1EC6">
        <w:rPr>
          <w:lang w:val="en-US"/>
        </w:rPr>
        <w:t>limma</w:t>
      </w:r>
      <w:proofErr w:type="spellEnd"/>
      <w:r w:rsidRPr="000F1EC6">
        <w:rPr>
          <w:lang w:val="en-US"/>
        </w:rPr>
        <w:t xml:space="preserve"> package with </w:t>
      </w:r>
      <w:proofErr w:type="spellStart"/>
      <w:r w:rsidRPr="000F1EC6">
        <w:rPr>
          <w:lang w:val="en-US"/>
        </w:rPr>
        <w:t>voom</w:t>
      </w:r>
      <w:proofErr w:type="spellEnd"/>
      <w:r w:rsidRPr="000F1EC6">
        <w:rPr>
          <w:lang w:val="en-US"/>
        </w:rPr>
        <w:t xml:space="preserve"> normalization to account for mean-variance relationships. Genes were defined as differentially expressed based on an adjusted p-value &lt; 0.05 and </w:t>
      </w:r>
      <w:proofErr w:type="spellStart"/>
      <w:r w:rsidRPr="000F1EC6">
        <w:rPr>
          <w:lang w:val="en-US"/>
        </w:rPr>
        <w:t>logFC</w:t>
      </w:r>
      <w:proofErr w:type="spellEnd"/>
      <w:r w:rsidRPr="000F1EC6">
        <w:rPr>
          <w:lang w:val="en-US"/>
        </w:rPr>
        <w:t xml:space="preserve"> thresholds of &gt;1 or &lt;-1. The results were visualized using the </w:t>
      </w:r>
      <w:proofErr w:type="spellStart"/>
      <w:r w:rsidRPr="000F1EC6">
        <w:rPr>
          <w:lang w:val="en-US"/>
        </w:rPr>
        <w:t>pheatmap</w:t>
      </w:r>
      <w:proofErr w:type="spellEnd"/>
      <w:r w:rsidRPr="000F1EC6">
        <w:rPr>
          <w:lang w:val="en-US"/>
        </w:rPr>
        <w:t xml:space="preserve"> package for heatmaps and </w:t>
      </w:r>
      <w:proofErr w:type="spellStart"/>
      <w:r w:rsidRPr="000F1EC6">
        <w:rPr>
          <w:lang w:val="en-US"/>
        </w:rPr>
        <w:t>ggrepel</w:t>
      </w:r>
      <w:proofErr w:type="spellEnd"/>
      <w:r w:rsidRPr="000F1EC6">
        <w:rPr>
          <w:lang w:val="en-US"/>
        </w:rPr>
        <w:t xml:space="preserve"> for enhanced scatterplot annotation. All scripts and software dependencies were managed to ensure reproducibility. </w:t>
      </w:r>
    </w:p>
    <w:p w:rsidR="008571CE" w:rsidRPr="000F1EC6" w:rsidRDefault="008571CE" w:rsidP="008571CE">
      <w:pPr>
        <w:pStyle w:val="ae"/>
        <w:rPr>
          <w:rFonts w:ascii="Times New Roman" w:hAnsi="Times New Roman" w:cs="Times New Roman"/>
          <w:b/>
          <w:bCs/>
          <w:i/>
          <w:iCs/>
        </w:rPr>
      </w:pPr>
      <w:r w:rsidRPr="000F1EC6">
        <w:rPr>
          <w:rFonts w:ascii="Times New Roman" w:hAnsi="Times New Roman" w:cs="Times New Roman"/>
          <w:b/>
          <w:bCs/>
          <w:i/>
          <w:iCs/>
        </w:rPr>
        <w:t>4. MMP9 expression in tumor and normal tissue validation</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t>MMP9 expression was validated using Western blotting (WB), quantitative polymerase chain reaction (qPCR), and immunohistochemistry (IHC) in patient-derived tumor samples. For WB, tumor tissues were lysed in RIPA buffer supplemented with protease inhibitors, and total protein concentration was measured using a BCA protein assay kit. Equal amounts of protein were loaded onto SDS-PAGE gels, separated, and transferred to PVDF membranes. After blocking with 5% non-fat milk, the membranes were incubated overnight at 4°C with primary antibodies specific to MMP9, followed by incubation with HRP-conjugated secondary antibodies. Signals were detected using an enhanced chemiluminescence system.</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For qPCR, total RNA was extracted from tumor samples using </w:t>
      </w:r>
      <w:proofErr w:type="spellStart"/>
      <w:r w:rsidRPr="000F1EC6">
        <w:rPr>
          <w:rFonts w:ascii="Times New Roman" w:hAnsi="Times New Roman" w:cs="Times New Roman"/>
        </w:rPr>
        <w:t>TRIzol</w:t>
      </w:r>
      <w:proofErr w:type="spellEnd"/>
      <w:r w:rsidRPr="000F1EC6">
        <w:rPr>
          <w:rFonts w:ascii="Times New Roman" w:hAnsi="Times New Roman" w:cs="Times New Roman"/>
        </w:rPr>
        <w:t xml:space="preserve"> reagent and reverse-transcribed into cDNA using a reverse transcription kit. qPCR was performed using SYBR Green master mix and primers specific to MMP9. GAPDH was used as the housekeeping gene for normalization, and relative expression levels were calculated using the 2^−</w:t>
      </w:r>
      <w:proofErr w:type="spellStart"/>
      <w:r w:rsidRPr="000F1EC6">
        <w:rPr>
          <w:rFonts w:ascii="Times New Roman" w:hAnsi="Times New Roman" w:cs="Times New Roman"/>
        </w:rPr>
        <w:t>ΔΔCt</w:t>
      </w:r>
      <w:proofErr w:type="spellEnd"/>
      <w:r w:rsidRPr="000F1EC6">
        <w:rPr>
          <w:rFonts w:ascii="Times New Roman" w:hAnsi="Times New Roman" w:cs="Times New Roman"/>
        </w:rPr>
        <w:t xml:space="preserve"> method.</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For IHC, paraffin-embedded tumor sections were deparaffinized, rehydrated, and subjected to antigen retrieval. Sections were blocked and incubated with MMP9 primary antibodies overnight at 4°C, followed by HRP-conjugated secondary antibodies. Visualization </w:t>
      </w:r>
      <w:r w:rsidRPr="000F1EC6">
        <w:rPr>
          <w:rFonts w:ascii="Times New Roman" w:hAnsi="Times New Roman" w:cs="Times New Roman"/>
        </w:rPr>
        <w:lastRenderedPageBreak/>
        <w:t>was achieved using a DAB substrate kit, and slides were counterstained with hematoxylin. Stained sections were imaged using a Leica DM2500 microscope (Wetzlar, Germany).</w:t>
      </w:r>
    </w:p>
    <w:p w:rsidR="008571CE" w:rsidRPr="000F1EC6" w:rsidRDefault="008571CE" w:rsidP="008571CE">
      <w:pPr>
        <w:spacing w:beforeLines="100" w:before="312" w:line="360" w:lineRule="auto"/>
        <w:jc w:val="both"/>
        <w:rPr>
          <w:b/>
          <w:bCs/>
          <w:i/>
          <w:iCs/>
          <w:lang w:val="en-US"/>
        </w:rPr>
      </w:pPr>
      <w:r w:rsidRPr="000F1EC6">
        <w:rPr>
          <w:b/>
          <w:bCs/>
          <w:i/>
          <w:iCs/>
          <w:lang w:val="en-US"/>
        </w:rPr>
        <w:t>5. Characterization of CMO NPs and SDCM nanocluster</w:t>
      </w:r>
    </w:p>
    <w:p w:rsidR="008571CE" w:rsidRPr="000F1EC6" w:rsidRDefault="008571CE" w:rsidP="008571CE">
      <w:pPr>
        <w:spacing w:beforeLines="100" w:before="312" w:line="360" w:lineRule="auto"/>
        <w:ind w:firstLineChars="200" w:firstLine="480"/>
        <w:jc w:val="both"/>
        <w:rPr>
          <w:lang w:val="en-US" w:eastAsia="zh-CN"/>
        </w:rPr>
      </w:pPr>
      <w:r w:rsidRPr="000F1EC6">
        <w:rPr>
          <w:lang w:val="en-US"/>
        </w:rPr>
        <w:t xml:space="preserve">The morphology of CMO nanoparticles and SDCM nanoclusters was analyzed using TEM (FEI </w:t>
      </w:r>
      <w:proofErr w:type="spellStart"/>
      <w:r w:rsidRPr="000F1EC6">
        <w:rPr>
          <w:lang w:val="en-US"/>
        </w:rPr>
        <w:t>Tecnai</w:t>
      </w:r>
      <w:proofErr w:type="spellEnd"/>
      <w:r w:rsidRPr="000F1EC6">
        <w:rPr>
          <w:lang w:val="en-US"/>
        </w:rPr>
        <w:t xml:space="preserve"> G2 F20 S-TWIN). Additionally, the morphological changes of SDCM and the release of CMO nanoparticles in the presence of MMP9 were characterized. XPS (</w:t>
      </w:r>
      <w:proofErr w:type="spellStart"/>
      <w:r w:rsidRPr="000F1EC6">
        <w:rPr>
          <w:lang w:val="en-US"/>
        </w:rPr>
        <w:t>Thermo</w:t>
      </w:r>
      <w:proofErr w:type="spellEnd"/>
      <w:r w:rsidRPr="000F1EC6">
        <w:rPr>
          <w:lang w:val="en-US"/>
        </w:rPr>
        <w:t xml:space="preserve"> Fisher Scientific </w:t>
      </w:r>
      <w:proofErr w:type="spellStart"/>
      <w:r w:rsidRPr="000F1EC6">
        <w:rPr>
          <w:lang w:val="en-US"/>
        </w:rPr>
        <w:t>EscaLab</w:t>
      </w:r>
      <w:proofErr w:type="spellEnd"/>
      <w:r w:rsidRPr="000F1EC6">
        <w:rPr>
          <w:lang w:val="en-US"/>
        </w:rPr>
        <w:t xml:space="preserve"> 250Xi) was employed to analyze the chemical composition of CMO nanoparticles, while XRD (Rigaku D/max2500) was used to characterize their crystalline phase. Furthermore, Zeta potential measurements (Malvern </w:t>
      </w:r>
      <w:proofErr w:type="spellStart"/>
      <w:r w:rsidRPr="000F1EC6">
        <w:rPr>
          <w:lang w:val="en-US"/>
        </w:rPr>
        <w:t>Zetasizer</w:t>
      </w:r>
      <w:proofErr w:type="spellEnd"/>
      <w:r w:rsidRPr="000F1EC6">
        <w:rPr>
          <w:lang w:val="en-US"/>
        </w:rPr>
        <w:t xml:space="preserve"> Nano ZS90) and FTIR analysis (Nicolet iS5) were conducted for further material characterization.</w:t>
      </w:r>
    </w:p>
    <w:p w:rsidR="008571CE" w:rsidRPr="000F1EC6" w:rsidRDefault="008571CE" w:rsidP="008571CE">
      <w:pPr>
        <w:spacing w:beforeLines="100" w:before="312" w:line="360" w:lineRule="auto"/>
        <w:jc w:val="both"/>
        <w:rPr>
          <w:b/>
          <w:bCs/>
          <w:i/>
          <w:iCs/>
          <w:lang w:val="en-US" w:eastAsia="zh-CN"/>
        </w:rPr>
      </w:pPr>
      <w:r w:rsidRPr="000F1EC6">
        <w:rPr>
          <w:b/>
          <w:bCs/>
          <w:lang w:val="en-US"/>
        </w:rPr>
        <w:t xml:space="preserve"> </w:t>
      </w:r>
      <w:r w:rsidRPr="000F1EC6">
        <w:rPr>
          <w:b/>
          <w:bCs/>
          <w:i/>
          <w:iCs/>
          <w:lang w:val="en-US" w:eastAsia="zh-CN"/>
        </w:rPr>
        <w:t>6</w:t>
      </w:r>
      <w:r w:rsidRPr="000F1EC6">
        <w:rPr>
          <w:b/>
          <w:bCs/>
          <w:i/>
          <w:iCs/>
          <w:lang w:val="en-US"/>
        </w:rPr>
        <w:t>. MRI performance of CMO NPs and SDCM nanocluster in vitro</w:t>
      </w:r>
    </w:p>
    <w:p w:rsidR="008571CE" w:rsidRPr="000F1EC6" w:rsidRDefault="008571CE" w:rsidP="008571CE">
      <w:pPr>
        <w:spacing w:line="360" w:lineRule="auto"/>
        <w:ind w:firstLineChars="200" w:firstLine="480"/>
        <w:jc w:val="both"/>
        <w:rPr>
          <w:rFonts w:ascii="Times" w:eastAsiaTheme="minorEastAsia" w:hAnsi="Times"/>
          <w:szCs w:val="20"/>
          <w:lang w:val="en-US" w:eastAsia="en-US"/>
        </w:rPr>
      </w:pPr>
      <w:r w:rsidRPr="000F1EC6">
        <w:rPr>
          <w:rFonts w:ascii="Times" w:eastAsiaTheme="minorEastAsia" w:hAnsi="Times"/>
          <w:szCs w:val="20"/>
          <w:lang w:val="en-US" w:eastAsia="en-US"/>
        </w:rPr>
        <w:t xml:space="preserve">The T1-T2 MRI capabilities of CMO NPs </w:t>
      </w:r>
      <w:r w:rsidRPr="000F1EC6">
        <w:rPr>
          <w:rFonts w:ascii="Times" w:eastAsiaTheme="minorEastAsia" w:hAnsi="Times"/>
          <w:szCs w:val="20"/>
          <w:lang w:val="en-US" w:eastAsia="zh-CN"/>
        </w:rPr>
        <w:t xml:space="preserve">and SDCM </w:t>
      </w:r>
      <w:r w:rsidRPr="000F1EC6">
        <w:rPr>
          <w:rFonts w:ascii="Times" w:eastAsiaTheme="minorEastAsia" w:hAnsi="Times"/>
          <w:szCs w:val="20"/>
          <w:lang w:val="en-US" w:eastAsia="en-US"/>
        </w:rPr>
        <w:t xml:space="preserve">were evaluated using a 3.0-T MRI scanner (Premier, GE Healthcare, WI) across a gradient of Mn concentrations (0–1.6 mM). Subsequently, the MRI contrast performance of CMO NPs was further investigated under varying pH conditions (11.4, 8.7, 7.4, 6.5, and 4.2) and different GSH concentrations (0, 62.5, 125, and 250 </w:t>
      </w:r>
      <w:proofErr w:type="spellStart"/>
      <w:r w:rsidRPr="000F1EC6">
        <w:rPr>
          <w:rFonts w:ascii="Times" w:eastAsiaTheme="minorEastAsia" w:hAnsi="Times"/>
          <w:szCs w:val="20"/>
          <w:lang w:val="en-US" w:eastAsia="en-US"/>
        </w:rPr>
        <w:t>μM</w:t>
      </w:r>
      <w:proofErr w:type="spellEnd"/>
      <w:r w:rsidRPr="000F1EC6">
        <w:rPr>
          <w:rFonts w:ascii="Times" w:eastAsiaTheme="minorEastAsia" w:hAnsi="Times"/>
          <w:szCs w:val="20"/>
          <w:lang w:val="en-US" w:eastAsia="en-US"/>
        </w:rPr>
        <w:t xml:space="preserve">) using the same imaging system. </w:t>
      </w:r>
    </w:p>
    <w:p w:rsidR="008571CE" w:rsidRPr="000F1EC6" w:rsidRDefault="008571CE" w:rsidP="008571CE">
      <w:pPr>
        <w:spacing w:beforeLines="100" w:before="312" w:line="360" w:lineRule="auto"/>
        <w:jc w:val="both"/>
        <w:rPr>
          <w:b/>
          <w:bCs/>
          <w:i/>
          <w:iCs/>
          <w:lang w:val="en-US"/>
        </w:rPr>
      </w:pPr>
      <w:r w:rsidRPr="000F1EC6">
        <w:rPr>
          <w:b/>
          <w:bCs/>
          <w:i/>
          <w:iCs/>
          <w:lang w:val="en-US"/>
        </w:rPr>
        <w:t>7.</w:t>
      </w:r>
      <w:bookmarkStart w:id="0" w:name="_Hlk140335171"/>
      <w:r w:rsidRPr="000F1EC6">
        <w:rPr>
          <w:b/>
          <w:bCs/>
          <w:i/>
          <w:iCs/>
          <w:lang w:val="en-US"/>
        </w:rPr>
        <w:t xml:space="preserve"> Animals and OSCC mice model</w:t>
      </w:r>
    </w:p>
    <w:p w:rsidR="008571CE" w:rsidRPr="000F1EC6" w:rsidRDefault="008571CE" w:rsidP="008571CE">
      <w:pPr>
        <w:pStyle w:val="TAMainText"/>
        <w:spacing w:afterLines="50" w:after="156" w:line="360" w:lineRule="auto"/>
        <w:ind w:firstLineChars="200" w:firstLine="480"/>
      </w:pPr>
      <w:r w:rsidRPr="000F1EC6">
        <w:t>All animal experiments were performed under the guidelines of the Laboratory Animal Ethics Committee in Ninth People’s Hospital Affiliated to Shanghai Jiao Tong University School of Medicine, approval number: SH9H-2022-A2-1.</w:t>
      </w:r>
      <w:bookmarkEnd w:id="0"/>
      <w:r w:rsidRPr="000F1EC6">
        <w:t xml:space="preserve"> Female BALB/c mice (16-20 g, 4-6 weeks) were provided by the Experimental Animal Center (</w:t>
      </w:r>
      <w:proofErr w:type="spellStart"/>
      <w:r w:rsidRPr="000F1EC6">
        <w:t>Jihui</w:t>
      </w:r>
      <w:proofErr w:type="spellEnd"/>
      <w:r w:rsidRPr="000F1EC6">
        <w:t xml:space="preserve">, China). </w:t>
      </w:r>
      <w:r w:rsidRPr="000F1EC6">
        <w:rPr>
          <w:rFonts w:ascii="Times New Roman" w:hAnsi="Times New Roman"/>
        </w:rPr>
        <w:t xml:space="preserve">For subcutaneous OSCC mouse model, CAL-27 cell suspension (100 </w:t>
      </w:r>
      <w:proofErr w:type="spellStart"/>
      <w:r w:rsidRPr="000F1EC6">
        <w:rPr>
          <w:rFonts w:ascii="Times New Roman" w:hAnsi="Times New Roman"/>
        </w:rPr>
        <w:t>μL</w:t>
      </w:r>
      <w:proofErr w:type="spellEnd"/>
      <w:r w:rsidRPr="000F1EC6">
        <w:rPr>
          <w:rFonts w:ascii="Times New Roman" w:hAnsi="Times New Roman"/>
        </w:rPr>
        <w:t>, 1 × 10</w:t>
      </w:r>
      <w:r w:rsidRPr="000F1EC6">
        <w:rPr>
          <w:rFonts w:ascii="Times New Roman" w:hAnsi="Times New Roman"/>
          <w:vertAlign w:val="superscript"/>
        </w:rPr>
        <w:t>7</w:t>
      </w:r>
      <w:r w:rsidRPr="000F1EC6">
        <w:rPr>
          <w:rFonts w:ascii="Times New Roman" w:hAnsi="Times New Roman"/>
        </w:rPr>
        <w:t xml:space="preserve"> cells/mL) was injected into the right backside flank of each mouse, which resulted in model establishment within 10 days. </w:t>
      </w:r>
    </w:p>
    <w:p w:rsidR="008571CE" w:rsidRPr="000F1EC6" w:rsidRDefault="008571CE" w:rsidP="008571CE">
      <w:pPr>
        <w:spacing w:line="360" w:lineRule="auto"/>
        <w:jc w:val="both"/>
        <w:rPr>
          <w:b/>
          <w:bCs/>
          <w:i/>
          <w:iCs/>
          <w:lang w:val="en-US"/>
        </w:rPr>
      </w:pPr>
      <w:r w:rsidRPr="000F1EC6">
        <w:rPr>
          <w:b/>
          <w:bCs/>
          <w:i/>
          <w:iCs/>
          <w:lang w:val="en-US"/>
        </w:rPr>
        <w:t>8. MRI performance of CMO NPs and SDCM nanocluster in vivo</w:t>
      </w:r>
    </w:p>
    <w:p w:rsidR="008571CE" w:rsidRPr="000F1EC6" w:rsidRDefault="008571CE" w:rsidP="008571CE">
      <w:pPr>
        <w:spacing w:before="100" w:beforeAutospacing="1" w:after="100" w:afterAutospacing="1" w:line="360" w:lineRule="auto"/>
        <w:ind w:firstLineChars="200" w:firstLine="480"/>
        <w:jc w:val="both"/>
        <w:rPr>
          <w:rFonts w:eastAsia="宋体"/>
          <w:lang w:val="en-US" w:eastAsia="zh-CN"/>
        </w:rPr>
      </w:pPr>
      <w:r w:rsidRPr="000F1EC6">
        <w:rPr>
          <w:rFonts w:eastAsia="宋体"/>
          <w:lang w:val="en-US" w:eastAsia="zh-CN"/>
        </w:rPr>
        <w:t xml:space="preserve">For </w:t>
      </w:r>
      <w:r w:rsidRPr="000F1EC6">
        <w:rPr>
          <w:rFonts w:eastAsia="宋体"/>
          <w:i/>
          <w:iCs/>
          <w:lang w:val="en-US" w:eastAsia="zh-CN"/>
        </w:rPr>
        <w:t>in vivo</w:t>
      </w:r>
      <w:r w:rsidRPr="000F1EC6">
        <w:rPr>
          <w:rFonts w:eastAsia="宋体"/>
          <w:lang w:val="en-US" w:eastAsia="zh-CN"/>
        </w:rPr>
        <w:t xml:space="preserve"> MRI, a 9.4T small animal magnetic resonance imaging system (Bruker </w:t>
      </w:r>
      <w:proofErr w:type="spellStart"/>
      <w:r w:rsidRPr="000F1EC6">
        <w:rPr>
          <w:rFonts w:eastAsia="宋体"/>
          <w:lang w:val="en-US" w:eastAsia="zh-CN"/>
        </w:rPr>
        <w:t>BioSpec</w:t>
      </w:r>
      <w:proofErr w:type="spellEnd"/>
      <w:r w:rsidRPr="000F1EC6">
        <w:rPr>
          <w:rFonts w:eastAsia="宋体"/>
          <w:lang w:val="en-US" w:eastAsia="zh-CN"/>
        </w:rPr>
        <w:t xml:space="preserve"> 94/20 USR) was used to image subcutaneous tumor-bearing mice at room temperature. Different groups of mice (n=3) were intravenously injected with CMO NPs, SDCM (2 mg/mL, </w:t>
      </w:r>
      <w:r w:rsidRPr="000F1EC6">
        <w:rPr>
          <w:rFonts w:eastAsia="宋体"/>
          <w:lang w:val="en-US" w:eastAsia="zh-CN"/>
        </w:rPr>
        <w:lastRenderedPageBreak/>
        <w:t xml:space="preserve">200 </w:t>
      </w:r>
      <w:proofErr w:type="spellStart"/>
      <w:r w:rsidRPr="000F1EC6">
        <w:rPr>
          <w:rFonts w:eastAsia="宋体"/>
          <w:lang w:val="en-US" w:eastAsia="zh-CN"/>
        </w:rPr>
        <w:t>μL</w:t>
      </w:r>
      <w:proofErr w:type="spellEnd"/>
      <w:r w:rsidRPr="000F1EC6">
        <w:rPr>
          <w:rFonts w:eastAsia="宋体"/>
          <w:lang w:val="en-US" w:eastAsia="zh-CN"/>
        </w:rPr>
        <w:t>), or equivalent molar amounts of Gd-DTPA and SPIONs. Axial T1- and T2-weighted MRI images were collected at specific time points (pre-injection, 3 hours, and 6 hours post-injection). Signal intensities in tumor tissues and the back paraspinal muscle were compared to calculate the tumor-to-normal tissue signal ratio (T/N) and contrast enhancement. The ΔSNR was calculated using the formula:</w:t>
      </w:r>
    </w:p>
    <w:p w:rsidR="008571CE" w:rsidRPr="000F1EC6" w:rsidRDefault="008571CE" w:rsidP="008571CE">
      <w:pPr>
        <w:spacing w:line="360" w:lineRule="auto"/>
        <w:ind w:firstLineChars="200" w:firstLine="480"/>
        <w:jc w:val="center"/>
        <w:rPr>
          <w:rFonts w:eastAsia="宋体"/>
          <w:kern w:val="2"/>
          <w:sz w:val="20"/>
          <w:szCs w:val="20"/>
          <w:shd w:val="clear" w:color="auto" w:fill="FFFFFF"/>
          <w:lang w:val="en-US" w:eastAsia="zh-CN"/>
          <w14:ligatures w14:val="standardContextual"/>
        </w:rPr>
      </w:pPr>
      <w:r w:rsidRPr="000F1EC6">
        <w:rPr>
          <w:rFonts w:eastAsia="宋体"/>
          <w:lang w:val="en-US" w:eastAsia="zh-CN"/>
        </w:rPr>
        <w:t>ΔSNR=</w:t>
      </w:r>
      <m:oMath>
        <m:f>
          <m:fPr>
            <m:ctrlPr>
              <w:rPr>
                <w:rFonts w:ascii="Cambria Math" w:eastAsiaTheme="minorEastAsia" w:hAnsi="Cambria Math" w:cs="Arial"/>
                <w:i/>
                <w:kern w:val="2"/>
                <w:shd w:val="clear" w:color="auto" w:fill="FFFFFF"/>
                <w:lang w:val="en-US" w:eastAsia="zh-CN"/>
                <w14:ligatures w14:val="standardContextual"/>
              </w:rPr>
            </m:ctrlPr>
          </m:fPr>
          <m:num>
            <m:r>
              <w:rPr>
                <w:rFonts w:ascii="Cambria Math" w:hAnsi="Cambria Math" w:cs="Arial"/>
                <w:shd w:val="clear" w:color="auto" w:fill="FFFFFF"/>
                <w:lang w:val="en-US"/>
              </w:rPr>
              <m:t>T</m:t>
            </m:r>
            <m:r>
              <m:rPr>
                <m:lit/>
              </m:rPr>
              <w:rPr>
                <w:rFonts w:ascii="Cambria Math" w:hAnsi="Cambria Math" w:cs="Arial"/>
                <w:shd w:val="clear" w:color="auto" w:fill="FFFFFF"/>
                <w:lang w:val="en-US"/>
              </w:rPr>
              <m:t>/</m:t>
            </m:r>
            <m:sSub>
              <m:sSubPr>
                <m:ctrlPr>
                  <w:rPr>
                    <w:rFonts w:ascii="Cambria Math" w:eastAsiaTheme="minorEastAsia" w:hAnsi="Cambria Math" w:cs="Arial"/>
                    <w:i/>
                    <w:kern w:val="2"/>
                    <w:shd w:val="clear" w:color="auto" w:fill="FFFFFF"/>
                    <w:lang w:val="en-US" w:eastAsia="zh-CN"/>
                    <w14:ligatures w14:val="standardContextual"/>
                  </w:rPr>
                </m:ctrlPr>
              </m:sSubPr>
              <m:e>
                <m:r>
                  <w:rPr>
                    <w:rFonts w:ascii="Cambria Math" w:hAnsi="Cambria Math" w:cs="Arial"/>
                    <w:shd w:val="clear" w:color="auto" w:fill="FFFFFF"/>
                    <w:lang w:val="en-US"/>
                  </w:rPr>
                  <m:t>N</m:t>
                </m:r>
              </m:e>
              <m:sub>
                <m:r>
                  <w:rPr>
                    <w:rFonts w:ascii="Cambria Math" w:hAnsi="Cambria Math" w:cs="Arial"/>
                    <w:shd w:val="clear" w:color="auto" w:fill="FFFFFF"/>
                    <w:lang w:val="en-US"/>
                  </w:rPr>
                  <m:t>1</m:t>
                </m:r>
              </m:sub>
            </m:sSub>
            <m:r>
              <w:rPr>
                <w:rFonts w:ascii="Cambria Math" w:hAnsi="Cambria Math" w:cs="Arial"/>
                <w:shd w:val="clear" w:color="auto" w:fill="FFFFFF"/>
                <w:lang w:val="en-US"/>
              </w:rPr>
              <m:t>-T</m:t>
            </m:r>
            <m:r>
              <m:rPr>
                <m:lit/>
              </m:rPr>
              <w:rPr>
                <w:rFonts w:ascii="Cambria Math" w:hAnsi="Cambria Math" w:cs="Arial"/>
                <w:shd w:val="clear" w:color="auto" w:fill="FFFFFF"/>
                <w:lang w:val="en-US"/>
              </w:rPr>
              <m:t>/</m:t>
            </m:r>
            <m:sSub>
              <m:sSubPr>
                <m:ctrlPr>
                  <w:rPr>
                    <w:rFonts w:ascii="Cambria Math" w:eastAsiaTheme="minorEastAsia" w:hAnsi="Cambria Math" w:cs="Arial"/>
                    <w:i/>
                    <w:kern w:val="2"/>
                    <w:shd w:val="clear" w:color="auto" w:fill="FFFFFF"/>
                    <w:lang w:val="en-US" w:eastAsia="zh-CN"/>
                    <w14:ligatures w14:val="standardContextual"/>
                  </w:rPr>
                </m:ctrlPr>
              </m:sSubPr>
              <m:e>
                <m:r>
                  <w:rPr>
                    <w:rFonts w:ascii="Cambria Math" w:hAnsi="Cambria Math" w:cs="Arial"/>
                    <w:shd w:val="clear" w:color="auto" w:fill="FFFFFF"/>
                    <w:lang w:val="en-US"/>
                  </w:rPr>
                  <m:t>N</m:t>
                </m:r>
              </m:e>
              <m:sub>
                <m:r>
                  <w:rPr>
                    <w:rFonts w:ascii="Cambria Math" w:hAnsi="Cambria Math" w:cs="Arial"/>
                    <w:shd w:val="clear" w:color="auto" w:fill="FFFFFF"/>
                    <w:lang w:val="en-US"/>
                  </w:rPr>
                  <m:t>0</m:t>
                </m:r>
              </m:sub>
            </m:sSub>
          </m:num>
          <m:den>
            <m:r>
              <w:rPr>
                <w:rFonts w:ascii="Cambria Math" w:hAnsi="Cambria Math" w:cs="Arial"/>
                <w:shd w:val="clear" w:color="auto" w:fill="FFFFFF"/>
                <w:lang w:val="en-US"/>
              </w:rPr>
              <m:t>T</m:t>
            </m:r>
            <m:r>
              <m:rPr>
                <m:lit/>
              </m:rPr>
              <w:rPr>
                <w:rFonts w:ascii="Cambria Math" w:hAnsi="Cambria Math" w:cs="Arial"/>
                <w:shd w:val="clear" w:color="auto" w:fill="FFFFFF"/>
                <w:lang w:val="en-US"/>
              </w:rPr>
              <m:t>/</m:t>
            </m:r>
            <m:sSub>
              <m:sSubPr>
                <m:ctrlPr>
                  <w:rPr>
                    <w:rFonts w:ascii="Cambria Math" w:eastAsiaTheme="minorEastAsia" w:hAnsi="Cambria Math" w:cs="Arial"/>
                    <w:i/>
                    <w:kern w:val="2"/>
                    <w:shd w:val="clear" w:color="auto" w:fill="FFFFFF"/>
                    <w:lang w:val="en-US" w:eastAsia="zh-CN"/>
                    <w14:ligatures w14:val="standardContextual"/>
                  </w:rPr>
                </m:ctrlPr>
              </m:sSubPr>
              <m:e>
                <m:r>
                  <w:rPr>
                    <w:rFonts w:ascii="Cambria Math" w:hAnsi="Cambria Math" w:cs="Arial"/>
                    <w:shd w:val="clear" w:color="auto" w:fill="FFFFFF"/>
                    <w:lang w:val="en-US"/>
                  </w:rPr>
                  <m:t>N</m:t>
                </m:r>
              </m:e>
              <m:sub>
                <m:r>
                  <w:rPr>
                    <w:rFonts w:ascii="Cambria Math" w:hAnsi="Cambria Math" w:cs="Arial"/>
                    <w:shd w:val="clear" w:color="auto" w:fill="FFFFFF"/>
                    <w:lang w:val="en-US"/>
                  </w:rPr>
                  <m:t>0</m:t>
                </m:r>
              </m:sub>
            </m:sSub>
          </m:den>
        </m:f>
      </m:oMath>
    </w:p>
    <w:p w:rsidR="008571CE" w:rsidRPr="000F1EC6" w:rsidRDefault="008571CE" w:rsidP="008571CE">
      <w:pPr>
        <w:spacing w:line="360" w:lineRule="auto"/>
        <w:ind w:firstLineChars="200" w:firstLine="480"/>
        <w:jc w:val="both"/>
        <w:rPr>
          <w:rFonts w:eastAsia="宋体"/>
          <w:lang w:val="en-US" w:eastAsia="zh-CN"/>
        </w:rPr>
      </w:pPr>
      <w:r w:rsidRPr="000F1EC6">
        <w:rPr>
          <w:rFonts w:eastAsia="宋体"/>
          <w:lang w:val="en-US" w:eastAsia="zh-CN"/>
        </w:rPr>
        <w:t>Additionally, the full-width at half-maximum (FWHM) of signal peaks in the tumor core was analyzed using ImageJ. A line was drawn across the tumor core, and the "Plot Profile" function generated a grayscale intensity curve. The peak intensity was identified, and the half-maximum value was calculated. The distance between two points at the half-maximum intensity level on the curve was measured to determine the FWHM.</w:t>
      </w:r>
    </w:p>
    <w:p w:rsidR="008571CE" w:rsidRPr="000F1EC6" w:rsidRDefault="008571CE" w:rsidP="008571CE">
      <w:pPr>
        <w:pStyle w:val="ae"/>
        <w:spacing w:line="360" w:lineRule="auto"/>
        <w:jc w:val="both"/>
        <w:rPr>
          <w:rStyle w:val="af0"/>
          <w:rFonts w:ascii="Times New Roman" w:hAnsi="Times New Roman" w:cs="Times New Roman"/>
          <w:i/>
          <w:iCs/>
        </w:rPr>
      </w:pPr>
      <w:r w:rsidRPr="000F1EC6">
        <w:rPr>
          <w:rStyle w:val="af0"/>
          <w:rFonts w:ascii="Times New Roman" w:hAnsi="Times New Roman" w:cs="Times New Roman"/>
          <w:i/>
          <w:iCs/>
        </w:rPr>
        <w:t>9. Dual-Contrast Enhanced Subtraction (DESI) Imaging processing methods</w:t>
      </w:r>
    </w:p>
    <w:p w:rsidR="008571CE" w:rsidRPr="000F1EC6" w:rsidRDefault="008571CE" w:rsidP="008571CE">
      <w:pPr>
        <w:pStyle w:val="ae"/>
        <w:spacing w:line="360" w:lineRule="auto"/>
        <w:ind w:firstLineChars="200" w:firstLine="489"/>
        <w:jc w:val="both"/>
        <w:rPr>
          <w:rStyle w:val="af0"/>
          <w:rFonts w:ascii="Times New Roman" w:hAnsi="Times New Roman" w:cs="Times New Roman"/>
          <w:b w:val="0"/>
          <w:bCs w:val="0"/>
        </w:rPr>
      </w:pPr>
      <w:r w:rsidRPr="000F1EC6">
        <w:rPr>
          <w:rStyle w:val="af0"/>
          <w:rFonts w:ascii="Times New Roman" w:hAnsi="Times New Roman" w:cs="Times New Roman"/>
        </w:rPr>
        <w:t>Our pipeline begins by loading the DICOM images, followed by non-rigid registration using the `</w:t>
      </w:r>
      <w:proofErr w:type="spellStart"/>
      <w:r w:rsidRPr="000F1EC6">
        <w:rPr>
          <w:rStyle w:val="af0"/>
          <w:rFonts w:ascii="Times New Roman" w:hAnsi="Times New Roman" w:cs="Times New Roman"/>
        </w:rPr>
        <w:t>non_rigid_registration</w:t>
      </w:r>
      <w:proofErr w:type="spellEnd"/>
      <w:r w:rsidRPr="000F1EC6">
        <w:rPr>
          <w:rStyle w:val="af0"/>
          <w:rFonts w:ascii="Times New Roman" w:hAnsi="Times New Roman" w:cs="Times New Roman"/>
        </w:rPr>
        <w:t xml:space="preserve">` function. This function applies a fine-tuned B-Spline transformation provided by </w:t>
      </w:r>
      <w:proofErr w:type="spellStart"/>
      <w:r w:rsidRPr="000F1EC6">
        <w:rPr>
          <w:rStyle w:val="af0"/>
          <w:rFonts w:ascii="Times New Roman" w:hAnsi="Times New Roman" w:cs="Times New Roman"/>
        </w:rPr>
        <w:t>SimpleITK</w:t>
      </w:r>
      <w:proofErr w:type="spellEnd"/>
      <w:r w:rsidRPr="000F1EC6">
        <w:rPr>
          <w:rStyle w:val="af0"/>
          <w:rFonts w:ascii="Times New Roman" w:hAnsi="Times New Roman" w:cs="Times New Roman"/>
        </w:rPr>
        <w:t xml:space="preserve"> to align the T1 and T2 images, ensuring accurate spatial correspondence. Considering the adjustability, once the images are registered, a `</w:t>
      </w:r>
      <w:proofErr w:type="spellStart"/>
      <w:r w:rsidRPr="000F1EC6">
        <w:rPr>
          <w:rStyle w:val="af0"/>
          <w:rFonts w:ascii="Times New Roman" w:hAnsi="Times New Roman" w:cs="Times New Roman"/>
        </w:rPr>
        <w:t>translate_image</w:t>
      </w:r>
      <w:proofErr w:type="spellEnd"/>
      <w:r w:rsidRPr="000F1EC6">
        <w:rPr>
          <w:rStyle w:val="af0"/>
          <w:rFonts w:ascii="Times New Roman" w:hAnsi="Times New Roman" w:cs="Times New Roman"/>
        </w:rPr>
        <w:t>` function is introduced, which enables manual correction of any residual misalignment between the T1 and T2 images. Further, we applied the `</w:t>
      </w:r>
      <w:proofErr w:type="spellStart"/>
      <w:r w:rsidRPr="000F1EC6">
        <w:rPr>
          <w:rStyle w:val="af0"/>
          <w:rFonts w:ascii="Times New Roman" w:hAnsi="Times New Roman" w:cs="Times New Roman"/>
        </w:rPr>
        <w:t>laplacian_filtering</w:t>
      </w:r>
      <w:proofErr w:type="spellEnd"/>
      <w:r w:rsidRPr="000F1EC6">
        <w:rPr>
          <w:rStyle w:val="af0"/>
          <w:rFonts w:ascii="Times New Roman" w:hAnsi="Times New Roman" w:cs="Times New Roman"/>
        </w:rPr>
        <w:t>` function. This technique enhances high-frequency details, improving the clarity and definition of the target regions. Following sharpening, the core operation of DESI is performed using the `</w:t>
      </w:r>
      <w:proofErr w:type="spellStart"/>
      <w:r w:rsidRPr="000F1EC6">
        <w:rPr>
          <w:rStyle w:val="af0"/>
          <w:rFonts w:ascii="Times New Roman" w:hAnsi="Times New Roman" w:cs="Times New Roman"/>
        </w:rPr>
        <w:t>subtract_images</w:t>
      </w:r>
      <w:proofErr w:type="spellEnd"/>
      <w:r w:rsidRPr="000F1EC6">
        <w:rPr>
          <w:rStyle w:val="af0"/>
          <w:rFonts w:ascii="Times New Roman" w:hAnsi="Times New Roman" w:cs="Times New Roman"/>
        </w:rPr>
        <w:t>` function, which subtracts the sharpened T2 image from the sharpened T1 image. This step isolates the signal differences between the two images, effectively diminishing background noise and accentuating regions of interest (ROI) in alignment with the principles of DESI.  The resulting subtracted image is then processed through the `</w:t>
      </w:r>
      <w:proofErr w:type="spellStart"/>
      <w:r w:rsidRPr="000F1EC6">
        <w:rPr>
          <w:rStyle w:val="af0"/>
          <w:rFonts w:ascii="Times New Roman" w:hAnsi="Times New Roman" w:cs="Times New Roman"/>
        </w:rPr>
        <w:t>enhance_subtracted_image</w:t>
      </w:r>
      <w:proofErr w:type="spellEnd"/>
      <w:r w:rsidRPr="000F1EC6">
        <w:rPr>
          <w:rStyle w:val="af0"/>
          <w:rFonts w:ascii="Times New Roman" w:hAnsi="Times New Roman" w:cs="Times New Roman"/>
        </w:rPr>
        <w:t>` function, which normalizes the image and further enhances its contrast. This step improves the visibility of the regions of interest, ensuring they are visually prominent and easily distinguishable.  Finally, the `</w:t>
      </w:r>
      <w:proofErr w:type="spellStart"/>
      <w:r w:rsidRPr="000F1EC6">
        <w:rPr>
          <w:rStyle w:val="af0"/>
          <w:rFonts w:ascii="Times New Roman" w:hAnsi="Times New Roman" w:cs="Times New Roman"/>
        </w:rPr>
        <w:t>invert_image</w:t>
      </w:r>
      <w:proofErr w:type="spellEnd"/>
      <w:r w:rsidRPr="000F1EC6">
        <w:rPr>
          <w:rStyle w:val="af0"/>
          <w:rFonts w:ascii="Times New Roman" w:hAnsi="Times New Roman" w:cs="Times New Roman"/>
        </w:rPr>
        <w:t xml:space="preserve">` function is applied to invert the pixel </w:t>
      </w:r>
      <w:r w:rsidRPr="000F1EC6">
        <w:rPr>
          <w:rStyle w:val="af0"/>
          <w:rFonts w:ascii="Times New Roman" w:hAnsi="Times New Roman" w:cs="Times New Roman"/>
        </w:rPr>
        <w:lastRenderedPageBreak/>
        <w:t>intensities, further emphasizing the high-contrast areas and providing additional clarity. This final enhancement step mirrors the inversion step used in the DESI procedure, ensuring that the regions of interest are optimally 'highlighted'.</w:t>
      </w:r>
    </w:p>
    <w:p w:rsidR="008571CE" w:rsidRPr="000F1EC6" w:rsidRDefault="008571CE" w:rsidP="008571CE">
      <w:pPr>
        <w:pStyle w:val="ae"/>
        <w:jc w:val="both"/>
        <w:rPr>
          <w:rFonts w:ascii="Times New Roman" w:hAnsi="Times New Roman" w:cs="Times New Roman"/>
          <w:i/>
          <w:iCs/>
        </w:rPr>
      </w:pPr>
      <w:r w:rsidRPr="000F1EC6">
        <w:rPr>
          <w:rStyle w:val="af0"/>
          <w:rFonts w:ascii="Times New Roman" w:hAnsi="Times New Roman" w:cs="Times New Roman"/>
          <w:i/>
          <w:iCs/>
        </w:rPr>
        <w:t>10. Biodistribution Study</w:t>
      </w:r>
      <w:r w:rsidRPr="000F1EC6">
        <w:rPr>
          <w:rStyle w:val="af0"/>
          <w:rFonts w:ascii="Times New Roman" w:hAnsi="Times New Roman"/>
          <w:i/>
          <w:iCs/>
        </w:rPr>
        <w:t xml:space="preserve"> of CMO NPs and SDCM in vivo</w:t>
      </w:r>
    </w:p>
    <w:p w:rsidR="008571CE" w:rsidRPr="000F1EC6" w:rsidRDefault="008571CE" w:rsidP="008571CE">
      <w:pPr>
        <w:pStyle w:val="ae"/>
        <w:spacing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The biodistribution of SDCM was investigated in </w:t>
      </w:r>
      <w:proofErr w:type="spellStart"/>
      <w:r w:rsidRPr="000F1EC6">
        <w:rPr>
          <w:rFonts w:ascii="Times New Roman" w:hAnsi="Times New Roman" w:cs="Times New Roman"/>
        </w:rPr>
        <w:t>Balb</w:t>
      </w:r>
      <w:proofErr w:type="spellEnd"/>
      <w:r w:rsidRPr="000F1EC6">
        <w:rPr>
          <w:rFonts w:ascii="Times New Roman" w:hAnsi="Times New Roman" w:cs="Times New Roman"/>
        </w:rPr>
        <w:t xml:space="preserve">/c tumor-bearing mice. Mice were intravenously injected with SDCM dispersion (2 mg/mL, 200 </w:t>
      </w:r>
      <w:proofErr w:type="spellStart"/>
      <w:r w:rsidRPr="000F1EC6">
        <w:rPr>
          <w:rFonts w:ascii="Times New Roman" w:hAnsi="Times New Roman" w:cs="Times New Roman"/>
        </w:rPr>
        <w:t>μL</w:t>
      </w:r>
      <w:proofErr w:type="spellEnd"/>
      <w:r w:rsidRPr="000F1EC6">
        <w:rPr>
          <w:rFonts w:ascii="Times New Roman" w:hAnsi="Times New Roman" w:cs="Times New Roman"/>
        </w:rPr>
        <w:t xml:space="preserve">). At </w:t>
      </w:r>
      <w:proofErr w:type="gramStart"/>
      <w:r w:rsidRPr="000F1EC6">
        <w:rPr>
          <w:rFonts w:ascii="Times New Roman" w:hAnsi="Times New Roman" w:cs="Times New Roman"/>
        </w:rPr>
        <w:t>3, 6, 12, and 24 hours</w:t>
      </w:r>
      <w:proofErr w:type="gramEnd"/>
      <w:r w:rsidRPr="000F1EC6">
        <w:rPr>
          <w:rFonts w:ascii="Times New Roman" w:hAnsi="Times New Roman" w:cs="Times New Roman"/>
        </w:rPr>
        <w:t xml:space="preserve"> post-injection, major organs (heart, liver, spleen, lung, and kidney) and tumors were collected and dissolved in aqua regia. Three mice were evaluated at each time point. The cobalt (Co) content in SDCM dispersion (1 mg/mL, 5 mL) and biological samples was quantified using inductively coupled plasma-optical emission spectrometry (ICP-OES).</w:t>
      </w:r>
    </w:p>
    <w:p w:rsidR="008571CE" w:rsidRPr="000F1EC6" w:rsidRDefault="008571CE" w:rsidP="008571CE">
      <w:pPr>
        <w:pStyle w:val="ae"/>
        <w:jc w:val="both"/>
        <w:rPr>
          <w:rFonts w:ascii="Times New Roman" w:hAnsi="Times New Roman" w:cs="Times New Roman"/>
          <w:i/>
          <w:iCs/>
        </w:rPr>
      </w:pPr>
      <w:r w:rsidRPr="000F1EC6">
        <w:rPr>
          <w:rStyle w:val="af0"/>
          <w:rFonts w:ascii="Times New Roman" w:hAnsi="Times New Roman" w:cs="Times New Roman"/>
          <w:i/>
          <w:iCs/>
        </w:rPr>
        <w:t>11. Biocompatibility Assessment</w:t>
      </w:r>
      <w:r w:rsidRPr="000F1EC6">
        <w:rPr>
          <w:rStyle w:val="af0"/>
          <w:rFonts w:ascii="Times New Roman" w:hAnsi="Times New Roman"/>
          <w:i/>
          <w:iCs/>
        </w:rPr>
        <w:t xml:space="preserve"> CMO NPs and SDCM in vivo</w:t>
      </w:r>
    </w:p>
    <w:p w:rsidR="008571CE" w:rsidRPr="000F1EC6" w:rsidRDefault="008571CE" w:rsidP="008571CE">
      <w:pPr>
        <w:pStyle w:val="ae"/>
        <w:spacing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To evaluate biocompatibility, </w:t>
      </w:r>
      <w:proofErr w:type="spellStart"/>
      <w:r w:rsidRPr="000F1EC6">
        <w:rPr>
          <w:rFonts w:ascii="Times New Roman" w:hAnsi="Times New Roman" w:cs="Times New Roman"/>
        </w:rPr>
        <w:t>Balb</w:t>
      </w:r>
      <w:proofErr w:type="spellEnd"/>
      <w:r w:rsidRPr="000F1EC6">
        <w:rPr>
          <w:rFonts w:ascii="Times New Roman" w:hAnsi="Times New Roman" w:cs="Times New Roman"/>
        </w:rPr>
        <w:t xml:space="preserve">/c mice were intravenously injected with SDCM dispersion (2 mg/mL, 200 </w:t>
      </w:r>
      <w:proofErr w:type="spellStart"/>
      <w:r w:rsidRPr="000F1EC6">
        <w:rPr>
          <w:rFonts w:ascii="Times New Roman" w:hAnsi="Times New Roman" w:cs="Times New Roman"/>
        </w:rPr>
        <w:t>μL</w:t>
      </w:r>
      <w:proofErr w:type="spellEnd"/>
      <w:r w:rsidRPr="000F1EC6">
        <w:rPr>
          <w:rFonts w:ascii="Times New Roman" w:hAnsi="Times New Roman" w:cs="Times New Roman"/>
        </w:rPr>
        <w:t>), and assessments were performed on days 1, 2, 3, and 7 post-</w:t>
      </w:r>
      <w:proofErr w:type="gramStart"/>
      <w:r w:rsidRPr="000F1EC6">
        <w:rPr>
          <w:rFonts w:ascii="Times New Roman" w:hAnsi="Times New Roman" w:cs="Times New Roman"/>
        </w:rPr>
        <w:t>injection</w:t>
      </w:r>
      <w:proofErr w:type="gramEnd"/>
      <w:r w:rsidRPr="000F1EC6">
        <w:rPr>
          <w:rFonts w:ascii="Times New Roman" w:hAnsi="Times New Roman" w:cs="Times New Roman"/>
        </w:rPr>
        <w:t>. Blood samples were collected prior to euthanasia for biochemical analysis, including liver function (ALB, ALT, AST) and kidney function (BUN, UA). After euthanasia, major organs (heart, liver, spleen, lung, kidney) were harvested and fixed in 4% formaldehyde. The tissue samples were dehydrated, embedded in paraffin, sectioned into 3-μm slices, and stained with hematoxylin and eosin (H&amp;E). Finally, tissue sections were observed and imaged using a Leica DM2500 fluorescence microscope.</w:t>
      </w:r>
    </w:p>
    <w:p w:rsidR="008571CE" w:rsidRPr="000F1EC6" w:rsidRDefault="008571CE" w:rsidP="008571CE">
      <w:pPr>
        <w:spacing w:line="360" w:lineRule="auto"/>
        <w:jc w:val="both"/>
        <w:rPr>
          <w:b/>
          <w:bCs/>
          <w:i/>
          <w:iCs/>
          <w:lang w:val="en-US" w:eastAsia="zh-CN"/>
        </w:rPr>
      </w:pPr>
      <w:r w:rsidRPr="000F1EC6">
        <w:rPr>
          <w:b/>
          <w:bCs/>
          <w:i/>
          <w:iCs/>
          <w:lang w:val="en-US" w:eastAsia="zh-CN"/>
        </w:rPr>
        <w:t xml:space="preserve">12. </w:t>
      </w:r>
      <w:proofErr w:type="spellStart"/>
      <w:r w:rsidRPr="000F1EC6">
        <w:rPr>
          <w:b/>
          <w:bCs/>
          <w:i/>
          <w:iCs/>
          <w:lang w:val="en-US" w:eastAsia="zh-CN"/>
        </w:rPr>
        <w:t>Chemodynamic</w:t>
      </w:r>
      <w:proofErr w:type="spellEnd"/>
      <w:r w:rsidRPr="000F1EC6">
        <w:rPr>
          <w:b/>
          <w:bCs/>
          <w:i/>
          <w:iCs/>
          <w:lang w:val="en-US" w:eastAsia="zh-CN"/>
        </w:rPr>
        <w:t xml:space="preserve"> activity assay of</w:t>
      </w:r>
      <w:r w:rsidRPr="000F1EC6">
        <w:rPr>
          <w:b/>
          <w:bCs/>
          <w:i/>
          <w:iCs/>
          <w:lang w:val="en-US"/>
        </w:rPr>
        <w:t xml:space="preserve"> CMO NPs in vitro</w:t>
      </w:r>
    </w:p>
    <w:p w:rsidR="008571CE" w:rsidRPr="000F1EC6" w:rsidRDefault="008571CE" w:rsidP="008571CE">
      <w:pPr>
        <w:spacing w:line="360" w:lineRule="auto"/>
        <w:ind w:firstLineChars="200" w:firstLine="480"/>
        <w:jc w:val="both"/>
        <w:rPr>
          <w:lang w:val="en-US" w:eastAsia="zh-CN"/>
        </w:rPr>
      </w:pPr>
      <w:r w:rsidRPr="000F1EC6">
        <w:rPr>
          <w:lang w:val="en-US"/>
        </w:rPr>
        <w:t xml:space="preserve">To evaluate the hydroxyl radical (•OH) generation induced by the </w:t>
      </w:r>
      <w:proofErr w:type="spellStart"/>
      <w:r w:rsidRPr="000F1EC6">
        <w:rPr>
          <w:lang w:val="en-US"/>
        </w:rPr>
        <w:t>chemodynamic</w:t>
      </w:r>
      <w:proofErr w:type="spellEnd"/>
      <w:r w:rsidRPr="000F1EC6">
        <w:rPr>
          <w:lang w:val="en-US"/>
        </w:rPr>
        <w:t xml:space="preserve"> activity of CMO NPs, we introduced CMO NPs into aqueous solutions containing methylene blue (MB) in the presence of either H</w:t>
      </w:r>
      <w:r w:rsidRPr="000F1EC6">
        <w:rPr>
          <w:rFonts w:ascii="Cambria Math" w:hAnsi="Cambria Math" w:cs="Cambria Math"/>
          <w:lang w:val="en-US"/>
        </w:rPr>
        <w:t>₂</w:t>
      </w:r>
      <w:r w:rsidRPr="000F1EC6">
        <w:rPr>
          <w:lang w:val="en-US"/>
        </w:rPr>
        <w:t>O</w:t>
      </w:r>
      <w:r w:rsidRPr="000F1EC6">
        <w:rPr>
          <w:rFonts w:ascii="Cambria Math" w:hAnsi="Cambria Math" w:cs="Cambria Math"/>
          <w:lang w:val="en-US"/>
        </w:rPr>
        <w:t>₂</w:t>
      </w:r>
      <w:r w:rsidRPr="000F1EC6">
        <w:rPr>
          <w:lang w:val="en-US"/>
        </w:rPr>
        <w:t xml:space="preserve"> or GSH. The resulting mixtures were then characterized using UV-Vis-NIR absorption spectroscopy. Additionally, the degradation of MB was measured after treatment with varying concentrations of H</w:t>
      </w:r>
      <w:r w:rsidRPr="000F1EC6">
        <w:rPr>
          <w:rFonts w:ascii="Cambria Math" w:hAnsi="Cambria Math" w:cs="Cambria Math"/>
          <w:lang w:val="en-US"/>
        </w:rPr>
        <w:t>₂</w:t>
      </w:r>
      <w:r w:rsidRPr="000F1EC6">
        <w:rPr>
          <w:lang w:val="en-US"/>
        </w:rPr>
        <w:t>O</w:t>
      </w:r>
      <w:r w:rsidRPr="000F1EC6">
        <w:rPr>
          <w:rFonts w:ascii="Cambria Math" w:hAnsi="Cambria Math" w:cs="Cambria Math"/>
          <w:lang w:val="en-US"/>
        </w:rPr>
        <w:t>₂</w:t>
      </w:r>
      <w:r w:rsidRPr="000F1EC6">
        <w:rPr>
          <w:lang w:val="en-US"/>
        </w:rPr>
        <w:t xml:space="preserve"> (0, 12.5, 25, 50, and 100 mM) or CMO NPs (0, 12.5, 25, 50, and 100 </w:t>
      </w:r>
      <w:proofErr w:type="spellStart"/>
      <w:r w:rsidRPr="000F1EC6">
        <w:rPr>
          <w:lang w:val="en-US"/>
        </w:rPr>
        <w:t>μg</w:t>
      </w:r>
      <w:proofErr w:type="spellEnd"/>
      <w:r w:rsidRPr="000F1EC6">
        <w:rPr>
          <w:lang w:val="en-US"/>
        </w:rPr>
        <w:t>/mL) to confirm •OH production.</w:t>
      </w:r>
    </w:p>
    <w:p w:rsidR="008571CE" w:rsidRPr="000F1EC6" w:rsidRDefault="008571CE" w:rsidP="008571CE">
      <w:pPr>
        <w:spacing w:line="360" w:lineRule="auto"/>
        <w:jc w:val="both"/>
        <w:rPr>
          <w:b/>
          <w:bCs/>
          <w:i/>
          <w:iCs/>
          <w:lang w:val="en-US" w:eastAsia="zh-CN"/>
        </w:rPr>
      </w:pPr>
      <w:r w:rsidRPr="000F1EC6">
        <w:rPr>
          <w:b/>
          <w:bCs/>
          <w:i/>
          <w:iCs/>
          <w:lang w:val="en-US" w:eastAsia="zh-CN"/>
        </w:rPr>
        <w:t>13. Photothermal Effect of CMO NPs and SDCM</w:t>
      </w:r>
    </w:p>
    <w:p w:rsidR="008571CE" w:rsidRPr="000F1EC6" w:rsidRDefault="008571CE" w:rsidP="008571CE">
      <w:pPr>
        <w:spacing w:line="360" w:lineRule="auto"/>
        <w:ind w:firstLineChars="200" w:firstLine="480"/>
        <w:jc w:val="both"/>
        <w:rPr>
          <w:lang w:val="en-US" w:eastAsia="zh-CN"/>
        </w:rPr>
      </w:pPr>
      <w:r w:rsidRPr="000F1EC6">
        <w:rPr>
          <w:lang w:val="en-US"/>
        </w:rPr>
        <w:lastRenderedPageBreak/>
        <w:t>To evaluate the photothermal conversion performance, CMO NPs and SDCM dispersions with varying concentrations (0–1 mg/mL) were irradiated with an 808 nm laser (1.0 W cm</w:t>
      </w:r>
      <w:r w:rsidRPr="000F1EC6">
        <w:rPr>
          <w:rFonts w:ascii="Cambria Math" w:hAnsi="Cambria Math" w:cs="Cambria Math"/>
          <w:lang w:val="en-US"/>
        </w:rPr>
        <w:t>⁻</w:t>
      </w:r>
      <w:r w:rsidRPr="000F1EC6">
        <w:rPr>
          <w:lang w:val="en-US"/>
        </w:rPr>
        <w:t xml:space="preserve">², </w:t>
      </w:r>
      <w:proofErr w:type="spellStart"/>
      <w:r w:rsidRPr="000F1EC6">
        <w:rPr>
          <w:lang w:val="en-US"/>
        </w:rPr>
        <w:t>Xilong</w:t>
      </w:r>
      <w:proofErr w:type="spellEnd"/>
      <w:r w:rsidRPr="000F1EC6">
        <w:rPr>
          <w:lang w:val="en-US"/>
        </w:rPr>
        <w:t xml:space="preserve"> Laser Technology Co., Ltd., China) for 10 minutes in a </w:t>
      </w:r>
      <w:r w:rsidRPr="000F1EC6">
        <w:rPr>
          <w:lang w:val="en-US" w:eastAsia="zh-CN"/>
        </w:rPr>
        <w:t>24-</w:t>
      </w:r>
      <w:r w:rsidRPr="000F1EC6">
        <w:rPr>
          <w:lang w:val="en-US"/>
        </w:rPr>
        <w:t>well plate. The temperature changes in the suspensions were monitored every 10 seconds using a handheld infrared thermal camera (</w:t>
      </w:r>
      <w:proofErr w:type="spellStart"/>
      <w:r w:rsidRPr="000F1EC6">
        <w:rPr>
          <w:lang w:val="en-US"/>
        </w:rPr>
        <w:t>Fotric</w:t>
      </w:r>
      <w:proofErr w:type="spellEnd"/>
      <w:r w:rsidRPr="000F1EC6">
        <w:rPr>
          <w:lang w:val="en-US"/>
        </w:rPr>
        <w:t xml:space="preserve"> 226s, </w:t>
      </w:r>
      <w:proofErr w:type="spellStart"/>
      <w:r w:rsidRPr="000F1EC6">
        <w:rPr>
          <w:lang w:val="en-US"/>
        </w:rPr>
        <w:t>Fotric</w:t>
      </w:r>
      <w:proofErr w:type="spellEnd"/>
      <w:r w:rsidRPr="000F1EC6">
        <w:rPr>
          <w:lang w:val="en-US"/>
        </w:rPr>
        <w:t xml:space="preserve"> Co., Ltd., China). Additionally, the temperature variations of 1 mg/mL CMO NPs and SDCM dispersions were recorded under different laser intensities (0.5–1.0 W cm</w:t>
      </w:r>
      <w:r w:rsidRPr="000F1EC6">
        <w:rPr>
          <w:rFonts w:ascii="Cambria Math" w:hAnsi="Cambria Math" w:cs="Cambria Math"/>
          <w:lang w:val="en-US"/>
        </w:rPr>
        <w:t>⁻</w:t>
      </w:r>
      <w:r w:rsidRPr="000F1EC6">
        <w:rPr>
          <w:lang w:val="en-US"/>
        </w:rPr>
        <w:t>²). Photothermal stability was assessed by subjecting a 1 mg/mL dispersion of CMO NPs and SDCM to three consecutive laser irradiation cycles (10 minutes per cycle) followed by natural cooling, and monitoring the temperature changes throughout the process.</w:t>
      </w:r>
    </w:p>
    <w:p w:rsidR="008571CE" w:rsidRPr="000F1EC6" w:rsidRDefault="008571CE" w:rsidP="008571CE">
      <w:pPr>
        <w:pStyle w:val="TAMainText"/>
        <w:spacing w:line="360" w:lineRule="auto"/>
        <w:ind w:firstLine="0"/>
      </w:pPr>
      <w:r w:rsidRPr="000F1EC6">
        <w:t>The photothermal conversion efficiency (</w:t>
      </w:r>
      <w:r w:rsidRPr="000F1EC6">
        <w:rPr>
          <w:i/>
        </w:rPr>
        <w:t>η</w:t>
      </w:r>
      <w:r w:rsidRPr="000F1EC6">
        <w:t xml:space="preserve">) is </w:t>
      </w:r>
      <w:proofErr w:type="spellStart"/>
      <w:r w:rsidRPr="000F1EC6">
        <w:t>calcuted</w:t>
      </w:r>
      <w:proofErr w:type="spellEnd"/>
      <w:r w:rsidRPr="000F1EC6">
        <w:t xml:space="preserve"> by the following equations,</w:t>
      </w:r>
    </w:p>
    <w:p w:rsidR="008571CE" w:rsidRPr="000F1EC6" w:rsidRDefault="008571CE" w:rsidP="008571CE">
      <w:pPr>
        <w:pStyle w:val="TAMainText"/>
        <w:spacing w:line="360" w:lineRule="auto"/>
        <w:jc w:val="center"/>
      </w:pPr>
      <m:oMathPara>
        <m:oMath>
          <m:sSub>
            <m:sSubPr>
              <m:ctrlPr>
                <w:rPr>
                  <w:rFonts w:ascii="Cambria Math" w:hAnsi="Cambria Math"/>
                  <w:bCs/>
                  <w:i/>
                  <w:iCs/>
                </w:rPr>
              </m:ctrlPr>
            </m:sSubPr>
            <m:e>
              <m:r>
                <m:rPr>
                  <m:sty m:val="p"/>
                </m:rPr>
                <w:rPr>
                  <w:rFonts w:ascii="Cambria Math" w:hAnsi="Cambria Math"/>
                </w:rPr>
                <w:sym w:font="Symbol" w:char="F068"/>
              </m:r>
            </m:e>
            <m:sub>
              <m:r>
                <w:rPr>
                  <w:rFonts w:ascii="Cambria Math" w:hAnsi="Cambria Math"/>
                </w:rPr>
                <m:t>T</m:t>
              </m:r>
            </m:sub>
          </m:sSub>
          <m:r>
            <w:rPr>
              <w:rFonts w:ascii="Cambria Math" w:hAnsi="Cambria Math"/>
            </w:rPr>
            <m:t>= </m:t>
          </m:r>
          <m:f>
            <m:fPr>
              <m:ctrlPr>
                <w:rPr>
                  <w:rFonts w:ascii="Cambria Math" w:hAnsi="Cambria Math"/>
                  <w:bCs/>
                  <w:i/>
                  <w:iCs/>
                </w:rPr>
              </m:ctrlPr>
            </m:fPr>
            <m:num>
              <m:r>
                <w:rPr>
                  <w:rFonts w:ascii="Cambria Math" w:hAnsi="Cambria Math"/>
                </w:rPr>
                <m:t>hS</m:t>
              </m:r>
              <m:d>
                <m:dPr>
                  <m:ctrlPr>
                    <w:rPr>
                      <w:rFonts w:ascii="Cambria Math" w:hAnsi="Cambria Math"/>
                      <w:bCs/>
                      <w:i/>
                      <w:iCs/>
                    </w:rPr>
                  </m:ctrlPr>
                </m:dPr>
                <m:e>
                  <m:sSub>
                    <m:sSubPr>
                      <m:ctrlPr>
                        <w:rPr>
                          <w:rFonts w:ascii="Cambria Math" w:hAnsi="Cambria Math"/>
                          <w:bCs/>
                          <w:i/>
                          <w:iCs/>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hAnsi="Cambria Math"/>
                          <w:bCs/>
                          <w:i/>
                          <w:iCs/>
                        </w:rPr>
                      </m:ctrlPr>
                    </m:sSubPr>
                    <m:e>
                      <m:r>
                        <w:rPr>
                          <w:rFonts w:ascii="Cambria Math" w:hAnsi="Cambria Math"/>
                        </w:rPr>
                        <m:t>T</m:t>
                      </m:r>
                    </m:e>
                    <m:sub>
                      <m:r>
                        <w:rPr>
                          <w:rFonts w:ascii="Cambria Math" w:hAnsi="Cambria Math"/>
                        </w:rPr>
                        <m:t>surr</m:t>
                      </m:r>
                    </m:sub>
                  </m:sSub>
                </m:e>
              </m:d>
              <m:r>
                <w:rPr>
                  <w:rFonts w:ascii="Cambria Math" w:hAnsi="Cambria Math"/>
                </w:rPr>
                <m:t>-</m:t>
              </m:r>
              <m:sSub>
                <m:sSubPr>
                  <m:ctrlPr>
                    <w:rPr>
                      <w:rFonts w:ascii="Cambria Math" w:hAnsi="Cambria Math"/>
                      <w:bCs/>
                      <w:i/>
                      <w:iCs/>
                    </w:rPr>
                  </m:ctrlPr>
                </m:sSubPr>
                <m:e>
                  <m:r>
                    <w:rPr>
                      <w:rFonts w:ascii="Cambria Math" w:hAnsi="Cambria Math"/>
                    </w:rPr>
                    <m:t>Q</m:t>
                  </m:r>
                </m:e>
                <m:sub>
                  <m:r>
                    <w:rPr>
                      <w:rFonts w:ascii="Cambria Math" w:hAnsi="Cambria Math"/>
                    </w:rPr>
                    <m:t>dis</m:t>
                  </m:r>
                </m:sub>
              </m:sSub>
            </m:num>
            <m:den>
              <m:r>
                <w:rPr>
                  <w:rFonts w:ascii="Cambria Math" w:hAnsi="Cambria Math"/>
                </w:rPr>
                <m:t>I(1-</m:t>
              </m:r>
              <m:sSup>
                <m:sSupPr>
                  <m:ctrlPr>
                    <w:rPr>
                      <w:rFonts w:ascii="Cambria Math" w:hAnsi="Cambria Math"/>
                      <w:bCs/>
                      <w:i/>
                      <w:iCs/>
                    </w:rPr>
                  </m:ctrlPr>
                </m:sSupPr>
                <m:e>
                  <m:r>
                    <w:rPr>
                      <w:rFonts w:ascii="Cambria Math" w:hAnsi="Cambria Math"/>
                    </w:rPr>
                    <m:t>10</m:t>
                  </m:r>
                </m:e>
                <m:sup>
                  <m:sSub>
                    <m:sSubPr>
                      <m:ctrlPr>
                        <w:rPr>
                          <w:rFonts w:ascii="Cambria Math" w:hAnsi="Cambria Math"/>
                          <w:bCs/>
                          <w:i/>
                          <w:iCs/>
                        </w:rPr>
                      </m:ctrlPr>
                    </m:sSubPr>
                    <m:e>
                      <m:r>
                        <w:rPr>
                          <w:rFonts w:ascii="Cambria Math" w:hAnsi="Cambria Math"/>
                        </w:rPr>
                        <m:t>-A</m:t>
                      </m:r>
                    </m:e>
                    <m:sub>
                      <m:r>
                        <m:rPr>
                          <m:sty m:val="p"/>
                        </m:rPr>
                        <w:rPr>
                          <w:rFonts w:ascii="Cambria Math" w:hAnsi="Cambria Math"/>
                        </w:rPr>
                        <w:sym w:font="Symbol" w:char="F06C"/>
                      </m:r>
                    </m:sub>
                  </m:sSub>
                </m:sup>
              </m:sSup>
              <m:r>
                <w:rPr>
                  <w:rFonts w:ascii="Cambria Math" w:hAnsi="Cambria Math"/>
                </w:rPr>
                <m:t>)</m:t>
              </m:r>
            </m:den>
          </m:f>
        </m:oMath>
      </m:oMathPara>
    </w:p>
    <w:p w:rsidR="008571CE" w:rsidRPr="000F1EC6" w:rsidRDefault="008571CE" w:rsidP="008571CE">
      <w:pPr>
        <w:pStyle w:val="ae"/>
        <w:jc w:val="both"/>
        <w:rPr>
          <w:rFonts w:ascii="Times New Roman" w:hAnsi="Times New Roman" w:cs="Times New Roman"/>
          <w:b/>
          <w:bCs/>
        </w:rPr>
      </w:pPr>
      <w:r w:rsidRPr="000F1EC6">
        <w:rPr>
          <w:rFonts w:ascii="Times New Roman" w:hAnsi="Times New Roman" w:cs="Times New Roman"/>
          <w:b/>
          <w:bCs/>
          <w:i/>
          <w:iCs/>
        </w:rPr>
        <w:t xml:space="preserve">14.Cell culture, cytotoxicity and </w:t>
      </w:r>
      <w:r w:rsidRPr="000F1EC6">
        <w:rPr>
          <w:rStyle w:val="af0"/>
          <w:rFonts w:ascii="Times New Roman" w:hAnsi="Times New Roman" w:cs="Times New Roman"/>
          <w:i/>
          <w:iCs/>
        </w:rPr>
        <w:t>PT-CD Synergistic Therapeutic Performance</w:t>
      </w:r>
      <w:r w:rsidRPr="000F1EC6">
        <w:rPr>
          <w:rFonts w:ascii="Times New Roman" w:hAnsi="Times New Roman" w:cs="Times New Roman"/>
          <w:b/>
          <w:bCs/>
          <w:i/>
          <w:iCs/>
        </w:rPr>
        <w:t xml:space="preserve"> of SDCM in vitro.</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proofErr w:type="spellStart"/>
      <w:r w:rsidRPr="000F1EC6">
        <w:rPr>
          <w:rFonts w:ascii="Times New Roman" w:hAnsi="Times New Roman" w:cs="Times New Roman"/>
        </w:rPr>
        <w:t>HaCaT</w:t>
      </w:r>
      <w:proofErr w:type="spellEnd"/>
      <w:r w:rsidRPr="000F1EC6">
        <w:rPr>
          <w:rFonts w:ascii="Times New Roman" w:hAnsi="Times New Roman" w:cs="Times New Roman"/>
        </w:rPr>
        <w:t xml:space="preserve"> and CAL-27 cell lines were procured from the Shanghai Institute of Cell Research, Chinese Academy of Sciences. Cells were cultured in Dulbecco’s Modified Eagle Medium (DMEM) supplemented with 10% qualified fetal bovine serum (FBS) and 1% penicillin/streptomycin (100 IU/mL penicillin and 100 </w:t>
      </w:r>
      <w:proofErr w:type="spellStart"/>
      <w:r w:rsidRPr="000F1EC6">
        <w:rPr>
          <w:rFonts w:ascii="Times New Roman" w:hAnsi="Times New Roman" w:cs="Times New Roman"/>
        </w:rPr>
        <w:t>μg</w:t>
      </w:r>
      <w:proofErr w:type="spellEnd"/>
      <w:r w:rsidRPr="000F1EC6">
        <w:rPr>
          <w:rFonts w:ascii="Times New Roman" w:hAnsi="Times New Roman" w:cs="Times New Roman"/>
        </w:rPr>
        <w:t xml:space="preserve">/mL streptomycin) at 37°C with 5% CO₂ and 95% humidity. The biocompatibility of SDCM was evaluated using the CCK-8 assay. Cells were seeded into 96-well plates at a density of 1 × 10⁴ cells/well and incubated overnight (n = 3). Subsequently, SDCM dispersions (0–100 </w:t>
      </w:r>
      <w:proofErr w:type="spellStart"/>
      <w:r w:rsidRPr="000F1EC6">
        <w:rPr>
          <w:rFonts w:ascii="Times New Roman" w:hAnsi="Times New Roman" w:cs="Times New Roman"/>
        </w:rPr>
        <w:t>μg</w:t>
      </w:r>
      <w:proofErr w:type="spellEnd"/>
      <w:r w:rsidRPr="000F1EC6">
        <w:rPr>
          <w:rFonts w:ascii="Times New Roman" w:hAnsi="Times New Roman" w:cs="Times New Roman"/>
        </w:rPr>
        <w:t xml:space="preserve">/mL) were added to the wells and incubated for 24 hours, with triplicate samples for each concentration. After incubation, cells were washed with PBS and replaced with 100 </w:t>
      </w:r>
      <w:proofErr w:type="spellStart"/>
      <w:r w:rsidRPr="000F1EC6">
        <w:rPr>
          <w:rFonts w:ascii="Times New Roman" w:hAnsi="Times New Roman" w:cs="Times New Roman"/>
        </w:rPr>
        <w:t>μL</w:t>
      </w:r>
      <w:proofErr w:type="spellEnd"/>
      <w:r w:rsidRPr="000F1EC6">
        <w:rPr>
          <w:rFonts w:ascii="Times New Roman" w:hAnsi="Times New Roman" w:cs="Times New Roman"/>
        </w:rPr>
        <w:t xml:space="preserve"> of fresh medium containing 10% CCK-8 reagent for a 2-hour incubation at 37°C. Cell viability was measured using a </w:t>
      </w:r>
      <w:proofErr w:type="spellStart"/>
      <w:r w:rsidRPr="000F1EC6">
        <w:rPr>
          <w:rFonts w:ascii="Times New Roman" w:hAnsi="Times New Roman" w:cs="Times New Roman"/>
        </w:rPr>
        <w:t>Biotek</w:t>
      </w:r>
      <w:proofErr w:type="spellEnd"/>
      <w:r w:rsidRPr="000F1EC6">
        <w:rPr>
          <w:rFonts w:ascii="Times New Roman" w:hAnsi="Times New Roman" w:cs="Times New Roman"/>
        </w:rPr>
        <w:t xml:space="preserve"> </w:t>
      </w:r>
      <w:proofErr w:type="spellStart"/>
      <w:r w:rsidRPr="000F1EC6">
        <w:rPr>
          <w:rFonts w:ascii="Times New Roman" w:hAnsi="Times New Roman" w:cs="Times New Roman"/>
        </w:rPr>
        <w:t>PowerWave</w:t>
      </w:r>
      <w:proofErr w:type="spellEnd"/>
      <w:r w:rsidRPr="000F1EC6">
        <w:rPr>
          <w:rFonts w:ascii="Times New Roman" w:hAnsi="Times New Roman" w:cs="Times New Roman"/>
        </w:rPr>
        <w:t xml:space="preserve"> XS2 microplate spectrophotometer (</w:t>
      </w:r>
      <w:proofErr w:type="spellStart"/>
      <w:r w:rsidRPr="000F1EC6">
        <w:rPr>
          <w:rFonts w:ascii="Times New Roman" w:hAnsi="Times New Roman" w:cs="Times New Roman"/>
        </w:rPr>
        <w:t>Biotek</w:t>
      </w:r>
      <w:proofErr w:type="spellEnd"/>
      <w:r w:rsidRPr="000F1EC6">
        <w:rPr>
          <w:rFonts w:ascii="Times New Roman" w:hAnsi="Times New Roman" w:cs="Times New Roman"/>
        </w:rPr>
        <w:t xml:space="preserve"> Instruments, USA).</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The phototherapeutic effect of SDCM was evaluated in CAL-27 cells. For CCK-8 assessment, cells were incubated with DV-CO-containing medium (0–100 </w:t>
      </w:r>
      <w:proofErr w:type="spellStart"/>
      <w:r w:rsidRPr="000F1EC6">
        <w:rPr>
          <w:rFonts w:ascii="Times New Roman" w:hAnsi="Times New Roman" w:cs="Times New Roman"/>
        </w:rPr>
        <w:t>μg</w:t>
      </w:r>
      <w:proofErr w:type="spellEnd"/>
      <w:r w:rsidRPr="000F1EC6">
        <w:rPr>
          <w:rFonts w:ascii="Times New Roman" w:hAnsi="Times New Roman" w:cs="Times New Roman"/>
        </w:rPr>
        <w:t>/mL) for 24 hours and subsequently exposed to 808 nm laser irradiation (1.0 W/cm²) for 5 minutes. Cell viability was then assessed using the CCK-8 assay.</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lastRenderedPageBreak/>
        <w:t xml:space="preserve">To evaluate ROS production, CAL-27 cells were seeded into 6-well plates at a density of 2 × 10⁵ cells/well and incubated overnight (n = 3). The cells were then treated with SDCM dispersions (0–100 </w:t>
      </w:r>
      <w:proofErr w:type="spellStart"/>
      <w:r w:rsidRPr="000F1EC6">
        <w:rPr>
          <w:rFonts w:ascii="Times New Roman" w:hAnsi="Times New Roman" w:cs="Times New Roman"/>
        </w:rPr>
        <w:t>μg</w:t>
      </w:r>
      <w:proofErr w:type="spellEnd"/>
      <w:r w:rsidRPr="000F1EC6">
        <w:rPr>
          <w:rFonts w:ascii="Times New Roman" w:hAnsi="Times New Roman" w:cs="Times New Roman"/>
        </w:rPr>
        <w:t>/mL) for 24 hours. After PBS washing, cells were stained with DCFH-DA (10 mM, diluted 1:1000 in serum-free DMEM) for 30 minutes. Stained cells were washed with PBS, and ROS fluorescence was observed under a fluorescence microscope (LUMEN DYNAMICS X-Cite 120Q, TWK, China).</w:t>
      </w:r>
    </w:p>
    <w:p w:rsidR="008571CE" w:rsidRPr="000F1EC6" w:rsidRDefault="008571CE" w:rsidP="008571CE">
      <w:pPr>
        <w:pStyle w:val="ae"/>
        <w:spacing w:before="0" w:beforeAutospacing="0" w:after="0" w:afterAutospacing="0"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To assess the PT-CD synergistic therapeutic potential of SDCM, CAL-27 cells were incubated with SDCM-containing medium for 24 hours and divided into four groups: Control, NIR, SDCM, and SDCM+NIR. Cells were exposed to 808 nm laser irradiation (1.0 W/cm²) for 5 minutes, followed by staining with </w:t>
      </w:r>
      <w:proofErr w:type="spellStart"/>
      <w:r w:rsidRPr="000F1EC6">
        <w:rPr>
          <w:rFonts w:ascii="Times New Roman" w:hAnsi="Times New Roman" w:cs="Times New Roman"/>
        </w:rPr>
        <w:t>Calcein</w:t>
      </w:r>
      <w:proofErr w:type="spellEnd"/>
      <w:r w:rsidRPr="000F1EC6">
        <w:rPr>
          <w:rFonts w:ascii="Times New Roman" w:hAnsi="Times New Roman" w:cs="Times New Roman"/>
        </w:rPr>
        <w:t xml:space="preserve"> AM (4 mM) and Propidium Iodide (PI, 2 mM), diluted in PBS at ratios of 1:2000 and 1:500, respectively. After a 20-minute incubation at 37°C in the dark, cells were washed with PBS, and live and dead cells were visualized and captured under a fluorescence microscope.</w:t>
      </w:r>
    </w:p>
    <w:p w:rsidR="008571CE" w:rsidRPr="000F1EC6" w:rsidRDefault="008571CE" w:rsidP="008571CE">
      <w:pPr>
        <w:pStyle w:val="TAMainText"/>
        <w:numPr>
          <w:ilvl w:val="0"/>
          <w:numId w:val="1"/>
        </w:numPr>
        <w:spacing w:beforeLines="100" w:before="312" w:line="360" w:lineRule="auto"/>
        <w:ind w:left="357" w:hanging="357"/>
      </w:pPr>
      <w:r w:rsidRPr="000F1EC6">
        <w:rPr>
          <w:b/>
          <w:bCs/>
          <w:i/>
          <w:iCs/>
        </w:rPr>
        <w:t xml:space="preserve">Antitumor efficacy of </w:t>
      </w:r>
      <w:r w:rsidRPr="000F1EC6">
        <w:rPr>
          <w:b/>
          <w:bCs/>
          <w:i/>
          <w:iCs/>
          <w:lang w:eastAsia="zh-CN"/>
        </w:rPr>
        <w:t>SDCM</w:t>
      </w:r>
      <w:r w:rsidRPr="000F1EC6">
        <w:rPr>
          <w:b/>
          <w:bCs/>
          <w:i/>
          <w:iCs/>
        </w:rPr>
        <w:t xml:space="preserve"> in vivo</w:t>
      </w:r>
    </w:p>
    <w:p w:rsidR="008571CE" w:rsidRPr="000F1EC6" w:rsidRDefault="008571CE" w:rsidP="008571CE">
      <w:pPr>
        <w:pStyle w:val="ae"/>
        <w:spacing w:line="360" w:lineRule="auto"/>
        <w:ind w:firstLineChars="200" w:firstLine="480"/>
        <w:jc w:val="both"/>
        <w:rPr>
          <w:rFonts w:ascii="Times New Roman" w:hAnsi="Times New Roman" w:cs="Times New Roman"/>
        </w:rPr>
      </w:pPr>
      <w:r w:rsidRPr="000F1EC6">
        <w:rPr>
          <w:rFonts w:ascii="Times New Roman" w:hAnsi="Times New Roman" w:cs="Times New Roman"/>
        </w:rPr>
        <w:t xml:space="preserve">To evaluate the in vivo antitumor efficacy of SDCM, a subcutaneous OSCC tumor model was established and randomly divided into three groups (n=5 per group): PBS + laser treatment, CMO NPs + laser treatment, and SDCM + laser treatment. The laser irradiation was performed using an 808 nm laser at a power density of 1.0 W/cm² for 10 minutes. The injection volume of nanoparticle dispersions was 200 </w:t>
      </w:r>
      <w:proofErr w:type="spellStart"/>
      <w:r w:rsidRPr="000F1EC6">
        <w:rPr>
          <w:rFonts w:ascii="Times New Roman" w:hAnsi="Times New Roman" w:cs="Times New Roman"/>
        </w:rPr>
        <w:t>μL</w:t>
      </w:r>
      <w:proofErr w:type="spellEnd"/>
      <w:r w:rsidRPr="000F1EC6">
        <w:rPr>
          <w:rFonts w:ascii="Times New Roman" w:hAnsi="Times New Roman" w:cs="Times New Roman"/>
        </w:rPr>
        <w:t xml:space="preserve"> (2 mg/mL), with PBS serving as the control. Irradiation was conducted every three days over a 14-day period. The weight and tumor sizes of the mice were recorded every two days during the treatment </w:t>
      </w:r>
      <w:proofErr w:type="spellStart"/>
      <w:proofErr w:type="gramStart"/>
      <w:r w:rsidRPr="000F1EC6">
        <w:rPr>
          <w:rFonts w:ascii="Times New Roman" w:hAnsi="Times New Roman" w:cs="Times New Roman"/>
        </w:rPr>
        <w:t>period.At</w:t>
      </w:r>
      <w:proofErr w:type="spellEnd"/>
      <w:proofErr w:type="gramEnd"/>
      <w:r w:rsidRPr="000F1EC6">
        <w:rPr>
          <w:rFonts w:ascii="Times New Roman" w:hAnsi="Times New Roman" w:cs="Times New Roman"/>
        </w:rPr>
        <w:t xml:space="preserve"> the end of the treatment, tumors were harvested and fixed in 4% paraformaldehyde. Tumor tissues were then embedded in paraffin, sectioned into 5 </w:t>
      </w:r>
      <w:proofErr w:type="spellStart"/>
      <w:r w:rsidRPr="000F1EC6">
        <w:rPr>
          <w:rFonts w:ascii="Times New Roman" w:hAnsi="Times New Roman" w:cs="Times New Roman"/>
        </w:rPr>
        <w:t>μm</w:t>
      </w:r>
      <w:proofErr w:type="spellEnd"/>
      <w:r w:rsidRPr="000F1EC6">
        <w:rPr>
          <w:rFonts w:ascii="Times New Roman" w:hAnsi="Times New Roman" w:cs="Times New Roman"/>
        </w:rPr>
        <w:t xml:space="preserve"> slices using a microtome, and subjected to H&amp;E, Ki-67, and TUNEL staining. The stained sections were observed under a Leica DM2500 microscope for analysis.</w:t>
      </w:r>
    </w:p>
    <w:p w:rsidR="008571CE" w:rsidRPr="000F1EC6" w:rsidRDefault="008571CE" w:rsidP="008571CE">
      <w:pPr>
        <w:pStyle w:val="TAMainText"/>
        <w:spacing w:line="360" w:lineRule="auto"/>
        <w:jc w:val="center"/>
      </w:pPr>
      <m:oMathPara>
        <m:oMath>
          <m:sSub>
            <m:sSubPr>
              <m:ctrlPr>
                <w:rPr>
                  <w:rFonts w:ascii="Cambria Math" w:hAnsi="Cambria Math"/>
                  <w:i/>
                </w:rPr>
              </m:ctrlPr>
            </m:sSubPr>
            <m:e>
              <m:r>
                <w:rPr>
                  <w:rFonts w:ascii="Cambria Math" w:hAnsi="Cambria Math"/>
                  <w:lang w:eastAsia="zh-CN"/>
                </w:rPr>
                <m:t>V</m:t>
              </m:r>
            </m:e>
            <m:sub>
              <m:r>
                <w:rPr>
                  <w:rFonts w:ascii="Cambria Math" w:hAnsi="Cambria Math"/>
                </w:rPr>
                <m:t>tumor</m:t>
              </m:r>
            </m:sub>
          </m:sSub>
          <m:r>
            <w:rPr>
              <w:rFonts w:ascii="Cambria Math" w:hAnsi="Cambria Math"/>
            </w:rPr>
            <m:t>=</m:t>
          </m:r>
          <m:f>
            <m:fPr>
              <m:ctrlPr>
                <w:rPr>
                  <w:rFonts w:ascii="Cambria Math" w:hAnsi="Cambria Math"/>
                  <w:i/>
                </w:rPr>
              </m:ctrlPr>
            </m:fPr>
            <m:num>
              <m:r>
                <w:rPr>
                  <w:rFonts w:ascii="Cambria Math" w:hAnsi="Cambria Math"/>
                </w:rPr>
                <m:t>major axis×</m:t>
              </m:r>
              <m:sSup>
                <m:sSupPr>
                  <m:ctrlPr>
                    <w:rPr>
                      <w:rFonts w:ascii="Cambria Math" w:hAnsi="Cambria Math"/>
                      <w:i/>
                    </w:rPr>
                  </m:ctrlPr>
                </m:sSupPr>
                <m:e>
                  <m:r>
                    <w:rPr>
                      <w:rFonts w:ascii="Cambria Math" w:hAnsi="Cambria Math"/>
                    </w:rPr>
                    <m:t>(minor axis)</m:t>
                  </m:r>
                </m:e>
                <m:sup>
                  <m:r>
                    <w:rPr>
                      <w:rFonts w:ascii="Cambria Math" w:hAnsi="Cambria Math"/>
                    </w:rPr>
                    <m:t>2</m:t>
                  </m:r>
                </m:sup>
              </m:sSup>
            </m:num>
            <m:den>
              <m:r>
                <w:rPr>
                  <w:rFonts w:ascii="Cambria Math" w:hAnsi="Cambria Math"/>
                </w:rPr>
                <m:t>2</m:t>
              </m:r>
            </m:den>
          </m:f>
        </m:oMath>
      </m:oMathPara>
    </w:p>
    <w:p w:rsidR="008571CE" w:rsidRPr="000F1EC6" w:rsidRDefault="008571CE" w:rsidP="008571CE">
      <w:pPr>
        <w:pStyle w:val="RSCB04AHeadingSection"/>
        <w:spacing w:beforeLines="100" w:before="312" w:after="0" w:line="360" w:lineRule="auto"/>
        <w:jc w:val="both"/>
        <w:rPr>
          <w:rFonts w:ascii="Times New Roman" w:hAnsi="Times New Roman"/>
          <w:bCs/>
          <w:i/>
          <w:iCs/>
          <w:szCs w:val="24"/>
          <w:lang w:val="en-US"/>
        </w:rPr>
      </w:pPr>
      <w:r w:rsidRPr="000F1EC6">
        <w:rPr>
          <w:rFonts w:ascii="Times New Roman" w:hAnsi="Times New Roman"/>
          <w:bCs/>
          <w:i/>
          <w:lang w:val="en-US"/>
        </w:rPr>
        <w:t>16.</w:t>
      </w:r>
      <w:r w:rsidRPr="000F1EC6">
        <w:rPr>
          <w:rFonts w:ascii="Times New Roman" w:hAnsi="Times New Roman"/>
          <w:bCs/>
          <w:i/>
          <w:iCs/>
          <w:szCs w:val="24"/>
          <w:lang w:val="en-US"/>
        </w:rPr>
        <w:t xml:space="preserve"> Statistical Analysis</w:t>
      </w:r>
    </w:p>
    <w:p w:rsidR="008571CE" w:rsidRPr="000F1EC6" w:rsidRDefault="008571CE" w:rsidP="008571CE">
      <w:pPr>
        <w:pStyle w:val="ae"/>
        <w:spacing w:line="360" w:lineRule="auto"/>
        <w:ind w:firstLineChars="200" w:firstLine="480"/>
        <w:jc w:val="both"/>
        <w:rPr>
          <w:rFonts w:ascii="Times New Roman" w:hAnsi="Times New Roman" w:cs="Times New Roman"/>
        </w:rPr>
        <w:sectPr w:rsidR="008571CE" w:rsidRPr="000F1EC6" w:rsidSect="008571CE">
          <w:pgSz w:w="11906" w:h="16838"/>
          <w:pgMar w:top="1418" w:right="1418" w:bottom="1134" w:left="1418" w:header="851" w:footer="992" w:gutter="0"/>
          <w:cols w:space="425"/>
          <w:docGrid w:type="lines" w:linePitch="312"/>
        </w:sectPr>
      </w:pPr>
      <w:r w:rsidRPr="000F1EC6">
        <w:rPr>
          <w:rFonts w:ascii="Times New Roman" w:hAnsi="Times New Roman" w:cs="Times New Roman"/>
        </w:rPr>
        <w:lastRenderedPageBreak/>
        <w:t>Statistical analysis was performed using SPSS Statistics (version 29.0; IBM Corporation, Chicago, IL, USA) and GraphPad Prism 10.1 (GraphPad Software Inc., San Diego, CA, USA). All data in this study are presented as mean ± standard deviation (SD), and normality tests were conducted prior to data analysis. A t-test was employed to evaluate blood biochemical results, one-way ANOVA was used to compare cell viability, and repeated-measures ANOVA was applied to analyze tumor volume. Two-way ANOVA was conducted to quantify mean fluorescence intensity, relative optical density, and cell lethality. Statistical significance levels were denoted as *P&lt;0.05, **P&lt;0.01, ***P&lt;0.001, and N.S. (not significant).</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drawing>
          <wp:inline distT="0" distB="0" distL="0" distR="0" wp14:anchorId="6B281FA1" wp14:editId="7D5258E6">
            <wp:extent cx="5759450" cy="4374515"/>
            <wp:effectExtent l="0" t="0" r="6350" b="0"/>
            <wp:docPr id="8716793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79316" name="图片 871679316"/>
                    <pic:cNvPicPr/>
                  </pic:nvPicPr>
                  <pic:blipFill>
                    <a:blip r:embed="rId5" cstate="screen">
                      <a:extLst>
                        <a:ext uri="{28A0092B-C50C-407E-A947-70E740481C1C}">
                          <a14:useLocalDpi xmlns:a14="http://schemas.microsoft.com/office/drawing/2010/main" val="0"/>
                        </a:ext>
                      </a:extLst>
                    </a:blip>
                    <a:stretch>
                      <a:fillRect/>
                    </a:stretch>
                  </pic:blipFill>
                  <pic:spPr>
                    <a:xfrm>
                      <a:off x="0" y="0"/>
                      <a:ext cx="5759450" cy="4374515"/>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rPr>
        <w:t xml:space="preserve">Figure S1. </w:t>
      </w:r>
      <w:r w:rsidRPr="000F1EC6">
        <w:rPr>
          <w:lang w:val="en-US"/>
        </w:rPr>
        <w:t>(A) Size distribution of CMO NPs determined from ~50 particles. (B) Size of SDCM NCs measured using ImageJ software. (C, D) DLS size distribution by intensity for CMO NPs (C) and SDCM NCs (D).</w:t>
      </w: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r w:rsidRPr="000F1EC6">
        <w:rPr>
          <w:noProof/>
          <w:lang w:val="en-US"/>
          <w14:ligatures w14:val="standardContextual"/>
        </w:rPr>
        <w:drawing>
          <wp:inline distT="0" distB="0" distL="0" distR="0" wp14:anchorId="5B2961AB" wp14:editId="5D94CF89">
            <wp:extent cx="5759450" cy="2312670"/>
            <wp:effectExtent l="0" t="0" r="6350" b="0"/>
            <wp:docPr id="8110733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073392" name="图片 811073392"/>
                    <pic:cNvPicPr/>
                  </pic:nvPicPr>
                  <pic:blipFill>
                    <a:blip r:embed="rId6" cstate="screen">
                      <a:extLst>
                        <a:ext uri="{28A0092B-C50C-407E-A947-70E740481C1C}">
                          <a14:useLocalDpi xmlns:a14="http://schemas.microsoft.com/office/drawing/2010/main" val="0"/>
                        </a:ext>
                      </a:extLst>
                    </a:blip>
                    <a:stretch>
                      <a:fillRect/>
                    </a:stretch>
                  </pic:blipFill>
                  <pic:spPr>
                    <a:xfrm>
                      <a:off x="0" y="0"/>
                      <a:ext cx="5759450" cy="2312670"/>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rPr>
        <w:t xml:space="preserve">Figure S2. </w:t>
      </w:r>
      <w:r w:rsidRPr="000F1EC6">
        <w:rPr>
          <w:lang w:val="en-US"/>
        </w:rPr>
        <w:t>(A) XPS survey spectrum of CMO NPs. (B) High-resolution XPS spectrum of O 1s.</w:t>
      </w: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center"/>
        <w:rPr>
          <w:lang w:val="en-US" w:eastAsia="zh-CN"/>
        </w:rPr>
      </w:pPr>
      <w:r w:rsidRPr="000F1EC6">
        <w:rPr>
          <w:b/>
          <w:bCs/>
          <w:lang w:val="en-US"/>
        </w:rPr>
        <w:lastRenderedPageBreak/>
        <w:t>Figure S</w:t>
      </w:r>
      <w:r w:rsidRPr="000F1EC6">
        <w:rPr>
          <w:b/>
          <w:bCs/>
          <w:lang w:val="en-US" w:eastAsia="zh-CN"/>
        </w:rPr>
        <w:t>3</w:t>
      </w:r>
      <w:r w:rsidRPr="000F1EC6">
        <w:rPr>
          <w:b/>
          <w:bCs/>
          <w:lang w:val="en-US"/>
        </w:rPr>
        <w:t>.</w:t>
      </w:r>
      <w:r w:rsidRPr="000F1EC6">
        <w:rPr>
          <w:noProof/>
          <w:lang w:val="en-US" w:eastAsia="zh-CN"/>
          <w14:ligatures w14:val="standardContextual"/>
        </w:rPr>
        <w:drawing>
          <wp:anchor distT="0" distB="0" distL="114300" distR="114300" simplePos="0" relativeHeight="251661312" behindDoc="0" locked="0" layoutInCell="1" allowOverlap="1" wp14:anchorId="30EAA29F" wp14:editId="346D7E29">
            <wp:simplePos x="0" y="0"/>
            <wp:positionH relativeFrom="column">
              <wp:posOffset>67272</wp:posOffset>
            </wp:positionH>
            <wp:positionV relativeFrom="paragraph">
              <wp:posOffset>77022</wp:posOffset>
            </wp:positionV>
            <wp:extent cx="5759450" cy="1995805"/>
            <wp:effectExtent l="0" t="0" r="6350" b="0"/>
            <wp:wrapTopAndBottom/>
            <wp:docPr id="18256367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36712" name="图片 1825636712"/>
                    <pic:cNvPicPr/>
                  </pic:nvPicPr>
                  <pic:blipFill>
                    <a:blip r:embed="rId7" cstate="screen">
                      <a:extLst>
                        <a:ext uri="{28A0092B-C50C-407E-A947-70E740481C1C}">
                          <a14:useLocalDpi xmlns:a14="http://schemas.microsoft.com/office/drawing/2010/main" val="0"/>
                        </a:ext>
                      </a:extLst>
                    </a:blip>
                    <a:stretch>
                      <a:fillRect/>
                    </a:stretch>
                  </pic:blipFill>
                  <pic:spPr>
                    <a:xfrm>
                      <a:off x="0" y="0"/>
                      <a:ext cx="5759450" cy="1995805"/>
                    </a:xfrm>
                    <a:prstGeom prst="rect">
                      <a:avLst/>
                    </a:prstGeom>
                  </pic:spPr>
                </pic:pic>
              </a:graphicData>
            </a:graphic>
            <wp14:sizeRelH relativeFrom="page">
              <wp14:pctWidth>0</wp14:pctWidth>
            </wp14:sizeRelH>
            <wp14:sizeRelV relativeFrom="page">
              <wp14:pctHeight>0</wp14:pctHeight>
            </wp14:sizeRelV>
          </wp:anchor>
        </w:drawing>
      </w:r>
      <w:r w:rsidRPr="000F1EC6">
        <w:rPr>
          <w:lang w:val="en-US"/>
        </w:rPr>
        <w:t xml:space="preserve"> </w:t>
      </w:r>
      <w:r w:rsidRPr="000F1EC6">
        <w:rPr>
          <w:noProof/>
          <w:lang w:val="en-US" w:eastAsia="zh-CN"/>
          <w14:ligatures w14:val="standardContextual"/>
        </w:rPr>
        <w:t>(A) Pseudo-color maps showing the relaxation rates (r1 and r2) of CMO NPs at varying GSH concentrations. (B) Quantitative analysis of relaxation rates (1/T1 and 1/T2) of CMO NPs under different GSH concentrations.</w:t>
      </w:r>
    </w:p>
    <w:p w:rsidR="008571CE" w:rsidRPr="000F1EC6" w:rsidRDefault="008571CE" w:rsidP="008571CE">
      <w:pPr>
        <w:tabs>
          <w:tab w:val="left" w:pos="949"/>
        </w:tabs>
        <w:rPr>
          <w:lang w:val="en-US" w:eastAsia="zh-CN"/>
        </w:rPr>
      </w:pPr>
    </w:p>
    <w:p w:rsidR="008571CE" w:rsidRPr="000F1EC6" w:rsidRDefault="008571CE" w:rsidP="008571CE">
      <w:pPr>
        <w:tabs>
          <w:tab w:val="left" w:pos="949"/>
        </w:tabs>
        <w:rPr>
          <w:lang w:val="en-US" w:eastAsia="zh-CN"/>
        </w:rPr>
      </w:pPr>
    </w:p>
    <w:p w:rsidR="008571CE" w:rsidRPr="000F1EC6" w:rsidRDefault="008571CE" w:rsidP="008571CE">
      <w:pPr>
        <w:tabs>
          <w:tab w:val="left" w:pos="949"/>
        </w:tabs>
        <w:rPr>
          <w:lang w:val="en-US" w:eastAsia="zh-CN"/>
        </w:rPr>
        <w:sectPr w:rsidR="008571CE" w:rsidRPr="000F1EC6" w:rsidSect="008571CE">
          <w:pgSz w:w="11906" w:h="16838"/>
          <w:pgMar w:top="1418" w:right="1418" w:bottom="1134" w:left="1418" w:header="851" w:footer="992" w:gutter="0"/>
          <w:cols w:space="425"/>
          <w:docGrid w:type="lines" w:linePitch="312"/>
        </w:sectPr>
      </w:pPr>
      <w:r w:rsidRPr="000F1EC6">
        <w:rPr>
          <w:lang w:val="en-US" w:eastAsia="zh-CN"/>
        </w:rPr>
        <w:tab/>
      </w: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inline distT="0" distB="0" distL="0" distR="0" wp14:anchorId="678DC0E9" wp14:editId="442E9890">
            <wp:extent cx="5759450" cy="2879725"/>
            <wp:effectExtent l="0" t="0" r="6350" b="3175"/>
            <wp:docPr id="12999600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60044" name="图片 1299960044"/>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rsidR="008571CE" w:rsidRPr="000F1EC6" w:rsidRDefault="008571CE" w:rsidP="008571CE">
      <w:pPr>
        <w:spacing w:line="360" w:lineRule="auto"/>
        <w:jc w:val="center"/>
        <w:rPr>
          <w:lang w:val="en-US" w:eastAsia="zh-CN"/>
        </w:rPr>
        <w:sectPr w:rsidR="008571CE" w:rsidRPr="000F1EC6" w:rsidSect="008571CE">
          <w:pgSz w:w="11906" w:h="16838"/>
          <w:pgMar w:top="1418" w:right="1418" w:bottom="1134" w:left="1418" w:header="851" w:footer="992" w:gutter="0"/>
          <w:cols w:space="425"/>
          <w:docGrid w:type="lines" w:linePitch="312"/>
        </w:sectPr>
      </w:pPr>
      <w:r w:rsidRPr="000F1EC6">
        <w:rPr>
          <w:b/>
          <w:bCs/>
          <w:lang w:val="en-US" w:eastAsia="zh-CN"/>
        </w:rPr>
        <w:t>Figure S4</w:t>
      </w:r>
      <w:r w:rsidRPr="000F1EC6">
        <w:rPr>
          <w:lang w:val="en-US" w:eastAsia="zh-CN"/>
        </w:rPr>
        <w:t xml:space="preserve">. Biodistribution of cobalt in mice at pre, 3 h, 6 h, 12 h and 24 h after </w:t>
      </w:r>
      <w:proofErr w:type="spellStart"/>
      <w:r w:rsidRPr="000F1EC6">
        <w:rPr>
          <w:lang w:val="en-US" w:eastAsia="zh-CN"/>
        </w:rPr>
        <w:t>i.v.</w:t>
      </w:r>
      <w:proofErr w:type="spellEnd"/>
      <w:r w:rsidRPr="000F1EC6">
        <w:rPr>
          <w:lang w:val="en-US" w:eastAsia="zh-CN"/>
        </w:rPr>
        <w:t xml:space="preserve"> injection of 200 </w:t>
      </w:r>
      <w:proofErr w:type="spellStart"/>
      <w:r w:rsidRPr="000F1EC6">
        <w:rPr>
          <w:lang w:val="en-US" w:eastAsia="zh-CN"/>
        </w:rPr>
        <w:t>μL</w:t>
      </w:r>
      <w:proofErr w:type="spellEnd"/>
      <w:r w:rsidRPr="000F1EC6">
        <w:rPr>
          <w:lang w:val="en-US" w:eastAsia="zh-CN"/>
        </w:rPr>
        <w:t xml:space="preserve"> SDCM NCs dispersions (2 mg/mL).</w:t>
      </w:r>
    </w:p>
    <w:p w:rsidR="008571CE" w:rsidRPr="000F1EC6" w:rsidRDefault="008571CE" w:rsidP="008571CE">
      <w:pPr>
        <w:spacing w:line="360" w:lineRule="auto"/>
        <w:jc w:val="both"/>
        <w:rPr>
          <w:lang w:val="en-US" w:eastAsia="zh-CN"/>
        </w:rPr>
      </w:pPr>
      <w:r w:rsidRPr="000F1EC6">
        <w:rPr>
          <w:b/>
          <w:bCs/>
          <w:lang w:val="en-US" w:eastAsia="zh-CN"/>
        </w:rPr>
        <w:lastRenderedPageBreak/>
        <w:t>Figure S5.</w:t>
      </w:r>
      <w:r w:rsidRPr="000F1EC6">
        <w:rPr>
          <w:noProof/>
          <w:lang w:val="en-US" w:eastAsia="zh-CN"/>
          <w14:ligatures w14:val="standardContextual"/>
        </w:rPr>
        <w:drawing>
          <wp:anchor distT="0" distB="0" distL="114300" distR="114300" simplePos="0" relativeHeight="251662336" behindDoc="0" locked="0" layoutInCell="1" allowOverlap="1" wp14:anchorId="4A9FB80F" wp14:editId="6C64F8EE">
            <wp:simplePos x="0" y="0"/>
            <wp:positionH relativeFrom="column">
              <wp:posOffset>3175</wp:posOffset>
            </wp:positionH>
            <wp:positionV relativeFrom="paragraph">
              <wp:posOffset>14255</wp:posOffset>
            </wp:positionV>
            <wp:extent cx="5759450" cy="1508125"/>
            <wp:effectExtent l="0" t="0" r="6350" b="3175"/>
            <wp:wrapTopAndBottom/>
            <wp:docPr id="6269487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48757" name="图片 626948757"/>
                    <pic:cNvPicPr/>
                  </pic:nvPicPr>
                  <pic:blipFill>
                    <a:blip r:embed="rId9" cstate="screen">
                      <a:extLst>
                        <a:ext uri="{28A0092B-C50C-407E-A947-70E740481C1C}">
                          <a14:useLocalDpi xmlns:a14="http://schemas.microsoft.com/office/drawing/2010/main" val="0"/>
                        </a:ext>
                      </a:extLst>
                    </a:blip>
                    <a:stretch>
                      <a:fillRect/>
                    </a:stretch>
                  </pic:blipFill>
                  <pic:spPr>
                    <a:xfrm>
                      <a:off x="0" y="0"/>
                      <a:ext cx="5759450" cy="1508125"/>
                    </a:xfrm>
                    <a:prstGeom prst="rect">
                      <a:avLst/>
                    </a:prstGeom>
                  </pic:spPr>
                </pic:pic>
              </a:graphicData>
            </a:graphic>
            <wp14:sizeRelH relativeFrom="page">
              <wp14:pctWidth>0</wp14:pctWidth>
            </wp14:sizeRelH>
            <wp14:sizeRelV relativeFrom="page">
              <wp14:pctHeight>0</wp14:pctHeight>
            </wp14:sizeRelV>
          </wp:anchor>
        </w:drawing>
      </w:r>
      <w:r w:rsidRPr="000F1EC6">
        <w:rPr>
          <w:b/>
          <w:bCs/>
          <w:lang w:val="en-US" w:eastAsia="zh-CN"/>
        </w:rPr>
        <w:t xml:space="preserve"> </w:t>
      </w:r>
      <w:r w:rsidRPr="000F1EC6">
        <w:rPr>
          <w:lang w:val="en-US"/>
        </w:rPr>
        <w:t xml:space="preserve">Measurement of FWHM in the tumor core after </w:t>
      </w:r>
      <w:proofErr w:type="spellStart"/>
      <w:r w:rsidRPr="000F1EC6">
        <w:rPr>
          <w:lang w:val="en-US"/>
        </w:rPr>
        <w:t>i.v.</w:t>
      </w:r>
      <w:proofErr w:type="spellEnd"/>
      <w:r w:rsidRPr="000F1EC6">
        <w:rPr>
          <w:lang w:val="en-US"/>
        </w:rPr>
        <w:t xml:space="preserve"> injection of various </w:t>
      </w:r>
      <w:proofErr w:type="spellStart"/>
      <w:r w:rsidRPr="000F1EC6">
        <w:rPr>
          <w:lang w:val="en-US"/>
        </w:rPr>
        <w:t>nanocontrast</w:t>
      </w:r>
      <w:proofErr w:type="spellEnd"/>
      <w:r w:rsidRPr="000F1EC6">
        <w:rPr>
          <w:lang w:val="en-US"/>
        </w:rPr>
        <w:t>.</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drawing>
          <wp:anchor distT="0" distB="0" distL="114300" distR="114300" simplePos="0" relativeHeight="251660288" behindDoc="0" locked="0" layoutInCell="1" allowOverlap="1" wp14:anchorId="78AEA85C" wp14:editId="5F7DD2D2">
            <wp:simplePos x="0" y="0"/>
            <wp:positionH relativeFrom="column">
              <wp:posOffset>-6985</wp:posOffset>
            </wp:positionH>
            <wp:positionV relativeFrom="paragraph">
              <wp:posOffset>417657</wp:posOffset>
            </wp:positionV>
            <wp:extent cx="5759450" cy="4213860"/>
            <wp:effectExtent l="0" t="0" r="6350" b="2540"/>
            <wp:wrapTopAndBottom/>
            <wp:docPr id="1231965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6587" name="图片 123196587"/>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5759450" cy="4213860"/>
                    </a:xfrm>
                    <a:prstGeom prst="rect">
                      <a:avLst/>
                    </a:prstGeom>
                  </pic:spPr>
                </pic:pic>
              </a:graphicData>
            </a:graphic>
            <wp14:sizeRelH relativeFrom="page">
              <wp14:pctWidth>0</wp14:pctWidth>
            </wp14:sizeRelH>
            <wp14:sizeRelV relativeFrom="page">
              <wp14:pctHeight>0</wp14:pctHeight>
            </wp14:sizeRelV>
          </wp:anchor>
        </w:drawing>
      </w:r>
    </w:p>
    <w:p w:rsidR="008571CE" w:rsidRPr="000F1EC6" w:rsidRDefault="008571CE" w:rsidP="008571CE">
      <w:pPr>
        <w:spacing w:line="360" w:lineRule="auto"/>
        <w:jc w:val="center"/>
        <w:rPr>
          <w:lang w:val="en-US" w:eastAsia="zh-CN"/>
        </w:rPr>
      </w:pPr>
      <w:r w:rsidRPr="000F1EC6">
        <w:rPr>
          <w:b/>
          <w:bCs/>
          <w:lang w:val="en-US" w:eastAsia="zh-CN"/>
        </w:rPr>
        <w:t>Figure S6.</w:t>
      </w:r>
      <w:r w:rsidRPr="000F1EC6">
        <w:rPr>
          <w:lang w:val="en-US" w:eastAsia="zh-CN"/>
        </w:rPr>
        <w:t xml:space="preserve"> (A) UV-</w:t>
      </w:r>
      <w:proofErr w:type="gramStart"/>
      <w:r w:rsidRPr="000F1EC6">
        <w:rPr>
          <w:lang w:val="en-US" w:eastAsia="zh-CN"/>
        </w:rPr>
        <w:t>Vis</w:t>
      </w:r>
      <w:proofErr w:type="gramEnd"/>
      <w:r w:rsidRPr="000F1EC6">
        <w:rPr>
          <w:lang w:val="en-US" w:eastAsia="zh-CN"/>
        </w:rPr>
        <w:t xml:space="preserve"> absorption spectra of MB solution in different conditions. (B) Absorption spectra of MB treated with different H</w:t>
      </w:r>
      <w:r w:rsidRPr="000F1EC6">
        <w:rPr>
          <w:vertAlign w:val="subscript"/>
          <w:lang w:val="en-US" w:eastAsia="zh-CN"/>
        </w:rPr>
        <w:t>2</w:t>
      </w:r>
      <w:r w:rsidRPr="000F1EC6">
        <w:rPr>
          <w:lang w:val="en-US" w:eastAsia="zh-CN"/>
        </w:rPr>
        <w:t>O</w:t>
      </w:r>
      <w:r w:rsidRPr="000F1EC6">
        <w:rPr>
          <w:vertAlign w:val="subscript"/>
          <w:lang w:val="en-US" w:eastAsia="zh-CN"/>
        </w:rPr>
        <w:t>2</w:t>
      </w:r>
      <w:r w:rsidRPr="000F1EC6">
        <w:rPr>
          <w:lang w:val="en-US" w:eastAsia="zh-CN"/>
        </w:rPr>
        <w:t xml:space="preserve"> concentrations. (C) Absorption spectra of MB with different CMO NPs concentrations and (D) absorbance along with increasing CMO NPs concentrations.</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anchor distT="0" distB="0" distL="114300" distR="114300" simplePos="0" relativeHeight="251659264" behindDoc="0" locked="0" layoutInCell="1" allowOverlap="1" wp14:anchorId="790DB6CD" wp14:editId="1E2AC19F">
            <wp:simplePos x="0" y="0"/>
            <wp:positionH relativeFrom="column">
              <wp:posOffset>2540</wp:posOffset>
            </wp:positionH>
            <wp:positionV relativeFrom="paragraph">
              <wp:posOffset>108</wp:posOffset>
            </wp:positionV>
            <wp:extent cx="5759450" cy="4281170"/>
            <wp:effectExtent l="0" t="0" r="6350" b="0"/>
            <wp:wrapTopAndBottom/>
            <wp:docPr id="18476970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97058" name="图片 1847697058"/>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5759450" cy="4281170"/>
                    </a:xfrm>
                    <a:prstGeom prst="rect">
                      <a:avLst/>
                    </a:prstGeom>
                  </pic:spPr>
                </pic:pic>
              </a:graphicData>
            </a:graphic>
            <wp14:sizeRelH relativeFrom="page">
              <wp14:pctWidth>0</wp14:pctWidth>
            </wp14:sizeRelH>
            <wp14:sizeRelV relativeFrom="page">
              <wp14:pctHeight>0</wp14:pctHeight>
            </wp14:sizeRelV>
          </wp:anchor>
        </w:drawing>
      </w:r>
    </w:p>
    <w:p w:rsidR="008571CE" w:rsidRPr="000F1EC6" w:rsidRDefault="008571CE" w:rsidP="008571CE">
      <w:pPr>
        <w:spacing w:line="360" w:lineRule="auto"/>
        <w:jc w:val="center"/>
        <w:rPr>
          <w:lang w:val="en-US"/>
        </w:rPr>
      </w:pPr>
      <w:r w:rsidRPr="000F1EC6">
        <w:rPr>
          <w:b/>
          <w:bCs/>
          <w:lang w:val="en-US" w:eastAsia="zh-CN"/>
        </w:rPr>
        <w:t>Figure S7.</w:t>
      </w:r>
      <w:r w:rsidRPr="000F1EC6">
        <w:rPr>
          <w:lang w:val="en-US"/>
        </w:rPr>
        <w:t xml:space="preserve"> (</w:t>
      </w:r>
      <w:r w:rsidRPr="000F1EC6">
        <w:rPr>
          <w:lang w:val="en-US" w:eastAsia="zh-CN"/>
        </w:rPr>
        <w:t xml:space="preserve">A) UV–vis-NIR absorption spectra of CMO NPs dispersions at different concentrations and (B) linear plot of CMO NPs absorbance at 808 nm across a range of concentrations. (C) Temperature elevation curves of CMO NPs </w:t>
      </w:r>
      <w:r w:rsidRPr="000F1EC6">
        <w:rPr>
          <w:lang w:val="en-US"/>
        </w:rPr>
        <w:t>(1 mg/mL)</w:t>
      </w:r>
      <w:r w:rsidRPr="000F1EC6">
        <w:rPr>
          <w:lang w:val="en-US" w:eastAsia="zh-CN"/>
        </w:rPr>
        <w:t xml:space="preserve"> under NIR laser irradiation</w:t>
      </w:r>
      <w:r w:rsidRPr="000F1EC6">
        <w:rPr>
          <w:lang w:val="en-US"/>
        </w:rPr>
        <w:t xml:space="preserve"> stimulated by NIR laser at various power densities. (D) Changes in CMO NPs dispersions temperature over three </w:t>
      </w:r>
      <w:r w:rsidRPr="000F1EC6">
        <w:rPr>
          <w:lang w:val="en-US" w:eastAsia="zh-CN"/>
        </w:rPr>
        <w:t>“on/ cold”</w:t>
      </w:r>
      <w:r w:rsidRPr="000F1EC6">
        <w:rPr>
          <w:lang w:val="en-US"/>
        </w:rPr>
        <w:t xml:space="preserve"> NIR irradiation cycles.</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inline distT="0" distB="0" distL="0" distR="0" wp14:anchorId="6952C0DC" wp14:editId="26BD986E">
            <wp:extent cx="5759450" cy="3034665"/>
            <wp:effectExtent l="0" t="0" r="6350" b="635"/>
            <wp:docPr id="1152695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9548" name="图片 115269548"/>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5759450" cy="3034665"/>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eastAsia="zh-CN"/>
        </w:rPr>
        <w:t>Figure S8.</w:t>
      </w:r>
      <w:r w:rsidRPr="000F1EC6">
        <w:rPr>
          <w:lang w:val="en-US"/>
        </w:rPr>
        <w:t xml:space="preserve"> (</w:t>
      </w:r>
      <w:r w:rsidRPr="000F1EC6">
        <w:rPr>
          <w:lang w:val="en-US" w:eastAsia="zh-CN"/>
        </w:rPr>
        <w:t xml:space="preserve">A) UV–vis-NIR absorption spectra of SDCM dispersions at different concentrations and (B) linear plot of SDCM absorbance at 808 nm across a range of concentrations. (C) Temperature elevation curves of CMO NPs </w:t>
      </w:r>
      <w:r w:rsidRPr="000F1EC6">
        <w:rPr>
          <w:lang w:val="en-US"/>
        </w:rPr>
        <w:t>(1 mg/mL)</w:t>
      </w:r>
      <w:r w:rsidRPr="000F1EC6">
        <w:rPr>
          <w:lang w:val="en-US" w:eastAsia="zh-CN"/>
        </w:rPr>
        <w:t xml:space="preserve"> under NIR laser irradiation</w:t>
      </w:r>
      <w:r w:rsidRPr="000F1EC6">
        <w:rPr>
          <w:lang w:val="en-US"/>
        </w:rPr>
        <w:t xml:space="preserve"> stimulated by NIR laser at various power densities. (D) Temperature elevation curves of SDCM dispersions at various concentrations under NIR laser irradiation (1 W/cm</w:t>
      </w:r>
      <w:r w:rsidRPr="000F1EC6">
        <w:rPr>
          <w:vertAlign w:val="superscript"/>
          <w:lang w:val="en-US"/>
        </w:rPr>
        <w:t>2</w:t>
      </w:r>
      <w:r w:rsidRPr="000F1EC6">
        <w:rPr>
          <w:lang w:val="en-US"/>
        </w:rPr>
        <w:t>) (E) The temperature</w:t>
      </w:r>
      <w:r w:rsidRPr="000F1EC6">
        <w:rPr>
          <w:lang w:val="en-US" w:eastAsia="zh-CN"/>
        </w:rPr>
        <w:t xml:space="preserve"> of SDCM with different concentration</w:t>
      </w:r>
      <w:r w:rsidRPr="000F1EC6">
        <w:rPr>
          <w:lang w:val="en-US"/>
        </w:rPr>
        <w:t xml:space="preserve"> after 600 seconds irradiation and representative infrared thermal images of temperature changes (inset) (F) Changes in SDCM dispersions temperature over three </w:t>
      </w:r>
      <w:r w:rsidRPr="000F1EC6">
        <w:rPr>
          <w:lang w:val="en-US" w:eastAsia="zh-CN"/>
        </w:rPr>
        <w:t>“on/ cold”</w:t>
      </w:r>
      <w:r w:rsidRPr="000F1EC6">
        <w:rPr>
          <w:lang w:val="en-US"/>
        </w:rPr>
        <w:t xml:space="preserve"> NIR irradiation cycles.</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inline distT="0" distB="0" distL="0" distR="0" wp14:anchorId="528D8C00" wp14:editId="1B40C640">
            <wp:extent cx="5759450" cy="2381250"/>
            <wp:effectExtent l="0" t="0" r="6350" b="6350"/>
            <wp:docPr id="21153609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60977" name="图片 2115360977"/>
                    <pic:cNvPicPr/>
                  </pic:nvPicPr>
                  <pic:blipFill>
                    <a:blip r:embed="rId13" cstate="screen">
                      <a:extLst>
                        <a:ext uri="{28A0092B-C50C-407E-A947-70E740481C1C}">
                          <a14:useLocalDpi xmlns:a14="http://schemas.microsoft.com/office/drawing/2010/main" val="0"/>
                        </a:ext>
                      </a:extLst>
                    </a:blip>
                    <a:stretch>
                      <a:fillRect/>
                    </a:stretch>
                  </pic:blipFill>
                  <pic:spPr>
                    <a:xfrm>
                      <a:off x="0" y="0"/>
                      <a:ext cx="5759450" cy="2381250"/>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eastAsia="zh-CN"/>
        </w:rPr>
        <w:t xml:space="preserve">Figure S9. </w:t>
      </w:r>
      <w:r w:rsidRPr="000F1EC6">
        <w:rPr>
          <w:lang w:val="en-US" w:eastAsia="zh-CN"/>
        </w:rPr>
        <w:t>(A)</w:t>
      </w:r>
      <w:r w:rsidRPr="000F1EC6">
        <w:rPr>
          <w:lang w:val="en-US"/>
        </w:rPr>
        <w:t xml:space="preserve"> CCK-8 assays of relative viability with various concentrations of SDCM NCs in </w:t>
      </w:r>
      <w:proofErr w:type="spellStart"/>
      <w:r w:rsidRPr="000F1EC6">
        <w:rPr>
          <w:lang w:val="en-US"/>
        </w:rPr>
        <w:t>HaCaT</w:t>
      </w:r>
      <w:proofErr w:type="spellEnd"/>
      <w:r w:rsidRPr="000F1EC6">
        <w:rPr>
          <w:lang w:val="en-US"/>
        </w:rPr>
        <w:t xml:space="preserve"> cells. (B) Live/dead staining images of </w:t>
      </w:r>
      <w:proofErr w:type="spellStart"/>
      <w:r w:rsidRPr="000F1EC6">
        <w:rPr>
          <w:lang w:val="en-US"/>
        </w:rPr>
        <w:t>HaCaT</w:t>
      </w:r>
      <w:proofErr w:type="spellEnd"/>
      <w:r w:rsidRPr="000F1EC6">
        <w:rPr>
          <w:lang w:val="en-US"/>
        </w:rPr>
        <w:t xml:space="preserve"> after being treated by SDCM NCs, live cells (green) and dead cells (red).</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center"/>
        <w:rPr>
          <w:lang w:val="en-US" w:eastAsia="zh-CN"/>
        </w:rPr>
      </w:pPr>
      <w:r w:rsidRPr="000F1EC6">
        <w:rPr>
          <w:noProof/>
          <w:lang w:val="en-US" w:eastAsia="zh-CN"/>
          <w14:ligatures w14:val="standardContextual"/>
        </w:rPr>
        <w:lastRenderedPageBreak/>
        <w:drawing>
          <wp:inline distT="0" distB="0" distL="0" distR="0" wp14:anchorId="1F024E75" wp14:editId="3688A3BD">
            <wp:extent cx="3022600" cy="2298700"/>
            <wp:effectExtent l="0" t="0" r="0" b="0"/>
            <wp:docPr id="3920592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59261" name="图片 392059261"/>
                    <pic:cNvPicPr/>
                  </pic:nvPicPr>
                  <pic:blipFill>
                    <a:blip r:embed="rId14" cstate="screen">
                      <a:extLst>
                        <a:ext uri="{28A0092B-C50C-407E-A947-70E740481C1C}">
                          <a14:useLocalDpi xmlns:a14="http://schemas.microsoft.com/office/drawing/2010/main" val="0"/>
                        </a:ext>
                      </a:extLst>
                    </a:blip>
                    <a:stretch>
                      <a:fillRect/>
                    </a:stretch>
                  </pic:blipFill>
                  <pic:spPr>
                    <a:xfrm>
                      <a:off x="0" y="0"/>
                      <a:ext cx="3022600" cy="2298700"/>
                    </a:xfrm>
                    <a:prstGeom prst="rect">
                      <a:avLst/>
                    </a:prstGeom>
                  </pic:spPr>
                </pic:pic>
              </a:graphicData>
            </a:graphic>
          </wp:inline>
        </w:drawing>
      </w:r>
    </w:p>
    <w:p w:rsidR="008571CE" w:rsidRPr="000F1EC6" w:rsidRDefault="008571CE" w:rsidP="008571CE">
      <w:pPr>
        <w:tabs>
          <w:tab w:val="left" w:pos="1377"/>
        </w:tabs>
        <w:rPr>
          <w:lang w:val="en-US" w:eastAsia="zh-CN"/>
        </w:rPr>
      </w:pPr>
      <w:r w:rsidRPr="000F1EC6">
        <w:rPr>
          <w:lang w:val="en-US" w:eastAsia="zh-CN"/>
        </w:rPr>
        <w:tab/>
      </w:r>
    </w:p>
    <w:p w:rsidR="008571CE" w:rsidRPr="000F1EC6" w:rsidRDefault="008571CE" w:rsidP="008571CE">
      <w:pPr>
        <w:spacing w:line="360" w:lineRule="auto"/>
        <w:jc w:val="center"/>
        <w:rPr>
          <w:lang w:val="en-US" w:eastAsia="zh-CN"/>
        </w:rPr>
      </w:pPr>
      <w:r w:rsidRPr="000F1EC6">
        <w:rPr>
          <w:b/>
          <w:bCs/>
          <w:lang w:val="en-US" w:eastAsia="zh-CN"/>
        </w:rPr>
        <w:t>Figure S10.</w:t>
      </w:r>
      <w:r w:rsidRPr="000F1EC6">
        <w:rPr>
          <w:lang w:val="en-US"/>
        </w:rPr>
        <w:t xml:space="preserve"> Live/dead staining images of Cal-27 after different treatment, live cells (green) and dead cells (red).</w:t>
      </w:r>
    </w:p>
    <w:p w:rsidR="008571CE" w:rsidRPr="000F1EC6" w:rsidRDefault="008571CE" w:rsidP="008571CE">
      <w:pPr>
        <w:tabs>
          <w:tab w:val="left" w:pos="1377"/>
        </w:tabs>
        <w:rPr>
          <w:lang w:val="en-US" w:eastAsia="zh-CN"/>
        </w:rPr>
      </w:pPr>
    </w:p>
    <w:p w:rsidR="008571CE" w:rsidRPr="000F1EC6" w:rsidRDefault="008571CE" w:rsidP="008571CE">
      <w:pPr>
        <w:tabs>
          <w:tab w:val="left" w:pos="1377"/>
        </w:tabs>
        <w:rPr>
          <w:lang w:val="en-US" w:eastAsia="zh-CN"/>
        </w:rPr>
        <w:sectPr w:rsidR="008571CE" w:rsidRPr="000F1EC6" w:rsidSect="008571CE">
          <w:pgSz w:w="11906" w:h="16838"/>
          <w:pgMar w:top="1418" w:right="1418" w:bottom="1134" w:left="1418" w:header="851" w:footer="992" w:gutter="0"/>
          <w:cols w:space="425"/>
          <w:docGrid w:type="lines" w:linePitch="312"/>
        </w:sectPr>
      </w:pPr>
      <w:r w:rsidRPr="000F1EC6">
        <w:rPr>
          <w:lang w:val="en-US" w:eastAsia="zh-CN"/>
        </w:rPr>
        <w:tab/>
      </w: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inline distT="0" distB="0" distL="0" distR="0" wp14:anchorId="32FE5D35" wp14:editId="634A8209">
            <wp:extent cx="5759450" cy="3692525"/>
            <wp:effectExtent l="0" t="0" r="6350" b="3175"/>
            <wp:docPr id="6762987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98719" name="图片 676298719"/>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5759450" cy="3692525"/>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eastAsia="zh-CN"/>
        </w:rPr>
        <w:t>Figure S11.</w:t>
      </w:r>
      <w:r w:rsidRPr="000F1EC6">
        <w:rPr>
          <w:lang w:val="en-US"/>
        </w:rPr>
        <w:t xml:space="preserve"> H&amp;E staining of the main organs collected from different groups of mice after treatment.</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sectPr w:rsidR="008571CE" w:rsidRPr="000F1EC6" w:rsidSect="008571CE">
          <w:pgSz w:w="11906" w:h="16838"/>
          <w:pgMar w:top="1418" w:right="1418" w:bottom="1134" w:left="1418" w:header="851" w:footer="992" w:gutter="0"/>
          <w:cols w:space="425"/>
          <w:docGrid w:type="lines" w:linePitch="312"/>
        </w:sectPr>
      </w:pPr>
    </w:p>
    <w:p w:rsidR="008571CE" w:rsidRPr="000F1EC6" w:rsidRDefault="008571CE" w:rsidP="008571CE">
      <w:pPr>
        <w:spacing w:line="360" w:lineRule="auto"/>
        <w:jc w:val="both"/>
        <w:rPr>
          <w:lang w:val="en-US" w:eastAsia="zh-CN"/>
        </w:rPr>
      </w:pPr>
      <w:r w:rsidRPr="000F1EC6">
        <w:rPr>
          <w:noProof/>
          <w:lang w:val="en-US" w:eastAsia="zh-CN"/>
          <w14:ligatures w14:val="standardContextual"/>
        </w:rPr>
        <w:lastRenderedPageBreak/>
        <w:drawing>
          <wp:inline distT="0" distB="0" distL="0" distR="0" wp14:anchorId="3C6B6D8F" wp14:editId="0056DC12">
            <wp:extent cx="5759450" cy="3336925"/>
            <wp:effectExtent l="0" t="0" r="6350" b="3175"/>
            <wp:docPr id="13340134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13456" name="图片 1334013456"/>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5759450" cy="3336925"/>
                    </a:xfrm>
                    <a:prstGeom prst="rect">
                      <a:avLst/>
                    </a:prstGeom>
                  </pic:spPr>
                </pic:pic>
              </a:graphicData>
            </a:graphic>
          </wp:inline>
        </w:drawing>
      </w:r>
    </w:p>
    <w:p w:rsidR="008571CE" w:rsidRPr="000F1EC6" w:rsidRDefault="008571CE" w:rsidP="008571CE">
      <w:pPr>
        <w:spacing w:line="360" w:lineRule="auto"/>
        <w:jc w:val="center"/>
        <w:rPr>
          <w:lang w:val="en-US" w:eastAsia="zh-CN"/>
        </w:rPr>
      </w:pPr>
      <w:r w:rsidRPr="000F1EC6">
        <w:rPr>
          <w:b/>
          <w:bCs/>
          <w:lang w:val="en-US" w:eastAsia="zh-CN"/>
        </w:rPr>
        <w:t xml:space="preserve">Figure S12. </w:t>
      </w:r>
      <w:r w:rsidRPr="000F1EC6">
        <w:rPr>
          <w:lang w:val="en-US"/>
        </w:rPr>
        <w:t>Blood biochemistry examination from tumor-bearing mice after experiment.</w:t>
      </w: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jc w:val="both"/>
        <w:rPr>
          <w:lang w:val="en-US" w:eastAsia="zh-CN"/>
        </w:rPr>
      </w:pPr>
    </w:p>
    <w:p w:rsidR="008571CE" w:rsidRPr="000F1EC6" w:rsidRDefault="008571CE" w:rsidP="008571CE">
      <w:pPr>
        <w:spacing w:line="360" w:lineRule="auto"/>
        <w:ind w:firstLineChars="200" w:firstLine="489"/>
        <w:jc w:val="both"/>
        <w:rPr>
          <w:b/>
          <w:bCs/>
          <w:lang w:val="en-US" w:eastAsia="zh-CN"/>
        </w:rPr>
      </w:pPr>
    </w:p>
    <w:p w:rsidR="008571CE" w:rsidRPr="000F1EC6" w:rsidRDefault="008571CE" w:rsidP="008571CE">
      <w:pPr>
        <w:spacing w:line="360" w:lineRule="auto"/>
        <w:ind w:firstLineChars="200" w:firstLine="489"/>
        <w:jc w:val="both"/>
        <w:rPr>
          <w:b/>
          <w:bCs/>
          <w:lang w:val="en-US" w:eastAsia="zh-CN"/>
        </w:rPr>
      </w:pPr>
    </w:p>
    <w:p w:rsidR="008571CE" w:rsidRPr="000F1EC6" w:rsidRDefault="008571CE" w:rsidP="008571CE">
      <w:pPr>
        <w:rPr>
          <w:lang w:val="en-US"/>
        </w:rPr>
      </w:pPr>
    </w:p>
    <w:p w:rsidR="006A2848" w:rsidRPr="008571CE" w:rsidRDefault="006A2848">
      <w:pPr>
        <w:rPr>
          <w:lang w:val="en-US"/>
        </w:rPr>
      </w:pPr>
    </w:p>
    <w:sectPr w:rsidR="006A2848" w:rsidRPr="008571CE" w:rsidSect="008571CE">
      <w:pgSz w:w="11906" w:h="16838"/>
      <w:pgMar w:top="1418" w:right="1418" w:bottom="1134" w:left="1418"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334D"/>
    <w:multiLevelType w:val="hybridMultilevel"/>
    <w:tmpl w:val="DAC0B07A"/>
    <w:lvl w:ilvl="0" w:tplc="D3367C6C">
      <w:start w:val="15"/>
      <w:numFmt w:val="decimal"/>
      <w:lvlText w:val="%1."/>
      <w:lvlJc w:val="left"/>
      <w:pPr>
        <w:ind w:left="360" w:hanging="360"/>
      </w:pPr>
      <w:rPr>
        <w:rFonts w:hint="default"/>
        <w:b/>
        <w:i/>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2199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CE"/>
    <w:rsid w:val="00023C95"/>
    <w:rsid w:val="00032E06"/>
    <w:rsid w:val="00044B9C"/>
    <w:rsid w:val="0009419E"/>
    <w:rsid w:val="000B3BD2"/>
    <w:rsid w:val="000F326D"/>
    <w:rsid w:val="001022D3"/>
    <w:rsid w:val="00116FE7"/>
    <w:rsid w:val="00126E45"/>
    <w:rsid w:val="00131217"/>
    <w:rsid w:val="00147546"/>
    <w:rsid w:val="00150EBC"/>
    <w:rsid w:val="00160DF9"/>
    <w:rsid w:val="001B70FC"/>
    <w:rsid w:val="00205C6C"/>
    <w:rsid w:val="0020756C"/>
    <w:rsid w:val="00240F1F"/>
    <w:rsid w:val="00243754"/>
    <w:rsid w:val="00266180"/>
    <w:rsid w:val="002C17D2"/>
    <w:rsid w:val="002D2F52"/>
    <w:rsid w:val="002E1072"/>
    <w:rsid w:val="00305AC9"/>
    <w:rsid w:val="00320C7E"/>
    <w:rsid w:val="00340AD9"/>
    <w:rsid w:val="003412FA"/>
    <w:rsid w:val="00351ED6"/>
    <w:rsid w:val="003F20A3"/>
    <w:rsid w:val="00452EF3"/>
    <w:rsid w:val="004654A7"/>
    <w:rsid w:val="00466A95"/>
    <w:rsid w:val="004B5C3E"/>
    <w:rsid w:val="004F4ABD"/>
    <w:rsid w:val="00507BDD"/>
    <w:rsid w:val="00510EEE"/>
    <w:rsid w:val="0051272B"/>
    <w:rsid w:val="00513990"/>
    <w:rsid w:val="0054381E"/>
    <w:rsid w:val="00547482"/>
    <w:rsid w:val="005506E2"/>
    <w:rsid w:val="00567DDF"/>
    <w:rsid w:val="006061A0"/>
    <w:rsid w:val="00611BCB"/>
    <w:rsid w:val="00652D7C"/>
    <w:rsid w:val="006A2848"/>
    <w:rsid w:val="006D6214"/>
    <w:rsid w:val="006D7D7A"/>
    <w:rsid w:val="006E4ADE"/>
    <w:rsid w:val="00706C5A"/>
    <w:rsid w:val="007121CB"/>
    <w:rsid w:val="00713C11"/>
    <w:rsid w:val="00774DF6"/>
    <w:rsid w:val="00780115"/>
    <w:rsid w:val="007A4C77"/>
    <w:rsid w:val="007D07CB"/>
    <w:rsid w:val="007F33BF"/>
    <w:rsid w:val="008161B6"/>
    <w:rsid w:val="00842511"/>
    <w:rsid w:val="008571CE"/>
    <w:rsid w:val="008703FB"/>
    <w:rsid w:val="00892875"/>
    <w:rsid w:val="008D5CCA"/>
    <w:rsid w:val="008E7F4C"/>
    <w:rsid w:val="0098388E"/>
    <w:rsid w:val="009A00D5"/>
    <w:rsid w:val="00A34723"/>
    <w:rsid w:val="00A60B4E"/>
    <w:rsid w:val="00A93E77"/>
    <w:rsid w:val="00AA6D18"/>
    <w:rsid w:val="00AD2164"/>
    <w:rsid w:val="00AD538C"/>
    <w:rsid w:val="00AE609A"/>
    <w:rsid w:val="00B0290F"/>
    <w:rsid w:val="00B41149"/>
    <w:rsid w:val="00B75981"/>
    <w:rsid w:val="00B87F4D"/>
    <w:rsid w:val="00C15359"/>
    <w:rsid w:val="00C820BC"/>
    <w:rsid w:val="00C857CC"/>
    <w:rsid w:val="00CA593F"/>
    <w:rsid w:val="00CC092F"/>
    <w:rsid w:val="00D10F2D"/>
    <w:rsid w:val="00D15DBF"/>
    <w:rsid w:val="00D40D5D"/>
    <w:rsid w:val="00D87496"/>
    <w:rsid w:val="00E346C1"/>
    <w:rsid w:val="00E421A1"/>
    <w:rsid w:val="00E64B28"/>
    <w:rsid w:val="00E64D40"/>
    <w:rsid w:val="00E83535"/>
    <w:rsid w:val="00E87A7B"/>
    <w:rsid w:val="00EC41DD"/>
    <w:rsid w:val="00EC4698"/>
    <w:rsid w:val="00F42186"/>
    <w:rsid w:val="00F45862"/>
    <w:rsid w:val="00F606B2"/>
    <w:rsid w:val="00F649F5"/>
    <w:rsid w:val="00F722EE"/>
    <w:rsid w:val="00FB410A"/>
    <w:rsid w:val="00FB55A5"/>
    <w:rsid w:val="00FF4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7C4EBBC"/>
  <w15:chartTrackingRefBased/>
  <w15:docId w15:val="{5316FBFE-4F73-554D-8426-778CA1E3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1CE"/>
    <w:rPr>
      <w:rFonts w:ascii="Times New Roman" w:eastAsia="MS Mincho" w:hAnsi="Times New Roman" w:cs="Times New Roman"/>
      <w:kern w:val="0"/>
      <w:sz w:val="24"/>
      <w:lang w:val="de-DE" w:eastAsia="ja-JP"/>
      <w14:ligatures w14:val="none"/>
    </w:rPr>
  </w:style>
  <w:style w:type="paragraph" w:styleId="1">
    <w:name w:val="heading 1"/>
    <w:basedOn w:val="a"/>
    <w:next w:val="a"/>
    <w:link w:val="10"/>
    <w:uiPriority w:val="9"/>
    <w:qFormat/>
    <w:rsid w:val="008571C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571C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571C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571C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8571CE"/>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8571C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8571C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571C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571C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571C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571C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571C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571CE"/>
    <w:rPr>
      <w:rFonts w:cstheme="majorBidi"/>
      <w:color w:val="2F5496" w:themeColor="accent1" w:themeShade="BF"/>
      <w:sz w:val="28"/>
      <w:szCs w:val="28"/>
    </w:rPr>
  </w:style>
  <w:style w:type="character" w:customStyle="1" w:styleId="50">
    <w:name w:val="标题 5 字符"/>
    <w:basedOn w:val="a0"/>
    <w:link w:val="5"/>
    <w:uiPriority w:val="9"/>
    <w:semiHidden/>
    <w:rsid w:val="008571CE"/>
    <w:rPr>
      <w:rFonts w:cstheme="majorBidi"/>
      <w:color w:val="2F5496" w:themeColor="accent1" w:themeShade="BF"/>
      <w:sz w:val="24"/>
    </w:rPr>
  </w:style>
  <w:style w:type="character" w:customStyle="1" w:styleId="60">
    <w:name w:val="标题 6 字符"/>
    <w:basedOn w:val="a0"/>
    <w:link w:val="6"/>
    <w:uiPriority w:val="9"/>
    <w:semiHidden/>
    <w:rsid w:val="008571CE"/>
    <w:rPr>
      <w:rFonts w:cstheme="majorBidi"/>
      <w:b/>
      <w:bCs/>
      <w:color w:val="2F5496" w:themeColor="accent1" w:themeShade="BF"/>
    </w:rPr>
  </w:style>
  <w:style w:type="character" w:customStyle="1" w:styleId="70">
    <w:name w:val="标题 7 字符"/>
    <w:basedOn w:val="a0"/>
    <w:link w:val="7"/>
    <w:uiPriority w:val="9"/>
    <w:semiHidden/>
    <w:rsid w:val="008571CE"/>
    <w:rPr>
      <w:rFonts w:cstheme="majorBidi"/>
      <w:b/>
      <w:bCs/>
      <w:color w:val="595959" w:themeColor="text1" w:themeTint="A6"/>
    </w:rPr>
  </w:style>
  <w:style w:type="character" w:customStyle="1" w:styleId="80">
    <w:name w:val="标题 8 字符"/>
    <w:basedOn w:val="a0"/>
    <w:link w:val="8"/>
    <w:uiPriority w:val="9"/>
    <w:semiHidden/>
    <w:rsid w:val="008571CE"/>
    <w:rPr>
      <w:rFonts w:cstheme="majorBidi"/>
      <w:color w:val="595959" w:themeColor="text1" w:themeTint="A6"/>
    </w:rPr>
  </w:style>
  <w:style w:type="character" w:customStyle="1" w:styleId="90">
    <w:name w:val="标题 9 字符"/>
    <w:basedOn w:val="a0"/>
    <w:link w:val="9"/>
    <w:uiPriority w:val="9"/>
    <w:semiHidden/>
    <w:rsid w:val="008571CE"/>
    <w:rPr>
      <w:rFonts w:eastAsiaTheme="majorEastAsia" w:cstheme="majorBidi"/>
      <w:color w:val="595959" w:themeColor="text1" w:themeTint="A6"/>
    </w:rPr>
  </w:style>
  <w:style w:type="paragraph" w:styleId="a3">
    <w:name w:val="Title"/>
    <w:basedOn w:val="a"/>
    <w:next w:val="a"/>
    <w:link w:val="a4"/>
    <w:uiPriority w:val="10"/>
    <w:qFormat/>
    <w:rsid w:val="008571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57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71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571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571CE"/>
    <w:pPr>
      <w:spacing w:before="160" w:after="160"/>
      <w:jc w:val="center"/>
    </w:pPr>
    <w:rPr>
      <w:i/>
      <w:iCs/>
      <w:color w:val="404040" w:themeColor="text1" w:themeTint="BF"/>
    </w:rPr>
  </w:style>
  <w:style w:type="character" w:customStyle="1" w:styleId="a8">
    <w:name w:val="引用 字符"/>
    <w:basedOn w:val="a0"/>
    <w:link w:val="a7"/>
    <w:uiPriority w:val="29"/>
    <w:rsid w:val="008571CE"/>
    <w:rPr>
      <w:i/>
      <w:iCs/>
      <w:color w:val="404040" w:themeColor="text1" w:themeTint="BF"/>
    </w:rPr>
  </w:style>
  <w:style w:type="paragraph" w:styleId="a9">
    <w:name w:val="List Paragraph"/>
    <w:basedOn w:val="a"/>
    <w:uiPriority w:val="34"/>
    <w:qFormat/>
    <w:rsid w:val="008571CE"/>
    <w:pPr>
      <w:ind w:left="720"/>
      <w:contextualSpacing/>
    </w:pPr>
  </w:style>
  <w:style w:type="character" w:styleId="aa">
    <w:name w:val="Intense Emphasis"/>
    <w:basedOn w:val="a0"/>
    <w:uiPriority w:val="21"/>
    <w:qFormat/>
    <w:rsid w:val="008571CE"/>
    <w:rPr>
      <w:i/>
      <w:iCs/>
      <w:color w:val="2F5496" w:themeColor="accent1" w:themeShade="BF"/>
    </w:rPr>
  </w:style>
  <w:style w:type="paragraph" w:styleId="ab">
    <w:name w:val="Intense Quote"/>
    <w:basedOn w:val="a"/>
    <w:next w:val="a"/>
    <w:link w:val="ac"/>
    <w:uiPriority w:val="30"/>
    <w:qFormat/>
    <w:rsid w:val="00857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8571CE"/>
    <w:rPr>
      <w:i/>
      <w:iCs/>
      <w:color w:val="2F5496" w:themeColor="accent1" w:themeShade="BF"/>
    </w:rPr>
  </w:style>
  <w:style w:type="character" w:styleId="ad">
    <w:name w:val="Intense Reference"/>
    <w:basedOn w:val="a0"/>
    <w:uiPriority w:val="32"/>
    <w:qFormat/>
    <w:rsid w:val="008571CE"/>
    <w:rPr>
      <w:b/>
      <w:bCs/>
      <w:smallCaps/>
      <w:color w:val="2F5496" w:themeColor="accent1" w:themeShade="BF"/>
      <w:spacing w:val="5"/>
    </w:rPr>
  </w:style>
  <w:style w:type="paragraph" w:customStyle="1" w:styleId="Addresses">
    <w:name w:val="Addresses"/>
    <w:basedOn w:val="a"/>
    <w:rsid w:val="008571CE"/>
    <w:rPr>
      <w:lang w:val="en-US"/>
    </w:rPr>
  </w:style>
  <w:style w:type="paragraph" w:customStyle="1" w:styleId="FACorrespondingAuthorFootnote">
    <w:name w:val="FA_Corresponding_Author_Footnote"/>
    <w:basedOn w:val="a"/>
    <w:next w:val="a"/>
    <w:link w:val="FACorrespondingAuthorFootnoteChar"/>
    <w:rsid w:val="008571CE"/>
    <w:pPr>
      <w:spacing w:after="200" w:line="480" w:lineRule="auto"/>
      <w:jc w:val="both"/>
    </w:pPr>
    <w:rPr>
      <w:rFonts w:ascii="Times" w:eastAsiaTheme="minorEastAsia" w:hAnsi="Times"/>
      <w:szCs w:val="20"/>
      <w:lang w:val="en-US" w:eastAsia="en-US"/>
    </w:rPr>
  </w:style>
  <w:style w:type="character" w:customStyle="1" w:styleId="FACorrespondingAuthorFootnoteChar">
    <w:name w:val="FA_Corresponding_Author_Footnote Char"/>
    <w:basedOn w:val="a0"/>
    <w:link w:val="FACorrespondingAuthorFootnote"/>
    <w:rsid w:val="008571CE"/>
    <w:rPr>
      <w:rFonts w:ascii="Times" w:hAnsi="Times" w:cs="Times New Roman"/>
      <w:kern w:val="0"/>
      <w:sz w:val="24"/>
      <w:szCs w:val="20"/>
      <w:lang w:eastAsia="en-US"/>
      <w14:ligatures w14:val="none"/>
    </w:rPr>
  </w:style>
  <w:style w:type="paragraph" w:styleId="ae">
    <w:name w:val="Normal (Web)"/>
    <w:basedOn w:val="a"/>
    <w:link w:val="af"/>
    <w:uiPriority w:val="99"/>
    <w:unhideWhenUsed/>
    <w:rsid w:val="008571CE"/>
    <w:pPr>
      <w:spacing w:before="100" w:beforeAutospacing="1" w:after="100" w:afterAutospacing="1"/>
    </w:pPr>
    <w:rPr>
      <w:rFonts w:ascii="宋体" w:eastAsia="宋体" w:hAnsi="宋体" w:cs="宋体"/>
      <w:lang w:val="en-US" w:eastAsia="zh-CN"/>
    </w:rPr>
  </w:style>
  <w:style w:type="paragraph" w:customStyle="1" w:styleId="Tableofcontents">
    <w:name w:val="Table of contents"/>
    <w:basedOn w:val="a"/>
    <w:autoRedefine/>
    <w:rsid w:val="008571CE"/>
    <w:pPr>
      <w:spacing w:line="360" w:lineRule="auto"/>
      <w:jc w:val="both"/>
    </w:pPr>
    <w:rPr>
      <w:b/>
      <w:bCs/>
      <w:lang w:val="en-US" w:eastAsia="zh-CN"/>
    </w:rPr>
  </w:style>
  <w:style w:type="paragraph" w:customStyle="1" w:styleId="Title2">
    <w:name w:val="Title2"/>
    <w:basedOn w:val="a"/>
    <w:rsid w:val="008571CE"/>
    <w:rPr>
      <w:b/>
      <w:lang w:val="en-US"/>
    </w:rPr>
  </w:style>
  <w:style w:type="paragraph" w:customStyle="1" w:styleId="RSCB04AHeadingSection">
    <w:name w:val="RSC B04 A Heading (Section)"/>
    <w:basedOn w:val="a"/>
    <w:link w:val="RSCB04AHeadingSectionChar"/>
    <w:qFormat/>
    <w:rsid w:val="008571CE"/>
    <w:pPr>
      <w:spacing w:before="400" w:after="80"/>
    </w:pPr>
    <w:rPr>
      <w:rFonts w:ascii="Calibri" w:eastAsia="宋体" w:hAnsi="Calibri"/>
      <w:b/>
      <w:szCs w:val="22"/>
      <w:lang w:val="en-GB" w:eastAsia="en-US"/>
    </w:rPr>
  </w:style>
  <w:style w:type="character" w:customStyle="1" w:styleId="RSCB04AHeadingSectionChar">
    <w:name w:val="RSC B04 A Heading (Section) Char"/>
    <w:link w:val="RSCB04AHeadingSection"/>
    <w:qFormat/>
    <w:rsid w:val="008571CE"/>
    <w:rPr>
      <w:rFonts w:ascii="Calibri" w:eastAsia="宋体" w:hAnsi="Calibri" w:cs="Times New Roman"/>
      <w:b/>
      <w:kern w:val="0"/>
      <w:sz w:val="24"/>
      <w:szCs w:val="22"/>
      <w:lang w:val="en-GB" w:eastAsia="en-US"/>
      <w14:ligatures w14:val="none"/>
    </w:rPr>
  </w:style>
  <w:style w:type="paragraph" w:customStyle="1" w:styleId="TAMainText">
    <w:name w:val="TA_Main_Text"/>
    <w:basedOn w:val="a"/>
    <w:rsid w:val="008571CE"/>
    <w:pPr>
      <w:spacing w:line="480" w:lineRule="auto"/>
      <w:ind w:firstLine="202"/>
      <w:jc w:val="both"/>
    </w:pPr>
    <w:rPr>
      <w:rFonts w:ascii="Times" w:eastAsiaTheme="minorEastAsia" w:hAnsi="Times"/>
      <w:szCs w:val="20"/>
      <w:lang w:val="en-US" w:eastAsia="en-US"/>
    </w:rPr>
  </w:style>
  <w:style w:type="character" w:styleId="af0">
    <w:name w:val="Strong"/>
    <w:basedOn w:val="a0"/>
    <w:uiPriority w:val="22"/>
    <w:qFormat/>
    <w:rsid w:val="008571CE"/>
    <w:rPr>
      <w:b/>
      <w:bCs/>
    </w:rPr>
  </w:style>
  <w:style w:type="character" w:customStyle="1" w:styleId="af">
    <w:name w:val="普通(网站) 字符"/>
    <w:basedOn w:val="a0"/>
    <w:link w:val="ae"/>
    <w:uiPriority w:val="99"/>
    <w:rsid w:val="008571CE"/>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2927</Words>
  <Characters>17358</Characters>
  <Application>Microsoft Office Word</Application>
  <DocSecurity>0</DocSecurity>
  <Lines>279</Lines>
  <Paragraphs>53</Paragraphs>
  <ScaleCrop>false</ScaleCrop>
  <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许弘弢</dc:creator>
  <cp:keywords/>
  <dc:description/>
  <cp:lastModifiedBy>许弘弢</cp:lastModifiedBy>
  <cp:revision>2</cp:revision>
  <dcterms:created xsi:type="dcterms:W3CDTF">2025-02-18T07:22:00Z</dcterms:created>
  <dcterms:modified xsi:type="dcterms:W3CDTF">2025-02-18T07:23:00Z</dcterms:modified>
</cp:coreProperties>
</file>