
<file path=[Content_Types].xml><?xml version="1.0" encoding="utf-8"?>
<Types xmlns="http://schemas.openxmlformats.org/package/2006/content-types">
  <Default Extension="xml" ContentType="application/xml"/>
  <Default Extension="tiff" ContentType="image/tif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DDD2B2">
      <w:pPr>
        <w:rPr>
          <w:rFonts w:ascii="Times New Roman" w:hAnsi="Times New Roman" w:cs="Times New Roman"/>
          <w:i/>
          <w:iCs/>
          <w:color w:val="auto"/>
          <w:sz w:val="36"/>
          <w:szCs w:val="36"/>
          <w:highlight w:val="none"/>
        </w:rPr>
      </w:pPr>
      <w:r>
        <w:rPr>
          <w:rFonts w:ascii="Times New Roman" w:hAnsi="Times New Roman" w:cs="Times New Roman"/>
          <w:i/>
          <w:iCs/>
          <w:color w:val="auto"/>
          <w:sz w:val="36"/>
          <w:szCs w:val="36"/>
          <w:highlight w:val="none"/>
        </w:rPr>
        <w:t>Supporting Information for</w:t>
      </w:r>
    </w:p>
    <w:p w14:paraId="4CE8ACFD">
      <w:pPr>
        <w:pStyle w:val="16"/>
        <w:spacing w:line="360" w:lineRule="auto"/>
        <w:rPr>
          <w:rFonts w:ascii="Times New Roman" w:hAnsi="Times New Roman" w:cs="Times New Roman"/>
          <w:b/>
          <w:color w:val="auto"/>
          <w:highlight w:val="none"/>
        </w:rPr>
      </w:pPr>
      <w:r>
        <w:rPr>
          <w:rFonts w:hint="eastAsia" w:ascii="Times New Roman" w:hAnsi="Times New Roman" w:cs="Times New Roman"/>
          <w:b/>
          <w:color w:val="auto"/>
          <w:sz w:val="36"/>
          <w:szCs w:val="18"/>
          <w:highlight w:val="none"/>
        </w:rPr>
        <w:t>Microbiota-Responsive Oral Nano-Amifostine Enables Colorectal-Specific Radioprotection and Tumor Immunity via Gut Microenvironment Reprogramming</w:t>
      </w:r>
    </w:p>
    <w:p w14:paraId="5940A4A8">
      <w:pPr>
        <w:shd w:val="clear"/>
        <w:spacing w:line="360" w:lineRule="auto"/>
        <w:rPr>
          <w:rFonts w:ascii="Times New Roman" w:hAnsi="Times New Roman" w:cs="Times New Roman"/>
          <w:color w:val="auto"/>
          <w:sz w:val="21"/>
          <w:szCs w:val="21"/>
          <w:highlight w:val="none"/>
          <w:vertAlign w:val="superscript"/>
        </w:rPr>
      </w:pPr>
      <w:r>
        <w:rPr>
          <w:rFonts w:hint="eastAsia" w:ascii="Times New Roman" w:hAnsi="Times New Roman" w:cs="Times New Roman"/>
          <w:color w:val="auto"/>
          <w:sz w:val="21"/>
          <w:szCs w:val="21"/>
          <w:highlight w:val="none"/>
          <w:vertAlign w:val="baseline"/>
          <w:lang w:val="en-US" w:eastAsia="zh-CN"/>
        </w:rPr>
        <w:t>Kaichao Song</w:t>
      </w:r>
      <w:r>
        <w:rPr>
          <w:rFonts w:ascii="Times New Roman" w:hAnsi="Times New Roman" w:cs="Times New Roman"/>
          <w:color w:val="auto"/>
          <w:sz w:val="21"/>
          <w:szCs w:val="21"/>
          <w:highlight w:val="none"/>
          <w:vertAlign w:val="superscript"/>
        </w:rPr>
        <w:t>1</w:t>
      </w:r>
      <w:r>
        <w:rPr>
          <w:rFonts w:hint="eastAsia" w:ascii="Times New Roman" w:hAnsi="Times New Roman" w:cs="Times New Roman"/>
          <w:color w:val="auto"/>
          <w:sz w:val="21"/>
          <w:szCs w:val="21"/>
          <w:highlight w:val="none"/>
          <w:vertAlign w:val="superscript"/>
          <w:lang w:val="en-US" w:eastAsia="zh-CN"/>
        </w:rPr>
        <w:t>,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Ling Ren</w:t>
      </w:r>
      <w:r>
        <w:rPr>
          <w:rFonts w:ascii="Times New Roman" w:hAnsi="Times New Roman" w:cs="Times New Roman"/>
          <w:color w:val="auto"/>
          <w:sz w:val="21"/>
          <w:szCs w:val="21"/>
          <w:highlight w:val="none"/>
          <w:vertAlign w:val="superscript"/>
        </w:rPr>
        <w:t>1</w:t>
      </w:r>
      <w:r>
        <w:rPr>
          <w:rFonts w:hint="eastAsia" w:ascii="Times New Roman" w:hAnsi="Times New Roman" w:cs="Times New Roman"/>
          <w:color w:val="auto"/>
          <w:sz w:val="21"/>
          <w:szCs w:val="21"/>
          <w:highlight w:val="none"/>
          <w:vertAlign w:val="superscript"/>
          <w:lang w:val="en-US" w:eastAsia="zh-CN"/>
        </w:rPr>
        <w:t>,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Xiuping Guo</w:t>
      </w:r>
      <w:r>
        <w:rPr>
          <w:rFonts w:ascii="Times New Roman" w:hAnsi="Times New Roman" w:cs="Times New Roman"/>
          <w:color w:val="auto"/>
          <w:sz w:val="21"/>
          <w:szCs w:val="21"/>
          <w:highlight w:val="none"/>
          <w:vertAlign w:val="superscript"/>
        </w:rPr>
        <w:t>1</w:t>
      </w:r>
      <w:r>
        <w:rPr>
          <w:rFonts w:hint="eastAsia" w:ascii="Times New Roman" w:hAnsi="Times New Roman" w:cs="Times New Roman"/>
          <w:color w:val="auto"/>
          <w:sz w:val="21"/>
          <w:szCs w:val="21"/>
          <w:highlight w:val="none"/>
          <w:vertAlign w:val="superscript"/>
          <w:lang w:val="en-US" w:eastAsia="zh-CN"/>
        </w:rPr>
        <w:t>, #</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Gang Ren</w:t>
      </w:r>
      <w:r>
        <w:rPr>
          <w:rFonts w:ascii="Times New Roman" w:hAnsi="Times New Roman" w:cs="Times New Roman"/>
          <w:color w:val="auto"/>
          <w:sz w:val="21"/>
          <w:szCs w:val="21"/>
          <w:highlight w:val="none"/>
          <w:vertAlign w:val="superscript"/>
        </w:rPr>
        <w:t>1</w:t>
      </w:r>
      <w:r>
        <w:rPr>
          <w:rFonts w:hint="eastAsia" w:ascii="Times New Roman" w:hAnsi="Times New Roman" w:cs="Times New Roman"/>
          <w:color w:val="auto"/>
          <w:sz w:val="21"/>
          <w:szCs w:val="21"/>
          <w:highlight w:val="none"/>
          <w:vertAlign w:val="superscript"/>
          <w:lang w:val="en-US" w:eastAsia="zh-CN"/>
        </w:rPr>
        <w:t>, #</w:t>
      </w:r>
      <w:r>
        <w:rPr>
          <w:rFonts w:ascii="Times New Roman" w:hAnsi="Times New Roman" w:cs="Times New Roman"/>
          <w:color w:val="auto"/>
          <w:sz w:val="21"/>
          <w:szCs w:val="21"/>
          <w:highlight w:val="none"/>
        </w:rPr>
        <w:t xml:space="preserve">, </w:t>
      </w:r>
      <w:r>
        <w:rPr>
          <w:rStyle w:val="30"/>
          <w:rFonts w:hint="eastAsia" w:ascii="Times New Roman" w:hAnsi="Times New Roman"/>
          <w:bCs/>
          <w:color w:val="auto"/>
          <w:sz w:val="21"/>
          <w:szCs w:val="21"/>
        </w:rPr>
        <w:t>Yan</w:t>
      </w:r>
      <w:r>
        <w:rPr>
          <w:rStyle w:val="30"/>
          <w:rFonts w:hint="eastAsia"/>
          <w:bCs/>
          <w:sz w:val="21"/>
          <w:szCs w:val="21"/>
        </w:rPr>
        <w:t>an Sun</w:t>
      </w:r>
      <w:r>
        <w:rPr>
          <w:rStyle w:val="30"/>
          <w:rFonts w:ascii="Times New Roman" w:hAnsi="Times New Roman"/>
          <w:bCs/>
          <w:color w:val="auto"/>
          <w:sz w:val="21"/>
          <w:szCs w:val="21"/>
          <w:vertAlign w:val="superscript"/>
        </w:rPr>
        <w:t>1</w:t>
      </w:r>
      <w:r>
        <w:rPr>
          <w:rFonts w:ascii="Times New Roman" w:hAnsi="Times New Roman" w:cs="Times New Roman"/>
          <w:color w:val="auto"/>
          <w:sz w:val="21"/>
          <w:szCs w:val="21"/>
          <w:highlight w:val="none"/>
        </w:rPr>
        <w:t xml:space="preserve">, </w:t>
      </w:r>
      <w:r>
        <w:rPr>
          <w:rStyle w:val="30"/>
          <w:rFonts w:hint="eastAsia" w:ascii="Times New Roman" w:hAnsi="Times New Roman"/>
          <w:bCs/>
          <w:color w:val="auto"/>
          <w:sz w:val="21"/>
          <w:szCs w:val="21"/>
        </w:rPr>
        <w:t>XiaoLian Tian</w:t>
      </w:r>
      <w:r>
        <w:rPr>
          <w:rStyle w:val="30"/>
          <w:rFonts w:ascii="Times New Roman" w:hAnsi="Times New Roman"/>
          <w:bCs/>
          <w:color w:val="auto"/>
          <w:sz w:val="21"/>
          <w:szCs w:val="21"/>
          <w:vertAlign w:val="superscript"/>
        </w:rPr>
        <w:t>1</w:t>
      </w:r>
      <w:r>
        <w:rPr>
          <w:rFonts w:ascii="Times New Roman" w:hAnsi="Times New Roman" w:cs="Times New Roman"/>
          <w:color w:val="auto"/>
          <w:sz w:val="21"/>
          <w:szCs w:val="21"/>
          <w:highlight w:val="none"/>
        </w:rPr>
        <w:t xml:space="preserve">, </w:t>
      </w:r>
      <w:r>
        <w:rPr>
          <w:rStyle w:val="30"/>
          <w:rFonts w:hint="eastAsia" w:ascii="Times New Roman" w:hAnsi="Times New Roman"/>
          <w:bCs/>
          <w:color w:val="auto"/>
          <w:sz w:val="21"/>
          <w:szCs w:val="21"/>
        </w:rPr>
        <w:t>Chujuan Hu</w:t>
      </w:r>
      <w:r>
        <w:rPr>
          <w:rStyle w:val="30"/>
          <w:rFonts w:ascii="Times New Roman" w:hAnsi="Times New Roman"/>
          <w:bCs/>
          <w:color w:val="auto"/>
          <w:sz w:val="21"/>
          <w:szCs w:val="21"/>
          <w:vertAlign w:val="superscript"/>
        </w:rPr>
        <w:t>1</w:t>
      </w:r>
      <w:r>
        <w:rPr>
          <w:rFonts w:ascii="Times New Roman" w:hAnsi="Times New Roman" w:cs="Times New Roman"/>
          <w:color w:val="auto"/>
          <w:sz w:val="21"/>
          <w:szCs w:val="21"/>
          <w:highlight w:val="none"/>
        </w:rPr>
        <w:t xml:space="preserve">, </w:t>
      </w:r>
      <w:r>
        <w:rPr>
          <w:rStyle w:val="30"/>
          <w:rFonts w:hint="eastAsia" w:ascii="Times New Roman" w:hAnsi="Times New Roman"/>
          <w:bCs/>
          <w:color w:val="auto"/>
          <w:sz w:val="21"/>
          <w:szCs w:val="21"/>
        </w:rPr>
        <w:t>M</w:t>
      </w:r>
      <w:r>
        <w:rPr>
          <w:rStyle w:val="30"/>
          <w:rFonts w:ascii="Times New Roman" w:hAnsi="Times New Roman"/>
          <w:bCs/>
          <w:color w:val="auto"/>
          <w:sz w:val="21"/>
          <w:szCs w:val="21"/>
        </w:rPr>
        <w:t>ingyu Pan</w:t>
      </w:r>
      <w:r>
        <w:rPr>
          <w:rStyle w:val="30"/>
          <w:rFonts w:hint="eastAsia" w:ascii="Times New Roman" w:hAnsi="Times New Roman"/>
          <w:bCs/>
          <w:color w:val="auto"/>
          <w:sz w:val="21"/>
          <w:szCs w:val="21"/>
          <w:vertAlign w:val="superscript"/>
        </w:rPr>
        <w:t>2</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 xml:space="preserve"> </w:t>
      </w:r>
      <w:r>
        <w:rPr>
          <w:rStyle w:val="30"/>
          <w:rFonts w:hint="eastAsia" w:ascii="Times New Roman" w:hAnsi="Times New Roman"/>
          <w:bCs/>
          <w:color w:val="auto"/>
          <w:sz w:val="21"/>
          <w:szCs w:val="21"/>
        </w:rPr>
        <w:t>Quanyong Yu</w:t>
      </w:r>
      <w:r>
        <w:rPr>
          <w:rStyle w:val="30"/>
          <w:rFonts w:hint="eastAsia" w:ascii="Times New Roman" w:hAnsi="Times New Roman"/>
          <w:bCs/>
          <w:color w:val="auto"/>
          <w:sz w:val="21"/>
          <w:szCs w:val="21"/>
          <w:vertAlign w:val="superscript"/>
        </w:rPr>
        <w:t>3</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Zhigang Luo</w:t>
      </w:r>
      <w:r>
        <w:rPr>
          <w:rFonts w:hint="eastAsia" w:ascii="Times New Roman" w:hAnsi="Times New Roman" w:cs="Times New Roman"/>
          <w:color w:val="auto"/>
          <w:sz w:val="21"/>
          <w:szCs w:val="21"/>
          <w:highlight w:val="none"/>
          <w:vertAlign w:val="superscript"/>
          <w:lang w:val="en-US" w:eastAsia="zh-CN"/>
        </w:rPr>
        <w:t>5</w:t>
      </w:r>
      <w:r>
        <w:rPr>
          <w:rFonts w:hint="eastAsia" w:ascii="Times New Roman" w:hAnsi="Times New Roman" w:cs="Times New Roman"/>
          <w:color w:val="auto"/>
          <w:sz w:val="21"/>
          <w:szCs w:val="21"/>
          <w:highlight w:val="none"/>
          <w:lang w:val="en-US" w:eastAsia="zh-CN"/>
        </w:rPr>
        <w:t>,</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Yumei Hao</w:t>
      </w:r>
      <w:r>
        <w:rPr>
          <w:rFonts w:hint="eastAsia" w:ascii="Times New Roman" w:hAnsi="Times New Roman" w:cs="Times New Roman"/>
          <w:color w:val="auto"/>
          <w:sz w:val="21"/>
          <w:szCs w:val="21"/>
          <w:highlight w:val="none"/>
          <w:vertAlign w:val="superscript"/>
          <w:lang w:val="en-US" w:eastAsia="zh-CN"/>
        </w:rPr>
        <w:t>5</w:t>
      </w:r>
      <w:r>
        <w:rPr>
          <w:rFonts w:hint="eastAsia" w:ascii="Times New Roman" w:hAnsi="Times New Roman" w:cs="Times New Roman"/>
          <w:color w:val="auto"/>
          <w:sz w:val="21"/>
          <w:szCs w:val="21"/>
          <w:highlight w:val="none"/>
          <w:lang w:val="en-US" w:eastAsia="zh-CN"/>
        </w:rPr>
        <w:t>, Peng Lei</w:t>
      </w:r>
      <w:r>
        <w:rPr>
          <w:rFonts w:hint="eastAsia" w:ascii="Times New Roman" w:hAnsi="Times New Roman" w:cs="Times New Roman"/>
          <w:color w:val="auto"/>
          <w:sz w:val="21"/>
          <w:szCs w:val="21"/>
          <w:highlight w:val="none"/>
          <w:vertAlign w:val="superscript"/>
          <w:lang w:val="en-US" w:eastAsia="zh-CN"/>
        </w:rPr>
        <w:t>5</w:t>
      </w:r>
      <w:r>
        <w:rPr>
          <w:rFonts w:hint="eastAsia" w:ascii="Times New Roman" w:hAnsi="Times New Roman" w:cs="Times New Roman"/>
          <w:color w:val="auto"/>
          <w:sz w:val="21"/>
          <w:szCs w:val="21"/>
          <w:highlight w:val="none"/>
          <w:lang w:val="en-US" w:eastAsia="zh-CN"/>
        </w:rPr>
        <w:t xml:space="preserve">, </w:t>
      </w:r>
      <w:r>
        <w:rPr>
          <w:rStyle w:val="30"/>
          <w:rFonts w:hint="eastAsia" w:ascii="Times New Roman" w:hAnsi="Times New Roman"/>
          <w:bCs/>
          <w:color w:val="auto"/>
          <w:sz w:val="21"/>
          <w:szCs w:val="21"/>
        </w:rPr>
        <w:t>Haoyang Yu</w:t>
      </w:r>
      <w:r>
        <w:rPr>
          <w:rStyle w:val="30"/>
          <w:rFonts w:ascii="Times New Roman" w:hAnsi="Times New Roman"/>
          <w:bCs/>
          <w:color w:val="auto"/>
          <w:sz w:val="21"/>
          <w:szCs w:val="21"/>
          <w:vertAlign w:val="superscript"/>
        </w:rPr>
        <w:t>1</w:t>
      </w:r>
      <w:r>
        <w:rPr>
          <w:rFonts w:ascii="Times New Roman" w:hAnsi="Times New Roman" w:cs="Times New Roman"/>
          <w:color w:val="auto"/>
          <w:sz w:val="21"/>
          <w:szCs w:val="21"/>
          <w:highlight w:val="none"/>
        </w:rPr>
        <w:t xml:space="preserve">, </w:t>
      </w:r>
      <w:r>
        <w:rPr>
          <w:rStyle w:val="30"/>
          <w:rFonts w:hint="eastAsia" w:ascii="Times New Roman" w:hAnsi="Times New Roman"/>
          <w:bCs/>
          <w:color w:val="auto"/>
          <w:sz w:val="21"/>
          <w:szCs w:val="21"/>
        </w:rPr>
        <w:t>Sit</w:t>
      </w:r>
      <w:r>
        <w:rPr>
          <w:rStyle w:val="30"/>
          <w:rFonts w:hint="eastAsia"/>
          <w:bCs/>
          <w:sz w:val="21"/>
          <w:szCs w:val="21"/>
        </w:rPr>
        <w:t>ong Yang</w:t>
      </w:r>
      <w:r>
        <w:rPr>
          <w:rStyle w:val="30"/>
          <w:rFonts w:ascii="Times New Roman" w:hAnsi="Times New Roman"/>
          <w:bCs/>
          <w:color w:val="auto"/>
          <w:sz w:val="21"/>
          <w:szCs w:val="21"/>
          <w:vertAlign w:val="superscript"/>
        </w:rPr>
        <w:t>1</w:t>
      </w:r>
      <w:r>
        <w:rPr>
          <w:rFonts w:ascii="Times New Roman" w:hAnsi="Times New Roman" w:cs="Times New Roman"/>
          <w:color w:val="auto"/>
          <w:sz w:val="21"/>
          <w:szCs w:val="21"/>
          <w:highlight w:val="none"/>
        </w:rPr>
        <w:t xml:space="preserve">, </w:t>
      </w:r>
      <w:r>
        <w:rPr>
          <w:rStyle w:val="30"/>
          <w:rFonts w:hint="eastAsia" w:ascii="Times New Roman" w:hAnsi="Times New Roman"/>
          <w:bCs/>
          <w:color w:val="auto"/>
          <w:sz w:val="21"/>
          <w:szCs w:val="21"/>
        </w:rPr>
        <w:t>Qingb</w:t>
      </w:r>
      <w:r>
        <w:rPr>
          <w:rStyle w:val="30"/>
          <w:rFonts w:hint="eastAsia"/>
          <w:bCs/>
          <w:sz w:val="21"/>
          <w:szCs w:val="21"/>
        </w:rPr>
        <w:t>o Chen</w:t>
      </w:r>
      <w:r>
        <w:rPr>
          <w:rStyle w:val="30"/>
          <w:rFonts w:ascii="Times New Roman" w:hAnsi="Times New Roman"/>
          <w:bCs/>
          <w:color w:val="auto"/>
          <w:sz w:val="21"/>
          <w:szCs w:val="21"/>
          <w:vertAlign w:val="superscript"/>
        </w:rPr>
        <w:t>1</w:t>
      </w:r>
      <w:r>
        <w:rPr>
          <w:rFonts w:ascii="Times New Roman" w:hAnsi="Times New Roman" w:cs="Times New Roman"/>
          <w:color w:val="auto"/>
          <w:sz w:val="21"/>
          <w:szCs w:val="21"/>
          <w:highlight w:val="none"/>
        </w:rPr>
        <w:t>,</w:t>
      </w:r>
      <w:r>
        <w:rPr>
          <w:rFonts w:hint="eastAsia" w:ascii="Times New Roman" w:hAnsi="Times New Roman" w:cs="Times New Roman"/>
          <w:color w:val="auto"/>
          <w:sz w:val="21"/>
          <w:szCs w:val="21"/>
          <w:highlight w:val="none"/>
          <w:lang w:val="en-US" w:eastAsia="zh-CN"/>
        </w:rPr>
        <w:t xml:space="preserve"> Yuanbin Li</w:t>
      </w:r>
      <w:r>
        <w:rPr>
          <w:rStyle w:val="30"/>
          <w:rFonts w:ascii="Times New Roman" w:hAnsi="Times New Roman"/>
          <w:bCs/>
          <w:color w:val="auto"/>
          <w:sz w:val="21"/>
          <w:szCs w:val="21"/>
          <w:vertAlign w:val="superscript"/>
        </w:rPr>
        <w:t>1</w:t>
      </w:r>
      <w:r>
        <w:rPr>
          <w:rFonts w:hint="eastAsia" w:ascii="Times New Roman" w:hAnsi="Times New Roman" w:cs="Times New Roman"/>
          <w:color w:val="auto"/>
          <w:sz w:val="21"/>
          <w:szCs w:val="21"/>
          <w:highlight w:val="none"/>
          <w:lang w:val="en-US" w:eastAsia="zh-CN"/>
        </w:rPr>
        <w:t>, Shan Wang</w:t>
      </w:r>
      <w:r>
        <w:rPr>
          <w:rStyle w:val="30"/>
          <w:rFonts w:ascii="Times New Roman" w:hAnsi="Times New Roman"/>
          <w:bCs/>
          <w:color w:val="auto"/>
          <w:sz w:val="21"/>
          <w:szCs w:val="21"/>
          <w:vertAlign w:val="superscript"/>
        </w:rPr>
        <w:t>1</w:t>
      </w:r>
      <w:r>
        <w:rPr>
          <w:rFonts w:hint="eastAsia" w:ascii="Times New Roman" w:hAnsi="Times New Roman" w:cs="Times New Roman"/>
          <w:color w:val="auto"/>
          <w:sz w:val="21"/>
          <w:szCs w:val="21"/>
          <w:highlight w:val="none"/>
          <w:lang w:val="en-US" w:eastAsia="zh-CN"/>
        </w:rPr>
        <w:t xml:space="preserve">, </w:t>
      </w:r>
      <w:r>
        <w:rPr>
          <w:rStyle w:val="30"/>
          <w:rFonts w:hint="eastAsia" w:ascii="Times New Roman" w:hAnsi="Times New Roman"/>
          <w:bCs/>
          <w:color w:val="auto"/>
          <w:sz w:val="21"/>
          <w:szCs w:val="21"/>
        </w:rPr>
        <w:t xml:space="preserve">Yingying </w:t>
      </w:r>
      <w:r>
        <w:rPr>
          <w:rStyle w:val="30"/>
          <w:rFonts w:hint="eastAsia"/>
          <w:bCs/>
          <w:sz w:val="21"/>
          <w:szCs w:val="21"/>
          <w:lang w:val="en-US" w:eastAsia="zh-CN"/>
        </w:rPr>
        <w:t>He</w:t>
      </w:r>
      <w:r>
        <w:rPr>
          <w:rStyle w:val="30"/>
          <w:rFonts w:ascii="Times New Roman" w:hAnsi="Times New Roman"/>
          <w:bCs/>
          <w:color w:val="auto"/>
          <w:sz w:val="21"/>
          <w:szCs w:val="21"/>
          <w:vertAlign w:val="superscript"/>
        </w:rPr>
        <w:t>1</w:t>
      </w:r>
      <w:r>
        <w:rPr>
          <w:rStyle w:val="30"/>
          <w:rFonts w:hint="eastAsia" w:ascii="Times New Roman" w:hAnsi="Times New Roman"/>
          <w:bCs/>
          <w:color w:val="auto"/>
          <w:sz w:val="21"/>
          <w:szCs w:val="21"/>
          <w:vertAlign w:val="baseline"/>
          <w:lang w:val="en-US" w:eastAsia="zh-CN"/>
        </w:rPr>
        <w:t>, Zhouguang Hui</w:t>
      </w:r>
      <w:r>
        <w:rPr>
          <w:rFonts w:hint="eastAsia" w:ascii="Times New Roman" w:hAnsi="Times New Roman" w:cs="Times New Roman"/>
          <w:color w:val="auto"/>
          <w:sz w:val="21"/>
          <w:szCs w:val="21"/>
          <w:highlight w:val="none"/>
          <w:vertAlign w:val="superscript"/>
          <w:lang w:val="en-US" w:eastAsia="zh-CN"/>
        </w:rPr>
        <w:t xml:space="preserve">4, </w:t>
      </w:r>
      <w:r>
        <w:rPr>
          <w:rFonts w:ascii="Times New Roman" w:hAnsi="Times New Roman" w:cs="Times New Roman"/>
          <w:color w:val="auto"/>
          <w:sz w:val="21"/>
          <w:szCs w:val="21"/>
          <w:highlight w:val="none"/>
          <w:vertAlign w:val="superscript"/>
        </w:rPr>
        <w:t>*</w:t>
      </w:r>
      <w:r>
        <w:rPr>
          <w:rStyle w:val="30"/>
          <w:rFonts w:hint="eastAsia" w:ascii="Times New Roman" w:hAnsi="Times New Roman"/>
          <w:bCs/>
          <w:color w:val="auto"/>
          <w:sz w:val="21"/>
          <w:szCs w:val="21"/>
          <w:vertAlign w:val="baseline"/>
          <w:lang w:val="en-US" w:eastAsia="zh-CN"/>
        </w:rPr>
        <w:t>, Wensheng Zheng</w:t>
      </w:r>
      <w:r>
        <w:rPr>
          <w:rFonts w:hint="eastAsia" w:ascii="Times New Roman" w:hAnsi="Times New Roman" w:cs="Times New Roman"/>
          <w:color w:val="auto"/>
          <w:sz w:val="21"/>
          <w:szCs w:val="21"/>
          <w:highlight w:val="none"/>
          <w:vertAlign w:val="superscript"/>
          <w:lang w:val="en-US" w:eastAsia="zh-CN"/>
        </w:rPr>
        <w:t xml:space="preserve">5, </w:t>
      </w:r>
      <w:r>
        <w:rPr>
          <w:rFonts w:ascii="Times New Roman" w:hAnsi="Times New Roman" w:cs="Times New Roman"/>
          <w:color w:val="auto"/>
          <w:sz w:val="21"/>
          <w:szCs w:val="21"/>
          <w:highlight w:val="none"/>
          <w:vertAlign w:val="superscript"/>
        </w:rPr>
        <w:t>*</w:t>
      </w:r>
      <w:r>
        <w:rPr>
          <w:rStyle w:val="30"/>
          <w:rFonts w:hint="eastAsia" w:ascii="Times New Roman" w:hAnsi="Times New Roman"/>
          <w:bCs/>
          <w:color w:val="auto"/>
          <w:sz w:val="21"/>
          <w:szCs w:val="21"/>
          <w:vertAlign w:val="baseline"/>
          <w:lang w:val="en-US" w:eastAsia="zh-CN"/>
        </w:rPr>
        <w:t xml:space="preserve">, </w:t>
      </w:r>
      <w:r>
        <w:rPr>
          <w:rFonts w:hint="eastAsia" w:ascii="Times New Roman" w:hAnsi="Times New Roman" w:cs="Times New Roman"/>
          <w:color w:val="auto"/>
          <w:sz w:val="21"/>
          <w:szCs w:val="21"/>
          <w:highlight w:val="none"/>
          <w:lang w:val="en-US" w:eastAsia="zh-CN"/>
        </w:rPr>
        <w:t>Jiandong Jiang</w:t>
      </w:r>
      <w:r>
        <w:rPr>
          <w:rFonts w:hint="eastAsia" w:ascii="Times New Roman" w:hAnsi="Times New Roman" w:cs="Times New Roman"/>
          <w:color w:val="auto"/>
          <w:sz w:val="21"/>
          <w:szCs w:val="21"/>
          <w:highlight w:val="none"/>
          <w:vertAlign w:val="superscript"/>
          <w:lang w:val="en-US" w:eastAsia="zh-CN"/>
        </w:rPr>
        <w:t xml:space="preserve">1, </w:t>
      </w:r>
      <w:r>
        <w:rPr>
          <w:rFonts w:ascii="Times New Roman" w:hAnsi="Times New Roman" w:cs="Times New Roman"/>
          <w:color w:val="auto"/>
          <w:sz w:val="21"/>
          <w:szCs w:val="21"/>
          <w:highlight w:val="none"/>
          <w:vertAlign w:val="superscript"/>
        </w:rPr>
        <w:t>*</w:t>
      </w:r>
      <w:r>
        <w:rPr>
          <w:rFonts w:ascii="Times New Roman" w:hAnsi="Times New Roman" w:cs="Times New Roman"/>
          <w:color w:val="auto"/>
          <w:sz w:val="21"/>
          <w:szCs w:val="21"/>
          <w:highlight w:val="none"/>
        </w:rPr>
        <w:t xml:space="preserve">, </w:t>
      </w:r>
      <w:r>
        <w:rPr>
          <w:rFonts w:hint="eastAsia" w:ascii="Times New Roman" w:hAnsi="Times New Roman" w:cs="Times New Roman"/>
          <w:color w:val="auto"/>
          <w:sz w:val="21"/>
          <w:szCs w:val="21"/>
          <w:highlight w:val="none"/>
          <w:lang w:val="en-US" w:eastAsia="zh-CN"/>
        </w:rPr>
        <w:t>Lulu Wang</w:t>
      </w:r>
      <w:r>
        <w:rPr>
          <w:rFonts w:ascii="Times New Roman" w:hAnsi="Times New Roman" w:cs="Times New Roman"/>
          <w:color w:val="auto"/>
          <w:sz w:val="21"/>
          <w:szCs w:val="21"/>
          <w:highlight w:val="none"/>
          <w:vertAlign w:val="superscript"/>
        </w:rPr>
        <w:t>1</w:t>
      </w:r>
      <w:r>
        <w:rPr>
          <w:rFonts w:hint="eastAsia" w:ascii="Times New Roman" w:hAnsi="Times New Roman" w:cs="Times New Roman"/>
          <w:color w:val="auto"/>
          <w:sz w:val="21"/>
          <w:szCs w:val="21"/>
          <w:highlight w:val="none"/>
          <w:vertAlign w:val="superscript"/>
          <w:lang w:val="en-US" w:eastAsia="zh-CN"/>
        </w:rPr>
        <w:t xml:space="preserve">, </w:t>
      </w:r>
      <w:r>
        <w:rPr>
          <w:rFonts w:ascii="Times New Roman" w:hAnsi="Times New Roman" w:cs="Times New Roman"/>
          <w:color w:val="auto"/>
          <w:sz w:val="21"/>
          <w:szCs w:val="21"/>
          <w:highlight w:val="none"/>
          <w:vertAlign w:val="superscript"/>
        </w:rPr>
        <w:t>*</w:t>
      </w:r>
    </w:p>
    <w:p w14:paraId="317C28A7">
      <w:pPr>
        <w:shd w:val="clear"/>
        <w:spacing w:line="360" w:lineRule="auto"/>
        <w:rPr>
          <w:rFonts w:ascii="Times New Roman" w:hAnsi="Times New Roman" w:cs="Times New Roman"/>
          <w:color w:val="auto"/>
          <w:sz w:val="21"/>
          <w:szCs w:val="21"/>
          <w:highlight w:val="none"/>
          <w:vertAlign w:val="superscript"/>
        </w:rPr>
      </w:pPr>
    </w:p>
    <w:p w14:paraId="6294DF90">
      <w:pPr>
        <w:shd w:val="clear"/>
        <w:spacing w:line="360" w:lineRule="auto"/>
        <w:rPr>
          <w:rFonts w:hint="eastAsia"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 xml:space="preserve">1. </w:t>
      </w:r>
      <w:r>
        <w:rPr>
          <w:rFonts w:hint="eastAsia" w:ascii="Times New Roman" w:hAnsi="Times New Roman" w:cs="Times New Roman"/>
          <w:color w:val="auto"/>
          <w:sz w:val="21"/>
          <w:szCs w:val="21"/>
          <w:highlight w:val="none"/>
        </w:rPr>
        <w:t>State Key Laboratory of Bioactive Substance and Function of Natural Medicines, Institute of Medicinal Biotechnology, Chinese Academy of Medical Sciences &amp; Peking Union Medical College, Beijing 100050, China</w:t>
      </w:r>
    </w:p>
    <w:p w14:paraId="1F781530">
      <w:pPr>
        <w:shd w:val="clear"/>
        <w:spacing w:line="360" w:lineRule="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 xml:space="preserve">2. </w:t>
      </w:r>
      <w:r>
        <w:rPr>
          <w:rFonts w:hint="eastAsia" w:ascii="Times New Roman" w:hAnsi="Times New Roman" w:cs="Times New Roman"/>
          <w:color w:val="auto"/>
          <w:sz w:val="21"/>
          <w:szCs w:val="21"/>
          <w:highlight w:val="none"/>
        </w:rPr>
        <w:t>University of California, Riverside, Riverside, CA 92521, USA</w:t>
      </w:r>
    </w:p>
    <w:p w14:paraId="540326FF">
      <w:pPr>
        <w:shd w:val="clear"/>
        <w:spacing w:line="360" w:lineRule="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 xml:space="preserve">3. </w:t>
      </w:r>
      <w:r>
        <w:rPr>
          <w:rFonts w:hint="eastAsia" w:ascii="Times New Roman" w:hAnsi="Times New Roman" w:cs="Times New Roman"/>
          <w:color w:val="auto"/>
          <w:sz w:val="21"/>
          <w:szCs w:val="21"/>
          <w:highlight w:val="none"/>
        </w:rPr>
        <w:t>China Pharmaceutical University, Nanjing 211112, China</w:t>
      </w:r>
    </w:p>
    <w:p w14:paraId="7BAC3DA0">
      <w:pPr>
        <w:shd w:val="clear"/>
        <w:spacing w:line="360" w:lineRule="auto"/>
        <w:rPr>
          <w:rFonts w:hint="eastAsia" w:ascii="Times New Roman" w:hAnsi="Times New Roman" w:cs="Times New Roman"/>
          <w:color w:val="auto"/>
          <w:sz w:val="21"/>
          <w:szCs w:val="21"/>
          <w:highlight w:val="none"/>
        </w:rPr>
      </w:pPr>
      <w:r>
        <w:rPr>
          <w:rFonts w:hint="eastAsia" w:ascii="Times New Roman" w:hAnsi="Times New Roman" w:cs="Times New Roman"/>
          <w:color w:val="auto"/>
          <w:sz w:val="21"/>
          <w:szCs w:val="21"/>
          <w:highlight w:val="none"/>
          <w:lang w:val="en-US" w:eastAsia="zh-CN"/>
        </w:rPr>
        <w:t xml:space="preserve">4. </w:t>
      </w:r>
      <w:r>
        <w:rPr>
          <w:rFonts w:hint="eastAsia" w:ascii="Times New Roman" w:hAnsi="Times New Roman" w:cs="Times New Roman"/>
          <w:color w:val="auto"/>
          <w:sz w:val="21"/>
          <w:szCs w:val="21"/>
          <w:highlight w:val="none"/>
        </w:rPr>
        <w:t>Department of VIP Medical Services, National Cancer Center/National Clinical Research Center for Cancer/Cancer Hospital, Chinese Academy of Medical Sciences &amp; Peking Union Medical College, Beijing 100021, China</w:t>
      </w:r>
    </w:p>
    <w:p w14:paraId="205EE5D5">
      <w:pPr>
        <w:shd w:val="clear"/>
        <w:spacing w:line="360" w:lineRule="auto"/>
        <w:rPr>
          <w:rFonts w:ascii="Times New Roman" w:hAnsi="Times New Roman" w:cs="Times New Roman"/>
          <w:color w:val="auto"/>
          <w:szCs w:val="21"/>
          <w:highlight w:val="none"/>
        </w:rPr>
      </w:pPr>
      <w:r>
        <w:rPr>
          <w:rFonts w:hint="eastAsia" w:ascii="Times New Roman" w:hAnsi="Times New Roman" w:cs="Times New Roman"/>
          <w:color w:val="auto"/>
          <w:sz w:val="21"/>
          <w:szCs w:val="21"/>
          <w:highlight w:val="none"/>
          <w:lang w:val="en-US" w:eastAsia="zh-CN"/>
        </w:rPr>
        <w:t xml:space="preserve">5. </w:t>
      </w:r>
      <w:r>
        <w:rPr>
          <w:rFonts w:hint="eastAsia" w:ascii="Times New Roman" w:hAnsi="Times New Roman" w:cs="Times New Roman"/>
          <w:color w:val="auto"/>
          <w:sz w:val="21"/>
          <w:szCs w:val="21"/>
          <w:highlight w:val="none"/>
        </w:rPr>
        <w:t>Institute of Materia Medica, Chinese Academy of Medical Sciences &amp; Peking Union Medical College, Beijing 100050, China</w:t>
      </w:r>
      <w:r>
        <w:rPr>
          <w:rFonts w:hint="eastAsia" w:ascii="Times New Roman" w:hAnsi="Times New Roman" w:cs="Times New Roman"/>
          <w:color w:val="auto"/>
          <w:sz w:val="21"/>
          <w:szCs w:val="21"/>
          <w:highlight w:val="none"/>
          <w:lang w:val="en-US" w:eastAsia="zh-CN"/>
        </w:rPr>
        <w:t>.</w:t>
      </w:r>
      <w:r>
        <w:rPr>
          <w:rFonts w:ascii="Times New Roman" w:hAnsi="Times New Roman" w:cs="Times New Roman"/>
          <w:color w:val="auto"/>
          <w:sz w:val="21"/>
          <w:szCs w:val="21"/>
          <w:highlight w:val="none"/>
        </w:rPr>
        <w:cr/>
      </w:r>
      <w:r>
        <w:rPr>
          <w:rFonts w:ascii="Times New Roman" w:hAnsi="Times New Roman" w:cs="Times New Roman"/>
          <w:color w:val="auto"/>
          <w:szCs w:val="21"/>
          <w:highlight w:val="none"/>
        </w:rPr>
        <w:cr/>
      </w:r>
      <w:r>
        <w:rPr>
          <w:rFonts w:ascii="Times New Roman" w:hAnsi="Times New Roman" w:cs="Times New Roman"/>
          <w:color w:val="auto"/>
          <w:szCs w:val="21"/>
          <w:highlight w:val="none"/>
        </w:rPr>
        <w:t xml:space="preserve">*Correspondence: </w:t>
      </w:r>
    </w:p>
    <w:p w14:paraId="736BFC38">
      <w:pPr>
        <w:shd w:val="clear"/>
        <w:spacing w:line="360" w:lineRule="auto"/>
        <w:rPr>
          <w:rFonts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Lulu Wang</w:t>
      </w:r>
      <w:r>
        <w:rPr>
          <w:rFonts w:ascii="Times New Roman" w:hAnsi="Times New Roman" w:cs="Times New Roman"/>
          <w:color w:val="auto"/>
          <w:szCs w:val="21"/>
          <w:highlight w:val="none"/>
        </w:rPr>
        <w:t xml:space="preserve">, E-mail: </w:t>
      </w:r>
      <w:r>
        <w:rPr>
          <w:rFonts w:hint="eastAsia" w:ascii="Times New Roman" w:hAnsi="Times New Roman" w:cs="Times New Roman"/>
          <w:color w:val="auto"/>
          <w:szCs w:val="21"/>
          <w:highlight w:val="none"/>
        </w:rPr>
        <w:t>wanglulu@imb.cams.cn</w:t>
      </w:r>
      <w:r>
        <w:rPr>
          <w:rFonts w:ascii="Times New Roman" w:hAnsi="Times New Roman" w:cs="Times New Roman"/>
          <w:color w:val="auto"/>
          <w:szCs w:val="21"/>
          <w:highlight w:val="none"/>
        </w:rPr>
        <w:t>.</w:t>
      </w:r>
    </w:p>
    <w:p w14:paraId="7475F1B3">
      <w:pPr>
        <w:shd w:val="clear"/>
        <w:spacing w:line="360" w:lineRule="auto"/>
        <w:rPr>
          <w:rFonts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Jiandong Jiang</w:t>
      </w:r>
      <w:r>
        <w:rPr>
          <w:rFonts w:ascii="Times New Roman" w:hAnsi="Times New Roman" w:cs="Times New Roman"/>
          <w:color w:val="auto"/>
          <w:szCs w:val="21"/>
          <w:highlight w:val="none"/>
        </w:rPr>
        <w:t xml:space="preserve">, E-mail: </w:t>
      </w:r>
      <w:r>
        <w:rPr>
          <w:rFonts w:hint="eastAsia" w:ascii="Times New Roman" w:hAnsi="Times New Roman" w:cs="Times New Roman"/>
          <w:color w:val="auto"/>
          <w:szCs w:val="21"/>
          <w:highlight w:val="none"/>
        </w:rPr>
        <w:t>jiang.jdong@163.com</w:t>
      </w:r>
      <w:r>
        <w:rPr>
          <w:rFonts w:ascii="Times New Roman" w:hAnsi="Times New Roman" w:cs="Times New Roman"/>
          <w:color w:val="auto"/>
          <w:szCs w:val="21"/>
          <w:highlight w:val="none"/>
        </w:rPr>
        <w:t>.</w:t>
      </w:r>
    </w:p>
    <w:p w14:paraId="2E32C66F">
      <w:pPr>
        <w:shd w:val="clear"/>
        <w:spacing w:line="360" w:lineRule="auto"/>
        <w:rPr>
          <w:rFonts w:ascii="Times New Roman" w:hAnsi="Times New Roman" w:cs="Times New Roman"/>
          <w:color w:val="auto"/>
          <w:szCs w:val="21"/>
          <w:highlight w:val="none"/>
        </w:rPr>
      </w:pPr>
      <w:r>
        <w:rPr>
          <w:rFonts w:hint="eastAsia" w:ascii="Times New Roman" w:hAnsi="Times New Roman" w:cs="Times New Roman"/>
          <w:color w:val="auto"/>
          <w:szCs w:val="21"/>
          <w:highlight w:val="none"/>
          <w:lang w:val="en-US" w:eastAsia="zh-CN"/>
        </w:rPr>
        <w:t>Wensheng Zheng</w:t>
      </w:r>
      <w:r>
        <w:rPr>
          <w:rFonts w:ascii="Times New Roman" w:hAnsi="Times New Roman" w:cs="Times New Roman"/>
          <w:color w:val="auto"/>
          <w:szCs w:val="21"/>
          <w:highlight w:val="none"/>
        </w:rPr>
        <w:t xml:space="preserve">, E-mail: </w:t>
      </w:r>
      <w:r>
        <w:rPr>
          <w:rFonts w:hint="eastAsia" w:ascii="Times New Roman" w:hAnsi="Times New Roman" w:cs="Times New Roman"/>
          <w:color w:val="auto"/>
          <w:szCs w:val="21"/>
          <w:highlight w:val="none"/>
        </w:rPr>
        <w:t>zhengwensheng@imm.ac.cn</w:t>
      </w:r>
      <w:r>
        <w:rPr>
          <w:rFonts w:ascii="Times New Roman" w:hAnsi="Times New Roman" w:cs="Times New Roman"/>
          <w:color w:val="auto"/>
          <w:szCs w:val="21"/>
          <w:highlight w:val="none"/>
        </w:rPr>
        <w:t>.</w:t>
      </w:r>
    </w:p>
    <w:p w14:paraId="04A49603">
      <w:pPr>
        <w:spacing w:line="360" w:lineRule="auto"/>
        <w:rPr>
          <w:rFonts w:ascii="Times New Roman" w:hAnsi="Times New Roman" w:cs="Times New Roman"/>
          <w:color w:val="auto"/>
          <w:highlight w:val="none"/>
        </w:rPr>
      </w:pPr>
      <w:r>
        <w:rPr>
          <w:rFonts w:hint="eastAsia" w:ascii="Times New Roman" w:hAnsi="Times New Roman" w:cs="Times New Roman"/>
          <w:color w:val="auto"/>
          <w:szCs w:val="21"/>
          <w:highlight w:val="none"/>
          <w:lang w:val="en-US" w:eastAsia="zh-CN"/>
        </w:rPr>
        <w:t>Zhouguang Hui</w:t>
      </w:r>
      <w:r>
        <w:rPr>
          <w:rFonts w:ascii="Times New Roman" w:hAnsi="Times New Roman" w:cs="Times New Roman"/>
          <w:color w:val="auto"/>
          <w:szCs w:val="21"/>
          <w:highlight w:val="none"/>
        </w:rPr>
        <w:t xml:space="preserve">, E-mail: </w:t>
      </w:r>
      <w:r>
        <w:rPr>
          <w:rFonts w:hint="eastAsia" w:ascii="Times New Roman" w:hAnsi="Times New Roman" w:cs="Times New Roman"/>
          <w:color w:val="auto"/>
          <w:szCs w:val="21"/>
          <w:highlight w:val="none"/>
        </w:rPr>
        <w:t>drhuizg@163.com</w:t>
      </w:r>
      <w:r>
        <w:rPr>
          <w:rFonts w:ascii="Times New Roman" w:hAnsi="Times New Roman" w:cs="Times New Roman"/>
          <w:color w:val="auto"/>
          <w:szCs w:val="21"/>
          <w:highlight w:val="none"/>
        </w:rPr>
        <w:t>.</w:t>
      </w:r>
      <w:r>
        <w:rPr>
          <w:rFonts w:ascii="Times New Roman" w:hAnsi="Times New Roman" w:cs="Times New Roman"/>
          <w:color w:val="auto"/>
          <w:highlight w:val="none"/>
        </w:rPr>
        <w:br w:type="page"/>
      </w:r>
    </w:p>
    <w:p w14:paraId="391BAA1D">
      <w:pPr>
        <w:pStyle w:val="16"/>
        <w:tabs>
          <w:tab w:val="left" w:pos="6030"/>
        </w:tabs>
        <w:spacing w:line="360" w:lineRule="auto"/>
        <w:jc w:val="left"/>
        <w:rPr>
          <w:rFonts w:ascii="Times New Roman" w:hAnsi="Times New Roman" w:cs="Times New Roman"/>
          <w:b/>
          <w:color w:val="auto"/>
          <w:highlight w:val="none"/>
        </w:rPr>
      </w:pPr>
      <w:r>
        <w:rPr>
          <w:rFonts w:ascii="Times New Roman" w:hAnsi="Times New Roman" w:cs="Times New Roman"/>
          <w:b/>
          <w:color w:val="auto"/>
          <w:highlight w:val="none"/>
        </w:rPr>
        <w:t xml:space="preserve">1 </w:t>
      </w:r>
      <w:r>
        <w:rPr>
          <w:rFonts w:hint="eastAsia" w:ascii="Times New Roman" w:hAnsi="Times New Roman" w:cs="Times New Roman"/>
          <w:b/>
          <w:color w:val="auto"/>
          <w:highlight w:val="none"/>
        </w:rPr>
        <w:t>Materials</w:t>
      </w:r>
    </w:p>
    <w:p w14:paraId="7559E245">
      <w:pPr>
        <w:spacing w:line="360" w:lineRule="auto"/>
        <w:ind w:firstLine="420"/>
        <w:rPr>
          <w:rFonts w:ascii="Times New Roman" w:hAnsi="Times New Roman" w:cs="Times New Roman"/>
          <w:color w:val="auto"/>
          <w:highlight w:val="none"/>
          <w:lang w:bidi="ar"/>
        </w:rPr>
      </w:pPr>
      <w:r>
        <w:rPr>
          <w:rFonts w:hint="eastAsia" w:ascii="Times New Roman" w:hAnsi="Times New Roman" w:cs="Times New Roman"/>
          <w:color w:val="auto"/>
          <w:highlight w:val="none"/>
          <w:lang w:bidi="ar"/>
        </w:rPr>
        <w:t xml:space="preserve">Pectin (PEC) with galacturonic acid ≥74.0% (dried basis) and molecular weight 20,000-40,000 was purchased from Puxitang (Tianjin) Biotechnology Co., LTD. Chitosan (CS) with deacetlylation ≥75.0% and viscosity 20-300 mPas was purchased from Golden-Shell Pharmaceutical Co., Ltd (Zhejiang, China). Amifostine was obtained from Shanghai YaXing Biomedical Technology Co., Ltd (Shanghai, China). Sulfo-cyanine 5 amine was purchased from Wuhan duofluorBioengineering Technology Co., LTD (China). 1-(3-Dimethylaminopropyl)-3-ethylcarbodiimide hydrochloride (EDC·HCl) were purchased from Aladdin. Triethylamine was supplied by Beijing InnoChem Science &amp; Technology Co., Ltd (Beijing, China). </w:t>
      </w:r>
    </w:p>
    <w:p w14:paraId="58BC884A">
      <w:pPr>
        <w:pStyle w:val="16"/>
        <w:tabs>
          <w:tab w:val="left" w:pos="6030"/>
        </w:tabs>
        <w:spacing w:line="360" w:lineRule="auto"/>
        <w:jc w:val="left"/>
        <w:rPr>
          <w:rFonts w:ascii="Times New Roman" w:hAnsi="Times New Roman" w:cs="Times New Roman"/>
          <w:b/>
          <w:color w:val="auto"/>
          <w:highlight w:val="none"/>
        </w:rPr>
      </w:pPr>
      <w:r>
        <w:rPr>
          <w:rFonts w:hint="eastAsia" w:ascii="Times New Roman" w:hAnsi="Times New Roman" w:cs="Times New Roman"/>
          <w:b/>
          <w:color w:val="auto"/>
          <w:highlight w:val="none"/>
        </w:rPr>
        <w:t>2</w:t>
      </w:r>
      <w:r>
        <w:rPr>
          <w:rFonts w:ascii="Times New Roman" w:hAnsi="Times New Roman" w:cs="Times New Roman"/>
          <w:b/>
          <w:color w:val="auto"/>
          <w:highlight w:val="none"/>
        </w:rPr>
        <w:t xml:space="preserve"> Methods</w:t>
      </w:r>
    </w:p>
    <w:p w14:paraId="44BF8E65">
      <w:pPr>
        <w:spacing w:line="360" w:lineRule="auto"/>
        <w:jc w:val="center"/>
        <w:rPr>
          <w:rFonts w:ascii="Times New Roman" w:hAnsi="Times New Roman" w:cs="Times New Roman"/>
          <w:color w:val="auto"/>
          <w:highlight w:val="none"/>
          <w:lang w:bidi="ar"/>
        </w:rPr>
      </w:pPr>
      <w:r>
        <w:rPr>
          <w:rFonts w:hint="eastAsia" w:ascii="Times New Roman" w:hAnsi="Times New Roman" w:cs="Times New Roman"/>
          <w:color w:val="auto"/>
          <w:highlight w:val="none"/>
          <w:lang w:bidi="ar"/>
        </w:rPr>
        <w:t>Table Sup 1 List of antibodies used for immunofluorescence of cell samples</w:t>
      </w:r>
    </w:p>
    <w:tbl>
      <w:tblPr>
        <w:tblStyle w:val="9"/>
        <w:tblW w:w="8329"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522"/>
        <w:gridCol w:w="1560"/>
        <w:gridCol w:w="1860"/>
        <w:gridCol w:w="1352"/>
        <w:gridCol w:w="1035"/>
      </w:tblGrid>
      <w:tr w14:paraId="727F947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22" w:type="dxa"/>
            <w:tcBorders>
              <w:top w:val="single" w:color="auto" w:sz="12" w:space="0"/>
              <w:left w:val="nil"/>
              <w:bottom w:val="single" w:color="auto" w:sz="6" w:space="0"/>
              <w:right w:val="nil"/>
            </w:tcBorders>
            <w:vAlign w:val="center"/>
          </w:tcPr>
          <w:p w14:paraId="42F41869">
            <w:pPr>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A</w:t>
            </w:r>
            <w:r>
              <w:rPr>
                <w:rFonts w:ascii="Times New Roman" w:hAnsi="Times New Roman" w:cs="Times New Roman"/>
                <w:color w:val="auto"/>
                <w:szCs w:val="21"/>
                <w:highlight w:val="none"/>
              </w:rPr>
              <w:t>ntibody</w:t>
            </w:r>
          </w:p>
        </w:tc>
        <w:tc>
          <w:tcPr>
            <w:tcW w:w="1560" w:type="dxa"/>
            <w:tcBorders>
              <w:top w:val="single" w:color="auto" w:sz="12" w:space="0"/>
              <w:left w:val="nil"/>
              <w:bottom w:val="single" w:color="auto" w:sz="6" w:space="0"/>
              <w:right w:val="nil"/>
            </w:tcBorders>
            <w:vAlign w:val="center"/>
          </w:tcPr>
          <w:p w14:paraId="1C08C0AA">
            <w:pPr>
              <w:rPr>
                <w:rFonts w:ascii="Times New Roman" w:hAnsi="Times New Roman" w:cs="Times New Roman"/>
                <w:color w:val="auto"/>
                <w:szCs w:val="21"/>
                <w:highlight w:val="none"/>
              </w:rPr>
            </w:pPr>
            <w:r>
              <w:rPr>
                <w:rFonts w:ascii="Times New Roman" w:hAnsi="Times New Roman" w:cs="Times New Roman"/>
                <w:color w:val="auto"/>
                <w:szCs w:val="21"/>
                <w:highlight w:val="none"/>
              </w:rPr>
              <w:t>Manufacturer</w:t>
            </w:r>
          </w:p>
        </w:tc>
        <w:tc>
          <w:tcPr>
            <w:tcW w:w="1860" w:type="dxa"/>
            <w:tcBorders>
              <w:top w:val="single" w:color="auto" w:sz="12" w:space="0"/>
              <w:left w:val="nil"/>
              <w:bottom w:val="single" w:color="auto" w:sz="6" w:space="0"/>
              <w:right w:val="nil"/>
            </w:tcBorders>
            <w:vAlign w:val="center"/>
          </w:tcPr>
          <w:p w14:paraId="4E945470">
            <w:pPr>
              <w:jc w:val="left"/>
              <w:rPr>
                <w:rFonts w:ascii="Times New Roman" w:hAnsi="Times New Roman" w:eastAsia="AdvOTe4bfdd46" w:cs="Times New Roman"/>
                <w:color w:val="auto"/>
                <w:kern w:val="0"/>
                <w:szCs w:val="21"/>
                <w:highlight w:val="none"/>
              </w:rPr>
            </w:pPr>
            <w:r>
              <w:rPr>
                <w:rFonts w:ascii="Times New Roman" w:hAnsi="Times New Roman" w:eastAsia="AdvOTe4bfdd46" w:cs="Times New Roman"/>
                <w:color w:val="auto"/>
                <w:kern w:val="0"/>
                <w:szCs w:val="21"/>
                <w:highlight w:val="none"/>
              </w:rPr>
              <w:t>Species</w:t>
            </w:r>
            <w:r>
              <w:rPr>
                <w:rFonts w:ascii="Times New Roman" w:hAnsi="Times New Roman" w:cs="Times New Roman"/>
                <w:color w:val="auto"/>
                <w:kern w:val="0"/>
                <w:szCs w:val="21"/>
                <w:highlight w:val="none"/>
              </w:rPr>
              <w:t xml:space="preserve"> </w:t>
            </w:r>
            <w:r>
              <w:rPr>
                <w:rFonts w:ascii="Times New Roman" w:hAnsi="Times New Roman" w:eastAsia="AdvOTe4bfdd46" w:cs="Times New Roman"/>
                <w:color w:val="auto"/>
                <w:kern w:val="0"/>
                <w:szCs w:val="21"/>
                <w:highlight w:val="none"/>
              </w:rPr>
              <w:t>source</w:t>
            </w:r>
          </w:p>
        </w:tc>
        <w:tc>
          <w:tcPr>
            <w:tcW w:w="1352" w:type="dxa"/>
            <w:tcBorders>
              <w:top w:val="single" w:color="auto" w:sz="12" w:space="0"/>
              <w:left w:val="nil"/>
              <w:bottom w:val="single" w:color="auto" w:sz="6" w:space="0"/>
              <w:right w:val="nil"/>
            </w:tcBorders>
            <w:vAlign w:val="center"/>
          </w:tcPr>
          <w:p w14:paraId="560422C4">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Catalog no.</w:t>
            </w:r>
          </w:p>
        </w:tc>
        <w:tc>
          <w:tcPr>
            <w:tcW w:w="1035" w:type="dxa"/>
            <w:tcBorders>
              <w:top w:val="single" w:color="auto" w:sz="12" w:space="0"/>
              <w:left w:val="nil"/>
              <w:bottom w:val="single" w:color="auto" w:sz="6" w:space="0"/>
              <w:right w:val="nil"/>
            </w:tcBorders>
            <w:vAlign w:val="center"/>
          </w:tcPr>
          <w:p w14:paraId="37E2F8E5">
            <w:pPr>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D</w:t>
            </w:r>
            <w:r>
              <w:rPr>
                <w:rFonts w:ascii="Times New Roman" w:hAnsi="Times New Roman" w:cs="Times New Roman"/>
                <w:color w:val="auto"/>
                <w:szCs w:val="21"/>
                <w:highlight w:val="none"/>
              </w:rPr>
              <w:t>ilution</w:t>
            </w:r>
          </w:p>
        </w:tc>
      </w:tr>
      <w:tr w14:paraId="7A74D82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2522" w:type="dxa"/>
            <w:tcBorders>
              <w:top w:val="single" w:color="auto" w:sz="6" w:space="0"/>
              <w:left w:val="nil"/>
              <w:bottom w:val="nil"/>
              <w:right w:val="nil"/>
            </w:tcBorders>
            <w:shd w:val="clear" w:color="auto" w:fill="auto"/>
            <w:vAlign w:val="center"/>
          </w:tcPr>
          <w:p w14:paraId="75D9486C">
            <w:pPr>
              <w:rPr>
                <w:rFonts w:ascii="Times New Roman" w:hAnsi="Times New Roman" w:cs="Times New Roman"/>
                <w:color w:val="auto"/>
                <w:szCs w:val="21"/>
                <w:highlight w:val="none"/>
              </w:rPr>
            </w:pPr>
            <w:r>
              <w:rPr>
                <w:rFonts w:ascii="Times New Roman" w:hAnsi="Times New Roman" w:eastAsia="宋体" w:cs="Times New Roman"/>
                <w:snapToGrid w:val="0"/>
                <w:color w:val="auto"/>
                <w:kern w:val="0"/>
                <w:szCs w:val="21"/>
                <w:highlight w:val="none"/>
              </w:rPr>
              <w:t>γH2AX</w:t>
            </w:r>
          </w:p>
        </w:tc>
        <w:tc>
          <w:tcPr>
            <w:tcW w:w="1560" w:type="dxa"/>
            <w:tcBorders>
              <w:top w:val="single" w:color="auto" w:sz="6" w:space="0"/>
              <w:left w:val="nil"/>
              <w:bottom w:val="nil"/>
              <w:right w:val="nil"/>
            </w:tcBorders>
            <w:vAlign w:val="center"/>
          </w:tcPr>
          <w:p w14:paraId="549825B5">
            <w:pPr>
              <w:jc w:val="left"/>
              <w:rPr>
                <w:rFonts w:ascii="Times New Roman" w:hAnsi="Times New Roman" w:cs="Times New Roman"/>
                <w:color w:val="auto"/>
                <w:szCs w:val="21"/>
                <w:highlight w:val="none"/>
              </w:rPr>
            </w:pPr>
            <w:r>
              <w:rPr>
                <w:rFonts w:ascii="Times New Roman" w:hAnsi="Times New Roman" w:eastAsia="宋体" w:cs="Times New Roman"/>
                <w:snapToGrid w:val="0"/>
                <w:color w:val="auto"/>
                <w:kern w:val="0"/>
                <w:szCs w:val="21"/>
                <w:highlight w:val="none"/>
              </w:rPr>
              <w:t>Servicebio</w:t>
            </w:r>
          </w:p>
        </w:tc>
        <w:tc>
          <w:tcPr>
            <w:tcW w:w="1860" w:type="dxa"/>
            <w:tcBorders>
              <w:top w:val="single" w:color="auto" w:sz="6" w:space="0"/>
              <w:left w:val="nil"/>
              <w:bottom w:val="nil"/>
              <w:right w:val="nil"/>
            </w:tcBorders>
            <w:vAlign w:val="center"/>
          </w:tcPr>
          <w:p w14:paraId="6315119F">
            <w:pPr>
              <w:rPr>
                <w:rFonts w:ascii="Times New Roman" w:hAnsi="Times New Roman" w:cs="Times New Roman"/>
                <w:color w:val="auto"/>
                <w:szCs w:val="21"/>
                <w:highlight w:val="none"/>
              </w:rPr>
            </w:pPr>
            <w:r>
              <w:rPr>
                <w:rFonts w:hint="eastAsia" w:ascii="Times New Roman" w:hAnsi="Times New Roman" w:eastAsia="宋体" w:cs="Times New Roman"/>
                <w:snapToGrid w:val="0"/>
                <w:color w:val="auto"/>
                <w:kern w:val="0"/>
                <w:szCs w:val="21"/>
                <w:highlight w:val="none"/>
              </w:rPr>
              <w:t>R</w:t>
            </w:r>
            <w:r>
              <w:rPr>
                <w:rFonts w:ascii="Times New Roman" w:hAnsi="Times New Roman" w:eastAsia="宋体" w:cs="Times New Roman"/>
                <w:snapToGrid w:val="0"/>
                <w:color w:val="auto"/>
                <w:kern w:val="0"/>
                <w:szCs w:val="21"/>
                <w:highlight w:val="none"/>
              </w:rPr>
              <w:t>abbit polyclonal</w:t>
            </w:r>
          </w:p>
        </w:tc>
        <w:tc>
          <w:tcPr>
            <w:tcW w:w="1352" w:type="dxa"/>
            <w:tcBorders>
              <w:top w:val="single" w:color="auto" w:sz="6" w:space="0"/>
              <w:left w:val="nil"/>
              <w:bottom w:val="nil"/>
              <w:right w:val="nil"/>
            </w:tcBorders>
            <w:vAlign w:val="center"/>
          </w:tcPr>
          <w:p w14:paraId="24B0C903">
            <w:pPr>
              <w:jc w:val="left"/>
              <w:rPr>
                <w:rFonts w:ascii="Times New Roman" w:hAnsi="Times New Roman" w:cs="Times New Roman"/>
                <w:color w:val="auto"/>
                <w:szCs w:val="21"/>
                <w:highlight w:val="none"/>
              </w:rPr>
            </w:pPr>
            <w:r>
              <w:rPr>
                <w:rFonts w:ascii="Times New Roman" w:hAnsi="Times New Roman" w:eastAsia="宋体" w:cs="Times New Roman"/>
                <w:snapToGrid w:val="0"/>
                <w:color w:val="auto"/>
                <w:kern w:val="0"/>
                <w:szCs w:val="21"/>
                <w:highlight w:val="none"/>
              </w:rPr>
              <w:t>GB111841</w:t>
            </w:r>
          </w:p>
        </w:tc>
        <w:tc>
          <w:tcPr>
            <w:tcW w:w="1035" w:type="dxa"/>
            <w:tcBorders>
              <w:top w:val="single" w:color="auto" w:sz="6" w:space="0"/>
              <w:left w:val="nil"/>
              <w:bottom w:val="nil"/>
              <w:right w:val="nil"/>
            </w:tcBorders>
            <w:vAlign w:val="center"/>
          </w:tcPr>
          <w:p w14:paraId="5A5A5897">
            <w:pPr>
              <w:jc w:val="left"/>
              <w:rPr>
                <w:rFonts w:ascii="Times New Roman" w:hAnsi="Times New Roman" w:eastAsia="宋体" w:cs="Times New Roman"/>
                <w:color w:val="auto"/>
                <w:szCs w:val="21"/>
                <w:highlight w:val="none"/>
              </w:rPr>
            </w:pPr>
            <w:r>
              <w:rPr>
                <w:rFonts w:hint="eastAsia" w:ascii="Times New Roman" w:hAnsi="Times New Roman" w:eastAsia="宋体" w:cs="Times New Roman"/>
                <w:color w:val="auto"/>
                <w:szCs w:val="21"/>
                <w:highlight w:val="none"/>
              </w:rPr>
              <w:t>1:250</w:t>
            </w:r>
          </w:p>
        </w:tc>
      </w:tr>
      <w:tr w14:paraId="5CFB302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22" w:type="dxa"/>
            <w:tcBorders>
              <w:top w:val="nil"/>
              <w:left w:val="nil"/>
              <w:bottom w:val="nil"/>
              <w:right w:val="nil"/>
            </w:tcBorders>
            <w:shd w:val="clear" w:color="auto" w:fill="auto"/>
            <w:vAlign w:val="center"/>
          </w:tcPr>
          <w:p w14:paraId="250C8E66">
            <w:pP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TNF-α</w:t>
            </w:r>
          </w:p>
        </w:tc>
        <w:tc>
          <w:tcPr>
            <w:tcW w:w="1560" w:type="dxa"/>
            <w:tcBorders>
              <w:top w:val="nil"/>
              <w:left w:val="nil"/>
              <w:bottom w:val="nil"/>
              <w:right w:val="nil"/>
            </w:tcBorders>
            <w:shd w:val="clear" w:color="auto" w:fill="auto"/>
            <w:vAlign w:val="center"/>
          </w:tcPr>
          <w:p w14:paraId="1D637D83">
            <w:pP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Abcam</w:t>
            </w:r>
          </w:p>
        </w:tc>
        <w:tc>
          <w:tcPr>
            <w:tcW w:w="1860" w:type="dxa"/>
            <w:tcBorders>
              <w:top w:val="nil"/>
              <w:left w:val="nil"/>
              <w:bottom w:val="nil"/>
              <w:right w:val="nil"/>
            </w:tcBorders>
            <w:shd w:val="clear" w:color="auto" w:fill="auto"/>
            <w:vAlign w:val="center"/>
          </w:tcPr>
          <w:p w14:paraId="218C4ED8">
            <w:pP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rPr>
              <w:t>M</w:t>
            </w:r>
            <w:r>
              <w:rPr>
                <w:rFonts w:ascii="Times New Roman" w:hAnsi="Times New Roman" w:eastAsia="宋体" w:cs="Times New Roman"/>
                <w:snapToGrid w:val="0"/>
                <w:color w:val="auto"/>
                <w:kern w:val="0"/>
                <w:szCs w:val="21"/>
                <w:highlight w:val="none"/>
              </w:rPr>
              <w:t>ouse monoclonal</w:t>
            </w:r>
          </w:p>
        </w:tc>
        <w:tc>
          <w:tcPr>
            <w:tcW w:w="1352" w:type="dxa"/>
            <w:tcBorders>
              <w:top w:val="nil"/>
              <w:left w:val="nil"/>
              <w:bottom w:val="nil"/>
              <w:right w:val="nil"/>
            </w:tcBorders>
            <w:vAlign w:val="center"/>
          </w:tcPr>
          <w:p w14:paraId="2A642110">
            <w:pPr>
              <w:jc w:val="left"/>
              <w:rPr>
                <w:rFonts w:ascii="Times New Roman" w:hAnsi="Times New Roman" w:cs="Times New Roman"/>
                <w:color w:val="auto"/>
                <w:szCs w:val="21"/>
                <w:highlight w:val="none"/>
              </w:rPr>
            </w:pPr>
            <w:r>
              <w:rPr>
                <w:rFonts w:hint="eastAsia" w:ascii="Times New Roman" w:hAnsi="Times New Roman" w:eastAsia="宋体" w:cs="Times New Roman"/>
                <w:snapToGrid w:val="0"/>
                <w:color w:val="auto"/>
                <w:kern w:val="0"/>
                <w:szCs w:val="21"/>
                <w:highlight w:val="none"/>
              </w:rPr>
              <w:t>A</w:t>
            </w:r>
            <w:r>
              <w:rPr>
                <w:rFonts w:ascii="Times New Roman" w:hAnsi="Times New Roman" w:eastAsia="宋体" w:cs="Times New Roman"/>
                <w:snapToGrid w:val="0"/>
                <w:color w:val="auto"/>
                <w:kern w:val="0"/>
                <w:szCs w:val="21"/>
                <w:highlight w:val="none"/>
              </w:rPr>
              <w:t>b1793</w:t>
            </w:r>
          </w:p>
        </w:tc>
        <w:tc>
          <w:tcPr>
            <w:tcW w:w="1035" w:type="dxa"/>
            <w:tcBorders>
              <w:top w:val="nil"/>
              <w:left w:val="nil"/>
              <w:bottom w:val="nil"/>
              <w:right w:val="nil"/>
            </w:tcBorders>
            <w:vAlign w:val="center"/>
          </w:tcPr>
          <w:p w14:paraId="7B664DE3">
            <w:pPr>
              <w:jc w:val="left"/>
              <w:rPr>
                <w:rFonts w:hint="default" w:ascii="Times New Roman" w:hAnsi="Times New Roman" w:cs="Times New Roman" w:eastAsiaTheme="minorEastAsia"/>
                <w:color w:val="auto"/>
                <w:szCs w:val="21"/>
                <w:highlight w:val="none"/>
                <w:lang w:val="en-US" w:eastAsia="zh-CN"/>
              </w:rPr>
            </w:pPr>
            <w:r>
              <w:rPr>
                <w:rFonts w:hint="eastAsia" w:ascii="Times New Roman" w:hAnsi="Times New Roman" w:cs="Times New Roman"/>
                <w:color w:val="auto"/>
                <w:szCs w:val="21"/>
                <w:highlight w:val="none"/>
                <w:lang w:val="en-US" w:eastAsia="zh-CN"/>
              </w:rPr>
              <w:t>5μg/mL</w:t>
            </w:r>
          </w:p>
        </w:tc>
      </w:tr>
      <w:tr w14:paraId="121A3E8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522" w:type="dxa"/>
            <w:tcBorders>
              <w:top w:val="nil"/>
              <w:left w:val="nil"/>
              <w:bottom w:val="single" w:color="auto" w:sz="12" w:space="0"/>
              <w:right w:val="nil"/>
            </w:tcBorders>
            <w:vAlign w:val="center"/>
          </w:tcPr>
          <w:p w14:paraId="0FD6555B">
            <w:pPr>
              <w:rPr>
                <w:rFonts w:ascii="Times New Roman" w:hAnsi="Times New Roman" w:cs="Times New Roman"/>
                <w:color w:val="auto"/>
                <w:szCs w:val="21"/>
                <w:highlight w:val="none"/>
              </w:rPr>
            </w:pPr>
            <w:r>
              <w:rPr>
                <w:rFonts w:ascii="Times New Roman" w:hAnsi="Times New Roman" w:eastAsia="宋体" w:cs="Times New Roman"/>
                <w:snapToGrid w:val="0"/>
                <w:color w:val="auto"/>
                <w:kern w:val="0"/>
                <w:szCs w:val="21"/>
                <w:highlight w:val="none"/>
              </w:rPr>
              <w:t>IL-1β</w:t>
            </w:r>
          </w:p>
        </w:tc>
        <w:tc>
          <w:tcPr>
            <w:tcW w:w="1560" w:type="dxa"/>
            <w:tcBorders>
              <w:top w:val="nil"/>
              <w:left w:val="nil"/>
              <w:bottom w:val="single" w:color="auto" w:sz="12" w:space="0"/>
              <w:right w:val="nil"/>
            </w:tcBorders>
            <w:shd w:val="clear" w:color="auto" w:fill="auto"/>
            <w:vAlign w:val="center"/>
          </w:tcPr>
          <w:p w14:paraId="5881A544">
            <w:pPr>
              <w:rPr>
                <w:rFonts w:ascii="Times New Roman" w:hAnsi="Times New Roman" w:eastAsia="宋体" w:cs="Times New Roman"/>
                <w:snapToGrid w:val="0"/>
                <w:color w:val="auto"/>
                <w:kern w:val="0"/>
                <w:szCs w:val="21"/>
                <w:highlight w:val="none"/>
              </w:rPr>
            </w:pPr>
            <w:r>
              <w:rPr>
                <w:rFonts w:ascii="Times New Roman" w:hAnsi="Times New Roman" w:eastAsia="宋体" w:cs="Times New Roman"/>
                <w:snapToGrid w:val="0"/>
                <w:color w:val="auto"/>
                <w:kern w:val="0"/>
                <w:szCs w:val="21"/>
                <w:highlight w:val="none"/>
              </w:rPr>
              <w:t>Abcam</w:t>
            </w:r>
          </w:p>
        </w:tc>
        <w:tc>
          <w:tcPr>
            <w:tcW w:w="1860" w:type="dxa"/>
            <w:tcBorders>
              <w:top w:val="nil"/>
              <w:left w:val="nil"/>
              <w:bottom w:val="single" w:color="auto" w:sz="12" w:space="0"/>
              <w:right w:val="nil"/>
            </w:tcBorders>
            <w:shd w:val="clear" w:color="auto" w:fill="auto"/>
            <w:vAlign w:val="center"/>
          </w:tcPr>
          <w:p w14:paraId="2CDD0EFE">
            <w:pPr>
              <w:rPr>
                <w:rFonts w:ascii="Times New Roman" w:hAnsi="Times New Roman" w:eastAsia="宋体" w:cs="Times New Roman"/>
                <w:snapToGrid w:val="0"/>
                <w:color w:val="auto"/>
                <w:kern w:val="0"/>
                <w:szCs w:val="21"/>
                <w:highlight w:val="none"/>
              </w:rPr>
            </w:pPr>
            <w:r>
              <w:rPr>
                <w:rFonts w:hint="eastAsia" w:ascii="Times New Roman" w:hAnsi="Times New Roman" w:eastAsia="宋体" w:cs="Times New Roman"/>
                <w:snapToGrid w:val="0"/>
                <w:color w:val="auto"/>
                <w:kern w:val="0"/>
                <w:szCs w:val="21"/>
                <w:highlight w:val="none"/>
              </w:rPr>
              <w:t>R</w:t>
            </w:r>
            <w:r>
              <w:rPr>
                <w:rFonts w:ascii="Times New Roman" w:hAnsi="Times New Roman" w:eastAsia="宋体" w:cs="Times New Roman"/>
                <w:snapToGrid w:val="0"/>
                <w:color w:val="auto"/>
                <w:kern w:val="0"/>
                <w:szCs w:val="21"/>
                <w:highlight w:val="none"/>
              </w:rPr>
              <w:t>abbit monoclonal</w:t>
            </w:r>
          </w:p>
        </w:tc>
        <w:tc>
          <w:tcPr>
            <w:tcW w:w="1352" w:type="dxa"/>
            <w:tcBorders>
              <w:top w:val="nil"/>
              <w:left w:val="nil"/>
              <w:bottom w:val="single" w:color="auto" w:sz="12" w:space="0"/>
              <w:right w:val="nil"/>
            </w:tcBorders>
            <w:vAlign w:val="center"/>
          </w:tcPr>
          <w:p w14:paraId="77A20B26">
            <w:pPr>
              <w:jc w:val="left"/>
              <w:rPr>
                <w:rFonts w:ascii="Times New Roman" w:hAnsi="Times New Roman" w:cs="Times New Roman"/>
                <w:color w:val="auto"/>
                <w:szCs w:val="21"/>
                <w:highlight w:val="none"/>
              </w:rPr>
            </w:pPr>
            <w:r>
              <w:rPr>
                <w:rFonts w:hint="eastAsia" w:ascii="Times New Roman" w:hAnsi="Times New Roman" w:eastAsia="宋体" w:cs="Times New Roman"/>
                <w:snapToGrid w:val="0"/>
                <w:color w:val="auto"/>
                <w:kern w:val="0"/>
                <w:szCs w:val="21"/>
                <w:highlight w:val="none"/>
              </w:rPr>
              <w:t>A</w:t>
            </w:r>
            <w:r>
              <w:rPr>
                <w:rFonts w:ascii="Times New Roman" w:hAnsi="Times New Roman" w:eastAsia="宋体" w:cs="Times New Roman"/>
                <w:snapToGrid w:val="0"/>
                <w:color w:val="auto"/>
                <w:kern w:val="0"/>
                <w:szCs w:val="21"/>
                <w:highlight w:val="none"/>
              </w:rPr>
              <w:t>b216995</w:t>
            </w:r>
          </w:p>
        </w:tc>
        <w:tc>
          <w:tcPr>
            <w:tcW w:w="1035" w:type="dxa"/>
            <w:tcBorders>
              <w:top w:val="nil"/>
              <w:left w:val="nil"/>
              <w:bottom w:val="single" w:color="auto" w:sz="12" w:space="0"/>
              <w:right w:val="nil"/>
            </w:tcBorders>
            <w:vAlign w:val="center"/>
          </w:tcPr>
          <w:p w14:paraId="63014C11">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w:t>
            </w:r>
            <w:r>
              <w:rPr>
                <w:rFonts w:hint="eastAsia" w:ascii="Times New Roman" w:hAnsi="Times New Roman" w:cs="Times New Roman"/>
                <w:color w:val="auto"/>
                <w:szCs w:val="21"/>
                <w:highlight w:val="none"/>
                <w:lang w:val="en-US" w:eastAsia="zh-CN"/>
              </w:rPr>
              <w:t>50</w:t>
            </w:r>
          </w:p>
        </w:tc>
      </w:tr>
    </w:tbl>
    <w:p w14:paraId="731C2D52">
      <w:pPr>
        <w:spacing w:line="360" w:lineRule="auto"/>
        <w:rPr>
          <w:rFonts w:ascii="Times New Roman" w:hAnsi="Times New Roman" w:cs="Times New Roman"/>
          <w:color w:val="0000FF"/>
          <w:highlight w:val="none"/>
          <w:lang w:bidi="ar"/>
        </w:rPr>
      </w:pPr>
      <w:bookmarkStart w:id="7" w:name="_GoBack"/>
      <w:bookmarkEnd w:id="7"/>
    </w:p>
    <w:p w14:paraId="39F5CF50">
      <w:pPr>
        <w:spacing w:line="360" w:lineRule="auto"/>
        <w:jc w:val="center"/>
        <w:rPr>
          <w:rFonts w:ascii="Times New Roman" w:hAnsi="Times New Roman" w:cs="Times New Roman"/>
          <w:color w:val="auto"/>
          <w:highlight w:val="none"/>
          <w:lang w:bidi="ar"/>
        </w:rPr>
      </w:pPr>
      <w:r>
        <w:rPr>
          <w:rFonts w:hint="eastAsia" w:ascii="Times New Roman" w:hAnsi="Times New Roman" w:cs="Times New Roman"/>
          <w:color w:val="auto"/>
          <w:highlight w:val="none"/>
          <w:lang w:bidi="ar"/>
        </w:rPr>
        <w:t>Table Sup 2 List of primers used for RNA analyses</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984"/>
        <w:gridCol w:w="4319"/>
      </w:tblGrid>
      <w:tr w14:paraId="1D45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tcBorders>
              <w:top w:val="single" w:color="auto" w:sz="12" w:space="0"/>
              <w:left w:val="dashSmallGap" w:color="auto" w:sz="4" w:space="0"/>
              <w:bottom w:val="single" w:color="auto" w:sz="12" w:space="0"/>
              <w:right w:val="dashSmallGap" w:color="auto" w:sz="4" w:space="0"/>
            </w:tcBorders>
          </w:tcPr>
          <w:p w14:paraId="0FCAEEC1">
            <w:pPr>
              <w:widowControl/>
              <w:jc w:val="left"/>
              <w:rPr>
                <w:rFonts w:ascii="Times New Roman" w:hAnsi="Times New Roman" w:cs="Times New Roman"/>
                <w:color w:val="auto"/>
                <w:szCs w:val="21"/>
                <w:highlight w:val="none"/>
              </w:rPr>
            </w:pPr>
          </w:p>
        </w:tc>
        <w:tc>
          <w:tcPr>
            <w:tcW w:w="1984" w:type="dxa"/>
            <w:tcBorders>
              <w:top w:val="single" w:color="auto" w:sz="12" w:space="0"/>
              <w:left w:val="dashSmallGap" w:color="auto" w:sz="4" w:space="0"/>
              <w:bottom w:val="single" w:color="auto" w:sz="12" w:space="0"/>
              <w:right w:val="dashSmallGap" w:color="auto" w:sz="4" w:space="0"/>
            </w:tcBorders>
          </w:tcPr>
          <w:p w14:paraId="263FAE76">
            <w:pPr>
              <w:widowControl/>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P</w:t>
            </w:r>
            <w:r>
              <w:rPr>
                <w:rFonts w:ascii="Times New Roman" w:hAnsi="Times New Roman" w:cs="Times New Roman"/>
                <w:color w:val="auto"/>
                <w:szCs w:val="21"/>
                <w:highlight w:val="none"/>
              </w:rPr>
              <w:t>rimers</w:t>
            </w:r>
          </w:p>
        </w:tc>
        <w:tc>
          <w:tcPr>
            <w:tcW w:w="4319" w:type="dxa"/>
            <w:tcBorders>
              <w:top w:val="single" w:color="auto" w:sz="12" w:space="0"/>
              <w:left w:val="dashSmallGap" w:color="auto" w:sz="4" w:space="0"/>
              <w:bottom w:val="single" w:color="auto" w:sz="12" w:space="0"/>
              <w:right w:val="dashSmallGap" w:color="auto" w:sz="4" w:space="0"/>
            </w:tcBorders>
          </w:tcPr>
          <w:p w14:paraId="373731E1">
            <w:pPr>
              <w:widowControl/>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Sequence</w:t>
            </w:r>
          </w:p>
        </w:tc>
      </w:tr>
      <w:tr w14:paraId="6219A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tcBorders>
              <w:top w:val="single" w:color="auto" w:sz="12" w:space="0"/>
              <w:left w:val="dashSmallGap" w:color="auto" w:sz="4" w:space="0"/>
              <w:bottom w:val="dashSmallGap" w:color="auto" w:sz="4" w:space="0"/>
              <w:right w:val="dashSmallGap" w:color="auto" w:sz="4" w:space="0"/>
            </w:tcBorders>
            <w:vAlign w:val="center"/>
          </w:tcPr>
          <w:p w14:paraId="2C631D5D">
            <w:pPr>
              <w:rPr>
                <w:rFonts w:ascii="Times New Roman" w:hAnsi="Times New Roman" w:eastAsia="等线" w:cs="Times New Roman"/>
                <w:color w:val="auto"/>
                <w:szCs w:val="21"/>
                <w:highlight w:val="none"/>
              </w:rPr>
            </w:pPr>
            <w:r>
              <w:rPr>
                <w:rFonts w:ascii="Times New Roman" w:hAnsi="Times New Roman" w:cs="Times New Roman"/>
                <w:color w:val="auto"/>
                <w:szCs w:val="21"/>
                <w:highlight w:val="none"/>
              </w:rPr>
              <w:t>TNF-α</w:t>
            </w:r>
          </w:p>
        </w:tc>
        <w:tc>
          <w:tcPr>
            <w:tcW w:w="1984" w:type="dxa"/>
            <w:tcBorders>
              <w:top w:val="single" w:color="auto" w:sz="12" w:space="0"/>
              <w:left w:val="dashSmallGap" w:color="auto" w:sz="4" w:space="0"/>
              <w:bottom w:val="dashSmallGap" w:color="auto" w:sz="4" w:space="0"/>
              <w:right w:val="dashSmallGap" w:color="auto" w:sz="4" w:space="0"/>
            </w:tcBorders>
          </w:tcPr>
          <w:p w14:paraId="0742126A">
            <w:pPr>
              <w:rPr>
                <w:rFonts w:ascii="Times New Roman" w:hAnsi="Times New Roman" w:cs="Times New Roman"/>
                <w:color w:val="auto"/>
                <w:szCs w:val="21"/>
                <w:highlight w:val="none"/>
              </w:rPr>
            </w:pPr>
            <w:r>
              <w:rPr>
                <w:rFonts w:ascii="Times New Roman" w:hAnsi="Times New Roman" w:eastAsia="宋体" w:cs="Times New Roman"/>
                <w:color w:val="auto"/>
                <w:szCs w:val="21"/>
                <w:highlight w:val="none"/>
              </w:rPr>
              <w:t>Forward Primer</w:t>
            </w:r>
          </w:p>
        </w:tc>
        <w:tc>
          <w:tcPr>
            <w:tcW w:w="4319" w:type="dxa"/>
            <w:tcBorders>
              <w:top w:val="single" w:color="auto" w:sz="12" w:space="0"/>
              <w:left w:val="dashSmallGap" w:color="auto" w:sz="4" w:space="0"/>
              <w:bottom w:val="dashSmallGap" w:color="auto" w:sz="4" w:space="0"/>
              <w:right w:val="dashSmallGap" w:color="auto" w:sz="4" w:space="0"/>
            </w:tcBorders>
          </w:tcPr>
          <w:p w14:paraId="04A89661">
            <w:pPr>
              <w:widowControl/>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GAACACGTCGTGGGATAATG</w:t>
            </w:r>
          </w:p>
        </w:tc>
      </w:tr>
      <w:tr w14:paraId="75AA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tcBorders>
              <w:top w:val="dashSmallGap" w:color="auto" w:sz="4" w:space="0"/>
              <w:left w:val="dashSmallGap" w:color="auto" w:sz="4" w:space="0"/>
              <w:bottom w:val="dashSmallGap" w:color="auto" w:sz="4" w:space="0"/>
              <w:right w:val="dashSmallGap" w:color="auto" w:sz="4" w:space="0"/>
            </w:tcBorders>
            <w:vAlign w:val="center"/>
          </w:tcPr>
          <w:p w14:paraId="171EFF8B">
            <w:pPr>
              <w:rPr>
                <w:rFonts w:ascii="Times New Roman" w:hAnsi="Times New Roman" w:cs="Times New Roman"/>
                <w:color w:val="auto"/>
                <w:szCs w:val="21"/>
                <w:highlight w:val="none"/>
              </w:rPr>
            </w:pPr>
          </w:p>
        </w:tc>
        <w:tc>
          <w:tcPr>
            <w:tcW w:w="1984" w:type="dxa"/>
            <w:tcBorders>
              <w:top w:val="dashSmallGap" w:color="auto" w:sz="4" w:space="0"/>
              <w:left w:val="dashSmallGap" w:color="auto" w:sz="4" w:space="0"/>
              <w:bottom w:val="dashSmallGap" w:color="auto" w:sz="4" w:space="0"/>
              <w:right w:val="dashSmallGap" w:color="auto" w:sz="4" w:space="0"/>
            </w:tcBorders>
          </w:tcPr>
          <w:p w14:paraId="35C3A6A7">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Reverse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4B130A1C">
            <w:pPr>
              <w:widowControl/>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GGCAGACTTTGGATGCTTCTT</w:t>
            </w:r>
          </w:p>
        </w:tc>
      </w:tr>
      <w:tr w14:paraId="4287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tcBorders>
              <w:top w:val="dashSmallGap" w:color="auto" w:sz="4" w:space="0"/>
              <w:left w:val="dashSmallGap" w:color="auto" w:sz="4" w:space="0"/>
              <w:bottom w:val="dashSmallGap" w:color="auto" w:sz="4" w:space="0"/>
              <w:right w:val="dashSmallGap" w:color="auto" w:sz="4" w:space="0"/>
            </w:tcBorders>
            <w:vAlign w:val="center"/>
          </w:tcPr>
          <w:p w14:paraId="64F7CDB3">
            <w:pPr>
              <w:rPr>
                <w:rFonts w:ascii="Times New Roman" w:hAnsi="Times New Roman" w:eastAsia="等线" w:cs="Times New Roman"/>
                <w:color w:val="auto"/>
                <w:szCs w:val="21"/>
                <w:highlight w:val="none"/>
              </w:rPr>
            </w:pPr>
            <w:r>
              <w:rPr>
                <w:rFonts w:hint="eastAsia" w:ascii="Times New Roman" w:hAnsi="Times New Roman" w:eastAsia="等线" w:cs="Times New Roman"/>
                <w:color w:val="auto"/>
                <w:szCs w:val="21"/>
                <w:highlight w:val="none"/>
              </w:rPr>
              <w:t>IL-1β</w:t>
            </w:r>
          </w:p>
        </w:tc>
        <w:tc>
          <w:tcPr>
            <w:tcW w:w="1984" w:type="dxa"/>
            <w:tcBorders>
              <w:top w:val="dashSmallGap" w:color="auto" w:sz="4" w:space="0"/>
              <w:left w:val="dashSmallGap" w:color="auto" w:sz="4" w:space="0"/>
              <w:bottom w:val="dashSmallGap" w:color="auto" w:sz="4" w:space="0"/>
              <w:right w:val="dashSmallGap" w:color="auto" w:sz="4" w:space="0"/>
            </w:tcBorders>
          </w:tcPr>
          <w:p w14:paraId="3B9D4246">
            <w:pPr>
              <w:rPr>
                <w:rFonts w:ascii="Times New Roman" w:hAnsi="Times New Roman" w:cs="Times New Roman"/>
                <w:color w:val="auto"/>
                <w:szCs w:val="21"/>
                <w:highlight w:val="none"/>
              </w:rPr>
            </w:pPr>
            <w:r>
              <w:rPr>
                <w:rFonts w:ascii="Times New Roman" w:hAnsi="Times New Roman" w:eastAsia="宋体" w:cs="Times New Roman"/>
                <w:color w:val="auto"/>
                <w:szCs w:val="21"/>
                <w:highlight w:val="none"/>
              </w:rPr>
              <w:t>Forward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322FBD2E">
            <w:pPr>
              <w:widowControl/>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AAATGCCACCTTTTGACAGTG</w:t>
            </w:r>
          </w:p>
        </w:tc>
      </w:tr>
      <w:tr w14:paraId="5CABE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tcBorders>
              <w:top w:val="dashSmallGap" w:color="auto" w:sz="4" w:space="0"/>
              <w:left w:val="dashSmallGap" w:color="auto" w:sz="4" w:space="0"/>
              <w:bottom w:val="dashSmallGap" w:color="auto" w:sz="4" w:space="0"/>
              <w:right w:val="dashSmallGap" w:color="auto" w:sz="4" w:space="0"/>
            </w:tcBorders>
            <w:vAlign w:val="center"/>
          </w:tcPr>
          <w:p w14:paraId="494032DA">
            <w:pPr>
              <w:rPr>
                <w:rFonts w:ascii="Times New Roman" w:hAnsi="Times New Roman" w:cs="Times New Roman"/>
                <w:color w:val="auto"/>
                <w:szCs w:val="21"/>
                <w:highlight w:val="none"/>
              </w:rPr>
            </w:pPr>
          </w:p>
        </w:tc>
        <w:tc>
          <w:tcPr>
            <w:tcW w:w="1984" w:type="dxa"/>
            <w:tcBorders>
              <w:top w:val="dashSmallGap" w:color="auto" w:sz="4" w:space="0"/>
              <w:left w:val="dashSmallGap" w:color="auto" w:sz="4" w:space="0"/>
              <w:bottom w:val="dashSmallGap" w:color="auto" w:sz="4" w:space="0"/>
              <w:right w:val="dashSmallGap" w:color="auto" w:sz="4" w:space="0"/>
            </w:tcBorders>
          </w:tcPr>
          <w:p w14:paraId="63664728">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Reverse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092E3258">
            <w:pPr>
              <w:widowControl/>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TGGATGCTCTCATCAGGACAG</w:t>
            </w:r>
          </w:p>
        </w:tc>
      </w:tr>
      <w:tr w14:paraId="5FA61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tcBorders>
              <w:top w:val="dashSmallGap" w:color="auto" w:sz="4" w:space="0"/>
              <w:left w:val="dashSmallGap" w:color="auto" w:sz="4" w:space="0"/>
              <w:bottom w:val="dashSmallGap" w:color="auto" w:sz="4" w:space="0"/>
              <w:right w:val="dashSmallGap" w:color="auto" w:sz="4" w:space="0"/>
            </w:tcBorders>
            <w:vAlign w:val="center"/>
          </w:tcPr>
          <w:p w14:paraId="412E22F3">
            <w:pPr>
              <w:rPr>
                <w:rFonts w:ascii="Times New Roman" w:hAnsi="Times New Roman" w:cs="Times New Roman"/>
                <w:color w:val="auto"/>
                <w:szCs w:val="21"/>
                <w:highlight w:val="none"/>
              </w:rPr>
            </w:pPr>
            <w:r>
              <w:rPr>
                <w:rFonts w:ascii="Times New Roman" w:hAnsi="Times New Roman" w:cs="Times New Roman"/>
                <w:color w:val="auto"/>
                <w:szCs w:val="21"/>
                <w:highlight w:val="none"/>
              </w:rPr>
              <w:t>I</w:t>
            </w:r>
            <w:r>
              <w:rPr>
                <w:rFonts w:hint="eastAsia" w:ascii="Times New Roman" w:hAnsi="Times New Roman" w:cs="Times New Roman"/>
                <w:color w:val="auto"/>
                <w:szCs w:val="21"/>
                <w:highlight w:val="none"/>
              </w:rPr>
              <w:t>L-</w:t>
            </w:r>
            <w:r>
              <w:rPr>
                <w:rFonts w:ascii="Times New Roman" w:hAnsi="Times New Roman" w:cs="Times New Roman"/>
                <w:color w:val="auto"/>
                <w:szCs w:val="21"/>
                <w:highlight w:val="none"/>
              </w:rPr>
              <w:t>6</w:t>
            </w:r>
          </w:p>
        </w:tc>
        <w:tc>
          <w:tcPr>
            <w:tcW w:w="1984" w:type="dxa"/>
            <w:tcBorders>
              <w:top w:val="dashSmallGap" w:color="auto" w:sz="4" w:space="0"/>
              <w:left w:val="dashSmallGap" w:color="auto" w:sz="4" w:space="0"/>
              <w:bottom w:val="dashSmallGap" w:color="auto" w:sz="4" w:space="0"/>
              <w:right w:val="dashSmallGap" w:color="auto" w:sz="4" w:space="0"/>
            </w:tcBorders>
          </w:tcPr>
          <w:p w14:paraId="4AB734B3">
            <w:pPr>
              <w:rPr>
                <w:rFonts w:ascii="Times New Roman" w:hAnsi="Times New Roman" w:cs="Times New Roman"/>
                <w:color w:val="auto"/>
                <w:szCs w:val="21"/>
                <w:highlight w:val="none"/>
              </w:rPr>
            </w:pPr>
            <w:r>
              <w:rPr>
                <w:rFonts w:ascii="Times New Roman" w:hAnsi="Times New Roman" w:eastAsia="宋体" w:cs="Times New Roman"/>
                <w:color w:val="auto"/>
                <w:szCs w:val="21"/>
                <w:highlight w:val="none"/>
              </w:rPr>
              <w:t>Forward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56EEEC79">
            <w:pPr>
              <w:widowControl/>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TTCCTCTGGTCTTCTGGAGT</w:t>
            </w:r>
          </w:p>
        </w:tc>
      </w:tr>
      <w:tr w14:paraId="380BC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6" w:type="dxa"/>
            <w:vMerge w:val="continue"/>
            <w:tcBorders>
              <w:top w:val="dashSmallGap" w:color="auto" w:sz="4" w:space="0"/>
              <w:left w:val="dashSmallGap" w:color="auto" w:sz="4" w:space="0"/>
              <w:bottom w:val="dashSmallGap" w:color="auto" w:sz="4" w:space="0"/>
              <w:right w:val="dashSmallGap" w:color="auto" w:sz="4" w:space="0"/>
            </w:tcBorders>
            <w:vAlign w:val="center"/>
          </w:tcPr>
          <w:p w14:paraId="00AF35D1">
            <w:pPr>
              <w:rPr>
                <w:rFonts w:ascii="Times New Roman" w:hAnsi="Times New Roman" w:cs="Times New Roman"/>
                <w:color w:val="auto"/>
                <w:szCs w:val="21"/>
                <w:highlight w:val="none"/>
              </w:rPr>
            </w:pPr>
          </w:p>
        </w:tc>
        <w:tc>
          <w:tcPr>
            <w:tcW w:w="1984" w:type="dxa"/>
            <w:tcBorders>
              <w:top w:val="dashSmallGap" w:color="auto" w:sz="4" w:space="0"/>
              <w:left w:val="dashSmallGap" w:color="auto" w:sz="4" w:space="0"/>
              <w:bottom w:val="dashSmallGap" w:color="auto" w:sz="4" w:space="0"/>
              <w:right w:val="dashSmallGap" w:color="auto" w:sz="4" w:space="0"/>
            </w:tcBorders>
          </w:tcPr>
          <w:p w14:paraId="05036172">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Reverse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38E69C21">
            <w:pPr>
              <w:widowControl/>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TCTGTGACTCCAGCTTATCTCTTG</w:t>
            </w:r>
          </w:p>
        </w:tc>
      </w:tr>
      <w:tr w14:paraId="25109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tcBorders>
              <w:top w:val="dashSmallGap" w:color="auto" w:sz="4" w:space="0"/>
              <w:left w:val="dashSmallGap" w:color="auto" w:sz="4" w:space="0"/>
              <w:bottom w:val="dashSmallGap" w:color="auto" w:sz="4" w:space="0"/>
              <w:right w:val="dashSmallGap" w:color="auto" w:sz="4" w:space="0"/>
            </w:tcBorders>
            <w:vAlign w:val="center"/>
          </w:tcPr>
          <w:p w14:paraId="5DE9DE09">
            <w:pPr>
              <w:widowControl/>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α-SMA</w:t>
            </w:r>
          </w:p>
        </w:tc>
        <w:tc>
          <w:tcPr>
            <w:tcW w:w="1984" w:type="dxa"/>
            <w:tcBorders>
              <w:top w:val="dashSmallGap" w:color="auto" w:sz="4" w:space="0"/>
              <w:left w:val="dashSmallGap" w:color="auto" w:sz="4" w:space="0"/>
              <w:bottom w:val="dashSmallGap" w:color="auto" w:sz="4" w:space="0"/>
              <w:right w:val="dashSmallGap" w:color="auto" w:sz="4" w:space="0"/>
            </w:tcBorders>
          </w:tcPr>
          <w:p w14:paraId="611F81CC">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Forward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54447AAF">
            <w:pPr>
              <w:widowControl/>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TGCCGAGCGTGAGATTGTC</w:t>
            </w:r>
          </w:p>
        </w:tc>
      </w:tr>
      <w:tr w14:paraId="2793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tcBorders>
              <w:top w:val="dashSmallGap" w:color="auto" w:sz="4" w:space="0"/>
              <w:left w:val="dashSmallGap" w:color="auto" w:sz="4" w:space="0"/>
              <w:bottom w:val="dashSmallGap" w:color="auto" w:sz="4" w:space="0"/>
              <w:right w:val="dashSmallGap" w:color="auto" w:sz="4" w:space="0"/>
            </w:tcBorders>
            <w:vAlign w:val="center"/>
          </w:tcPr>
          <w:p w14:paraId="1117D03B">
            <w:pPr>
              <w:widowControl/>
              <w:jc w:val="left"/>
              <w:rPr>
                <w:rFonts w:ascii="Times New Roman" w:hAnsi="Times New Roman" w:cs="Times New Roman"/>
                <w:color w:val="auto"/>
                <w:szCs w:val="21"/>
                <w:highlight w:val="none"/>
              </w:rPr>
            </w:pPr>
          </w:p>
        </w:tc>
        <w:tc>
          <w:tcPr>
            <w:tcW w:w="1984" w:type="dxa"/>
            <w:tcBorders>
              <w:top w:val="dashSmallGap" w:color="auto" w:sz="4" w:space="0"/>
              <w:left w:val="dashSmallGap" w:color="auto" w:sz="4" w:space="0"/>
              <w:bottom w:val="dashSmallGap" w:color="auto" w:sz="4" w:space="0"/>
              <w:right w:val="dashSmallGap" w:color="auto" w:sz="4" w:space="0"/>
            </w:tcBorders>
          </w:tcPr>
          <w:p w14:paraId="15D8FF1C">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Reverse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31A8FFFA">
            <w:pPr>
              <w:widowControl/>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CGTTCGTTTCCAATGGTGATC</w:t>
            </w:r>
          </w:p>
        </w:tc>
      </w:tr>
      <w:tr w14:paraId="3064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tcBorders>
              <w:top w:val="dashSmallGap" w:color="auto" w:sz="4" w:space="0"/>
              <w:left w:val="dashSmallGap" w:color="auto" w:sz="4" w:space="0"/>
              <w:bottom w:val="dashSmallGap" w:color="auto" w:sz="4" w:space="0"/>
              <w:right w:val="dashSmallGap" w:color="auto" w:sz="4" w:space="0"/>
            </w:tcBorders>
            <w:vAlign w:val="center"/>
          </w:tcPr>
          <w:p w14:paraId="6822DE70">
            <w:pPr>
              <w:widowControl/>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Co</w:t>
            </w:r>
            <w:r>
              <w:rPr>
                <w:rFonts w:hint="eastAsia" w:ascii="Times New Roman" w:hAnsi="Times New Roman" w:cs="Times New Roman"/>
                <w:color w:val="auto"/>
                <w:szCs w:val="21"/>
                <w:highlight w:val="none"/>
              </w:rPr>
              <w:t>llegan I</w:t>
            </w:r>
          </w:p>
        </w:tc>
        <w:tc>
          <w:tcPr>
            <w:tcW w:w="1984" w:type="dxa"/>
            <w:tcBorders>
              <w:top w:val="dashSmallGap" w:color="auto" w:sz="4" w:space="0"/>
              <w:left w:val="dashSmallGap" w:color="auto" w:sz="4" w:space="0"/>
              <w:bottom w:val="dashSmallGap" w:color="auto" w:sz="4" w:space="0"/>
              <w:right w:val="dashSmallGap" w:color="auto" w:sz="4" w:space="0"/>
            </w:tcBorders>
          </w:tcPr>
          <w:p w14:paraId="05738CB0">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Forward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686BA757">
            <w:pPr>
              <w:widowControl/>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TGACTGGAAGAGCGGAGAGTACT</w:t>
            </w:r>
          </w:p>
        </w:tc>
      </w:tr>
      <w:tr w14:paraId="0BA2B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tcBorders>
              <w:top w:val="dashSmallGap" w:color="auto" w:sz="4" w:space="0"/>
              <w:left w:val="dashSmallGap" w:color="auto" w:sz="4" w:space="0"/>
              <w:bottom w:val="dashSmallGap" w:color="auto" w:sz="4" w:space="0"/>
              <w:right w:val="dashSmallGap" w:color="auto" w:sz="4" w:space="0"/>
            </w:tcBorders>
            <w:vAlign w:val="center"/>
          </w:tcPr>
          <w:p w14:paraId="70F48438">
            <w:pPr>
              <w:widowControl/>
              <w:jc w:val="left"/>
              <w:rPr>
                <w:rFonts w:ascii="Times New Roman" w:hAnsi="Times New Roman" w:cs="Times New Roman"/>
                <w:color w:val="auto"/>
                <w:szCs w:val="21"/>
                <w:highlight w:val="none"/>
              </w:rPr>
            </w:pPr>
          </w:p>
        </w:tc>
        <w:tc>
          <w:tcPr>
            <w:tcW w:w="1984" w:type="dxa"/>
            <w:tcBorders>
              <w:top w:val="dashSmallGap" w:color="auto" w:sz="4" w:space="0"/>
              <w:left w:val="dashSmallGap" w:color="auto" w:sz="4" w:space="0"/>
              <w:bottom w:val="dashSmallGap" w:color="auto" w:sz="4" w:space="0"/>
              <w:right w:val="dashSmallGap" w:color="auto" w:sz="4" w:space="0"/>
            </w:tcBorders>
          </w:tcPr>
          <w:p w14:paraId="1B652DEF">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Reverse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2EE063EE">
            <w:pPr>
              <w:widowControl/>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TTCGGGCTGATGTACCAGTTC</w:t>
            </w:r>
          </w:p>
        </w:tc>
      </w:tr>
      <w:tr w14:paraId="4C557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tcBorders>
              <w:top w:val="dashSmallGap" w:color="auto" w:sz="4" w:space="0"/>
              <w:left w:val="dashSmallGap" w:color="auto" w:sz="4" w:space="0"/>
              <w:bottom w:val="dashSmallGap" w:color="auto" w:sz="4" w:space="0"/>
              <w:right w:val="dashSmallGap" w:color="auto" w:sz="4" w:space="0"/>
            </w:tcBorders>
            <w:vAlign w:val="center"/>
          </w:tcPr>
          <w:p w14:paraId="383DF89E">
            <w:pPr>
              <w:rPr>
                <w:rFonts w:hint="eastAsia" w:ascii="Times New Roman" w:hAnsi="Times New Roman" w:eastAsia="等线" w:cs="Times New Roman"/>
                <w:color w:val="auto"/>
                <w:szCs w:val="21"/>
                <w:highlight w:val="none"/>
              </w:rPr>
            </w:pPr>
            <w:r>
              <w:rPr>
                <w:rFonts w:hint="eastAsia" w:ascii="Times New Roman" w:hAnsi="Times New Roman" w:eastAsia="等线" w:cs="Times New Roman"/>
                <w:color w:val="auto"/>
                <w:szCs w:val="21"/>
                <w:highlight w:val="none"/>
              </w:rPr>
              <w:t>ZO-1</w:t>
            </w:r>
          </w:p>
        </w:tc>
        <w:tc>
          <w:tcPr>
            <w:tcW w:w="1984" w:type="dxa"/>
            <w:tcBorders>
              <w:top w:val="dashSmallGap" w:color="auto" w:sz="4" w:space="0"/>
              <w:left w:val="dashSmallGap" w:color="auto" w:sz="4" w:space="0"/>
              <w:bottom w:val="dashSmallGap" w:color="auto" w:sz="4" w:space="0"/>
              <w:right w:val="dashSmallGap" w:color="auto" w:sz="4" w:space="0"/>
            </w:tcBorders>
          </w:tcPr>
          <w:p w14:paraId="37654175">
            <w:pPr>
              <w:rPr>
                <w:rFonts w:hint="eastAsia" w:ascii="Times New Roman" w:hAnsi="Times New Roman" w:eastAsia="等线" w:cs="Times New Roman"/>
                <w:color w:val="auto"/>
                <w:szCs w:val="21"/>
                <w:highlight w:val="none"/>
              </w:rPr>
            </w:pPr>
            <w:r>
              <w:rPr>
                <w:rFonts w:hint="eastAsia" w:ascii="Times New Roman" w:hAnsi="Times New Roman" w:eastAsia="等线" w:cs="Times New Roman"/>
                <w:color w:val="auto"/>
                <w:szCs w:val="21"/>
                <w:highlight w:val="none"/>
              </w:rPr>
              <w:t>Forward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7C1DD1FE">
            <w:pPr>
              <w:rPr>
                <w:rFonts w:hint="eastAsia" w:ascii="Times New Roman" w:hAnsi="Times New Roman" w:eastAsia="等线" w:cs="Times New Roman"/>
                <w:color w:val="auto"/>
                <w:szCs w:val="21"/>
                <w:highlight w:val="none"/>
              </w:rPr>
            </w:pPr>
            <w:r>
              <w:rPr>
                <w:rFonts w:hint="eastAsia" w:ascii="Times New Roman" w:hAnsi="Times New Roman" w:eastAsia="等线" w:cs="Times New Roman"/>
                <w:color w:val="auto"/>
                <w:szCs w:val="21"/>
                <w:highlight w:val="none"/>
              </w:rPr>
              <w:t>GCCGCTAAGAGCACAGCAA</w:t>
            </w:r>
          </w:p>
        </w:tc>
      </w:tr>
      <w:tr w14:paraId="00F0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tcBorders>
              <w:top w:val="dashSmallGap" w:color="auto" w:sz="4" w:space="0"/>
              <w:left w:val="dashSmallGap" w:color="auto" w:sz="4" w:space="0"/>
              <w:bottom w:val="dashSmallGap" w:color="auto" w:sz="4" w:space="0"/>
              <w:right w:val="dashSmallGap" w:color="auto" w:sz="4" w:space="0"/>
            </w:tcBorders>
            <w:vAlign w:val="center"/>
          </w:tcPr>
          <w:p w14:paraId="520D407F">
            <w:pPr>
              <w:rPr>
                <w:rFonts w:hint="eastAsia" w:ascii="Times New Roman" w:hAnsi="Times New Roman" w:eastAsia="等线" w:cs="Times New Roman"/>
                <w:color w:val="auto"/>
                <w:szCs w:val="21"/>
                <w:highlight w:val="none"/>
              </w:rPr>
            </w:pPr>
          </w:p>
        </w:tc>
        <w:tc>
          <w:tcPr>
            <w:tcW w:w="1984" w:type="dxa"/>
            <w:tcBorders>
              <w:top w:val="dashSmallGap" w:color="auto" w:sz="4" w:space="0"/>
              <w:left w:val="dashSmallGap" w:color="auto" w:sz="4" w:space="0"/>
              <w:bottom w:val="dashSmallGap" w:color="auto" w:sz="4" w:space="0"/>
              <w:right w:val="dashSmallGap" w:color="auto" w:sz="4" w:space="0"/>
            </w:tcBorders>
          </w:tcPr>
          <w:p w14:paraId="536F8370">
            <w:pPr>
              <w:rPr>
                <w:rFonts w:hint="eastAsia" w:ascii="Times New Roman" w:hAnsi="Times New Roman" w:eastAsia="等线" w:cs="Times New Roman"/>
                <w:color w:val="auto"/>
                <w:szCs w:val="21"/>
                <w:highlight w:val="none"/>
              </w:rPr>
            </w:pPr>
            <w:r>
              <w:rPr>
                <w:rFonts w:hint="eastAsia" w:ascii="Times New Roman" w:hAnsi="Times New Roman" w:eastAsia="等线" w:cs="Times New Roman"/>
                <w:color w:val="auto"/>
                <w:szCs w:val="21"/>
                <w:highlight w:val="none"/>
              </w:rPr>
              <w:t>Reverse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0CCAB62A">
            <w:pPr>
              <w:rPr>
                <w:rFonts w:hint="eastAsia" w:ascii="Times New Roman" w:hAnsi="Times New Roman" w:eastAsia="等线" w:cs="Times New Roman"/>
                <w:color w:val="auto"/>
                <w:szCs w:val="21"/>
                <w:highlight w:val="none"/>
              </w:rPr>
            </w:pPr>
            <w:r>
              <w:rPr>
                <w:rFonts w:hint="eastAsia" w:ascii="Times New Roman" w:hAnsi="Times New Roman" w:eastAsia="等线" w:cs="Times New Roman"/>
                <w:color w:val="auto"/>
                <w:szCs w:val="21"/>
                <w:highlight w:val="none"/>
              </w:rPr>
              <w:t>TCCCCACTCTGAAAATGAGGA</w:t>
            </w:r>
          </w:p>
        </w:tc>
      </w:tr>
      <w:tr w14:paraId="0DA4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restart"/>
            <w:tcBorders>
              <w:top w:val="dashSmallGap" w:color="auto" w:sz="4" w:space="0"/>
              <w:left w:val="dashSmallGap" w:color="auto" w:sz="4" w:space="0"/>
              <w:right w:val="dashSmallGap" w:color="auto" w:sz="4" w:space="0"/>
            </w:tcBorders>
            <w:vAlign w:val="center"/>
          </w:tcPr>
          <w:p w14:paraId="4A4FD531">
            <w:pPr>
              <w:rPr>
                <w:rFonts w:hint="eastAsia" w:ascii="Times New Roman" w:hAnsi="Times New Roman" w:eastAsia="等线" w:cs="Times New Roman"/>
                <w:color w:val="auto"/>
                <w:szCs w:val="21"/>
                <w:highlight w:val="none"/>
              </w:rPr>
            </w:pPr>
            <w:r>
              <w:rPr>
                <w:rFonts w:hint="eastAsia" w:ascii="Times New Roman" w:hAnsi="Times New Roman" w:cs="Times New Roman"/>
                <w:color w:val="auto"/>
                <w:szCs w:val="21"/>
                <w:highlight w:val="none"/>
              </w:rPr>
              <w:t>Occludin</w:t>
            </w:r>
          </w:p>
        </w:tc>
        <w:tc>
          <w:tcPr>
            <w:tcW w:w="1984" w:type="dxa"/>
            <w:tcBorders>
              <w:top w:val="dashSmallGap" w:color="auto" w:sz="4" w:space="0"/>
              <w:left w:val="dashSmallGap" w:color="auto" w:sz="4" w:space="0"/>
              <w:bottom w:val="dashSmallGap" w:color="auto" w:sz="4" w:space="0"/>
              <w:right w:val="dashSmallGap" w:color="auto" w:sz="4" w:space="0"/>
            </w:tcBorders>
            <w:shd w:val="clear"/>
            <w:vAlign w:val="top"/>
          </w:tcPr>
          <w:p w14:paraId="76DABAFD">
            <w:pP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Cs w:val="21"/>
                <w:highlight w:val="none"/>
              </w:rPr>
              <w:t>Forward Primer</w:t>
            </w:r>
          </w:p>
        </w:tc>
        <w:tc>
          <w:tcPr>
            <w:tcW w:w="4319" w:type="dxa"/>
            <w:tcBorders>
              <w:top w:val="dashSmallGap" w:color="auto" w:sz="4" w:space="0"/>
              <w:left w:val="dashSmallGap" w:color="auto" w:sz="4" w:space="0"/>
              <w:bottom w:val="dashSmallGap" w:color="auto" w:sz="4" w:space="0"/>
              <w:right w:val="dashSmallGap" w:color="auto" w:sz="4" w:space="0"/>
            </w:tcBorders>
            <w:shd w:val="clear"/>
            <w:vAlign w:val="top"/>
          </w:tcPr>
          <w:p w14:paraId="1592E4ED">
            <w:pPr>
              <w:widowControl/>
              <w:jc w:val="left"/>
              <w:rPr>
                <w:rFonts w:hint="eastAsia" w:ascii="Times New Roman" w:hAnsi="Times New Roman" w:cs="Times New Roman" w:eastAsiaTheme="minorEastAsia"/>
                <w:color w:val="auto"/>
                <w:kern w:val="2"/>
                <w:sz w:val="21"/>
                <w:szCs w:val="21"/>
                <w:highlight w:val="none"/>
                <w:lang w:val="en-US" w:eastAsia="zh-CN" w:bidi="ar-SA"/>
              </w:rPr>
            </w:pPr>
            <w:r>
              <w:rPr>
                <w:rFonts w:hint="eastAsia" w:ascii="Times New Roman" w:hAnsi="Times New Roman" w:cs="Times New Roman"/>
                <w:color w:val="auto"/>
                <w:szCs w:val="21"/>
                <w:highlight w:val="none"/>
              </w:rPr>
              <w:t>TTGAAAGTCCACCTCCTTACAGA</w:t>
            </w:r>
          </w:p>
        </w:tc>
      </w:tr>
      <w:tr w14:paraId="603C0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6" w:type="dxa"/>
            <w:vMerge w:val="continue"/>
            <w:tcBorders>
              <w:left w:val="dashSmallGap" w:color="auto" w:sz="4" w:space="0"/>
              <w:bottom w:val="dashSmallGap" w:color="auto" w:sz="4" w:space="0"/>
              <w:right w:val="dashSmallGap" w:color="auto" w:sz="4" w:space="0"/>
            </w:tcBorders>
            <w:vAlign w:val="center"/>
          </w:tcPr>
          <w:p w14:paraId="71523CDD">
            <w:pPr>
              <w:rPr>
                <w:rFonts w:hint="eastAsia" w:ascii="Times New Roman" w:hAnsi="Times New Roman" w:eastAsia="等线" w:cs="Times New Roman"/>
                <w:color w:val="auto"/>
                <w:szCs w:val="21"/>
                <w:highlight w:val="none"/>
              </w:rPr>
            </w:pPr>
          </w:p>
        </w:tc>
        <w:tc>
          <w:tcPr>
            <w:tcW w:w="1984" w:type="dxa"/>
            <w:tcBorders>
              <w:top w:val="dashSmallGap" w:color="auto" w:sz="4" w:space="0"/>
              <w:left w:val="dashSmallGap" w:color="auto" w:sz="4" w:space="0"/>
              <w:bottom w:val="dashSmallGap" w:color="auto" w:sz="4" w:space="0"/>
              <w:right w:val="dashSmallGap" w:color="auto" w:sz="4" w:space="0"/>
            </w:tcBorders>
          </w:tcPr>
          <w:p w14:paraId="5562C1B5">
            <w:pPr>
              <w:rPr>
                <w:rFonts w:hint="eastAsia" w:ascii="Times New Roman" w:hAnsi="Times New Roman" w:eastAsia="等线" w:cs="Times New Roman"/>
                <w:color w:val="auto"/>
                <w:szCs w:val="21"/>
                <w:highlight w:val="none"/>
              </w:rPr>
            </w:pPr>
            <w:r>
              <w:rPr>
                <w:rFonts w:ascii="Times New Roman" w:hAnsi="Times New Roman" w:eastAsia="宋体" w:cs="Times New Roman"/>
                <w:color w:val="auto"/>
                <w:szCs w:val="21"/>
                <w:highlight w:val="none"/>
              </w:rPr>
              <w:t>Reverse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005F24D8">
            <w:pPr>
              <w:rPr>
                <w:rFonts w:hint="eastAsia" w:ascii="Times New Roman" w:hAnsi="Times New Roman" w:eastAsia="等线" w:cs="Times New Roman"/>
                <w:color w:val="auto"/>
                <w:szCs w:val="21"/>
                <w:highlight w:val="none"/>
              </w:rPr>
            </w:pPr>
            <w:r>
              <w:rPr>
                <w:rFonts w:hint="eastAsia" w:ascii="Times New Roman" w:hAnsi="Times New Roman" w:cs="Times New Roman"/>
                <w:color w:val="auto"/>
                <w:szCs w:val="21"/>
                <w:highlight w:val="none"/>
              </w:rPr>
              <w:t>CCGGATAAAAAGAGTACGCTGG</w:t>
            </w:r>
          </w:p>
        </w:tc>
      </w:tr>
      <w:tr w14:paraId="62F0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6" w:type="dxa"/>
            <w:vMerge w:val="restart"/>
            <w:tcBorders>
              <w:top w:val="dashSmallGap" w:color="auto" w:sz="4" w:space="0"/>
              <w:left w:val="dashSmallGap" w:color="auto" w:sz="4" w:space="0"/>
              <w:bottom w:val="single" w:color="auto" w:sz="12" w:space="0"/>
              <w:right w:val="dashSmallGap" w:color="auto" w:sz="4" w:space="0"/>
            </w:tcBorders>
            <w:vAlign w:val="center"/>
          </w:tcPr>
          <w:p w14:paraId="2FE4EC3C">
            <w:pPr>
              <w:widowControl/>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GAPDH</w:t>
            </w:r>
          </w:p>
        </w:tc>
        <w:tc>
          <w:tcPr>
            <w:tcW w:w="1984" w:type="dxa"/>
            <w:tcBorders>
              <w:top w:val="dashSmallGap" w:color="auto" w:sz="4" w:space="0"/>
              <w:left w:val="dashSmallGap" w:color="auto" w:sz="4" w:space="0"/>
              <w:bottom w:val="dashSmallGap" w:color="auto" w:sz="4" w:space="0"/>
              <w:right w:val="dashSmallGap" w:color="auto" w:sz="4" w:space="0"/>
            </w:tcBorders>
          </w:tcPr>
          <w:p w14:paraId="7E946B29">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Forward Primer</w:t>
            </w:r>
          </w:p>
        </w:tc>
        <w:tc>
          <w:tcPr>
            <w:tcW w:w="4319" w:type="dxa"/>
            <w:tcBorders>
              <w:top w:val="dashSmallGap" w:color="auto" w:sz="4" w:space="0"/>
              <w:left w:val="dashSmallGap" w:color="auto" w:sz="4" w:space="0"/>
              <w:bottom w:val="dashSmallGap" w:color="auto" w:sz="4" w:space="0"/>
              <w:right w:val="dashSmallGap" w:color="auto" w:sz="4" w:space="0"/>
            </w:tcBorders>
          </w:tcPr>
          <w:p w14:paraId="0234A624">
            <w:pPr>
              <w:widowControl/>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GTCAAGGCCGAGAATGGGAA</w:t>
            </w:r>
          </w:p>
        </w:tc>
      </w:tr>
      <w:tr w14:paraId="74F1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26" w:type="dxa"/>
            <w:vMerge w:val="continue"/>
            <w:tcBorders>
              <w:top w:val="single" w:color="auto" w:sz="12" w:space="0"/>
              <w:left w:val="dashSmallGap" w:color="auto" w:sz="4" w:space="0"/>
              <w:bottom w:val="single" w:color="auto" w:sz="12" w:space="0"/>
              <w:right w:val="dashSmallGap" w:color="auto" w:sz="4" w:space="0"/>
            </w:tcBorders>
          </w:tcPr>
          <w:p w14:paraId="72167E8F">
            <w:pPr>
              <w:widowControl/>
              <w:jc w:val="left"/>
              <w:rPr>
                <w:rFonts w:ascii="Times New Roman" w:hAnsi="Times New Roman" w:cs="Times New Roman"/>
                <w:color w:val="auto"/>
                <w:szCs w:val="21"/>
                <w:highlight w:val="none"/>
              </w:rPr>
            </w:pPr>
          </w:p>
        </w:tc>
        <w:tc>
          <w:tcPr>
            <w:tcW w:w="1984" w:type="dxa"/>
            <w:tcBorders>
              <w:top w:val="dashSmallGap" w:color="auto" w:sz="4" w:space="0"/>
              <w:left w:val="dashSmallGap" w:color="auto" w:sz="4" w:space="0"/>
              <w:bottom w:val="single" w:color="auto" w:sz="12" w:space="0"/>
              <w:right w:val="dashSmallGap" w:color="auto" w:sz="4" w:space="0"/>
            </w:tcBorders>
          </w:tcPr>
          <w:p w14:paraId="51143D36">
            <w:pPr>
              <w:rPr>
                <w:rFonts w:ascii="Times New Roman" w:hAnsi="Times New Roman" w:eastAsia="宋体" w:cs="Times New Roman"/>
                <w:color w:val="auto"/>
                <w:szCs w:val="21"/>
                <w:highlight w:val="none"/>
              </w:rPr>
            </w:pPr>
            <w:r>
              <w:rPr>
                <w:rFonts w:ascii="Times New Roman" w:hAnsi="Times New Roman" w:eastAsia="宋体" w:cs="Times New Roman"/>
                <w:color w:val="auto"/>
                <w:szCs w:val="21"/>
                <w:highlight w:val="none"/>
              </w:rPr>
              <w:t>Reverse Primer</w:t>
            </w:r>
          </w:p>
        </w:tc>
        <w:tc>
          <w:tcPr>
            <w:tcW w:w="4319" w:type="dxa"/>
            <w:tcBorders>
              <w:top w:val="dashSmallGap" w:color="auto" w:sz="4" w:space="0"/>
              <w:left w:val="dashSmallGap" w:color="auto" w:sz="4" w:space="0"/>
              <w:bottom w:val="single" w:color="auto" w:sz="12" w:space="0"/>
              <w:right w:val="dashSmallGap" w:color="auto" w:sz="4" w:space="0"/>
            </w:tcBorders>
          </w:tcPr>
          <w:p w14:paraId="252172DB">
            <w:pPr>
              <w:widowControl/>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CTCGTGGTTCACACCCATCA</w:t>
            </w:r>
          </w:p>
        </w:tc>
      </w:tr>
    </w:tbl>
    <w:p w14:paraId="663657D1">
      <w:pPr>
        <w:spacing w:line="360" w:lineRule="auto"/>
        <w:jc w:val="center"/>
        <w:rPr>
          <w:rFonts w:hint="eastAsia" w:ascii="Times New Roman" w:hAnsi="Times New Roman" w:cs="Times New Roman"/>
          <w:color w:val="0000FF"/>
          <w:highlight w:val="none"/>
          <w:lang w:bidi="ar"/>
        </w:rPr>
      </w:pPr>
    </w:p>
    <w:p w14:paraId="402D8B25">
      <w:pPr>
        <w:spacing w:line="360" w:lineRule="auto"/>
        <w:jc w:val="center"/>
        <w:rPr>
          <w:rFonts w:ascii="Times New Roman" w:hAnsi="Times New Roman" w:cs="Times New Roman"/>
          <w:color w:val="auto"/>
          <w:highlight w:val="none"/>
          <w:lang w:bidi="ar"/>
        </w:rPr>
      </w:pPr>
      <w:r>
        <w:rPr>
          <w:rFonts w:hint="eastAsia" w:ascii="Times New Roman" w:hAnsi="Times New Roman" w:cs="Times New Roman"/>
          <w:color w:val="auto"/>
          <w:highlight w:val="none"/>
          <w:lang w:bidi="ar"/>
        </w:rPr>
        <w:t>Table Sup 3 List of antibodies used for Western Blot</w:t>
      </w:r>
    </w:p>
    <w:tbl>
      <w:tblPr>
        <w:tblStyle w:val="9"/>
        <w:tblW w:w="8016"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1270"/>
        <w:gridCol w:w="1811"/>
        <w:gridCol w:w="1815"/>
        <w:gridCol w:w="1785"/>
        <w:gridCol w:w="1335"/>
      </w:tblGrid>
      <w:tr w14:paraId="32EFFF16">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270" w:type="dxa"/>
            <w:tcBorders>
              <w:top w:val="single" w:color="auto" w:sz="12" w:space="0"/>
              <w:left w:val="nil"/>
              <w:bottom w:val="single" w:color="auto" w:sz="6" w:space="0"/>
              <w:right w:val="nil"/>
            </w:tcBorders>
          </w:tcPr>
          <w:p w14:paraId="49059307">
            <w:pPr>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A</w:t>
            </w:r>
            <w:r>
              <w:rPr>
                <w:rFonts w:ascii="Times New Roman" w:hAnsi="Times New Roman" w:cs="Times New Roman"/>
                <w:color w:val="auto"/>
                <w:szCs w:val="21"/>
                <w:highlight w:val="none"/>
              </w:rPr>
              <w:t>ntibody</w:t>
            </w:r>
          </w:p>
        </w:tc>
        <w:tc>
          <w:tcPr>
            <w:tcW w:w="1811" w:type="dxa"/>
            <w:tcBorders>
              <w:top w:val="single" w:color="auto" w:sz="12" w:space="0"/>
              <w:left w:val="nil"/>
              <w:bottom w:val="single" w:color="auto" w:sz="6" w:space="0"/>
              <w:right w:val="nil"/>
            </w:tcBorders>
          </w:tcPr>
          <w:p w14:paraId="57A1FB34">
            <w:pPr>
              <w:rPr>
                <w:rFonts w:ascii="Times New Roman" w:hAnsi="Times New Roman" w:cs="Times New Roman"/>
                <w:color w:val="auto"/>
                <w:szCs w:val="21"/>
                <w:highlight w:val="none"/>
              </w:rPr>
            </w:pPr>
            <w:r>
              <w:rPr>
                <w:rFonts w:ascii="Times New Roman" w:hAnsi="Times New Roman" w:cs="Times New Roman"/>
                <w:color w:val="auto"/>
                <w:szCs w:val="21"/>
                <w:highlight w:val="none"/>
              </w:rPr>
              <w:t>Manufacturer</w:t>
            </w:r>
          </w:p>
        </w:tc>
        <w:tc>
          <w:tcPr>
            <w:tcW w:w="1815" w:type="dxa"/>
            <w:tcBorders>
              <w:top w:val="single" w:color="auto" w:sz="12" w:space="0"/>
              <w:left w:val="nil"/>
              <w:bottom w:val="single" w:color="auto" w:sz="6" w:space="0"/>
              <w:right w:val="nil"/>
            </w:tcBorders>
          </w:tcPr>
          <w:p w14:paraId="0D3B1636">
            <w:pPr>
              <w:jc w:val="left"/>
              <w:rPr>
                <w:rFonts w:ascii="Times New Roman" w:hAnsi="Times New Roman" w:eastAsia="AdvOTe4bfdd46" w:cs="Times New Roman"/>
                <w:color w:val="auto"/>
                <w:kern w:val="0"/>
                <w:szCs w:val="21"/>
                <w:highlight w:val="none"/>
              </w:rPr>
            </w:pPr>
            <w:r>
              <w:rPr>
                <w:rFonts w:ascii="Times New Roman" w:hAnsi="Times New Roman" w:eastAsia="AdvOTe4bfdd46" w:cs="Times New Roman"/>
                <w:color w:val="auto"/>
                <w:kern w:val="0"/>
                <w:szCs w:val="21"/>
                <w:highlight w:val="none"/>
              </w:rPr>
              <w:t>Species</w:t>
            </w:r>
            <w:r>
              <w:rPr>
                <w:rFonts w:ascii="Times New Roman" w:hAnsi="Times New Roman" w:cs="Times New Roman"/>
                <w:color w:val="auto"/>
                <w:kern w:val="0"/>
                <w:szCs w:val="21"/>
                <w:highlight w:val="none"/>
              </w:rPr>
              <w:t xml:space="preserve"> </w:t>
            </w:r>
            <w:r>
              <w:rPr>
                <w:rFonts w:ascii="Times New Roman" w:hAnsi="Times New Roman" w:eastAsia="AdvOTe4bfdd46" w:cs="Times New Roman"/>
                <w:color w:val="auto"/>
                <w:kern w:val="0"/>
                <w:szCs w:val="21"/>
                <w:highlight w:val="none"/>
              </w:rPr>
              <w:t>source</w:t>
            </w:r>
          </w:p>
        </w:tc>
        <w:tc>
          <w:tcPr>
            <w:tcW w:w="1785" w:type="dxa"/>
            <w:tcBorders>
              <w:top w:val="single" w:color="auto" w:sz="12" w:space="0"/>
              <w:left w:val="nil"/>
              <w:bottom w:val="single" w:color="auto" w:sz="6" w:space="0"/>
              <w:right w:val="nil"/>
            </w:tcBorders>
          </w:tcPr>
          <w:p w14:paraId="280187A4">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Catalog no.</w:t>
            </w:r>
          </w:p>
        </w:tc>
        <w:tc>
          <w:tcPr>
            <w:tcW w:w="1335" w:type="dxa"/>
            <w:tcBorders>
              <w:top w:val="single" w:color="auto" w:sz="12" w:space="0"/>
              <w:left w:val="nil"/>
              <w:bottom w:val="single" w:color="auto" w:sz="6" w:space="0"/>
              <w:right w:val="nil"/>
            </w:tcBorders>
          </w:tcPr>
          <w:p w14:paraId="21021F00">
            <w:pPr>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D</w:t>
            </w:r>
            <w:r>
              <w:rPr>
                <w:rFonts w:ascii="Times New Roman" w:hAnsi="Times New Roman" w:cs="Times New Roman"/>
                <w:color w:val="auto"/>
                <w:szCs w:val="21"/>
                <w:highlight w:val="none"/>
              </w:rPr>
              <w:t>ilution</w:t>
            </w:r>
          </w:p>
        </w:tc>
      </w:tr>
      <w:tr w14:paraId="7A689F7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1270" w:type="dxa"/>
            <w:tcBorders>
              <w:top w:val="single" w:color="auto" w:sz="6" w:space="0"/>
              <w:left w:val="nil"/>
              <w:bottom w:val="nil"/>
              <w:right w:val="nil"/>
            </w:tcBorders>
            <w:vAlign w:val="center"/>
          </w:tcPr>
          <w:p w14:paraId="269B42AE">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TNF-α</w:t>
            </w:r>
          </w:p>
        </w:tc>
        <w:tc>
          <w:tcPr>
            <w:tcW w:w="1811" w:type="dxa"/>
            <w:tcBorders>
              <w:top w:val="single" w:color="auto" w:sz="6" w:space="0"/>
              <w:left w:val="nil"/>
              <w:bottom w:val="nil"/>
              <w:right w:val="nil"/>
            </w:tcBorders>
            <w:vAlign w:val="center"/>
          </w:tcPr>
          <w:p w14:paraId="1947385C">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Proteintech</w:t>
            </w:r>
            <w:r>
              <w:rPr>
                <w:rFonts w:hint="eastAsia" w:ascii="Times New Roman" w:hAnsi="Times New Roman" w:cs="Times New Roman"/>
                <w:color w:val="auto"/>
                <w:szCs w:val="21"/>
                <w:highlight w:val="none"/>
                <w:vertAlign w:val="superscript"/>
              </w:rPr>
              <w:t>®</w:t>
            </w:r>
          </w:p>
        </w:tc>
        <w:tc>
          <w:tcPr>
            <w:tcW w:w="1815" w:type="dxa"/>
            <w:tcBorders>
              <w:top w:val="single" w:color="auto" w:sz="6" w:space="0"/>
              <w:left w:val="nil"/>
              <w:bottom w:val="nil"/>
              <w:right w:val="nil"/>
            </w:tcBorders>
            <w:vAlign w:val="center"/>
          </w:tcPr>
          <w:p w14:paraId="1F44718F">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Rabbit</w:t>
            </w:r>
          </w:p>
        </w:tc>
        <w:tc>
          <w:tcPr>
            <w:tcW w:w="1785" w:type="dxa"/>
            <w:tcBorders>
              <w:top w:val="single" w:color="auto" w:sz="6" w:space="0"/>
              <w:left w:val="nil"/>
              <w:bottom w:val="nil"/>
              <w:right w:val="nil"/>
            </w:tcBorders>
            <w:vAlign w:val="center"/>
          </w:tcPr>
          <w:p w14:paraId="153DF33B">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17590-1-AP</w:t>
            </w:r>
          </w:p>
        </w:tc>
        <w:tc>
          <w:tcPr>
            <w:tcW w:w="1335" w:type="dxa"/>
            <w:tcBorders>
              <w:top w:val="single" w:color="auto" w:sz="6" w:space="0"/>
              <w:left w:val="nil"/>
              <w:bottom w:val="nil"/>
              <w:right w:val="nil"/>
            </w:tcBorders>
          </w:tcPr>
          <w:p w14:paraId="55313D5B">
            <w:pPr>
              <w:jc w:val="left"/>
              <w:rPr>
                <w:rFonts w:ascii="Times New Roman" w:hAnsi="Times New Roman" w:eastAsia="宋体" w:cs="Times New Roman"/>
                <w:color w:val="auto"/>
                <w:szCs w:val="21"/>
                <w:highlight w:val="none"/>
              </w:rPr>
            </w:pPr>
            <w:r>
              <w:rPr>
                <w:rFonts w:hint="eastAsia" w:ascii="Times New Roman" w:hAnsi="Times New Roman" w:cs="Times New Roman"/>
                <w:color w:val="auto"/>
                <w:szCs w:val="21"/>
                <w:highlight w:val="none"/>
              </w:rPr>
              <w:t>1:1000</w:t>
            </w:r>
          </w:p>
        </w:tc>
      </w:tr>
      <w:tr w14:paraId="2CD860D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270" w:type="dxa"/>
            <w:tcBorders>
              <w:top w:val="nil"/>
              <w:left w:val="nil"/>
              <w:bottom w:val="nil"/>
              <w:right w:val="nil"/>
            </w:tcBorders>
            <w:vAlign w:val="center"/>
          </w:tcPr>
          <w:p w14:paraId="5B40154B">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IL</w:t>
            </w:r>
            <w:r>
              <w:rPr>
                <w:rFonts w:hint="eastAsia" w:ascii="Times New Roman" w:hAnsi="Times New Roman" w:cs="Times New Roman"/>
                <w:color w:val="auto"/>
                <w:szCs w:val="21"/>
                <w:highlight w:val="none"/>
              </w:rPr>
              <w:t>-1</w:t>
            </w:r>
            <w:r>
              <w:rPr>
                <w:rFonts w:ascii="Times New Roman" w:hAnsi="Times New Roman" w:cs="Times New Roman"/>
                <w:color w:val="auto"/>
                <w:szCs w:val="21"/>
                <w:highlight w:val="none"/>
              </w:rPr>
              <w:t>β</w:t>
            </w:r>
          </w:p>
        </w:tc>
        <w:tc>
          <w:tcPr>
            <w:tcW w:w="1811" w:type="dxa"/>
            <w:tcBorders>
              <w:top w:val="nil"/>
              <w:left w:val="nil"/>
              <w:bottom w:val="nil"/>
              <w:right w:val="nil"/>
            </w:tcBorders>
            <w:vAlign w:val="center"/>
          </w:tcPr>
          <w:p w14:paraId="07ECC02B">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Proteintech</w:t>
            </w:r>
            <w:r>
              <w:rPr>
                <w:rFonts w:hint="eastAsia" w:ascii="Times New Roman" w:hAnsi="Times New Roman" w:cs="Times New Roman"/>
                <w:color w:val="auto"/>
                <w:szCs w:val="21"/>
                <w:highlight w:val="none"/>
                <w:vertAlign w:val="superscript"/>
              </w:rPr>
              <w:t>®</w:t>
            </w:r>
          </w:p>
        </w:tc>
        <w:tc>
          <w:tcPr>
            <w:tcW w:w="1815" w:type="dxa"/>
            <w:tcBorders>
              <w:top w:val="nil"/>
              <w:left w:val="nil"/>
              <w:bottom w:val="nil"/>
              <w:right w:val="nil"/>
            </w:tcBorders>
            <w:vAlign w:val="center"/>
          </w:tcPr>
          <w:p w14:paraId="653B009B">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Rabbit</w:t>
            </w:r>
          </w:p>
        </w:tc>
        <w:tc>
          <w:tcPr>
            <w:tcW w:w="1785" w:type="dxa"/>
            <w:tcBorders>
              <w:top w:val="nil"/>
              <w:left w:val="nil"/>
              <w:bottom w:val="nil"/>
              <w:right w:val="nil"/>
            </w:tcBorders>
            <w:vAlign w:val="center"/>
          </w:tcPr>
          <w:p w14:paraId="213CE624">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26048-1-AP</w:t>
            </w:r>
          </w:p>
        </w:tc>
        <w:tc>
          <w:tcPr>
            <w:tcW w:w="1335" w:type="dxa"/>
            <w:tcBorders>
              <w:top w:val="nil"/>
              <w:left w:val="nil"/>
              <w:bottom w:val="nil"/>
              <w:right w:val="nil"/>
            </w:tcBorders>
          </w:tcPr>
          <w:p w14:paraId="6967743C">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1:1000</w:t>
            </w:r>
          </w:p>
        </w:tc>
      </w:tr>
      <w:tr w14:paraId="4B4E0AF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270" w:type="dxa"/>
            <w:tcBorders>
              <w:top w:val="nil"/>
              <w:left w:val="nil"/>
              <w:bottom w:val="nil"/>
              <w:right w:val="nil"/>
            </w:tcBorders>
            <w:vAlign w:val="center"/>
          </w:tcPr>
          <w:p w14:paraId="241C2020">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I</w:t>
            </w:r>
            <w:r>
              <w:rPr>
                <w:rFonts w:hint="eastAsia" w:ascii="Times New Roman" w:hAnsi="Times New Roman" w:cs="Times New Roman"/>
                <w:color w:val="auto"/>
                <w:szCs w:val="21"/>
                <w:highlight w:val="none"/>
              </w:rPr>
              <w:t>L-6</w:t>
            </w:r>
          </w:p>
        </w:tc>
        <w:tc>
          <w:tcPr>
            <w:tcW w:w="1811" w:type="dxa"/>
            <w:tcBorders>
              <w:top w:val="nil"/>
              <w:left w:val="nil"/>
              <w:bottom w:val="nil"/>
              <w:right w:val="nil"/>
            </w:tcBorders>
            <w:vAlign w:val="center"/>
          </w:tcPr>
          <w:p w14:paraId="381A1BDC">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Proteintech</w:t>
            </w:r>
            <w:r>
              <w:rPr>
                <w:rFonts w:hint="eastAsia" w:ascii="Times New Roman" w:hAnsi="Times New Roman" w:cs="Times New Roman"/>
                <w:color w:val="auto"/>
                <w:szCs w:val="21"/>
                <w:highlight w:val="none"/>
                <w:vertAlign w:val="superscript"/>
              </w:rPr>
              <w:t>®</w:t>
            </w:r>
          </w:p>
        </w:tc>
        <w:tc>
          <w:tcPr>
            <w:tcW w:w="1815" w:type="dxa"/>
            <w:tcBorders>
              <w:top w:val="nil"/>
              <w:left w:val="nil"/>
              <w:bottom w:val="nil"/>
              <w:right w:val="nil"/>
            </w:tcBorders>
            <w:vAlign w:val="center"/>
          </w:tcPr>
          <w:p w14:paraId="5150C1FF">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Rabbit</w:t>
            </w:r>
          </w:p>
        </w:tc>
        <w:tc>
          <w:tcPr>
            <w:tcW w:w="1785" w:type="dxa"/>
            <w:tcBorders>
              <w:top w:val="nil"/>
              <w:left w:val="nil"/>
              <w:bottom w:val="nil"/>
              <w:right w:val="nil"/>
            </w:tcBorders>
            <w:vAlign w:val="center"/>
          </w:tcPr>
          <w:p w14:paraId="577B6FB7">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21865-1-AP</w:t>
            </w:r>
          </w:p>
        </w:tc>
        <w:tc>
          <w:tcPr>
            <w:tcW w:w="1335" w:type="dxa"/>
            <w:tcBorders>
              <w:top w:val="nil"/>
              <w:left w:val="nil"/>
              <w:bottom w:val="nil"/>
              <w:right w:val="nil"/>
            </w:tcBorders>
          </w:tcPr>
          <w:p w14:paraId="524543C7">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1:1000</w:t>
            </w:r>
          </w:p>
        </w:tc>
      </w:tr>
      <w:tr w14:paraId="04D20FC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270" w:type="dxa"/>
            <w:tcBorders>
              <w:top w:val="nil"/>
              <w:left w:val="nil"/>
              <w:bottom w:val="nil"/>
              <w:right w:val="nil"/>
            </w:tcBorders>
            <w:vAlign w:val="center"/>
          </w:tcPr>
          <w:p w14:paraId="0EA3C803">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α-SMA</w:t>
            </w:r>
          </w:p>
        </w:tc>
        <w:tc>
          <w:tcPr>
            <w:tcW w:w="1811" w:type="dxa"/>
            <w:tcBorders>
              <w:top w:val="nil"/>
              <w:left w:val="nil"/>
              <w:bottom w:val="nil"/>
              <w:right w:val="nil"/>
            </w:tcBorders>
            <w:vAlign w:val="center"/>
          </w:tcPr>
          <w:p w14:paraId="5C9B368F">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CST</w:t>
            </w:r>
            <w:r>
              <w:rPr>
                <w:rFonts w:hint="eastAsia" w:ascii="Times New Roman" w:hAnsi="Times New Roman" w:cs="Times New Roman"/>
                <w:color w:val="auto"/>
                <w:szCs w:val="21"/>
                <w:highlight w:val="none"/>
                <w:vertAlign w:val="superscript"/>
              </w:rPr>
              <w:t>®</w:t>
            </w:r>
          </w:p>
        </w:tc>
        <w:tc>
          <w:tcPr>
            <w:tcW w:w="1815" w:type="dxa"/>
            <w:tcBorders>
              <w:top w:val="nil"/>
              <w:left w:val="nil"/>
              <w:bottom w:val="nil"/>
              <w:right w:val="nil"/>
            </w:tcBorders>
            <w:vAlign w:val="center"/>
          </w:tcPr>
          <w:p w14:paraId="72E990D4">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Rabbit</w:t>
            </w:r>
          </w:p>
        </w:tc>
        <w:tc>
          <w:tcPr>
            <w:tcW w:w="1785" w:type="dxa"/>
            <w:tcBorders>
              <w:top w:val="nil"/>
              <w:left w:val="nil"/>
              <w:bottom w:val="nil"/>
              <w:right w:val="nil"/>
            </w:tcBorders>
            <w:vAlign w:val="center"/>
          </w:tcPr>
          <w:p w14:paraId="416E6E0F">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19245</w:t>
            </w:r>
          </w:p>
        </w:tc>
        <w:tc>
          <w:tcPr>
            <w:tcW w:w="1335" w:type="dxa"/>
            <w:tcBorders>
              <w:top w:val="nil"/>
              <w:left w:val="nil"/>
              <w:bottom w:val="nil"/>
              <w:right w:val="nil"/>
            </w:tcBorders>
          </w:tcPr>
          <w:p w14:paraId="2D56AF8D">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1:1000</w:t>
            </w:r>
          </w:p>
        </w:tc>
      </w:tr>
      <w:tr w14:paraId="53B183F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270" w:type="dxa"/>
            <w:tcBorders>
              <w:top w:val="nil"/>
              <w:left w:val="nil"/>
              <w:bottom w:val="nil"/>
              <w:right w:val="nil"/>
            </w:tcBorders>
            <w:vAlign w:val="center"/>
          </w:tcPr>
          <w:p w14:paraId="08A8138E">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Col</w:t>
            </w:r>
            <w:r>
              <w:rPr>
                <w:rFonts w:hint="eastAsia" w:ascii="Times New Roman" w:hAnsi="Times New Roman" w:cs="Times New Roman"/>
                <w:color w:val="auto"/>
                <w:szCs w:val="21"/>
                <w:highlight w:val="none"/>
              </w:rPr>
              <w:t>legan I</w:t>
            </w:r>
          </w:p>
        </w:tc>
        <w:tc>
          <w:tcPr>
            <w:tcW w:w="1811" w:type="dxa"/>
            <w:tcBorders>
              <w:top w:val="nil"/>
              <w:left w:val="nil"/>
              <w:bottom w:val="nil"/>
              <w:right w:val="nil"/>
            </w:tcBorders>
            <w:vAlign w:val="center"/>
          </w:tcPr>
          <w:p w14:paraId="4598C320">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Proteintech</w:t>
            </w:r>
            <w:r>
              <w:rPr>
                <w:rFonts w:hint="eastAsia" w:ascii="Times New Roman" w:hAnsi="Times New Roman" w:cs="Times New Roman"/>
                <w:color w:val="auto"/>
                <w:szCs w:val="21"/>
                <w:highlight w:val="none"/>
                <w:vertAlign w:val="superscript"/>
              </w:rPr>
              <w:t>®</w:t>
            </w:r>
          </w:p>
        </w:tc>
        <w:tc>
          <w:tcPr>
            <w:tcW w:w="1815" w:type="dxa"/>
            <w:tcBorders>
              <w:top w:val="nil"/>
              <w:left w:val="nil"/>
              <w:bottom w:val="nil"/>
              <w:right w:val="nil"/>
            </w:tcBorders>
            <w:vAlign w:val="center"/>
          </w:tcPr>
          <w:p w14:paraId="07D9BB41">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Rabbit</w:t>
            </w:r>
          </w:p>
        </w:tc>
        <w:tc>
          <w:tcPr>
            <w:tcW w:w="1785" w:type="dxa"/>
            <w:tcBorders>
              <w:top w:val="nil"/>
              <w:left w:val="nil"/>
              <w:bottom w:val="nil"/>
              <w:right w:val="nil"/>
            </w:tcBorders>
            <w:vAlign w:val="center"/>
          </w:tcPr>
          <w:p w14:paraId="204AD14B">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14695-1-AP</w:t>
            </w:r>
          </w:p>
        </w:tc>
        <w:tc>
          <w:tcPr>
            <w:tcW w:w="1335" w:type="dxa"/>
            <w:tcBorders>
              <w:top w:val="nil"/>
              <w:left w:val="nil"/>
              <w:bottom w:val="nil"/>
              <w:right w:val="nil"/>
            </w:tcBorders>
          </w:tcPr>
          <w:p w14:paraId="0BDCC959">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1:1000</w:t>
            </w:r>
          </w:p>
        </w:tc>
      </w:tr>
      <w:tr w14:paraId="5241BBB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270" w:type="dxa"/>
            <w:tcBorders>
              <w:top w:val="nil"/>
              <w:left w:val="nil"/>
              <w:bottom w:val="nil"/>
              <w:right w:val="nil"/>
            </w:tcBorders>
            <w:vAlign w:val="center"/>
          </w:tcPr>
          <w:p w14:paraId="2C1E993E">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Z</w:t>
            </w:r>
            <w:r>
              <w:rPr>
                <w:rFonts w:hint="eastAsia" w:ascii="Times New Roman" w:hAnsi="Times New Roman" w:cs="Times New Roman"/>
                <w:color w:val="auto"/>
                <w:szCs w:val="21"/>
                <w:highlight w:val="none"/>
              </w:rPr>
              <w:t>O-1</w:t>
            </w:r>
          </w:p>
        </w:tc>
        <w:tc>
          <w:tcPr>
            <w:tcW w:w="1811" w:type="dxa"/>
            <w:tcBorders>
              <w:top w:val="nil"/>
              <w:left w:val="nil"/>
              <w:bottom w:val="nil"/>
              <w:right w:val="nil"/>
            </w:tcBorders>
            <w:vAlign w:val="center"/>
          </w:tcPr>
          <w:p w14:paraId="01336964">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Proteintech</w:t>
            </w:r>
            <w:r>
              <w:rPr>
                <w:rFonts w:hint="eastAsia" w:ascii="Times New Roman" w:hAnsi="Times New Roman" w:cs="Times New Roman"/>
                <w:color w:val="auto"/>
                <w:szCs w:val="21"/>
                <w:highlight w:val="none"/>
                <w:vertAlign w:val="superscript"/>
              </w:rPr>
              <w:t>®</w:t>
            </w:r>
          </w:p>
        </w:tc>
        <w:tc>
          <w:tcPr>
            <w:tcW w:w="1815" w:type="dxa"/>
            <w:tcBorders>
              <w:top w:val="nil"/>
              <w:left w:val="nil"/>
              <w:bottom w:val="nil"/>
              <w:right w:val="nil"/>
            </w:tcBorders>
            <w:vAlign w:val="center"/>
          </w:tcPr>
          <w:p w14:paraId="68CF3A9E">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Rabbit</w:t>
            </w:r>
          </w:p>
        </w:tc>
        <w:tc>
          <w:tcPr>
            <w:tcW w:w="1785" w:type="dxa"/>
            <w:tcBorders>
              <w:top w:val="nil"/>
              <w:left w:val="nil"/>
              <w:bottom w:val="nil"/>
              <w:right w:val="nil"/>
            </w:tcBorders>
            <w:vAlign w:val="center"/>
          </w:tcPr>
          <w:p w14:paraId="75106A49">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21773-1-AP</w:t>
            </w:r>
          </w:p>
        </w:tc>
        <w:tc>
          <w:tcPr>
            <w:tcW w:w="1335" w:type="dxa"/>
            <w:tcBorders>
              <w:top w:val="nil"/>
              <w:left w:val="nil"/>
              <w:bottom w:val="nil"/>
              <w:right w:val="nil"/>
            </w:tcBorders>
          </w:tcPr>
          <w:p w14:paraId="2E1C8ACA">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1:5000</w:t>
            </w:r>
          </w:p>
        </w:tc>
      </w:tr>
      <w:tr w14:paraId="1F0BAD1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270" w:type="dxa"/>
            <w:tcBorders>
              <w:top w:val="nil"/>
              <w:left w:val="nil"/>
              <w:bottom w:val="nil"/>
              <w:right w:val="nil"/>
            </w:tcBorders>
            <w:vAlign w:val="center"/>
          </w:tcPr>
          <w:p w14:paraId="370AA966">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O</w:t>
            </w:r>
            <w:r>
              <w:rPr>
                <w:rFonts w:ascii="Times New Roman" w:hAnsi="Times New Roman" w:cs="Times New Roman"/>
                <w:color w:val="auto"/>
                <w:szCs w:val="21"/>
                <w:highlight w:val="none"/>
              </w:rPr>
              <w:t>ccludin</w:t>
            </w:r>
          </w:p>
        </w:tc>
        <w:tc>
          <w:tcPr>
            <w:tcW w:w="1811" w:type="dxa"/>
            <w:tcBorders>
              <w:top w:val="nil"/>
              <w:left w:val="nil"/>
              <w:bottom w:val="nil"/>
              <w:right w:val="nil"/>
            </w:tcBorders>
            <w:vAlign w:val="center"/>
          </w:tcPr>
          <w:p w14:paraId="2F7CDAB4">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Proteintech</w:t>
            </w:r>
            <w:r>
              <w:rPr>
                <w:rFonts w:hint="eastAsia" w:ascii="Times New Roman" w:hAnsi="Times New Roman" w:cs="Times New Roman"/>
                <w:color w:val="auto"/>
                <w:szCs w:val="21"/>
                <w:highlight w:val="none"/>
                <w:vertAlign w:val="superscript"/>
              </w:rPr>
              <w:t>®</w:t>
            </w:r>
          </w:p>
        </w:tc>
        <w:tc>
          <w:tcPr>
            <w:tcW w:w="1815" w:type="dxa"/>
            <w:tcBorders>
              <w:top w:val="nil"/>
              <w:left w:val="nil"/>
              <w:bottom w:val="nil"/>
              <w:right w:val="nil"/>
            </w:tcBorders>
            <w:vAlign w:val="center"/>
          </w:tcPr>
          <w:p w14:paraId="76FF51CF">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Rabbit</w:t>
            </w:r>
          </w:p>
        </w:tc>
        <w:tc>
          <w:tcPr>
            <w:tcW w:w="1785" w:type="dxa"/>
            <w:tcBorders>
              <w:top w:val="nil"/>
              <w:left w:val="nil"/>
              <w:bottom w:val="nil"/>
              <w:right w:val="nil"/>
            </w:tcBorders>
            <w:vAlign w:val="center"/>
          </w:tcPr>
          <w:p w14:paraId="383271F0">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13409-1-AP</w:t>
            </w:r>
          </w:p>
        </w:tc>
        <w:tc>
          <w:tcPr>
            <w:tcW w:w="1335" w:type="dxa"/>
            <w:tcBorders>
              <w:top w:val="nil"/>
              <w:left w:val="nil"/>
              <w:bottom w:val="nil"/>
              <w:right w:val="nil"/>
            </w:tcBorders>
          </w:tcPr>
          <w:p w14:paraId="74D309FA">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1:2000</w:t>
            </w:r>
          </w:p>
        </w:tc>
      </w:tr>
      <w:tr w14:paraId="32EBBDC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270" w:type="dxa"/>
            <w:tcBorders>
              <w:top w:val="nil"/>
              <w:left w:val="nil"/>
              <w:bottom w:val="nil"/>
              <w:right w:val="nil"/>
            </w:tcBorders>
            <w:vAlign w:val="center"/>
          </w:tcPr>
          <w:p w14:paraId="2D29E9F4">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GAPDH</w:t>
            </w:r>
          </w:p>
        </w:tc>
        <w:tc>
          <w:tcPr>
            <w:tcW w:w="1811" w:type="dxa"/>
            <w:tcBorders>
              <w:top w:val="nil"/>
              <w:left w:val="nil"/>
              <w:bottom w:val="nil"/>
              <w:right w:val="nil"/>
            </w:tcBorders>
            <w:vAlign w:val="center"/>
          </w:tcPr>
          <w:p w14:paraId="11591DA0">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Proteintech</w:t>
            </w:r>
            <w:r>
              <w:rPr>
                <w:rFonts w:hint="eastAsia" w:ascii="Times New Roman" w:hAnsi="Times New Roman" w:cs="Times New Roman"/>
                <w:color w:val="auto"/>
                <w:szCs w:val="21"/>
                <w:highlight w:val="none"/>
                <w:vertAlign w:val="superscript"/>
              </w:rPr>
              <w:t>®</w:t>
            </w:r>
          </w:p>
        </w:tc>
        <w:tc>
          <w:tcPr>
            <w:tcW w:w="1815" w:type="dxa"/>
            <w:tcBorders>
              <w:top w:val="nil"/>
              <w:left w:val="nil"/>
              <w:bottom w:val="nil"/>
              <w:right w:val="nil"/>
            </w:tcBorders>
            <w:vAlign w:val="center"/>
          </w:tcPr>
          <w:p w14:paraId="1E9CB853">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Mouse</w:t>
            </w:r>
          </w:p>
        </w:tc>
        <w:tc>
          <w:tcPr>
            <w:tcW w:w="1785" w:type="dxa"/>
            <w:tcBorders>
              <w:top w:val="nil"/>
              <w:left w:val="nil"/>
              <w:bottom w:val="nil"/>
              <w:right w:val="nil"/>
            </w:tcBorders>
            <w:vAlign w:val="center"/>
          </w:tcPr>
          <w:p w14:paraId="726340DE">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60004-1-Ig</w:t>
            </w:r>
          </w:p>
        </w:tc>
        <w:tc>
          <w:tcPr>
            <w:tcW w:w="1335" w:type="dxa"/>
            <w:tcBorders>
              <w:top w:val="nil"/>
              <w:left w:val="nil"/>
              <w:bottom w:val="nil"/>
              <w:right w:val="nil"/>
            </w:tcBorders>
          </w:tcPr>
          <w:p w14:paraId="4E9A179A">
            <w:pPr>
              <w:jc w:val="left"/>
              <w:rPr>
                <w:rFonts w:hint="eastAsia" w:ascii="Times New Roman" w:hAnsi="Times New Roman" w:cs="Times New Roman" w:eastAsiaTheme="minorEastAsia"/>
                <w:color w:val="auto"/>
                <w:szCs w:val="21"/>
                <w:highlight w:val="none"/>
                <w:lang w:val="en-US" w:eastAsia="zh-CN"/>
              </w:rPr>
            </w:pPr>
            <w:r>
              <w:rPr>
                <w:rFonts w:hint="eastAsia" w:ascii="Times New Roman" w:hAnsi="Times New Roman" w:cs="Times New Roman"/>
                <w:color w:val="auto"/>
                <w:szCs w:val="21"/>
                <w:highlight w:val="none"/>
              </w:rPr>
              <w:t>1:5000</w:t>
            </w:r>
            <w:r>
              <w:rPr>
                <w:rFonts w:hint="eastAsia" w:ascii="Times New Roman" w:hAnsi="Times New Roman" w:cs="Times New Roman"/>
                <w:color w:val="auto"/>
                <w:szCs w:val="21"/>
                <w:highlight w:val="none"/>
                <w:lang w:val="en-US" w:eastAsia="zh-CN"/>
              </w:rPr>
              <w:t>0</w:t>
            </w:r>
          </w:p>
        </w:tc>
      </w:tr>
      <w:tr w14:paraId="36D2CE5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1270" w:type="dxa"/>
            <w:tcBorders>
              <w:top w:val="nil"/>
              <w:left w:val="nil"/>
              <w:bottom w:val="single" w:color="auto" w:sz="12" w:space="0"/>
              <w:right w:val="nil"/>
            </w:tcBorders>
            <w:vAlign w:val="center"/>
          </w:tcPr>
          <w:p w14:paraId="55EFCE20">
            <w:pPr>
              <w:jc w:val="left"/>
              <w:rPr>
                <w:rFonts w:ascii="Times New Roman" w:hAnsi="Times New Roman" w:cs="Times New Roman"/>
                <w:color w:val="auto"/>
                <w:szCs w:val="21"/>
                <w:highlight w:val="none"/>
              </w:rPr>
            </w:pPr>
            <w:r>
              <w:rPr>
                <w:rFonts w:ascii="Times New Roman" w:hAnsi="Times New Roman" w:cs="Times New Roman"/>
                <w:color w:val="auto"/>
                <w:szCs w:val="21"/>
                <w:highlight w:val="none"/>
              </w:rPr>
              <w:t>Hsp-90</w:t>
            </w:r>
          </w:p>
        </w:tc>
        <w:tc>
          <w:tcPr>
            <w:tcW w:w="1811" w:type="dxa"/>
            <w:tcBorders>
              <w:top w:val="nil"/>
              <w:left w:val="nil"/>
              <w:bottom w:val="single" w:color="auto" w:sz="12" w:space="0"/>
              <w:right w:val="nil"/>
            </w:tcBorders>
            <w:vAlign w:val="center"/>
          </w:tcPr>
          <w:p w14:paraId="755487A4">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Beyotime</w:t>
            </w:r>
            <w:r>
              <w:rPr>
                <w:rFonts w:hint="eastAsia" w:ascii="Times New Roman" w:hAnsi="Times New Roman" w:cs="Times New Roman"/>
                <w:color w:val="auto"/>
                <w:szCs w:val="21"/>
                <w:highlight w:val="none"/>
                <w:vertAlign w:val="superscript"/>
              </w:rPr>
              <w:t>®</w:t>
            </w:r>
          </w:p>
        </w:tc>
        <w:tc>
          <w:tcPr>
            <w:tcW w:w="1815" w:type="dxa"/>
            <w:tcBorders>
              <w:top w:val="nil"/>
              <w:left w:val="nil"/>
              <w:bottom w:val="single" w:color="auto" w:sz="12" w:space="0"/>
              <w:right w:val="nil"/>
            </w:tcBorders>
            <w:vAlign w:val="center"/>
          </w:tcPr>
          <w:p w14:paraId="582ABA4B">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Mouse</w:t>
            </w:r>
          </w:p>
        </w:tc>
        <w:tc>
          <w:tcPr>
            <w:tcW w:w="1785" w:type="dxa"/>
            <w:tcBorders>
              <w:top w:val="nil"/>
              <w:left w:val="nil"/>
              <w:bottom w:val="single" w:color="auto" w:sz="12" w:space="0"/>
              <w:right w:val="nil"/>
            </w:tcBorders>
            <w:vAlign w:val="center"/>
          </w:tcPr>
          <w:p w14:paraId="05BA72AD">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AF0192</w:t>
            </w:r>
          </w:p>
        </w:tc>
        <w:tc>
          <w:tcPr>
            <w:tcW w:w="1335" w:type="dxa"/>
            <w:tcBorders>
              <w:top w:val="nil"/>
              <w:left w:val="nil"/>
              <w:bottom w:val="single" w:color="auto" w:sz="12" w:space="0"/>
              <w:right w:val="nil"/>
            </w:tcBorders>
          </w:tcPr>
          <w:p w14:paraId="5CC6BAB4">
            <w:pPr>
              <w:jc w:val="left"/>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w:t>
            </w:r>
            <w:r>
              <w:rPr>
                <w:rFonts w:hint="eastAsia" w:ascii="Times New Roman" w:hAnsi="Times New Roman" w:cs="Times New Roman"/>
                <w:color w:val="auto"/>
                <w:szCs w:val="21"/>
                <w:highlight w:val="none"/>
                <w:lang w:val="en-US" w:eastAsia="zh-CN"/>
              </w:rPr>
              <w:t>10</w:t>
            </w:r>
            <w:r>
              <w:rPr>
                <w:rFonts w:hint="eastAsia" w:ascii="Times New Roman" w:hAnsi="Times New Roman" w:cs="Times New Roman"/>
                <w:color w:val="auto"/>
                <w:szCs w:val="21"/>
                <w:highlight w:val="none"/>
              </w:rPr>
              <w:t>00</w:t>
            </w:r>
          </w:p>
        </w:tc>
      </w:tr>
    </w:tbl>
    <w:p w14:paraId="0ED19948">
      <w:pPr>
        <w:spacing w:line="360" w:lineRule="auto"/>
        <w:jc w:val="center"/>
        <w:rPr>
          <w:rFonts w:hint="eastAsia" w:ascii="Times New Roman" w:hAnsi="Times New Roman" w:cs="Times New Roman"/>
          <w:color w:val="0000FF"/>
          <w:highlight w:val="none"/>
          <w:lang w:bidi="ar"/>
        </w:rPr>
      </w:pPr>
    </w:p>
    <w:p w14:paraId="35AE9EA3">
      <w:pPr>
        <w:spacing w:line="360" w:lineRule="auto"/>
        <w:jc w:val="center"/>
        <w:rPr>
          <w:rFonts w:ascii="Times New Roman" w:hAnsi="Times New Roman" w:cs="Times New Roman"/>
          <w:color w:val="auto"/>
          <w:highlight w:val="none"/>
          <w:lang w:bidi="ar"/>
        </w:rPr>
      </w:pPr>
      <w:r>
        <w:rPr>
          <w:rFonts w:hint="eastAsia" w:ascii="Times New Roman" w:hAnsi="Times New Roman" w:cs="Times New Roman"/>
          <w:color w:val="auto"/>
          <w:highlight w:val="none"/>
          <w:lang w:bidi="ar"/>
        </w:rPr>
        <w:t>Table Sup 4 List of antibodies used for immunofluorescence in tissue samples</w:t>
      </w:r>
    </w:p>
    <w:tbl>
      <w:tblPr>
        <w:tblStyle w:val="9"/>
        <w:tblW w:w="8112"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280"/>
        <w:gridCol w:w="1560"/>
        <w:gridCol w:w="1890"/>
        <w:gridCol w:w="1347"/>
        <w:gridCol w:w="1035"/>
      </w:tblGrid>
      <w:tr w14:paraId="785D3D3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single" w:color="auto" w:sz="12" w:space="0"/>
              <w:left w:val="nil"/>
              <w:bottom w:val="single" w:color="auto" w:sz="6" w:space="0"/>
              <w:right w:val="nil"/>
            </w:tcBorders>
          </w:tcPr>
          <w:p w14:paraId="58BDEF1C">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Antibody</w:t>
            </w:r>
          </w:p>
        </w:tc>
        <w:tc>
          <w:tcPr>
            <w:tcW w:w="1560" w:type="dxa"/>
            <w:tcBorders>
              <w:top w:val="single" w:color="auto" w:sz="12" w:space="0"/>
              <w:left w:val="nil"/>
              <w:bottom w:val="single" w:color="auto" w:sz="6" w:space="0"/>
              <w:right w:val="nil"/>
            </w:tcBorders>
          </w:tcPr>
          <w:p w14:paraId="127565DC">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Manufacturer</w:t>
            </w:r>
          </w:p>
        </w:tc>
        <w:tc>
          <w:tcPr>
            <w:tcW w:w="1890" w:type="dxa"/>
            <w:tcBorders>
              <w:top w:val="single" w:color="auto" w:sz="12" w:space="0"/>
              <w:left w:val="nil"/>
              <w:bottom w:val="single" w:color="auto" w:sz="6" w:space="0"/>
              <w:right w:val="nil"/>
            </w:tcBorders>
          </w:tcPr>
          <w:p w14:paraId="6AD1789F">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Species source</w:t>
            </w:r>
          </w:p>
        </w:tc>
        <w:tc>
          <w:tcPr>
            <w:tcW w:w="1347" w:type="dxa"/>
            <w:tcBorders>
              <w:top w:val="single" w:color="auto" w:sz="12" w:space="0"/>
              <w:left w:val="nil"/>
              <w:bottom w:val="single" w:color="auto" w:sz="6" w:space="0"/>
              <w:right w:val="nil"/>
            </w:tcBorders>
          </w:tcPr>
          <w:p w14:paraId="377F93B2">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Catalog no.</w:t>
            </w:r>
          </w:p>
        </w:tc>
        <w:tc>
          <w:tcPr>
            <w:tcW w:w="1035" w:type="dxa"/>
            <w:tcBorders>
              <w:top w:val="single" w:color="auto" w:sz="12" w:space="0"/>
              <w:left w:val="nil"/>
              <w:bottom w:val="single" w:color="auto" w:sz="6" w:space="0"/>
              <w:right w:val="nil"/>
            </w:tcBorders>
          </w:tcPr>
          <w:p w14:paraId="178804A5">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Dilution</w:t>
            </w:r>
          </w:p>
        </w:tc>
      </w:tr>
      <w:tr w14:paraId="406BC24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2280" w:type="dxa"/>
            <w:tcBorders>
              <w:top w:val="single" w:color="auto" w:sz="6" w:space="0"/>
              <w:left w:val="nil"/>
              <w:bottom w:val="nil"/>
              <w:right w:val="nil"/>
            </w:tcBorders>
            <w:shd w:val="clear" w:color="auto" w:fill="auto"/>
          </w:tcPr>
          <w:p w14:paraId="1DB87648">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Lysozyme</w:t>
            </w:r>
          </w:p>
        </w:tc>
        <w:tc>
          <w:tcPr>
            <w:tcW w:w="1560" w:type="dxa"/>
            <w:tcBorders>
              <w:top w:val="single" w:color="auto" w:sz="6" w:space="0"/>
              <w:left w:val="nil"/>
              <w:bottom w:val="nil"/>
              <w:right w:val="nil"/>
            </w:tcBorders>
            <w:vAlign w:val="center"/>
          </w:tcPr>
          <w:p w14:paraId="1BD221A6">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single" w:color="auto" w:sz="6" w:space="0"/>
              <w:left w:val="nil"/>
              <w:bottom w:val="nil"/>
              <w:right w:val="nil"/>
            </w:tcBorders>
          </w:tcPr>
          <w:p w14:paraId="19AF7B56">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single" w:color="auto" w:sz="6" w:space="0"/>
              <w:left w:val="nil"/>
              <w:bottom w:val="nil"/>
              <w:right w:val="nil"/>
            </w:tcBorders>
            <w:vAlign w:val="center"/>
          </w:tcPr>
          <w:p w14:paraId="7625BBB0">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Ab108508</w:t>
            </w:r>
          </w:p>
        </w:tc>
        <w:tc>
          <w:tcPr>
            <w:tcW w:w="1035" w:type="dxa"/>
            <w:tcBorders>
              <w:top w:val="single" w:color="auto" w:sz="6" w:space="0"/>
              <w:left w:val="nil"/>
              <w:bottom w:val="nil"/>
              <w:right w:val="nil"/>
            </w:tcBorders>
          </w:tcPr>
          <w:p w14:paraId="4DBA14F3">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4814A41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0B7AACC5">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Lgr5</w:t>
            </w:r>
          </w:p>
        </w:tc>
        <w:tc>
          <w:tcPr>
            <w:tcW w:w="1560" w:type="dxa"/>
            <w:tcBorders>
              <w:top w:val="nil"/>
              <w:left w:val="nil"/>
              <w:bottom w:val="nil"/>
              <w:right w:val="nil"/>
            </w:tcBorders>
            <w:vAlign w:val="center"/>
          </w:tcPr>
          <w:p w14:paraId="471BB9A7">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Thermofisher</w:t>
            </w:r>
          </w:p>
        </w:tc>
        <w:tc>
          <w:tcPr>
            <w:tcW w:w="1890" w:type="dxa"/>
            <w:tcBorders>
              <w:top w:val="nil"/>
              <w:left w:val="nil"/>
              <w:bottom w:val="nil"/>
              <w:right w:val="nil"/>
            </w:tcBorders>
          </w:tcPr>
          <w:p w14:paraId="6EF63CDD">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06FCCE93">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PA5-87974</w:t>
            </w:r>
          </w:p>
        </w:tc>
        <w:tc>
          <w:tcPr>
            <w:tcW w:w="1035" w:type="dxa"/>
            <w:tcBorders>
              <w:top w:val="nil"/>
              <w:left w:val="nil"/>
              <w:bottom w:val="nil"/>
              <w:right w:val="nil"/>
            </w:tcBorders>
          </w:tcPr>
          <w:p w14:paraId="75684C69">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1:100</w:t>
            </w:r>
          </w:p>
        </w:tc>
      </w:tr>
      <w:tr w14:paraId="165236C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735B0655">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Mucin-2</w:t>
            </w:r>
          </w:p>
        </w:tc>
        <w:tc>
          <w:tcPr>
            <w:tcW w:w="1560" w:type="dxa"/>
            <w:tcBorders>
              <w:top w:val="nil"/>
              <w:left w:val="nil"/>
              <w:bottom w:val="nil"/>
              <w:right w:val="nil"/>
            </w:tcBorders>
            <w:shd w:val="clear" w:color="auto" w:fill="auto"/>
            <w:vAlign w:val="center"/>
          </w:tcPr>
          <w:p w14:paraId="19A06EF4">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24B1103E">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35C14A2C">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Ab272692</w:t>
            </w:r>
          </w:p>
        </w:tc>
        <w:tc>
          <w:tcPr>
            <w:tcW w:w="1035" w:type="dxa"/>
            <w:tcBorders>
              <w:top w:val="nil"/>
              <w:left w:val="nil"/>
              <w:bottom w:val="nil"/>
              <w:right w:val="nil"/>
            </w:tcBorders>
          </w:tcPr>
          <w:p w14:paraId="15D4AAF9">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1D0E095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4BE9D31A">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Ki67</w:t>
            </w:r>
          </w:p>
        </w:tc>
        <w:tc>
          <w:tcPr>
            <w:tcW w:w="1560" w:type="dxa"/>
            <w:tcBorders>
              <w:top w:val="nil"/>
              <w:left w:val="nil"/>
              <w:bottom w:val="nil"/>
              <w:right w:val="nil"/>
            </w:tcBorders>
            <w:shd w:val="clear" w:color="auto" w:fill="auto"/>
            <w:vAlign w:val="center"/>
          </w:tcPr>
          <w:p w14:paraId="6E6A9F1E">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6B543C6A">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27AE41EC">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Ab15580</w:t>
            </w:r>
          </w:p>
        </w:tc>
        <w:tc>
          <w:tcPr>
            <w:tcW w:w="1035" w:type="dxa"/>
            <w:tcBorders>
              <w:top w:val="nil"/>
              <w:left w:val="nil"/>
              <w:bottom w:val="nil"/>
              <w:right w:val="nil"/>
            </w:tcBorders>
          </w:tcPr>
          <w:p w14:paraId="6D6D6D73">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2767DE23">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120D23E2">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γH2AX</w:t>
            </w:r>
          </w:p>
        </w:tc>
        <w:tc>
          <w:tcPr>
            <w:tcW w:w="1560" w:type="dxa"/>
            <w:tcBorders>
              <w:top w:val="nil"/>
              <w:left w:val="nil"/>
              <w:bottom w:val="nil"/>
              <w:right w:val="nil"/>
            </w:tcBorders>
            <w:vAlign w:val="center"/>
          </w:tcPr>
          <w:p w14:paraId="21EA64D6">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Servicebio</w:t>
            </w:r>
          </w:p>
        </w:tc>
        <w:tc>
          <w:tcPr>
            <w:tcW w:w="1890" w:type="dxa"/>
            <w:tcBorders>
              <w:top w:val="nil"/>
              <w:left w:val="nil"/>
              <w:bottom w:val="nil"/>
              <w:right w:val="nil"/>
            </w:tcBorders>
          </w:tcPr>
          <w:p w14:paraId="5B809CC9">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1B9E9A56">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GB111841</w:t>
            </w:r>
          </w:p>
        </w:tc>
        <w:tc>
          <w:tcPr>
            <w:tcW w:w="1035" w:type="dxa"/>
            <w:tcBorders>
              <w:top w:val="nil"/>
              <w:left w:val="nil"/>
              <w:bottom w:val="nil"/>
              <w:right w:val="nil"/>
            </w:tcBorders>
          </w:tcPr>
          <w:p w14:paraId="2E3BC76A">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36FD9477">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57FF187F">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ZO-1</w:t>
            </w:r>
          </w:p>
        </w:tc>
        <w:tc>
          <w:tcPr>
            <w:tcW w:w="1560" w:type="dxa"/>
            <w:tcBorders>
              <w:top w:val="nil"/>
              <w:left w:val="nil"/>
              <w:bottom w:val="nil"/>
              <w:right w:val="nil"/>
            </w:tcBorders>
            <w:vAlign w:val="center"/>
          </w:tcPr>
          <w:p w14:paraId="3CB65626">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6A178E2B">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04B47FDF">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ab221547</w:t>
            </w:r>
          </w:p>
        </w:tc>
        <w:tc>
          <w:tcPr>
            <w:tcW w:w="1035" w:type="dxa"/>
            <w:tcBorders>
              <w:top w:val="nil"/>
              <w:left w:val="nil"/>
              <w:bottom w:val="nil"/>
              <w:right w:val="nil"/>
            </w:tcBorders>
          </w:tcPr>
          <w:p w14:paraId="36A9F0E4">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0DFAC1E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2C320CAA">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Occludin</w:t>
            </w:r>
          </w:p>
        </w:tc>
        <w:tc>
          <w:tcPr>
            <w:tcW w:w="1560" w:type="dxa"/>
            <w:tcBorders>
              <w:top w:val="nil"/>
              <w:left w:val="nil"/>
              <w:bottom w:val="nil"/>
              <w:right w:val="nil"/>
            </w:tcBorders>
            <w:vAlign w:val="center"/>
          </w:tcPr>
          <w:p w14:paraId="6F8CB34A">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0CA49A9D">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6A859081">
            <w:pPr>
              <w:jc w:val="left"/>
              <w:rPr>
                <w:rFonts w:ascii="Times New Roman" w:hAnsi="Times New Roman" w:cs="Times New Roman"/>
                <w:color w:val="auto"/>
                <w:szCs w:val="21"/>
                <w:highlight w:val="none"/>
                <w:shd w:val="clear" w:color="auto" w:fill="FFFFFF"/>
              </w:rPr>
            </w:pPr>
            <w:r>
              <w:rPr>
                <w:rFonts w:hint="eastAsia" w:ascii="Times New Roman" w:hAnsi="Times New Roman" w:cs="Times New Roman"/>
                <w:color w:val="auto"/>
                <w:szCs w:val="21"/>
                <w:highlight w:val="none"/>
                <w:shd w:val="clear" w:color="auto" w:fill="FFFFFF"/>
              </w:rPr>
              <w:t>ab216327</w:t>
            </w:r>
          </w:p>
        </w:tc>
        <w:tc>
          <w:tcPr>
            <w:tcW w:w="1035" w:type="dxa"/>
            <w:tcBorders>
              <w:top w:val="nil"/>
              <w:left w:val="nil"/>
              <w:bottom w:val="nil"/>
              <w:right w:val="nil"/>
            </w:tcBorders>
          </w:tcPr>
          <w:p w14:paraId="6A60A77E">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0C0AAD3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2FCBC2F9">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CD206</w:t>
            </w:r>
          </w:p>
        </w:tc>
        <w:tc>
          <w:tcPr>
            <w:tcW w:w="1560" w:type="dxa"/>
            <w:tcBorders>
              <w:top w:val="nil"/>
              <w:left w:val="nil"/>
              <w:bottom w:val="nil"/>
              <w:right w:val="nil"/>
            </w:tcBorders>
            <w:vAlign w:val="center"/>
          </w:tcPr>
          <w:p w14:paraId="7458B9DE">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08D474B8">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54C2B2BD">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Ab64693</w:t>
            </w:r>
          </w:p>
        </w:tc>
        <w:tc>
          <w:tcPr>
            <w:tcW w:w="1035" w:type="dxa"/>
            <w:tcBorders>
              <w:top w:val="nil"/>
              <w:left w:val="nil"/>
              <w:bottom w:val="nil"/>
              <w:right w:val="nil"/>
            </w:tcBorders>
          </w:tcPr>
          <w:p w14:paraId="62C7791A">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5246E70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6920417E">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CD68</w:t>
            </w:r>
          </w:p>
        </w:tc>
        <w:tc>
          <w:tcPr>
            <w:tcW w:w="1560" w:type="dxa"/>
            <w:tcBorders>
              <w:top w:val="nil"/>
              <w:left w:val="nil"/>
              <w:bottom w:val="nil"/>
              <w:right w:val="nil"/>
            </w:tcBorders>
            <w:vAlign w:val="center"/>
          </w:tcPr>
          <w:p w14:paraId="3E549A3E">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4C981F84">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0D0D7776">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Ab283654</w:t>
            </w:r>
          </w:p>
        </w:tc>
        <w:tc>
          <w:tcPr>
            <w:tcW w:w="1035" w:type="dxa"/>
            <w:tcBorders>
              <w:top w:val="nil"/>
              <w:left w:val="nil"/>
              <w:bottom w:val="nil"/>
              <w:right w:val="nil"/>
            </w:tcBorders>
          </w:tcPr>
          <w:p w14:paraId="76A2A332">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5B5915E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6C476A36">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TNF-α</w:t>
            </w:r>
          </w:p>
        </w:tc>
        <w:tc>
          <w:tcPr>
            <w:tcW w:w="1560" w:type="dxa"/>
            <w:tcBorders>
              <w:top w:val="nil"/>
              <w:left w:val="nil"/>
              <w:bottom w:val="nil"/>
              <w:right w:val="nil"/>
            </w:tcBorders>
            <w:vAlign w:val="center"/>
          </w:tcPr>
          <w:p w14:paraId="71B4BB01">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Thermofisher</w:t>
            </w:r>
          </w:p>
        </w:tc>
        <w:tc>
          <w:tcPr>
            <w:tcW w:w="1890" w:type="dxa"/>
            <w:tcBorders>
              <w:top w:val="nil"/>
              <w:left w:val="nil"/>
              <w:bottom w:val="nil"/>
              <w:right w:val="nil"/>
            </w:tcBorders>
          </w:tcPr>
          <w:p w14:paraId="0094A4C7">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533CCFCC">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PA1-40281</w:t>
            </w:r>
          </w:p>
        </w:tc>
        <w:tc>
          <w:tcPr>
            <w:tcW w:w="1035" w:type="dxa"/>
            <w:tcBorders>
              <w:top w:val="nil"/>
              <w:left w:val="nil"/>
              <w:bottom w:val="nil"/>
              <w:right w:val="nil"/>
            </w:tcBorders>
          </w:tcPr>
          <w:p w14:paraId="4B98203F">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1:100</w:t>
            </w:r>
          </w:p>
        </w:tc>
      </w:tr>
      <w:tr w14:paraId="2DAB1E2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49802C66">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IL-1β</w:t>
            </w:r>
          </w:p>
        </w:tc>
        <w:tc>
          <w:tcPr>
            <w:tcW w:w="1560" w:type="dxa"/>
            <w:tcBorders>
              <w:top w:val="nil"/>
              <w:left w:val="nil"/>
              <w:bottom w:val="nil"/>
              <w:right w:val="nil"/>
            </w:tcBorders>
            <w:vAlign w:val="center"/>
          </w:tcPr>
          <w:p w14:paraId="20C1F1DB">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2CE18080">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3870C143">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Ab315084</w:t>
            </w:r>
          </w:p>
        </w:tc>
        <w:tc>
          <w:tcPr>
            <w:tcW w:w="1035" w:type="dxa"/>
            <w:tcBorders>
              <w:top w:val="nil"/>
              <w:left w:val="nil"/>
              <w:bottom w:val="nil"/>
              <w:right w:val="nil"/>
            </w:tcBorders>
          </w:tcPr>
          <w:p w14:paraId="4EA9AFF6">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1E0F7E5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5DC3E027">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IL-6</w:t>
            </w:r>
          </w:p>
        </w:tc>
        <w:tc>
          <w:tcPr>
            <w:tcW w:w="1560" w:type="dxa"/>
            <w:tcBorders>
              <w:top w:val="nil"/>
              <w:left w:val="nil"/>
              <w:bottom w:val="nil"/>
              <w:right w:val="nil"/>
            </w:tcBorders>
            <w:vAlign w:val="center"/>
          </w:tcPr>
          <w:p w14:paraId="55D04F95">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36B3A7E8">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6F967541">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Ab290735</w:t>
            </w:r>
          </w:p>
        </w:tc>
        <w:tc>
          <w:tcPr>
            <w:tcW w:w="1035" w:type="dxa"/>
            <w:tcBorders>
              <w:top w:val="nil"/>
              <w:left w:val="nil"/>
              <w:bottom w:val="nil"/>
              <w:right w:val="nil"/>
            </w:tcBorders>
          </w:tcPr>
          <w:p w14:paraId="1C1ED614">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1B0FCEC1">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54ECADDD">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α-SMA</w:t>
            </w:r>
          </w:p>
        </w:tc>
        <w:tc>
          <w:tcPr>
            <w:tcW w:w="1560" w:type="dxa"/>
            <w:tcBorders>
              <w:top w:val="nil"/>
              <w:left w:val="nil"/>
              <w:bottom w:val="nil"/>
              <w:right w:val="nil"/>
            </w:tcBorders>
            <w:vAlign w:val="center"/>
          </w:tcPr>
          <w:p w14:paraId="13B5C64D">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2820240F">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6759C230">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ab5694</w:t>
            </w:r>
          </w:p>
        </w:tc>
        <w:tc>
          <w:tcPr>
            <w:tcW w:w="1035" w:type="dxa"/>
            <w:tcBorders>
              <w:top w:val="nil"/>
              <w:left w:val="nil"/>
              <w:bottom w:val="nil"/>
              <w:right w:val="nil"/>
            </w:tcBorders>
          </w:tcPr>
          <w:p w14:paraId="0E3CA2FB">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3F6ABC92">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52B1E7C2">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Collegan I</w:t>
            </w:r>
          </w:p>
        </w:tc>
        <w:tc>
          <w:tcPr>
            <w:tcW w:w="1560" w:type="dxa"/>
            <w:tcBorders>
              <w:top w:val="nil"/>
              <w:left w:val="nil"/>
              <w:bottom w:val="nil"/>
              <w:right w:val="nil"/>
            </w:tcBorders>
            <w:vAlign w:val="center"/>
          </w:tcPr>
          <w:p w14:paraId="101E06BB">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4A894412">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40138544">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Ab270993</w:t>
            </w:r>
          </w:p>
        </w:tc>
        <w:tc>
          <w:tcPr>
            <w:tcW w:w="1035" w:type="dxa"/>
            <w:tcBorders>
              <w:top w:val="nil"/>
              <w:left w:val="nil"/>
              <w:bottom w:val="nil"/>
              <w:right w:val="nil"/>
            </w:tcBorders>
          </w:tcPr>
          <w:p w14:paraId="23300978">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5392A40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6DB2F0F3">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CD11c</w:t>
            </w:r>
          </w:p>
        </w:tc>
        <w:tc>
          <w:tcPr>
            <w:tcW w:w="1560" w:type="dxa"/>
            <w:tcBorders>
              <w:top w:val="nil"/>
              <w:left w:val="nil"/>
              <w:bottom w:val="nil"/>
              <w:right w:val="nil"/>
            </w:tcBorders>
            <w:vAlign w:val="center"/>
          </w:tcPr>
          <w:p w14:paraId="7D442E5D">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3A287E56">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07BBA5EB">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Ab219799</w:t>
            </w:r>
          </w:p>
        </w:tc>
        <w:tc>
          <w:tcPr>
            <w:tcW w:w="1035" w:type="dxa"/>
            <w:tcBorders>
              <w:top w:val="nil"/>
              <w:left w:val="nil"/>
              <w:bottom w:val="nil"/>
              <w:right w:val="nil"/>
            </w:tcBorders>
          </w:tcPr>
          <w:p w14:paraId="54625EFE">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4BC9AB4C">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3717E956">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Ly6G</w:t>
            </w:r>
          </w:p>
        </w:tc>
        <w:tc>
          <w:tcPr>
            <w:tcW w:w="1560" w:type="dxa"/>
            <w:tcBorders>
              <w:top w:val="nil"/>
              <w:left w:val="nil"/>
              <w:bottom w:val="nil"/>
              <w:right w:val="nil"/>
            </w:tcBorders>
            <w:vAlign w:val="center"/>
          </w:tcPr>
          <w:p w14:paraId="7CF9E1BE">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Abcam</w:t>
            </w:r>
          </w:p>
        </w:tc>
        <w:tc>
          <w:tcPr>
            <w:tcW w:w="1890" w:type="dxa"/>
            <w:tcBorders>
              <w:top w:val="nil"/>
              <w:left w:val="nil"/>
              <w:bottom w:val="nil"/>
              <w:right w:val="nil"/>
            </w:tcBorders>
          </w:tcPr>
          <w:p w14:paraId="4E272F53">
            <w:pPr>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Rabbit</w:t>
            </w:r>
          </w:p>
        </w:tc>
        <w:tc>
          <w:tcPr>
            <w:tcW w:w="1347" w:type="dxa"/>
            <w:tcBorders>
              <w:top w:val="nil"/>
              <w:left w:val="nil"/>
              <w:bottom w:val="nil"/>
              <w:right w:val="nil"/>
            </w:tcBorders>
            <w:vAlign w:val="center"/>
          </w:tcPr>
          <w:p w14:paraId="7146D2FA">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Ab238132</w:t>
            </w:r>
          </w:p>
        </w:tc>
        <w:tc>
          <w:tcPr>
            <w:tcW w:w="1035" w:type="dxa"/>
            <w:tcBorders>
              <w:top w:val="nil"/>
              <w:left w:val="nil"/>
              <w:bottom w:val="nil"/>
              <w:right w:val="nil"/>
            </w:tcBorders>
          </w:tcPr>
          <w:p w14:paraId="076364A2">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1:250</w:t>
            </w:r>
          </w:p>
        </w:tc>
      </w:tr>
      <w:tr w14:paraId="1973C5FF">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603BB807">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Goat anti rabbit IgG</w:t>
            </w:r>
          </w:p>
        </w:tc>
        <w:tc>
          <w:tcPr>
            <w:tcW w:w="1560" w:type="dxa"/>
            <w:tcBorders>
              <w:top w:val="nil"/>
              <w:left w:val="nil"/>
              <w:bottom w:val="nil"/>
              <w:right w:val="nil"/>
            </w:tcBorders>
            <w:vAlign w:val="center"/>
          </w:tcPr>
          <w:p w14:paraId="41A13040">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Servicebio</w:t>
            </w:r>
          </w:p>
        </w:tc>
        <w:tc>
          <w:tcPr>
            <w:tcW w:w="1890" w:type="dxa"/>
            <w:tcBorders>
              <w:top w:val="nil"/>
              <w:left w:val="nil"/>
              <w:bottom w:val="nil"/>
              <w:right w:val="nil"/>
            </w:tcBorders>
          </w:tcPr>
          <w:p w14:paraId="32323479">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HRP-conjugated</w:t>
            </w:r>
          </w:p>
        </w:tc>
        <w:tc>
          <w:tcPr>
            <w:tcW w:w="1347" w:type="dxa"/>
            <w:tcBorders>
              <w:top w:val="nil"/>
              <w:left w:val="nil"/>
              <w:bottom w:val="nil"/>
              <w:right w:val="nil"/>
            </w:tcBorders>
            <w:vAlign w:val="center"/>
          </w:tcPr>
          <w:p w14:paraId="65760FC8">
            <w:pPr>
              <w:jc w:val="left"/>
              <w:rPr>
                <w:rFonts w:ascii="Times New Roman" w:hAnsi="Times New Roman" w:cs="Times New Roman"/>
                <w:color w:val="auto"/>
                <w:szCs w:val="21"/>
                <w:highlight w:val="none"/>
                <w:shd w:val="clear" w:color="auto" w:fill="FFFFFF"/>
              </w:rPr>
            </w:pPr>
            <w:r>
              <w:rPr>
                <w:rFonts w:hint="eastAsia" w:ascii="Times New Roman" w:hAnsi="Times New Roman" w:cs="Times New Roman"/>
                <w:color w:val="auto"/>
                <w:szCs w:val="21"/>
                <w:highlight w:val="none"/>
                <w:shd w:val="clear" w:color="auto" w:fill="FFFFFF"/>
              </w:rPr>
              <w:t>GB23303</w:t>
            </w:r>
          </w:p>
        </w:tc>
        <w:tc>
          <w:tcPr>
            <w:tcW w:w="1035" w:type="dxa"/>
            <w:tcBorders>
              <w:top w:val="nil"/>
              <w:left w:val="nil"/>
              <w:bottom w:val="nil"/>
              <w:right w:val="nil"/>
            </w:tcBorders>
          </w:tcPr>
          <w:p w14:paraId="7055522E">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1:1000</w:t>
            </w:r>
          </w:p>
        </w:tc>
      </w:tr>
      <w:tr w14:paraId="1C9587A0">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shd w:val="clear" w:color="auto" w:fill="auto"/>
          </w:tcPr>
          <w:p w14:paraId="600F3AC5">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Fitc-TSA</w:t>
            </w:r>
          </w:p>
        </w:tc>
        <w:tc>
          <w:tcPr>
            <w:tcW w:w="1560" w:type="dxa"/>
            <w:tcBorders>
              <w:top w:val="nil"/>
              <w:left w:val="nil"/>
              <w:bottom w:val="nil"/>
              <w:right w:val="nil"/>
            </w:tcBorders>
            <w:vAlign w:val="center"/>
          </w:tcPr>
          <w:p w14:paraId="761D5E42">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Servicebio</w:t>
            </w:r>
          </w:p>
        </w:tc>
        <w:tc>
          <w:tcPr>
            <w:tcW w:w="1890" w:type="dxa"/>
            <w:tcBorders>
              <w:top w:val="nil"/>
              <w:left w:val="nil"/>
              <w:bottom w:val="nil"/>
              <w:right w:val="nil"/>
            </w:tcBorders>
            <w:vAlign w:val="center"/>
          </w:tcPr>
          <w:p w14:paraId="0E3F66AD">
            <w:pPr>
              <w:jc w:val="left"/>
              <w:rPr>
                <w:rFonts w:ascii="Times New Roman" w:hAnsi="Times New Roman" w:cs="Times New Roman"/>
                <w:color w:val="auto"/>
                <w:szCs w:val="21"/>
                <w:highlight w:val="none"/>
                <w:shd w:val="clear" w:color="auto" w:fill="FFFFFF"/>
              </w:rPr>
            </w:pPr>
            <w:r>
              <w:rPr>
                <w:rFonts w:hint="eastAsia" w:ascii="Times New Roman" w:hAnsi="Times New Roman" w:cs="Times New Roman"/>
                <w:color w:val="auto"/>
                <w:szCs w:val="21"/>
                <w:highlight w:val="none"/>
                <w:shd w:val="clear" w:color="auto" w:fill="FFFFFF"/>
              </w:rPr>
              <w:t>N.A.</w:t>
            </w:r>
          </w:p>
        </w:tc>
        <w:tc>
          <w:tcPr>
            <w:tcW w:w="1347" w:type="dxa"/>
            <w:tcBorders>
              <w:top w:val="nil"/>
              <w:left w:val="nil"/>
              <w:bottom w:val="nil"/>
              <w:right w:val="nil"/>
            </w:tcBorders>
            <w:vAlign w:val="center"/>
          </w:tcPr>
          <w:p w14:paraId="69E3A408">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G1222</w:t>
            </w:r>
          </w:p>
        </w:tc>
        <w:tc>
          <w:tcPr>
            <w:tcW w:w="1035" w:type="dxa"/>
            <w:tcBorders>
              <w:top w:val="nil"/>
              <w:left w:val="nil"/>
              <w:bottom w:val="nil"/>
              <w:right w:val="nil"/>
            </w:tcBorders>
          </w:tcPr>
          <w:p w14:paraId="360334F1">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1:100</w:t>
            </w:r>
          </w:p>
        </w:tc>
      </w:tr>
      <w:tr w14:paraId="4072967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nil"/>
              <w:right w:val="nil"/>
            </w:tcBorders>
            <w:vAlign w:val="center"/>
          </w:tcPr>
          <w:p w14:paraId="55179A7E">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CY3-TSA</w:t>
            </w:r>
          </w:p>
        </w:tc>
        <w:tc>
          <w:tcPr>
            <w:tcW w:w="1560" w:type="dxa"/>
            <w:tcBorders>
              <w:top w:val="nil"/>
              <w:left w:val="nil"/>
              <w:bottom w:val="nil"/>
              <w:right w:val="nil"/>
            </w:tcBorders>
            <w:vAlign w:val="center"/>
          </w:tcPr>
          <w:p w14:paraId="2F4EAC19">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Servicebio</w:t>
            </w:r>
          </w:p>
        </w:tc>
        <w:tc>
          <w:tcPr>
            <w:tcW w:w="1890" w:type="dxa"/>
            <w:tcBorders>
              <w:top w:val="nil"/>
              <w:left w:val="nil"/>
              <w:bottom w:val="nil"/>
              <w:right w:val="nil"/>
            </w:tcBorders>
            <w:vAlign w:val="center"/>
          </w:tcPr>
          <w:p w14:paraId="0C47883F">
            <w:pPr>
              <w:jc w:val="left"/>
              <w:rPr>
                <w:rFonts w:ascii="Times New Roman" w:hAnsi="Times New Roman" w:cs="Times New Roman"/>
                <w:color w:val="auto"/>
                <w:szCs w:val="21"/>
                <w:highlight w:val="none"/>
                <w:shd w:val="clear" w:color="auto" w:fill="FFFFFF"/>
              </w:rPr>
            </w:pPr>
            <w:r>
              <w:rPr>
                <w:rFonts w:hint="eastAsia" w:ascii="Times New Roman" w:hAnsi="Times New Roman" w:cs="Times New Roman"/>
                <w:color w:val="auto"/>
                <w:szCs w:val="21"/>
                <w:highlight w:val="none"/>
                <w:shd w:val="clear" w:color="auto" w:fill="FFFFFF"/>
              </w:rPr>
              <w:t>N.A.</w:t>
            </w:r>
          </w:p>
        </w:tc>
        <w:tc>
          <w:tcPr>
            <w:tcW w:w="1347" w:type="dxa"/>
            <w:tcBorders>
              <w:top w:val="nil"/>
              <w:left w:val="nil"/>
              <w:bottom w:val="nil"/>
              <w:right w:val="nil"/>
            </w:tcBorders>
            <w:vAlign w:val="center"/>
          </w:tcPr>
          <w:p w14:paraId="77D9A483">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G1223</w:t>
            </w:r>
          </w:p>
        </w:tc>
        <w:tc>
          <w:tcPr>
            <w:tcW w:w="1035" w:type="dxa"/>
            <w:tcBorders>
              <w:top w:val="nil"/>
              <w:left w:val="nil"/>
              <w:bottom w:val="nil"/>
              <w:right w:val="nil"/>
            </w:tcBorders>
          </w:tcPr>
          <w:p w14:paraId="3A7EB774">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1:100</w:t>
            </w:r>
          </w:p>
        </w:tc>
      </w:tr>
      <w:tr w14:paraId="498DCF94">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280" w:type="dxa"/>
            <w:tcBorders>
              <w:top w:val="nil"/>
              <w:left w:val="nil"/>
              <w:bottom w:val="single" w:color="auto" w:sz="12" w:space="0"/>
              <w:right w:val="nil"/>
            </w:tcBorders>
            <w:vAlign w:val="center"/>
          </w:tcPr>
          <w:p w14:paraId="25A18371">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 xml:space="preserve">647-TSA </w:t>
            </w:r>
          </w:p>
        </w:tc>
        <w:tc>
          <w:tcPr>
            <w:tcW w:w="1560" w:type="dxa"/>
            <w:tcBorders>
              <w:top w:val="nil"/>
              <w:left w:val="nil"/>
              <w:bottom w:val="single" w:color="auto" w:sz="12" w:space="0"/>
              <w:right w:val="nil"/>
            </w:tcBorders>
            <w:vAlign w:val="center"/>
          </w:tcPr>
          <w:p w14:paraId="2A82A22F">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Servicebio</w:t>
            </w:r>
          </w:p>
        </w:tc>
        <w:tc>
          <w:tcPr>
            <w:tcW w:w="1890" w:type="dxa"/>
            <w:tcBorders>
              <w:top w:val="nil"/>
              <w:left w:val="nil"/>
              <w:bottom w:val="single" w:color="auto" w:sz="12" w:space="0"/>
              <w:right w:val="nil"/>
            </w:tcBorders>
            <w:vAlign w:val="center"/>
          </w:tcPr>
          <w:p w14:paraId="1322DB40">
            <w:pPr>
              <w:jc w:val="left"/>
              <w:rPr>
                <w:rFonts w:ascii="Times New Roman" w:hAnsi="Times New Roman" w:cs="Times New Roman"/>
                <w:color w:val="auto"/>
                <w:szCs w:val="21"/>
                <w:highlight w:val="none"/>
                <w:shd w:val="clear" w:color="auto" w:fill="FFFFFF"/>
              </w:rPr>
            </w:pPr>
            <w:r>
              <w:rPr>
                <w:rFonts w:hint="eastAsia" w:ascii="Times New Roman" w:hAnsi="Times New Roman" w:cs="Times New Roman"/>
                <w:color w:val="auto"/>
                <w:szCs w:val="21"/>
                <w:highlight w:val="none"/>
                <w:shd w:val="clear" w:color="auto" w:fill="FFFFFF"/>
              </w:rPr>
              <w:t>N.A.</w:t>
            </w:r>
          </w:p>
        </w:tc>
        <w:tc>
          <w:tcPr>
            <w:tcW w:w="1347" w:type="dxa"/>
            <w:tcBorders>
              <w:top w:val="nil"/>
              <w:left w:val="nil"/>
              <w:bottom w:val="single" w:color="auto" w:sz="12" w:space="0"/>
              <w:right w:val="nil"/>
            </w:tcBorders>
            <w:vAlign w:val="center"/>
          </w:tcPr>
          <w:p w14:paraId="5AC6F247">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G1224</w:t>
            </w:r>
          </w:p>
        </w:tc>
        <w:tc>
          <w:tcPr>
            <w:tcW w:w="1035" w:type="dxa"/>
            <w:tcBorders>
              <w:top w:val="nil"/>
              <w:left w:val="nil"/>
              <w:bottom w:val="single" w:color="auto" w:sz="12" w:space="0"/>
              <w:right w:val="nil"/>
            </w:tcBorders>
          </w:tcPr>
          <w:p w14:paraId="049FF6E5">
            <w:pPr>
              <w:jc w:val="left"/>
              <w:rPr>
                <w:rFonts w:ascii="Times New Roman" w:hAnsi="Times New Roman" w:cs="Times New Roman"/>
                <w:color w:val="auto"/>
                <w:szCs w:val="21"/>
                <w:highlight w:val="none"/>
                <w:shd w:val="clear" w:color="auto" w:fill="FFFFFF"/>
              </w:rPr>
            </w:pPr>
            <w:r>
              <w:rPr>
                <w:rFonts w:ascii="Times New Roman" w:hAnsi="Times New Roman" w:cs="Times New Roman"/>
                <w:color w:val="auto"/>
                <w:szCs w:val="21"/>
                <w:highlight w:val="none"/>
                <w:shd w:val="clear" w:color="auto" w:fill="FFFFFF"/>
              </w:rPr>
              <w:t>1:100</w:t>
            </w:r>
          </w:p>
        </w:tc>
      </w:tr>
    </w:tbl>
    <w:p w14:paraId="153CFBB0">
      <w:pPr>
        <w:spacing w:line="360" w:lineRule="auto"/>
        <w:jc w:val="center"/>
        <w:rPr>
          <w:rFonts w:hint="eastAsia" w:ascii="Times New Roman" w:hAnsi="Times New Roman" w:cs="Times New Roman"/>
          <w:color w:val="0000FF"/>
          <w:highlight w:val="none"/>
          <w:lang w:bidi="ar"/>
        </w:rPr>
      </w:pPr>
    </w:p>
    <w:p w14:paraId="41AAFB69">
      <w:pPr>
        <w:spacing w:line="360" w:lineRule="auto"/>
        <w:jc w:val="center"/>
        <w:rPr>
          <w:rFonts w:hint="eastAsia" w:ascii="Times New Roman" w:hAnsi="Times New Roman" w:cs="Times New Roman"/>
          <w:color w:val="0000FF"/>
          <w:highlight w:val="none"/>
          <w:lang w:bidi="ar"/>
        </w:rPr>
      </w:pPr>
    </w:p>
    <w:p w14:paraId="3DEF7372">
      <w:pPr>
        <w:spacing w:line="360" w:lineRule="auto"/>
        <w:jc w:val="center"/>
        <w:rPr>
          <w:rFonts w:ascii="Times New Roman" w:hAnsi="Times New Roman" w:cs="Times New Roman"/>
          <w:color w:val="auto"/>
          <w:highlight w:val="none"/>
          <w:lang w:bidi="ar"/>
        </w:rPr>
      </w:pPr>
      <w:r>
        <w:rPr>
          <w:rFonts w:hint="eastAsia" w:ascii="Times New Roman" w:hAnsi="Times New Roman" w:cs="Times New Roman"/>
          <w:color w:val="auto"/>
          <w:highlight w:val="none"/>
          <w:lang w:bidi="ar"/>
        </w:rPr>
        <w:t>Table Sup 5 List of antibodies used for cytometric analysis</w:t>
      </w:r>
    </w:p>
    <w:tbl>
      <w:tblPr>
        <w:tblStyle w:val="9"/>
        <w:tblW w:w="8151" w:type="dxa"/>
        <w:jc w:val="center"/>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2319"/>
        <w:gridCol w:w="1739"/>
        <w:gridCol w:w="1711"/>
        <w:gridCol w:w="1347"/>
        <w:gridCol w:w="1035"/>
      </w:tblGrid>
      <w:tr w14:paraId="79D2AA18">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319" w:type="dxa"/>
            <w:tcBorders>
              <w:top w:val="single" w:color="auto" w:sz="12" w:space="0"/>
              <w:left w:val="nil"/>
              <w:bottom w:val="single" w:color="auto" w:sz="6" w:space="0"/>
              <w:right w:val="nil"/>
            </w:tcBorders>
          </w:tcPr>
          <w:p w14:paraId="3AF42C93">
            <w:pPr>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A</w:t>
            </w:r>
            <w:r>
              <w:rPr>
                <w:rFonts w:ascii="Times New Roman" w:hAnsi="Times New Roman" w:cs="Times New Roman"/>
                <w:color w:val="auto"/>
                <w:sz w:val="24"/>
                <w:szCs w:val="24"/>
                <w:highlight w:val="none"/>
              </w:rPr>
              <w:t>ntibody</w:t>
            </w:r>
          </w:p>
        </w:tc>
        <w:tc>
          <w:tcPr>
            <w:tcW w:w="1739" w:type="dxa"/>
            <w:tcBorders>
              <w:top w:val="single" w:color="auto" w:sz="12" w:space="0"/>
              <w:left w:val="nil"/>
              <w:bottom w:val="single" w:color="auto" w:sz="6" w:space="0"/>
              <w:right w:val="nil"/>
            </w:tcBorders>
          </w:tcPr>
          <w:p w14:paraId="3CA8FEB6">
            <w:pPr>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Manufacturer</w:t>
            </w:r>
          </w:p>
        </w:tc>
        <w:tc>
          <w:tcPr>
            <w:tcW w:w="1711" w:type="dxa"/>
            <w:tcBorders>
              <w:top w:val="single" w:color="auto" w:sz="12" w:space="0"/>
              <w:left w:val="nil"/>
              <w:bottom w:val="single" w:color="auto" w:sz="6" w:space="0"/>
              <w:right w:val="nil"/>
            </w:tcBorders>
          </w:tcPr>
          <w:p w14:paraId="50F9B893">
            <w:pPr>
              <w:jc w:val="left"/>
              <w:rPr>
                <w:rFonts w:ascii="Times New Roman" w:hAnsi="Times New Roman" w:eastAsia="AdvOTe4bfdd46" w:cs="Times New Roman"/>
                <w:color w:val="auto"/>
                <w:kern w:val="0"/>
                <w:sz w:val="24"/>
                <w:szCs w:val="24"/>
                <w:highlight w:val="none"/>
              </w:rPr>
            </w:pPr>
            <w:r>
              <w:rPr>
                <w:rFonts w:ascii="Times New Roman" w:hAnsi="Times New Roman" w:eastAsia="AdvOTe4bfdd46" w:cs="Times New Roman"/>
                <w:color w:val="auto"/>
                <w:kern w:val="0"/>
                <w:sz w:val="24"/>
                <w:szCs w:val="24"/>
                <w:highlight w:val="none"/>
              </w:rPr>
              <w:t>Species</w:t>
            </w:r>
            <w:r>
              <w:rPr>
                <w:rFonts w:ascii="Times New Roman" w:hAnsi="Times New Roman" w:cs="Times New Roman"/>
                <w:color w:val="auto"/>
                <w:kern w:val="0"/>
                <w:sz w:val="24"/>
                <w:szCs w:val="24"/>
                <w:highlight w:val="none"/>
              </w:rPr>
              <w:t xml:space="preserve"> </w:t>
            </w:r>
            <w:r>
              <w:rPr>
                <w:rFonts w:ascii="Times New Roman" w:hAnsi="Times New Roman" w:eastAsia="AdvOTe4bfdd46" w:cs="Times New Roman"/>
                <w:color w:val="auto"/>
                <w:kern w:val="0"/>
                <w:sz w:val="24"/>
                <w:szCs w:val="24"/>
                <w:highlight w:val="none"/>
              </w:rPr>
              <w:t>source</w:t>
            </w:r>
          </w:p>
        </w:tc>
        <w:tc>
          <w:tcPr>
            <w:tcW w:w="1347" w:type="dxa"/>
            <w:tcBorders>
              <w:top w:val="single" w:color="auto" w:sz="12" w:space="0"/>
              <w:left w:val="nil"/>
              <w:bottom w:val="single" w:color="auto" w:sz="6" w:space="0"/>
              <w:right w:val="nil"/>
            </w:tcBorders>
          </w:tcPr>
          <w:p w14:paraId="524865D7">
            <w:pPr>
              <w:jc w:val="left"/>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Catalog no.</w:t>
            </w:r>
          </w:p>
        </w:tc>
        <w:tc>
          <w:tcPr>
            <w:tcW w:w="1035" w:type="dxa"/>
            <w:tcBorders>
              <w:top w:val="single" w:color="auto" w:sz="12" w:space="0"/>
              <w:left w:val="nil"/>
              <w:bottom w:val="single" w:color="auto" w:sz="6" w:space="0"/>
              <w:right w:val="nil"/>
            </w:tcBorders>
          </w:tcPr>
          <w:p w14:paraId="3E3D12D3">
            <w:pPr>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D</w:t>
            </w:r>
            <w:r>
              <w:rPr>
                <w:rFonts w:ascii="Times New Roman" w:hAnsi="Times New Roman" w:cs="Times New Roman"/>
                <w:color w:val="auto"/>
                <w:sz w:val="24"/>
                <w:szCs w:val="24"/>
                <w:highlight w:val="none"/>
              </w:rPr>
              <w:t>ilution</w:t>
            </w:r>
          </w:p>
        </w:tc>
      </w:tr>
      <w:tr w14:paraId="36E100F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90" w:hRule="atLeast"/>
          <w:jc w:val="center"/>
        </w:trPr>
        <w:tc>
          <w:tcPr>
            <w:tcW w:w="2319" w:type="dxa"/>
            <w:tcBorders>
              <w:top w:val="single" w:color="auto" w:sz="6" w:space="0"/>
              <w:left w:val="nil"/>
              <w:bottom w:val="nil"/>
              <w:right w:val="nil"/>
            </w:tcBorders>
            <w:shd w:val="clear" w:color="auto" w:fill="auto"/>
            <w:vAlign w:val="center"/>
          </w:tcPr>
          <w:p w14:paraId="181C8D33">
            <w:pPr>
              <w:rPr>
                <w:rFonts w:ascii="Times New Roman" w:hAnsi="Times New Roman" w:cs="Times New Roman"/>
                <w:color w:val="auto"/>
                <w:szCs w:val="21"/>
                <w:highlight w:val="none"/>
              </w:rPr>
            </w:pPr>
            <w:r>
              <w:rPr>
                <w:rFonts w:ascii="Times New Roman" w:hAnsi="Times New Roman" w:cs="Times New Roman"/>
                <w:color w:val="auto"/>
                <w:szCs w:val="21"/>
                <w:highlight w:val="none"/>
              </w:rPr>
              <w:t>γ-H2A.X</w:t>
            </w:r>
          </w:p>
        </w:tc>
        <w:tc>
          <w:tcPr>
            <w:tcW w:w="1739" w:type="dxa"/>
            <w:tcBorders>
              <w:top w:val="single" w:color="auto" w:sz="6" w:space="0"/>
              <w:left w:val="nil"/>
              <w:bottom w:val="nil"/>
              <w:right w:val="nil"/>
            </w:tcBorders>
            <w:vAlign w:val="center"/>
          </w:tcPr>
          <w:p w14:paraId="5FF41E41">
            <w:pPr>
              <w:jc w:val="left"/>
              <w:rPr>
                <w:rFonts w:ascii="Times New Roman" w:hAnsi="Times New Roman" w:cs="Times New Roman"/>
                <w:color w:val="auto"/>
                <w:sz w:val="24"/>
                <w:szCs w:val="24"/>
                <w:highlight w:val="none"/>
              </w:rPr>
            </w:pPr>
            <w:r>
              <w:rPr>
                <w:rFonts w:ascii="Times New Roman" w:hAnsi="Times New Roman" w:eastAsia="宋体" w:cs="Times New Roman"/>
                <w:snapToGrid w:val="0"/>
                <w:color w:val="auto"/>
                <w:kern w:val="0"/>
                <w:szCs w:val="21"/>
                <w:highlight w:val="none"/>
              </w:rPr>
              <w:t>Thermofisher</w:t>
            </w:r>
          </w:p>
        </w:tc>
        <w:tc>
          <w:tcPr>
            <w:tcW w:w="1711" w:type="dxa"/>
            <w:tcBorders>
              <w:top w:val="single" w:color="auto" w:sz="6" w:space="0"/>
              <w:left w:val="nil"/>
              <w:bottom w:val="nil"/>
              <w:right w:val="nil"/>
            </w:tcBorders>
            <w:vAlign w:val="center"/>
          </w:tcPr>
          <w:p w14:paraId="2BD56F72">
            <w:pPr>
              <w:rPr>
                <w:rFonts w:ascii="Times New Roman" w:hAnsi="Times New Roman" w:cs="Times New Roman"/>
                <w:color w:val="auto"/>
                <w:sz w:val="24"/>
                <w:szCs w:val="24"/>
                <w:highlight w:val="none"/>
              </w:rPr>
            </w:pPr>
            <w:r>
              <w:rPr>
                <w:rFonts w:ascii="Times New Roman" w:hAnsi="Times New Roman" w:eastAsia="宋体" w:cs="Times New Roman"/>
                <w:color w:val="auto"/>
                <w:kern w:val="0"/>
                <w:szCs w:val="21"/>
                <w:highlight w:val="none"/>
              </w:rPr>
              <w:t>Rabbit</w:t>
            </w:r>
          </w:p>
        </w:tc>
        <w:tc>
          <w:tcPr>
            <w:tcW w:w="1347" w:type="dxa"/>
            <w:tcBorders>
              <w:top w:val="single" w:color="auto" w:sz="6" w:space="0"/>
              <w:left w:val="nil"/>
              <w:bottom w:val="nil"/>
              <w:right w:val="nil"/>
            </w:tcBorders>
            <w:vAlign w:val="center"/>
          </w:tcPr>
          <w:p w14:paraId="694C3484">
            <w:pPr>
              <w:jc w:val="left"/>
              <w:rPr>
                <w:rFonts w:hint="eastAsia" w:ascii="Times New Roman" w:hAnsi="Times New Roman" w:cs="Times New Roman"/>
                <w:color w:val="auto"/>
                <w:szCs w:val="21"/>
                <w:highlight w:val="none"/>
                <w:shd w:val="clear" w:color="auto" w:fill="FAFAFA"/>
              </w:rPr>
            </w:pPr>
            <w:r>
              <w:rPr>
                <w:rFonts w:hint="eastAsia" w:ascii="Times New Roman" w:hAnsi="Times New Roman" w:cs="Times New Roman"/>
                <w:color w:val="auto"/>
                <w:szCs w:val="21"/>
                <w:highlight w:val="none"/>
                <w:shd w:val="clear" w:color="auto" w:fill="FAFAFA"/>
              </w:rPr>
              <w:t>MA5-33062</w:t>
            </w:r>
          </w:p>
        </w:tc>
        <w:tc>
          <w:tcPr>
            <w:tcW w:w="1035" w:type="dxa"/>
            <w:tcBorders>
              <w:top w:val="single" w:color="auto" w:sz="6" w:space="0"/>
              <w:left w:val="nil"/>
              <w:bottom w:val="nil"/>
              <w:right w:val="nil"/>
            </w:tcBorders>
            <w:vAlign w:val="center"/>
          </w:tcPr>
          <w:p w14:paraId="6C496477">
            <w:pPr>
              <w:jc w:val="left"/>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1ug/mL</w:t>
            </w:r>
          </w:p>
        </w:tc>
      </w:tr>
      <w:tr w14:paraId="13B78F5E">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319" w:type="dxa"/>
            <w:tcBorders>
              <w:top w:val="nil"/>
              <w:left w:val="nil"/>
              <w:bottom w:val="nil"/>
              <w:right w:val="nil"/>
            </w:tcBorders>
            <w:shd w:val="clear" w:color="auto" w:fill="auto"/>
            <w:vAlign w:val="center"/>
          </w:tcPr>
          <w:p w14:paraId="73843EF2">
            <w:pPr>
              <w:rPr>
                <w:rFonts w:ascii="Times New Roman" w:hAnsi="Times New Roman" w:cs="Times New Roman"/>
                <w:color w:val="auto"/>
                <w:szCs w:val="21"/>
                <w:highlight w:val="none"/>
              </w:rPr>
            </w:pPr>
            <w:r>
              <w:rPr>
                <w:rFonts w:ascii="Times New Roman" w:hAnsi="Times New Roman" w:cs="Times New Roman"/>
                <w:color w:val="auto"/>
                <w:szCs w:val="21"/>
                <w:highlight w:val="none"/>
              </w:rPr>
              <w:t>ZO-1</w:t>
            </w:r>
          </w:p>
        </w:tc>
        <w:tc>
          <w:tcPr>
            <w:tcW w:w="1739" w:type="dxa"/>
            <w:tcBorders>
              <w:top w:val="nil"/>
              <w:left w:val="nil"/>
              <w:bottom w:val="nil"/>
              <w:right w:val="nil"/>
            </w:tcBorders>
            <w:vAlign w:val="center"/>
          </w:tcPr>
          <w:p w14:paraId="272804E5">
            <w:pPr>
              <w:jc w:val="left"/>
              <w:rPr>
                <w:rFonts w:ascii="Times New Roman" w:hAnsi="Times New Roman" w:cs="Times New Roman"/>
                <w:color w:val="auto"/>
                <w:sz w:val="24"/>
                <w:szCs w:val="24"/>
                <w:highlight w:val="none"/>
              </w:rPr>
            </w:pPr>
            <w:r>
              <w:rPr>
                <w:rFonts w:ascii="Times New Roman" w:hAnsi="Times New Roman" w:eastAsia="宋体" w:cs="Times New Roman"/>
                <w:snapToGrid w:val="0"/>
                <w:color w:val="auto"/>
                <w:kern w:val="0"/>
                <w:szCs w:val="21"/>
                <w:highlight w:val="none"/>
              </w:rPr>
              <w:t>Thermofisher</w:t>
            </w:r>
          </w:p>
        </w:tc>
        <w:tc>
          <w:tcPr>
            <w:tcW w:w="1711" w:type="dxa"/>
            <w:tcBorders>
              <w:top w:val="nil"/>
              <w:left w:val="nil"/>
              <w:bottom w:val="nil"/>
              <w:right w:val="nil"/>
            </w:tcBorders>
            <w:vAlign w:val="center"/>
          </w:tcPr>
          <w:p w14:paraId="06AB0866">
            <w:pPr>
              <w:rPr>
                <w:rFonts w:ascii="Times New Roman" w:hAnsi="Times New Roman" w:cs="Times New Roman"/>
                <w:color w:val="auto"/>
                <w:sz w:val="24"/>
                <w:szCs w:val="24"/>
                <w:highlight w:val="none"/>
              </w:rPr>
            </w:pPr>
            <w:r>
              <w:rPr>
                <w:rStyle w:val="29"/>
                <w:rFonts w:ascii="Times New Roman" w:hAnsi="Times New Roman" w:cs="Times New Roman"/>
                <w:color w:val="auto"/>
                <w:szCs w:val="21"/>
                <w:highlight w:val="none"/>
                <w:shd w:val="clear" w:color="auto" w:fill="FFFFFF"/>
              </w:rPr>
              <w:t>Mouse</w:t>
            </w:r>
          </w:p>
        </w:tc>
        <w:tc>
          <w:tcPr>
            <w:tcW w:w="1347" w:type="dxa"/>
            <w:tcBorders>
              <w:top w:val="nil"/>
              <w:left w:val="nil"/>
              <w:bottom w:val="nil"/>
              <w:right w:val="nil"/>
            </w:tcBorders>
            <w:vAlign w:val="center"/>
          </w:tcPr>
          <w:p w14:paraId="2DC89FCB">
            <w:pPr>
              <w:jc w:val="left"/>
              <w:rPr>
                <w:rFonts w:hint="eastAsia" w:ascii="Times New Roman" w:hAnsi="Times New Roman" w:cs="Times New Roman"/>
                <w:color w:val="auto"/>
                <w:szCs w:val="21"/>
                <w:highlight w:val="none"/>
                <w:shd w:val="clear" w:color="auto" w:fill="FAFAFA"/>
              </w:rPr>
            </w:pPr>
            <w:r>
              <w:rPr>
                <w:rFonts w:hint="eastAsia" w:ascii="Times New Roman" w:hAnsi="Times New Roman" w:cs="Times New Roman"/>
                <w:color w:val="auto"/>
                <w:szCs w:val="21"/>
                <w:highlight w:val="none"/>
                <w:shd w:val="clear" w:color="auto" w:fill="FAFAFA"/>
              </w:rPr>
              <w:t>33-9100</w:t>
            </w:r>
          </w:p>
        </w:tc>
        <w:tc>
          <w:tcPr>
            <w:tcW w:w="1035" w:type="dxa"/>
            <w:tcBorders>
              <w:top w:val="nil"/>
              <w:left w:val="nil"/>
              <w:bottom w:val="nil"/>
              <w:right w:val="nil"/>
            </w:tcBorders>
            <w:vAlign w:val="center"/>
          </w:tcPr>
          <w:p w14:paraId="26E1C5B3">
            <w:pPr>
              <w:jc w:val="left"/>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1:100</w:t>
            </w:r>
          </w:p>
        </w:tc>
      </w:tr>
      <w:tr w14:paraId="24F6FEAB">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319" w:type="dxa"/>
            <w:tcBorders>
              <w:top w:val="nil"/>
              <w:left w:val="nil"/>
              <w:bottom w:val="nil"/>
              <w:right w:val="nil"/>
            </w:tcBorders>
            <w:shd w:val="clear" w:color="auto" w:fill="auto"/>
            <w:vAlign w:val="center"/>
          </w:tcPr>
          <w:p w14:paraId="2BFDF04E">
            <w:pPr>
              <w:rPr>
                <w:rFonts w:ascii="Times New Roman" w:hAnsi="Times New Roman" w:cs="Times New Roman"/>
                <w:color w:val="auto"/>
                <w:szCs w:val="21"/>
                <w:highlight w:val="none"/>
              </w:rPr>
            </w:pPr>
            <w:r>
              <w:rPr>
                <w:rFonts w:ascii="Times New Roman" w:hAnsi="Times New Roman" w:cs="Times New Roman"/>
                <w:color w:val="auto"/>
                <w:szCs w:val="21"/>
                <w:highlight w:val="none"/>
              </w:rPr>
              <w:t>Occludin</w:t>
            </w:r>
          </w:p>
        </w:tc>
        <w:tc>
          <w:tcPr>
            <w:tcW w:w="1739" w:type="dxa"/>
            <w:tcBorders>
              <w:top w:val="nil"/>
              <w:left w:val="nil"/>
              <w:bottom w:val="nil"/>
              <w:right w:val="nil"/>
            </w:tcBorders>
            <w:vAlign w:val="center"/>
          </w:tcPr>
          <w:p w14:paraId="7090135D">
            <w:pPr>
              <w:jc w:val="left"/>
              <w:rPr>
                <w:rFonts w:ascii="Times New Roman" w:hAnsi="Times New Roman" w:cs="Times New Roman"/>
                <w:color w:val="auto"/>
                <w:sz w:val="24"/>
                <w:szCs w:val="24"/>
                <w:highlight w:val="none"/>
              </w:rPr>
            </w:pPr>
            <w:r>
              <w:rPr>
                <w:rFonts w:ascii="Times New Roman" w:hAnsi="Times New Roman" w:eastAsia="宋体" w:cs="Times New Roman"/>
                <w:snapToGrid w:val="0"/>
                <w:color w:val="auto"/>
                <w:kern w:val="0"/>
                <w:szCs w:val="21"/>
                <w:highlight w:val="none"/>
              </w:rPr>
              <w:t>Abcam</w:t>
            </w:r>
          </w:p>
        </w:tc>
        <w:tc>
          <w:tcPr>
            <w:tcW w:w="1711" w:type="dxa"/>
            <w:tcBorders>
              <w:top w:val="nil"/>
              <w:left w:val="nil"/>
              <w:bottom w:val="nil"/>
              <w:right w:val="nil"/>
            </w:tcBorders>
            <w:vAlign w:val="center"/>
          </w:tcPr>
          <w:p w14:paraId="45B6973B">
            <w:pPr>
              <w:rPr>
                <w:rFonts w:ascii="Times New Roman" w:hAnsi="Times New Roman" w:cs="Times New Roman"/>
                <w:color w:val="auto"/>
                <w:sz w:val="24"/>
                <w:szCs w:val="24"/>
                <w:highlight w:val="none"/>
              </w:rPr>
            </w:pPr>
            <w:r>
              <w:rPr>
                <w:rFonts w:ascii="Times New Roman" w:hAnsi="Times New Roman" w:eastAsia="宋体" w:cs="Times New Roman"/>
                <w:color w:val="auto"/>
                <w:kern w:val="0"/>
                <w:szCs w:val="21"/>
                <w:highlight w:val="none"/>
              </w:rPr>
              <w:t>Rabbit</w:t>
            </w:r>
          </w:p>
        </w:tc>
        <w:tc>
          <w:tcPr>
            <w:tcW w:w="1347" w:type="dxa"/>
            <w:tcBorders>
              <w:top w:val="nil"/>
              <w:left w:val="nil"/>
              <w:bottom w:val="nil"/>
              <w:right w:val="nil"/>
            </w:tcBorders>
            <w:vAlign w:val="center"/>
          </w:tcPr>
          <w:p w14:paraId="4BC7A462">
            <w:pPr>
              <w:jc w:val="left"/>
              <w:rPr>
                <w:rFonts w:hint="eastAsia" w:ascii="Times New Roman" w:hAnsi="Times New Roman" w:cs="Times New Roman"/>
                <w:color w:val="auto"/>
                <w:szCs w:val="21"/>
                <w:highlight w:val="none"/>
                <w:shd w:val="clear" w:color="auto" w:fill="FAFAFA"/>
              </w:rPr>
            </w:pPr>
            <w:r>
              <w:rPr>
                <w:rFonts w:hint="eastAsia" w:ascii="Times New Roman" w:hAnsi="Times New Roman" w:cs="Times New Roman"/>
                <w:color w:val="auto"/>
                <w:szCs w:val="21"/>
                <w:highlight w:val="none"/>
                <w:shd w:val="clear" w:color="auto" w:fill="FAFAFA"/>
              </w:rPr>
              <w:t>ab216327</w:t>
            </w:r>
          </w:p>
        </w:tc>
        <w:tc>
          <w:tcPr>
            <w:tcW w:w="1035" w:type="dxa"/>
            <w:tcBorders>
              <w:top w:val="nil"/>
              <w:left w:val="nil"/>
              <w:bottom w:val="nil"/>
              <w:right w:val="nil"/>
            </w:tcBorders>
            <w:vAlign w:val="center"/>
          </w:tcPr>
          <w:p w14:paraId="6B41B24D">
            <w:pPr>
              <w:jc w:val="left"/>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1:250</w:t>
            </w:r>
          </w:p>
        </w:tc>
      </w:tr>
      <w:tr w14:paraId="2550F2CD">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319" w:type="dxa"/>
            <w:tcBorders>
              <w:top w:val="nil"/>
              <w:left w:val="nil"/>
              <w:bottom w:val="nil"/>
              <w:right w:val="nil"/>
            </w:tcBorders>
            <w:shd w:val="clear" w:color="auto" w:fill="auto"/>
            <w:vAlign w:val="center"/>
          </w:tcPr>
          <w:p w14:paraId="2EFA297C">
            <w:pPr>
              <w:rPr>
                <w:rFonts w:ascii="Times New Roman" w:hAnsi="Times New Roman" w:cs="Times New Roman"/>
                <w:color w:val="auto"/>
                <w:sz w:val="24"/>
                <w:szCs w:val="24"/>
                <w:highlight w:val="none"/>
              </w:rPr>
            </w:pPr>
            <w:r>
              <w:rPr>
                <w:rFonts w:ascii="Times New Roman" w:hAnsi="Times New Roman" w:eastAsia="宋体" w:cs="Times New Roman"/>
                <w:color w:val="auto"/>
                <w:kern w:val="0"/>
                <w:szCs w:val="21"/>
                <w:highlight w:val="none"/>
              </w:rPr>
              <w:t>Alexa Fluor</w:t>
            </w:r>
            <w:r>
              <w:rPr>
                <w:rFonts w:ascii="Times New Roman" w:hAnsi="Times New Roman" w:eastAsia="宋体" w:cs="Times New Roman"/>
                <w:color w:val="auto"/>
                <w:kern w:val="0"/>
                <w:szCs w:val="21"/>
                <w:highlight w:val="none"/>
                <w:vertAlign w:val="superscript"/>
              </w:rPr>
              <w:t xml:space="preserve"> </w:t>
            </w:r>
            <w:r>
              <w:rPr>
                <w:rFonts w:ascii="Times New Roman" w:hAnsi="Times New Roman" w:eastAsia="宋体" w:cs="Times New Roman"/>
                <w:color w:val="auto"/>
                <w:kern w:val="0"/>
                <w:szCs w:val="21"/>
                <w:highlight w:val="none"/>
              </w:rPr>
              <w:t>488 labelled Goat Anti-Rabbit</w:t>
            </w:r>
          </w:p>
        </w:tc>
        <w:tc>
          <w:tcPr>
            <w:tcW w:w="1739" w:type="dxa"/>
            <w:tcBorders>
              <w:top w:val="nil"/>
              <w:left w:val="nil"/>
              <w:bottom w:val="nil"/>
              <w:right w:val="nil"/>
            </w:tcBorders>
            <w:vAlign w:val="center"/>
          </w:tcPr>
          <w:p w14:paraId="01593F2F">
            <w:pPr>
              <w:jc w:val="left"/>
              <w:rPr>
                <w:rFonts w:ascii="Times New Roman" w:hAnsi="Times New Roman" w:cs="Times New Roman"/>
                <w:color w:val="auto"/>
                <w:sz w:val="24"/>
                <w:szCs w:val="24"/>
                <w:highlight w:val="none"/>
              </w:rPr>
            </w:pPr>
            <w:r>
              <w:rPr>
                <w:rFonts w:ascii="Times New Roman" w:hAnsi="Times New Roman" w:eastAsia="宋体" w:cs="Times New Roman"/>
                <w:snapToGrid w:val="0"/>
                <w:color w:val="auto"/>
                <w:kern w:val="0"/>
                <w:szCs w:val="21"/>
                <w:highlight w:val="none"/>
              </w:rPr>
              <w:t>Abcam</w:t>
            </w:r>
          </w:p>
        </w:tc>
        <w:tc>
          <w:tcPr>
            <w:tcW w:w="1711" w:type="dxa"/>
            <w:tcBorders>
              <w:top w:val="nil"/>
              <w:left w:val="nil"/>
              <w:bottom w:val="nil"/>
              <w:right w:val="nil"/>
            </w:tcBorders>
            <w:vAlign w:val="center"/>
          </w:tcPr>
          <w:p w14:paraId="6E558051">
            <w:pPr>
              <w:rPr>
                <w:rFonts w:ascii="Times New Roman" w:hAnsi="Times New Roman" w:cs="Times New Roman"/>
                <w:color w:val="auto"/>
                <w:sz w:val="24"/>
                <w:szCs w:val="24"/>
                <w:highlight w:val="none"/>
              </w:rPr>
            </w:pPr>
            <w:r>
              <w:rPr>
                <w:rFonts w:ascii="Times New Roman" w:hAnsi="Times New Roman" w:eastAsia="宋体" w:cs="Times New Roman"/>
                <w:color w:val="auto"/>
                <w:kern w:val="0"/>
                <w:szCs w:val="21"/>
                <w:highlight w:val="none"/>
              </w:rPr>
              <w:t>Rabbit</w:t>
            </w:r>
          </w:p>
        </w:tc>
        <w:tc>
          <w:tcPr>
            <w:tcW w:w="1347" w:type="dxa"/>
            <w:tcBorders>
              <w:top w:val="nil"/>
              <w:left w:val="nil"/>
              <w:bottom w:val="nil"/>
              <w:right w:val="nil"/>
            </w:tcBorders>
            <w:vAlign w:val="center"/>
          </w:tcPr>
          <w:p w14:paraId="264EC6B6">
            <w:pPr>
              <w:jc w:val="left"/>
              <w:rPr>
                <w:rFonts w:hint="eastAsia" w:ascii="Times New Roman" w:hAnsi="Times New Roman" w:cs="Times New Roman"/>
                <w:color w:val="auto"/>
                <w:szCs w:val="21"/>
                <w:highlight w:val="none"/>
                <w:shd w:val="clear" w:color="auto" w:fill="FAFAFA"/>
              </w:rPr>
            </w:pPr>
            <w:r>
              <w:rPr>
                <w:rFonts w:hint="eastAsia" w:ascii="Times New Roman" w:hAnsi="Times New Roman" w:cs="Times New Roman"/>
                <w:color w:val="auto"/>
                <w:szCs w:val="21"/>
                <w:highlight w:val="none"/>
                <w:shd w:val="clear" w:color="auto" w:fill="FAFAFA"/>
              </w:rPr>
              <w:t>ab150077</w:t>
            </w:r>
          </w:p>
        </w:tc>
        <w:tc>
          <w:tcPr>
            <w:tcW w:w="1035" w:type="dxa"/>
            <w:tcBorders>
              <w:top w:val="nil"/>
              <w:left w:val="nil"/>
              <w:bottom w:val="nil"/>
              <w:right w:val="nil"/>
            </w:tcBorders>
            <w:vAlign w:val="center"/>
          </w:tcPr>
          <w:p w14:paraId="741E2070">
            <w:pPr>
              <w:jc w:val="left"/>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1:1000</w:t>
            </w:r>
          </w:p>
        </w:tc>
      </w:tr>
      <w:tr w14:paraId="45A871BA">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319" w:type="dxa"/>
            <w:tcBorders>
              <w:top w:val="nil"/>
              <w:left w:val="nil"/>
              <w:bottom w:val="nil"/>
              <w:right w:val="nil"/>
            </w:tcBorders>
            <w:shd w:val="clear" w:color="auto" w:fill="auto"/>
            <w:vAlign w:val="center"/>
          </w:tcPr>
          <w:p w14:paraId="1FB3A7A6">
            <w:pPr>
              <w:rPr>
                <w:rFonts w:ascii="Times New Roman" w:hAnsi="Times New Roman" w:cs="Times New Roman"/>
                <w:color w:val="auto"/>
                <w:sz w:val="24"/>
                <w:szCs w:val="24"/>
                <w:highlight w:val="none"/>
              </w:rPr>
            </w:pPr>
            <w:r>
              <w:rPr>
                <w:rFonts w:ascii="Times New Roman" w:hAnsi="Times New Roman" w:eastAsia="宋体" w:cs="Times New Roman"/>
                <w:color w:val="auto"/>
                <w:kern w:val="0"/>
                <w:szCs w:val="21"/>
                <w:highlight w:val="none"/>
              </w:rPr>
              <w:t>Alexa Fluor 488 labelled Goat Anti-mouse</w:t>
            </w:r>
          </w:p>
        </w:tc>
        <w:tc>
          <w:tcPr>
            <w:tcW w:w="1739" w:type="dxa"/>
            <w:tcBorders>
              <w:top w:val="nil"/>
              <w:left w:val="nil"/>
              <w:bottom w:val="nil"/>
              <w:right w:val="nil"/>
            </w:tcBorders>
            <w:vAlign w:val="center"/>
          </w:tcPr>
          <w:p w14:paraId="0B9311A3">
            <w:pPr>
              <w:jc w:val="left"/>
              <w:rPr>
                <w:rFonts w:ascii="Times New Roman" w:hAnsi="Times New Roman" w:cs="Times New Roman"/>
                <w:color w:val="auto"/>
                <w:sz w:val="24"/>
                <w:szCs w:val="24"/>
                <w:highlight w:val="none"/>
              </w:rPr>
            </w:pPr>
            <w:r>
              <w:rPr>
                <w:rFonts w:ascii="Times New Roman" w:hAnsi="Times New Roman" w:eastAsia="宋体" w:cs="Times New Roman"/>
                <w:snapToGrid w:val="0"/>
                <w:color w:val="auto"/>
                <w:kern w:val="0"/>
                <w:szCs w:val="21"/>
                <w:highlight w:val="none"/>
              </w:rPr>
              <w:t>Abcam</w:t>
            </w:r>
          </w:p>
        </w:tc>
        <w:tc>
          <w:tcPr>
            <w:tcW w:w="1711" w:type="dxa"/>
            <w:tcBorders>
              <w:top w:val="nil"/>
              <w:left w:val="nil"/>
              <w:bottom w:val="nil"/>
              <w:right w:val="nil"/>
            </w:tcBorders>
            <w:vAlign w:val="center"/>
          </w:tcPr>
          <w:p w14:paraId="05A6A814">
            <w:pPr>
              <w:rPr>
                <w:rFonts w:ascii="Times New Roman" w:hAnsi="Times New Roman" w:eastAsia="宋体" w:cs="Times New Roman"/>
                <w:color w:val="auto"/>
                <w:kern w:val="0"/>
                <w:szCs w:val="21"/>
                <w:highlight w:val="none"/>
              </w:rPr>
            </w:pPr>
            <w:r>
              <w:rPr>
                <w:rFonts w:ascii="Times New Roman" w:hAnsi="Times New Roman" w:eastAsia="宋体" w:cs="Times New Roman"/>
                <w:color w:val="auto"/>
                <w:kern w:val="0"/>
                <w:szCs w:val="21"/>
                <w:highlight w:val="none"/>
              </w:rPr>
              <w:t>Goat</w:t>
            </w:r>
          </w:p>
        </w:tc>
        <w:tc>
          <w:tcPr>
            <w:tcW w:w="1347" w:type="dxa"/>
            <w:tcBorders>
              <w:top w:val="nil"/>
              <w:left w:val="nil"/>
              <w:bottom w:val="nil"/>
              <w:right w:val="nil"/>
            </w:tcBorders>
            <w:vAlign w:val="center"/>
          </w:tcPr>
          <w:p w14:paraId="3C108A39">
            <w:pPr>
              <w:jc w:val="left"/>
              <w:rPr>
                <w:rFonts w:hint="eastAsia" w:ascii="Times New Roman" w:hAnsi="Times New Roman" w:cs="Times New Roman"/>
                <w:color w:val="auto"/>
                <w:szCs w:val="21"/>
                <w:highlight w:val="none"/>
                <w:shd w:val="clear" w:color="auto" w:fill="FAFAFA"/>
              </w:rPr>
            </w:pPr>
            <w:r>
              <w:rPr>
                <w:rFonts w:hint="eastAsia" w:ascii="Times New Roman" w:hAnsi="Times New Roman" w:cs="Times New Roman"/>
                <w:color w:val="auto"/>
                <w:szCs w:val="21"/>
                <w:highlight w:val="none"/>
                <w:shd w:val="clear" w:color="auto" w:fill="FAFAFA"/>
              </w:rPr>
              <w:t>ab150113</w:t>
            </w:r>
          </w:p>
        </w:tc>
        <w:tc>
          <w:tcPr>
            <w:tcW w:w="1035" w:type="dxa"/>
            <w:tcBorders>
              <w:top w:val="nil"/>
              <w:left w:val="nil"/>
              <w:bottom w:val="nil"/>
              <w:right w:val="nil"/>
            </w:tcBorders>
            <w:vAlign w:val="center"/>
          </w:tcPr>
          <w:p w14:paraId="09F48B64">
            <w:pPr>
              <w:jc w:val="left"/>
              <w:rPr>
                <w:rFonts w:ascii="Times New Roman" w:hAnsi="Times New Roman" w:eastAsia="宋体" w:cs="Times New Roman"/>
                <w:color w:val="auto"/>
                <w:sz w:val="24"/>
                <w:szCs w:val="24"/>
                <w:highlight w:val="none"/>
              </w:rPr>
            </w:pPr>
            <w:r>
              <w:rPr>
                <w:rFonts w:ascii="Times New Roman" w:hAnsi="Times New Roman" w:eastAsia="宋体" w:cs="Times New Roman"/>
                <w:color w:val="auto"/>
                <w:kern w:val="0"/>
                <w:szCs w:val="21"/>
                <w:highlight w:val="none"/>
              </w:rPr>
              <w:t>1</w:t>
            </w:r>
            <w:r>
              <w:rPr>
                <w:rFonts w:hint="eastAsia" w:ascii="Times New Roman" w:hAnsi="Times New Roman" w:eastAsia="宋体" w:cs="Times New Roman"/>
                <w:color w:val="auto"/>
                <w:kern w:val="0"/>
                <w:szCs w:val="21"/>
                <w:highlight w:val="none"/>
              </w:rPr>
              <w:t>:1000</w:t>
            </w:r>
          </w:p>
        </w:tc>
      </w:tr>
      <w:tr w14:paraId="6F9573B9">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319" w:type="dxa"/>
            <w:tcBorders>
              <w:top w:val="nil"/>
              <w:left w:val="nil"/>
              <w:bottom w:val="nil"/>
              <w:right w:val="nil"/>
            </w:tcBorders>
            <w:vAlign w:val="center"/>
          </w:tcPr>
          <w:p w14:paraId="3077FEBD">
            <w:pPr>
              <w:rPr>
                <w:rFonts w:ascii="Times New Roman" w:hAnsi="Times New Roman" w:cs="Times New Roman"/>
                <w:color w:val="auto"/>
                <w:sz w:val="24"/>
                <w:szCs w:val="24"/>
                <w:highlight w:val="none"/>
              </w:rPr>
            </w:pPr>
            <w:r>
              <w:rPr>
                <w:rFonts w:ascii="Times New Roman" w:hAnsi="Times New Roman" w:eastAsia="宋体" w:cs="Times New Roman"/>
                <w:snapToGrid w:val="0"/>
                <w:color w:val="auto"/>
                <w:kern w:val="0"/>
                <w:szCs w:val="21"/>
                <w:highlight w:val="none"/>
              </w:rPr>
              <w:t>Alexa Fluor 488 conjugated Ki67</w:t>
            </w:r>
          </w:p>
        </w:tc>
        <w:tc>
          <w:tcPr>
            <w:tcW w:w="1739" w:type="dxa"/>
            <w:tcBorders>
              <w:top w:val="nil"/>
              <w:left w:val="nil"/>
              <w:bottom w:val="nil"/>
              <w:right w:val="nil"/>
            </w:tcBorders>
            <w:vAlign w:val="center"/>
          </w:tcPr>
          <w:p w14:paraId="139E3745">
            <w:pPr>
              <w:jc w:val="left"/>
              <w:rPr>
                <w:rFonts w:ascii="Times New Roman" w:hAnsi="Times New Roman" w:cs="Times New Roman"/>
                <w:color w:val="auto"/>
                <w:sz w:val="24"/>
                <w:szCs w:val="24"/>
                <w:highlight w:val="none"/>
              </w:rPr>
            </w:pPr>
            <w:r>
              <w:rPr>
                <w:rFonts w:ascii="Times New Roman" w:hAnsi="Times New Roman" w:eastAsia="宋体" w:cs="Times New Roman"/>
                <w:snapToGrid w:val="0"/>
                <w:color w:val="auto"/>
                <w:kern w:val="0"/>
                <w:szCs w:val="21"/>
                <w:highlight w:val="none"/>
              </w:rPr>
              <w:t>Abcam</w:t>
            </w:r>
          </w:p>
        </w:tc>
        <w:tc>
          <w:tcPr>
            <w:tcW w:w="1711" w:type="dxa"/>
            <w:tcBorders>
              <w:top w:val="nil"/>
              <w:left w:val="nil"/>
              <w:bottom w:val="nil"/>
              <w:right w:val="nil"/>
            </w:tcBorders>
            <w:vAlign w:val="center"/>
          </w:tcPr>
          <w:p w14:paraId="2DE07C06">
            <w:pPr>
              <w:rPr>
                <w:rFonts w:ascii="Times New Roman" w:hAnsi="Times New Roman" w:eastAsia="宋体" w:cs="Times New Roman"/>
                <w:color w:val="auto"/>
                <w:kern w:val="0"/>
                <w:szCs w:val="21"/>
                <w:highlight w:val="none"/>
              </w:rPr>
            </w:pPr>
            <w:r>
              <w:rPr>
                <w:rFonts w:ascii="Times New Roman" w:hAnsi="Times New Roman" w:eastAsia="宋体" w:cs="Times New Roman"/>
                <w:color w:val="auto"/>
                <w:kern w:val="0"/>
                <w:szCs w:val="21"/>
                <w:highlight w:val="none"/>
              </w:rPr>
              <w:t>Goat</w:t>
            </w:r>
          </w:p>
        </w:tc>
        <w:tc>
          <w:tcPr>
            <w:tcW w:w="1347" w:type="dxa"/>
            <w:tcBorders>
              <w:top w:val="nil"/>
              <w:left w:val="nil"/>
              <w:bottom w:val="nil"/>
              <w:right w:val="nil"/>
            </w:tcBorders>
            <w:vAlign w:val="center"/>
          </w:tcPr>
          <w:p w14:paraId="706826F0">
            <w:pPr>
              <w:jc w:val="left"/>
              <w:rPr>
                <w:rFonts w:hint="eastAsia" w:ascii="Times New Roman" w:hAnsi="Times New Roman" w:cs="Times New Roman"/>
                <w:color w:val="auto"/>
                <w:szCs w:val="21"/>
                <w:highlight w:val="none"/>
                <w:shd w:val="clear" w:color="auto" w:fill="FAFAFA"/>
              </w:rPr>
            </w:pPr>
            <w:r>
              <w:rPr>
                <w:rFonts w:hint="eastAsia" w:ascii="Times New Roman" w:hAnsi="Times New Roman" w:cs="Times New Roman"/>
                <w:color w:val="auto"/>
                <w:szCs w:val="21"/>
                <w:highlight w:val="none"/>
                <w:shd w:val="clear" w:color="auto" w:fill="FAFAFA"/>
              </w:rPr>
              <w:t>ab281847</w:t>
            </w:r>
          </w:p>
        </w:tc>
        <w:tc>
          <w:tcPr>
            <w:tcW w:w="1035" w:type="dxa"/>
            <w:tcBorders>
              <w:top w:val="nil"/>
              <w:left w:val="nil"/>
              <w:bottom w:val="nil"/>
              <w:right w:val="nil"/>
            </w:tcBorders>
            <w:vAlign w:val="center"/>
          </w:tcPr>
          <w:p w14:paraId="6D72E635">
            <w:pPr>
              <w:jc w:val="left"/>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1:50</w:t>
            </w:r>
          </w:p>
        </w:tc>
      </w:tr>
      <w:tr w14:paraId="751D3B15">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108" w:type="dxa"/>
            <w:bottom w:w="0" w:type="dxa"/>
            <w:right w:w="108" w:type="dxa"/>
          </w:tblCellMar>
        </w:tblPrEx>
        <w:trPr>
          <w:jc w:val="center"/>
        </w:trPr>
        <w:tc>
          <w:tcPr>
            <w:tcW w:w="2319" w:type="dxa"/>
            <w:tcBorders>
              <w:top w:val="nil"/>
              <w:left w:val="nil"/>
              <w:bottom w:val="single" w:color="auto" w:sz="12" w:space="0"/>
              <w:right w:val="nil"/>
            </w:tcBorders>
            <w:vAlign w:val="center"/>
          </w:tcPr>
          <w:p w14:paraId="0EBB3C8E">
            <w:pPr>
              <w:rPr>
                <w:rFonts w:ascii="Times New Roman" w:hAnsi="Times New Roman" w:cs="Times New Roman"/>
                <w:color w:val="auto"/>
                <w:sz w:val="24"/>
                <w:szCs w:val="24"/>
                <w:highlight w:val="none"/>
              </w:rPr>
            </w:pPr>
            <w:r>
              <w:rPr>
                <w:rFonts w:ascii="Times New Roman" w:hAnsi="Times New Roman" w:cs="Times New Roman"/>
                <w:color w:val="auto"/>
                <w:szCs w:val="21"/>
                <w:highlight w:val="none"/>
              </w:rPr>
              <w:t>Lgr5</w:t>
            </w:r>
          </w:p>
        </w:tc>
        <w:tc>
          <w:tcPr>
            <w:tcW w:w="1739" w:type="dxa"/>
            <w:tcBorders>
              <w:top w:val="nil"/>
              <w:left w:val="nil"/>
              <w:bottom w:val="single" w:color="auto" w:sz="12" w:space="0"/>
              <w:right w:val="nil"/>
            </w:tcBorders>
            <w:vAlign w:val="center"/>
          </w:tcPr>
          <w:p w14:paraId="3225F1B7">
            <w:pPr>
              <w:jc w:val="left"/>
              <w:rPr>
                <w:rFonts w:ascii="Times New Roman" w:hAnsi="Times New Roman" w:cs="Times New Roman"/>
                <w:color w:val="auto"/>
                <w:sz w:val="24"/>
                <w:szCs w:val="24"/>
                <w:highlight w:val="none"/>
              </w:rPr>
            </w:pPr>
            <w:r>
              <w:rPr>
                <w:rFonts w:ascii="Times New Roman" w:hAnsi="Times New Roman" w:eastAsia="宋体" w:cs="Times New Roman"/>
                <w:snapToGrid w:val="0"/>
                <w:color w:val="auto"/>
                <w:kern w:val="0"/>
                <w:szCs w:val="21"/>
                <w:highlight w:val="none"/>
              </w:rPr>
              <w:t>Abcam</w:t>
            </w:r>
          </w:p>
        </w:tc>
        <w:tc>
          <w:tcPr>
            <w:tcW w:w="1711" w:type="dxa"/>
            <w:tcBorders>
              <w:top w:val="nil"/>
              <w:left w:val="nil"/>
              <w:bottom w:val="single" w:color="auto" w:sz="12" w:space="0"/>
              <w:right w:val="nil"/>
            </w:tcBorders>
            <w:vAlign w:val="center"/>
          </w:tcPr>
          <w:p w14:paraId="10BBB2FF">
            <w:pPr>
              <w:rPr>
                <w:rFonts w:ascii="Times New Roman" w:hAnsi="Times New Roman" w:cs="Times New Roman"/>
                <w:color w:val="auto"/>
                <w:sz w:val="24"/>
                <w:szCs w:val="24"/>
                <w:highlight w:val="none"/>
              </w:rPr>
            </w:pPr>
            <w:r>
              <w:rPr>
                <w:rFonts w:ascii="Times New Roman" w:hAnsi="Times New Roman" w:eastAsia="宋体" w:cs="Times New Roman"/>
                <w:color w:val="auto"/>
                <w:kern w:val="0"/>
                <w:szCs w:val="21"/>
                <w:highlight w:val="none"/>
              </w:rPr>
              <w:t>Rabbit</w:t>
            </w:r>
          </w:p>
        </w:tc>
        <w:tc>
          <w:tcPr>
            <w:tcW w:w="1347" w:type="dxa"/>
            <w:tcBorders>
              <w:top w:val="nil"/>
              <w:left w:val="nil"/>
              <w:bottom w:val="single" w:color="auto" w:sz="12" w:space="0"/>
              <w:right w:val="nil"/>
            </w:tcBorders>
            <w:vAlign w:val="center"/>
          </w:tcPr>
          <w:p w14:paraId="6C49BD7A">
            <w:pPr>
              <w:jc w:val="left"/>
              <w:rPr>
                <w:rFonts w:hint="eastAsia" w:ascii="Times New Roman" w:hAnsi="Times New Roman" w:cs="Times New Roman"/>
                <w:color w:val="auto"/>
                <w:szCs w:val="21"/>
                <w:highlight w:val="none"/>
                <w:shd w:val="clear" w:color="auto" w:fill="FAFAFA"/>
              </w:rPr>
            </w:pPr>
            <w:r>
              <w:rPr>
                <w:rFonts w:hint="eastAsia" w:ascii="Times New Roman" w:hAnsi="Times New Roman" w:cs="Times New Roman"/>
                <w:color w:val="auto"/>
                <w:szCs w:val="21"/>
                <w:highlight w:val="none"/>
                <w:shd w:val="clear" w:color="auto" w:fill="FAFAFA"/>
              </w:rPr>
              <w:t>PA5-87974</w:t>
            </w:r>
          </w:p>
        </w:tc>
        <w:tc>
          <w:tcPr>
            <w:tcW w:w="1035" w:type="dxa"/>
            <w:tcBorders>
              <w:top w:val="nil"/>
              <w:left w:val="nil"/>
              <w:bottom w:val="single" w:color="auto" w:sz="12" w:space="0"/>
              <w:right w:val="nil"/>
            </w:tcBorders>
            <w:vAlign w:val="center"/>
          </w:tcPr>
          <w:p w14:paraId="576786C7">
            <w:pPr>
              <w:jc w:val="left"/>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rPr>
              <w:t>1:250</w:t>
            </w:r>
          </w:p>
        </w:tc>
      </w:tr>
    </w:tbl>
    <w:p w14:paraId="62407AF4">
      <w:pPr>
        <w:pStyle w:val="16"/>
        <w:tabs>
          <w:tab w:val="left" w:pos="6030"/>
        </w:tabs>
        <w:spacing w:line="360" w:lineRule="auto"/>
        <w:jc w:val="left"/>
        <w:rPr>
          <w:rFonts w:ascii="Times New Roman" w:hAnsi="Times New Roman" w:cs="Times New Roman"/>
          <w:b/>
          <w:color w:val="auto"/>
          <w:highlight w:val="none"/>
        </w:rPr>
      </w:pPr>
      <w:r>
        <w:rPr>
          <w:rFonts w:hint="eastAsia" w:ascii="Times New Roman" w:hAnsi="Times New Roman" w:cs="Times New Roman"/>
          <w:b/>
          <w:color w:val="auto"/>
          <w:highlight w:val="none"/>
        </w:rPr>
        <w:t>3</w:t>
      </w:r>
      <w:r>
        <w:rPr>
          <w:rFonts w:ascii="Times New Roman" w:hAnsi="Times New Roman" w:cs="Times New Roman"/>
          <w:b/>
          <w:color w:val="auto"/>
          <w:highlight w:val="none"/>
        </w:rPr>
        <w:t xml:space="preserve"> Results</w:t>
      </w:r>
    </w:p>
    <w:p w14:paraId="2BD5A803">
      <w:pP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lang w:bidi="ar"/>
        </w:rPr>
        <w:t xml:space="preserve"> </w:t>
      </w:r>
      <w:r>
        <w:rPr>
          <w:rFonts w:ascii="Times New Roman" w:hAnsi="Times New Roman" w:cs="Times New Roman"/>
          <w:b/>
          <w:bCs/>
          <w:color w:val="auto"/>
          <w:sz w:val="24"/>
          <w:szCs w:val="24"/>
          <w:highlight w:val="none"/>
        </w:rPr>
        <w:t xml:space="preserve">Table Sup </w:t>
      </w:r>
      <w:r>
        <w:rPr>
          <w:rFonts w:hint="eastAsia" w:ascii="Times New Roman" w:hAnsi="Times New Roman" w:cs="Times New Roman"/>
          <w:b/>
          <w:bCs/>
          <w:color w:val="auto"/>
          <w:sz w:val="24"/>
          <w:szCs w:val="24"/>
          <w:highlight w:val="none"/>
        </w:rPr>
        <w:t>6</w:t>
      </w:r>
      <w:r>
        <w:rPr>
          <w:rFonts w:ascii="Times New Roman" w:hAnsi="Times New Roman" w:cs="Times New Roman"/>
          <w:b/>
          <w:bCs/>
          <w:color w:val="auto"/>
          <w:sz w:val="24"/>
          <w:szCs w:val="24"/>
          <w:highlight w:val="none"/>
        </w:rPr>
        <w:t xml:space="preserve"> The zeta potential of pectin and chitosan solutions at different pH</w:t>
      </w:r>
    </w:p>
    <w:tbl>
      <w:tblPr>
        <w:tblStyle w:val="10"/>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26"/>
        <w:gridCol w:w="3685"/>
        <w:gridCol w:w="3311"/>
      </w:tblGrid>
      <w:tr w14:paraId="0561AE5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Borders>
              <w:top w:val="single" w:color="auto" w:sz="12" w:space="0"/>
              <w:bottom w:val="single" w:color="auto" w:sz="6" w:space="0"/>
            </w:tcBorders>
            <w:vAlign w:val="center"/>
          </w:tcPr>
          <w:p w14:paraId="148F8475">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pH</w:t>
            </w:r>
          </w:p>
        </w:tc>
        <w:tc>
          <w:tcPr>
            <w:tcW w:w="3685" w:type="dxa"/>
            <w:tcBorders>
              <w:top w:val="single" w:color="auto" w:sz="12" w:space="0"/>
              <w:bottom w:val="single" w:color="auto" w:sz="6" w:space="0"/>
            </w:tcBorders>
            <w:vAlign w:val="center"/>
          </w:tcPr>
          <w:p w14:paraId="60D93AB1">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PEC solution potential</w:t>
            </w:r>
            <w:bookmarkStart w:id="0" w:name="OLE_LINK8"/>
            <w:r>
              <w:rPr>
                <w:rFonts w:hint="eastAsia" w:ascii="Times New Roman" w:hAnsi="Times New Roman" w:eastAsia="宋体" w:cs="Times New Roman"/>
                <w:color w:val="auto"/>
                <w:kern w:val="0"/>
                <w:sz w:val="24"/>
                <w:szCs w:val="24"/>
                <w:highlight w:val="none"/>
              </w:rPr>
              <w:t xml:space="preserve"> (</w:t>
            </w:r>
            <w:r>
              <w:rPr>
                <w:rFonts w:ascii="Times New Roman" w:hAnsi="Times New Roman" w:eastAsia="宋体" w:cs="Times New Roman"/>
                <w:color w:val="auto"/>
                <w:kern w:val="0"/>
                <w:sz w:val="24"/>
                <w:szCs w:val="24"/>
                <w:highlight w:val="none"/>
              </w:rPr>
              <w:t>mV</w:t>
            </w:r>
            <w:r>
              <w:rPr>
                <w:rFonts w:hint="eastAsia" w:ascii="Times New Roman" w:hAnsi="Times New Roman" w:eastAsia="宋体" w:cs="Times New Roman"/>
                <w:color w:val="auto"/>
                <w:kern w:val="0"/>
                <w:sz w:val="24"/>
                <w:szCs w:val="24"/>
                <w:highlight w:val="none"/>
              </w:rPr>
              <w:t>)</w:t>
            </w:r>
            <w:bookmarkEnd w:id="0"/>
          </w:p>
        </w:tc>
        <w:tc>
          <w:tcPr>
            <w:tcW w:w="3311" w:type="dxa"/>
            <w:tcBorders>
              <w:top w:val="single" w:color="auto" w:sz="12" w:space="0"/>
              <w:bottom w:val="single" w:color="auto" w:sz="6" w:space="0"/>
            </w:tcBorders>
            <w:vAlign w:val="center"/>
          </w:tcPr>
          <w:p w14:paraId="08AD8F5E">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CS solution potential</w:t>
            </w:r>
            <w:r>
              <w:rPr>
                <w:rFonts w:hint="eastAsia" w:ascii="Times New Roman" w:hAnsi="Times New Roman" w:eastAsia="宋体" w:cs="Times New Roman"/>
                <w:color w:val="auto"/>
                <w:kern w:val="0"/>
                <w:sz w:val="24"/>
                <w:szCs w:val="24"/>
                <w:highlight w:val="none"/>
              </w:rPr>
              <w:t xml:space="preserve"> (</w:t>
            </w:r>
            <w:r>
              <w:rPr>
                <w:rFonts w:ascii="Times New Roman" w:hAnsi="Times New Roman" w:eastAsia="宋体" w:cs="Times New Roman"/>
                <w:color w:val="auto"/>
                <w:kern w:val="0"/>
                <w:sz w:val="24"/>
                <w:szCs w:val="24"/>
                <w:highlight w:val="none"/>
              </w:rPr>
              <w:t>mV</w:t>
            </w:r>
            <w:r>
              <w:rPr>
                <w:rFonts w:hint="eastAsia" w:ascii="Times New Roman" w:hAnsi="Times New Roman" w:eastAsia="宋体" w:cs="Times New Roman"/>
                <w:color w:val="auto"/>
                <w:kern w:val="0"/>
                <w:sz w:val="24"/>
                <w:szCs w:val="24"/>
                <w:highlight w:val="none"/>
              </w:rPr>
              <w:t>)</w:t>
            </w:r>
          </w:p>
        </w:tc>
      </w:tr>
      <w:tr w14:paraId="4A02FD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Borders>
              <w:top w:val="single" w:color="auto" w:sz="6" w:space="0"/>
            </w:tcBorders>
            <w:vAlign w:val="center"/>
          </w:tcPr>
          <w:p w14:paraId="0F691080">
            <w:pPr>
              <w:widowControl/>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3.5</w:t>
            </w:r>
          </w:p>
        </w:tc>
        <w:tc>
          <w:tcPr>
            <w:tcW w:w="3685" w:type="dxa"/>
            <w:tcBorders>
              <w:top w:val="single" w:color="auto" w:sz="6" w:space="0"/>
            </w:tcBorders>
            <w:vAlign w:val="center"/>
          </w:tcPr>
          <w:p w14:paraId="4CAAC562">
            <w:pPr>
              <w:widowControl/>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0.0800</w:t>
            </w:r>
          </w:p>
        </w:tc>
        <w:tc>
          <w:tcPr>
            <w:tcW w:w="3311" w:type="dxa"/>
            <w:tcBorders>
              <w:top w:val="single" w:color="auto" w:sz="6" w:space="0"/>
            </w:tcBorders>
            <w:vAlign w:val="center"/>
          </w:tcPr>
          <w:p w14:paraId="4E6313FF">
            <w:pPr>
              <w:widowControl/>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6.64</w:t>
            </w:r>
          </w:p>
        </w:tc>
      </w:tr>
      <w:tr w14:paraId="0DFFB1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Align w:val="center"/>
          </w:tcPr>
          <w:p w14:paraId="6FD129FF">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4.0</w:t>
            </w:r>
          </w:p>
        </w:tc>
        <w:tc>
          <w:tcPr>
            <w:tcW w:w="3685" w:type="dxa"/>
            <w:vAlign w:val="center"/>
          </w:tcPr>
          <w:p w14:paraId="4645165F">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-17.7</w:t>
            </w:r>
          </w:p>
        </w:tc>
        <w:tc>
          <w:tcPr>
            <w:tcW w:w="3311" w:type="dxa"/>
            <w:vAlign w:val="center"/>
          </w:tcPr>
          <w:p w14:paraId="6378025E">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4.21</w:t>
            </w:r>
          </w:p>
        </w:tc>
      </w:tr>
      <w:tr w14:paraId="71C62AD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Align w:val="center"/>
          </w:tcPr>
          <w:p w14:paraId="2545B3C8">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4.5</w:t>
            </w:r>
          </w:p>
        </w:tc>
        <w:tc>
          <w:tcPr>
            <w:tcW w:w="3685" w:type="dxa"/>
            <w:vAlign w:val="center"/>
          </w:tcPr>
          <w:p w14:paraId="7E0EC0B1">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-18.9</w:t>
            </w:r>
          </w:p>
        </w:tc>
        <w:tc>
          <w:tcPr>
            <w:tcW w:w="3311" w:type="dxa"/>
            <w:vAlign w:val="center"/>
          </w:tcPr>
          <w:p w14:paraId="1703399E">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3.40</w:t>
            </w:r>
          </w:p>
        </w:tc>
      </w:tr>
      <w:tr w14:paraId="7E51ADA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Align w:val="center"/>
          </w:tcPr>
          <w:p w14:paraId="5A66DFD6">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5.0</w:t>
            </w:r>
          </w:p>
        </w:tc>
        <w:tc>
          <w:tcPr>
            <w:tcW w:w="3685" w:type="dxa"/>
            <w:vAlign w:val="center"/>
          </w:tcPr>
          <w:p w14:paraId="37A5EB49">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-23.8</w:t>
            </w:r>
          </w:p>
        </w:tc>
        <w:tc>
          <w:tcPr>
            <w:tcW w:w="3311" w:type="dxa"/>
            <w:vAlign w:val="center"/>
          </w:tcPr>
          <w:p w14:paraId="7340217D">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2.51</w:t>
            </w:r>
          </w:p>
        </w:tc>
      </w:tr>
      <w:tr w14:paraId="664B181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Align w:val="center"/>
          </w:tcPr>
          <w:p w14:paraId="1E8083AA">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6.0</w:t>
            </w:r>
          </w:p>
        </w:tc>
        <w:tc>
          <w:tcPr>
            <w:tcW w:w="3685" w:type="dxa"/>
            <w:vAlign w:val="center"/>
          </w:tcPr>
          <w:p w14:paraId="4347E50D">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-25.5</w:t>
            </w:r>
          </w:p>
        </w:tc>
        <w:tc>
          <w:tcPr>
            <w:tcW w:w="3311" w:type="dxa"/>
            <w:vAlign w:val="center"/>
          </w:tcPr>
          <w:p w14:paraId="382B0AD3">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0.336</w:t>
            </w:r>
          </w:p>
        </w:tc>
      </w:tr>
      <w:tr w14:paraId="65F2B5C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Align w:val="center"/>
          </w:tcPr>
          <w:p w14:paraId="69E82995">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7.0</w:t>
            </w:r>
          </w:p>
        </w:tc>
        <w:tc>
          <w:tcPr>
            <w:tcW w:w="3685" w:type="dxa"/>
            <w:vAlign w:val="center"/>
          </w:tcPr>
          <w:p w14:paraId="0A90234E">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-18.6</w:t>
            </w:r>
          </w:p>
        </w:tc>
        <w:tc>
          <w:tcPr>
            <w:tcW w:w="3311" w:type="dxa"/>
            <w:vAlign w:val="center"/>
          </w:tcPr>
          <w:p w14:paraId="56A72992">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1.36</w:t>
            </w:r>
          </w:p>
        </w:tc>
      </w:tr>
      <w:tr w14:paraId="0DD2042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Align w:val="center"/>
          </w:tcPr>
          <w:p w14:paraId="2B33A6A6">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8.0</w:t>
            </w:r>
          </w:p>
        </w:tc>
        <w:tc>
          <w:tcPr>
            <w:tcW w:w="3685" w:type="dxa"/>
            <w:vAlign w:val="center"/>
          </w:tcPr>
          <w:p w14:paraId="778CF99B">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-22.5</w:t>
            </w:r>
          </w:p>
        </w:tc>
        <w:tc>
          <w:tcPr>
            <w:tcW w:w="3311" w:type="dxa"/>
            <w:vAlign w:val="center"/>
          </w:tcPr>
          <w:p w14:paraId="76509E33">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-0.323</w:t>
            </w:r>
          </w:p>
        </w:tc>
      </w:tr>
      <w:tr w14:paraId="6402961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Borders>
              <w:bottom w:val="single" w:color="auto" w:sz="12" w:space="0"/>
            </w:tcBorders>
            <w:vAlign w:val="center"/>
          </w:tcPr>
          <w:p w14:paraId="4CF58510">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9.0</w:t>
            </w:r>
          </w:p>
        </w:tc>
        <w:tc>
          <w:tcPr>
            <w:tcW w:w="3685" w:type="dxa"/>
            <w:tcBorders>
              <w:bottom w:val="single" w:color="auto" w:sz="12" w:space="0"/>
            </w:tcBorders>
            <w:vAlign w:val="center"/>
          </w:tcPr>
          <w:p w14:paraId="01FE8232">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-20.2</w:t>
            </w:r>
          </w:p>
        </w:tc>
        <w:tc>
          <w:tcPr>
            <w:tcW w:w="3311" w:type="dxa"/>
            <w:tcBorders>
              <w:bottom w:val="single" w:color="auto" w:sz="12" w:space="0"/>
            </w:tcBorders>
            <w:vAlign w:val="center"/>
          </w:tcPr>
          <w:p w14:paraId="1BD5614D">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-2.47</w:t>
            </w:r>
          </w:p>
        </w:tc>
      </w:tr>
    </w:tbl>
    <w:p w14:paraId="524526BB">
      <w:pPr>
        <w:rPr>
          <w:rFonts w:ascii="Times New Roman" w:hAnsi="Times New Roman" w:cs="Times New Roman"/>
          <w:color w:val="auto"/>
          <w:sz w:val="24"/>
          <w:szCs w:val="24"/>
          <w:highlight w:val="none"/>
        </w:rPr>
      </w:pPr>
    </w:p>
    <w:p w14:paraId="41EBB21E">
      <w:pPr>
        <w:rPr>
          <w:rFonts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 xml:space="preserve">Table </w:t>
      </w:r>
      <w:r>
        <w:rPr>
          <w:rFonts w:hint="eastAsia" w:ascii="Times New Roman" w:hAnsi="Times New Roman" w:cs="Times New Roman"/>
          <w:b/>
          <w:bCs/>
          <w:color w:val="auto"/>
          <w:sz w:val="24"/>
          <w:szCs w:val="24"/>
          <w:highlight w:val="none"/>
        </w:rPr>
        <w:t>Sup 7</w:t>
      </w:r>
      <w:r>
        <w:rPr>
          <w:rFonts w:ascii="Times New Roman" w:hAnsi="Times New Roman" w:cs="Times New Roman"/>
          <w:b/>
          <w:bCs/>
          <w:color w:val="auto"/>
          <w:sz w:val="24"/>
          <w:szCs w:val="24"/>
          <w:highlight w:val="none"/>
        </w:rPr>
        <w:t xml:space="preserve"> The size, zeta potential and PDI of </w:t>
      </w:r>
      <w:r>
        <w:rPr>
          <w:rFonts w:hint="eastAsia" w:ascii="Times New Roman" w:hAnsi="Times New Roman" w:cs="Times New Roman"/>
          <w:b/>
          <w:bCs/>
          <w:color w:val="auto"/>
          <w:sz w:val="24"/>
          <w:szCs w:val="24"/>
          <w:highlight w:val="none"/>
        </w:rPr>
        <w:t>CS/PEC-AMF NPs</w:t>
      </w:r>
      <w:r>
        <w:rPr>
          <w:rFonts w:ascii="Times New Roman" w:hAnsi="Times New Roman" w:cs="Times New Roman"/>
          <w:b/>
          <w:bCs/>
          <w:color w:val="auto"/>
          <w:sz w:val="24"/>
          <w:szCs w:val="24"/>
          <w:highlight w:val="none"/>
        </w:rPr>
        <w:t xml:space="preserve"> at different pectin concentrations</w:t>
      </w:r>
    </w:p>
    <w:tbl>
      <w:tblPr>
        <w:tblStyle w:val="10"/>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20"/>
        <w:gridCol w:w="1473"/>
        <w:gridCol w:w="1663"/>
        <w:gridCol w:w="2166"/>
      </w:tblGrid>
      <w:tr w14:paraId="41E865E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0" w:type="dxa"/>
            <w:tcBorders>
              <w:top w:val="single" w:color="auto" w:sz="12" w:space="0"/>
              <w:bottom w:val="single" w:color="auto" w:sz="6" w:space="0"/>
            </w:tcBorders>
            <w:vAlign w:val="center"/>
          </w:tcPr>
          <w:p w14:paraId="0A1D0F1B">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P</w:t>
            </w:r>
            <w:r>
              <w:rPr>
                <w:rFonts w:ascii="Times New Roman" w:hAnsi="Times New Roman" w:eastAsia="宋体" w:cs="Times New Roman"/>
                <w:color w:val="auto"/>
                <w:kern w:val="0"/>
                <w:sz w:val="24"/>
                <w:szCs w:val="24"/>
                <w:highlight w:val="none"/>
              </w:rPr>
              <w:t>ectin concentrations</w:t>
            </w:r>
            <w:r>
              <w:rPr>
                <w:rFonts w:hint="eastAsia" w:ascii="Times New Roman" w:hAnsi="Times New Roman" w:eastAsia="宋体" w:cs="Times New Roman"/>
                <w:color w:val="auto"/>
                <w:kern w:val="0"/>
                <w:sz w:val="24"/>
                <w:szCs w:val="24"/>
                <w:highlight w:val="none"/>
              </w:rPr>
              <w:t xml:space="preserve"> (mg/mL)</w:t>
            </w:r>
          </w:p>
        </w:tc>
        <w:tc>
          <w:tcPr>
            <w:tcW w:w="1473" w:type="dxa"/>
            <w:tcBorders>
              <w:top w:val="single" w:color="auto" w:sz="12" w:space="0"/>
              <w:bottom w:val="single" w:color="auto" w:sz="6" w:space="0"/>
            </w:tcBorders>
            <w:vAlign w:val="center"/>
          </w:tcPr>
          <w:p w14:paraId="17D928FF">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Size</w:t>
            </w:r>
            <w:r>
              <w:rPr>
                <w:rFonts w:hint="eastAsia" w:ascii="Times New Roman" w:hAnsi="Times New Roman" w:eastAsia="宋体" w:cs="Times New Roman"/>
                <w:color w:val="auto"/>
                <w:kern w:val="0"/>
                <w:sz w:val="24"/>
                <w:szCs w:val="24"/>
                <w:highlight w:val="none"/>
              </w:rPr>
              <w:t xml:space="preserve"> (</w:t>
            </w:r>
            <w:r>
              <w:rPr>
                <w:rFonts w:ascii="Times New Roman" w:hAnsi="Times New Roman" w:eastAsia="宋体" w:cs="Times New Roman"/>
                <w:color w:val="auto"/>
                <w:kern w:val="0"/>
                <w:sz w:val="24"/>
                <w:szCs w:val="24"/>
                <w:highlight w:val="none"/>
              </w:rPr>
              <w:t>nm</w:t>
            </w:r>
            <w:r>
              <w:rPr>
                <w:rFonts w:hint="eastAsia" w:ascii="Times New Roman" w:hAnsi="Times New Roman" w:eastAsia="宋体" w:cs="Times New Roman"/>
                <w:color w:val="auto"/>
                <w:kern w:val="0"/>
                <w:sz w:val="24"/>
                <w:szCs w:val="24"/>
                <w:highlight w:val="none"/>
              </w:rPr>
              <w:t>)</w:t>
            </w:r>
          </w:p>
        </w:tc>
        <w:tc>
          <w:tcPr>
            <w:tcW w:w="1663" w:type="dxa"/>
            <w:tcBorders>
              <w:top w:val="single" w:color="auto" w:sz="12" w:space="0"/>
              <w:bottom w:val="single" w:color="auto" w:sz="6" w:space="0"/>
            </w:tcBorders>
            <w:vAlign w:val="center"/>
          </w:tcPr>
          <w:p w14:paraId="01067C3B">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PDI</w:t>
            </w:r>
          </w:p>
        </w:tc>
        <w:tc>
          <w:tcPr>
            <w:tcW w:w="2166" w:type="dxa"/>
            <w:tcBorders>
              <w:top w:val="single" w:color="auto" w:sz="12" w:space="0"/>
              <w:bottom w:val="single" w:color="auto" w:sz="6" w:space="0"/>
            </w:tcBorders>
            <w:vAlign w:val="center"/>
          </w:tcPr>
          <w:p w14:paraId="70D8A2BF">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P</w:t>
            </w:r>
            <w:r>
              <w:rPr>
                <w:rFonts w:ascii="Times New Roman" w:hAnsi="Times New Roman" w:eastAsia="宋体" w:cs="Times New Roman"/>
                <w:color w:val="auto"/>
                <w:kern w:val="0"/>
                <w:sz w:val="24"/>
                <w:szCs w:val="24"/>
                <w:highlight w:val="none"/>
              </w:rPr>
              <w:t>otential</w:t>
            </w:r>
            <w:r>
              <w:rPr>
                <w:rFonts w:hint="eastAsia" w:ascii="Times New Roman" w:hAnsi="Times New Roman" w:eastAsia="宋体" w:cs="Times New Roman"/>
                <w:color w:val="auto"/>
                <w:kern w:val="0"/>
                <w:sz w:val="24"/>
                <w:szCs w:val="24"/>
                <w:highlight w:val="none"/>
              </w:rPr>
              <w:t xml:space="preserve"> (</w:t>
            </w:r>
            <w:r>
              <w:rPr>
                <w:rFonts w:ascii="Times New Roman" w:hAnsi="Times New Roman" w:eastAsia="宋体" w:cs="Times New Roman"/>
                <w:color w:val="auto"/>
                <w:kern w:val="0"/>
                <w:sz w:val="24"/>
                <w:szCs w:val="24"/>
                <w:highlight w:val="none"/>
              </w:rPr>
              <w:t>mV</w:t>
            </w:r>
            <w:r>
              <w:rPr>
                <w:rFonts w:hint="eastAsia" w:ascii="Times New Roman" w:hAnsi="Times New Roman" w:eastAsia="宋体" w:cs="Times New Roman"/>
                <w:color w:val="auto"/>
                <w:kern w:val="0"/>
                <w:sz w:val="24"/>
                <w:szCs w:val="24"/>
                <w:highlight w:val="none"/>
              </w:rPr>
              <w:t>)</w:t>
            </w:r>
          </w:p>
        </w:tc>
      </w:tr>
      <w:tr w14:paraId="32343C6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0" w:type="dxa"/>
            <w:tcBorders>
              <w:top w:val="single" w:color="auto" w:sz="6" w:space="0"/>
            </w:tcBorders>
            <w:vAlign w:val="center"/>
          </w:tcPr>
          <w:p w14:paraId="0B997515">
            <w:pPr>
              <w:widowControl/>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2.5</w:t>
            </w:r>
          </w:p>
        </w:tc>
        <w:tc>
          <w:tcPr>
            <w:tcW w:w="1473" w:type="dxa"/>
            <w:tcBorders>
              <w:top w:val="single" w:color="auto" w:sz="6" w:space="0"/>
            </w:tcBorders>
            <w:vAlign w:val="center"/>
          </w:tcPr>
          <w:p w14:paraId="192D6246">
            <w:pPr>
              <w:widowControl/>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75.73</w:t>
            </w:r>
          </w:p>
        </w:tc>
        <w:tc>
          <w:tcPr>
            <w:tcW w:w="1663" w:type="dxa"/>
            <w:tcBorders>
              <w:top w:val="single" w:color="auto" w:sz="6" w:space="0"/>
            </w:tcBorders>
          </w:tcPr>
          <w:p w14:paraId="7D1FE161">
            <w:pPr>
              <w:widowControl/>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1.00</w:t>
            </w:r>
          </w:p>
        </w:tc>
        <w:tc>
          <w:tcPr>
            <w:tcW w:w="2166" w:type="dxa"/>
            <w:tcBorders>
              <w:top w:val="single" w:color="auto" w:sz="6" w:space="0"/>
            </w:tcBorders>
            <w:vAlign w:val="center"/>
          </w:tcPr>
          <w:p w14:paraId="4B165128">
            <w:pPr>
              <w:widowControl/>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-16.8</w:t>
            </w:r>
          </w:p>
        </w:tc>
      </w:tr>
      <w:tr w14:paraId="1054952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0" w:type="dxa"/>
            <w:vAlign w:val="center"/>
          </w:tcPr>
          <w:p w14:paraId="18FD2EB5">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1.0</w:t>
            </w:r>
          </w:p>
        </w:tc>
        <w:tc>
          <w:tcPr>
            <w:tcW w:w="1473" w:type="dxa"/>
            <w:vAlign w:val="center"/>
          </w:tcPr>
          <w:p w14:paraId="43F58496">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832.4</w:t>
            </w:r>
          </w:p>
        </w:tc>
        <w:tc>
          <w:tcPr>
            <w:tcW w:w="1663" w:type="dxa"/>
          </w:tcPr>
          <w:p w14:paraId="3CEC3620">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0.439</w:t>
            </w:r>
          </w:p>
        </w:tc>
        <w:tc>
          <w:tcPr>
            <w:tcW w:w="2166" w:type="dxa"/>
            <w:vAlign w:val="center"/>
          </w:tcPr>
          <w:p w14:paraId="4CE535FA">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-10.3</w:t>
            </w:r>
          </w:p>
        </w:tc>
      </w:tr>
      <w:tr w14:paraId="4B43331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0" w:type="dxa"/>
            <w:vAlign w:val="center"/>
          </w:tcPr>
          <w:p w14:paraId="17EBEBFE">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0.50</w:t>
            </w:r>
          </w:p>
        </w:tc>
        <w:tc>
          <w:tcPr>
            <w:tcW w:w="1473" w:type="dxa"/>
            <w:vAlign w:val="center"/>
          </w:tcPr>
          <w:p w14:paraId="50C9206D">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362.2</w:t>
            </w:r>
          </w:p>
        </w:tc>
        <w:tc>
          <w:tcPr>
            <w:tcW w:w="1663" w:type="dxa"/>
          </w:tcPr>
          <w:p w14:paraId="4EEDD56E">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w:t>
            </w:r>
            <w:r>
              <w:rPr>
                <w:rFonts w:hint="eastAsia" w:ascii="Times New Roman" w:hAnsi="Times New Roman" w:eastAsia="宋体" w:cs="Times New Roman"/>
                <w:color w:val="auto"/>
                <w:kern w:val="0"/>
                <w:sz w:val="24"/>
                <w:szCs w:val="24"/>
                <w:highlight w:val="none"/>
              </w:rPr>
              <w:t>153</w:t>
            </w:r>
          </w:p>
        </w:tc>
        <w:tc>
          <w:tcPr>
            <w:tcW w:w="2166" w:type="dxa"/>
            <w:vAlign w:val="center"/>
          </w:tcPr>
          <w:p w14:paraId="1521C304">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-9.50</w:t>
            </w:r>
          </w:p>
        </w:tc>
      </w:tr>
      <w:tr w14:paraId="41A5153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0" w:type="dxa"/>
            <w:vAlign w:val="center"/>
          </w:tcPr>
          <w:p w14:paraId="6C0AD902">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0.25</w:t>
            </w:r>
          </w:p>
        </w:tc>
        <w:tc>
          <w:tcPr>
            <w:tcW w:w="1473" w:type="dxa"/>
            <w:vAlign w:val="center"/>
          </w:tcPr>
          <w:p w14:paraId="773406A7">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322.4</w:t>
            </w:r>
          </w:p>
        </w:tc>
        <w:tc>
          <w:tcPr>
            <w:tcW w:w="1663" w:type="dxa"/>
          </w:tcPr>
          <w:p w14:paraId="21F02849">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w:t>
            </w:r>
            <w:r>
              <w:rPr>
                <w:rFonts w:hint="eastAsia" w:ascii="Times New Roman" w:hAnsi="Times New Roman" w:eastAsia="宋体" w:cs="Times New Roman"/>
                <w:color w:val="auto"/>
                <w:kern w:val="0"/>
                <w:sz w:val="24"/>
                <w:szCs w:val="24"/>
                <w:highlight w:val="none"/>
              </w:rPr>
              <w:t>112</w:t>
            </w:r>
          </w:p>
        </w:tc>
        <w:tc>
          <w:tcPr>
            <w:tcW w:w="2166" w:type="dxa"/>
            <w:vAlign w:val="center"/>
          </w:tcPr>
          <w:p w14:paraId="1546367D">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-1.63</w:t>
            </w:r>
          </w:p>
        </w:tc>
      </w:tr>
      <w:tr w14:paraId="224099C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3220" w:type="dxa"/>
            <w:tcBorders>
              <w:bottom w:val="single" w:color="auto" w:sz="12" w:space="0"/>
            </w:tcBorders>
            <w:vAlign w:val="center"/>
          </w:tcPr>
          <w:p w14:paraId="752B43C7">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0.10</w:t>
            </w:r>
          </w:p>
        </w:tc>
        <w:tc>
          <w:tcPr>
            <w:tcW w:w="1473" w:type="dxa"/>
            <w:tcBorders>
              <w:bottom w:val="single" w:color="auto" w:sz="12" w:space="0"/>
            </w:tcBorders>
            <w:vAlign w:val="center"/>
          </w:tcPr>
          <w:p w14:paraId="17D42BF8">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278.3</w:t>
            </w:r>
          </w:p>
        </w:tc>
        <w:tc>
          <w:tcPr>
            <w:tcW w:w="1663" w:type="dxa"/>
            <w:tcBorders>
              <w:bottom w:val="single" w:color="auto" w:sz="12" w:space="0"/>
            </w:tcBorders>
          </w:tcPr>
          <w:p w14:paraId="41A79A8B">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w:t>
            </w:r>
            <w:r>
              <w:rPr>
                <w:rFonts w:hint="eastAsia" w:ascii="Times New Roman" w:hAnsi="Times New Roman" w:eastAsia="宋体" w:cs="Times New Roman"/>
                <w:color w:val="auto"/>
                <w:kern w:val="0"/>
                <w:sz w:val="24"/>
                <w:szCs w:val="24"/>
                <w:highlight w:val="none"/>
              </w:rPr>
              <w:t>07</w:t>
            </w:r>
            <w:r>
              <w:rPr>
                <w:rFonts w:ascii="Times New Roman" w:hAnsi="Times New Roman" w:eastAsia="宋体" w:cs="Times New Roman"/>
                <w:color w:val="auto"/>
                <w:kern w:val="0"/>
                <w:sz w:val="24"/>
                <w:szCs w:val="24"/>
                <w:highlight w:val="none"/>
              </w:rPr>
              <w:t>9</w:t>
            </w:r>
            <w:r>
              <w:rPr>
                <w:rFonts w:hint="eastAsia" w:ascii="Times New Roman" w:hAnsi="Times New Roman" w:eastAsia="宋体" w:cs="Times New Roman"/>
                <w:color w:val="auto"/>
                <w:kern w:val="0"/>
                <w:sz w:val="24"/>
                <w:szCs w:val="24"/>
                <w:highlight w:val="none"/>
              </w:rPr>
              <w:t>1</w:t>
            </w:r>
          </w:p>
        </w:tc>
        <w:tc>
          <w:tcPr>
            <w:tcW w:w="2166" w:type="dxa"/>
            <w:tcBorders>
              <w:bottom w:val="single" w:color="auto" w:sz="12" w:space="0"/>
            </w:tcBorders>
            <w:vAlign w:val="center"/>
          </w:tcPr>
          <w:p w14:paraId="55E08AFB">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1.26</w:t>
            </w:r>
          </w:p>
        </w:tc>
      </w:tr>
    </w:tbl>
    <w:p w14:paraId="23580B8F">
      <w:pPr>
        <w:rPr>
          <w:rFonts w:ascii="Times New Roman" w:hAnsi="Times New Roman" w:cs="Times New Roman"/>
          <w:color w:val="auto"/>
          <w:sz w:val="24"/>
          <w:szCs w:val="24"/>
          <w:highlight w:val="none"/>
        </w:rPr>
      </w:pPr>
    </w:p>
    <w:p w14:paraId="03C0437F">
      <w:pPr>
        <w:widowControl/>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b/>
          <w:bCs/>
          <w:color w:val="auto"/>
          <w:kern w:val="0"/>
          <w:sz w:val="24"/>
          <w:szCs w:val="24"/>
          <w:highlight w:val="none"/>
        </w:rPr>
        <w:t xml:space="preserve">Table </w:t>
      </w:r>
      <w:r>
        <w:rPr>
          <w:rFonts w:hint="eastAsia" w:ascii="Times New Roman" w:hAnsi="Times New Roman" w:eastAsia="宋体" w:cs="Times New Roman"/>
          <w:b/>
          <w:bCs/>
          <w:color w:val="auto"/>
          <w:kern w:val="0"/>
          <w:sz w:val="24"/>
          <w:szCs w:val="24"/>
          <w:highlight w:val="none"/>
        </w:rPr>
        <w:t>Sup 8</w:t>
      </w:r>
      <w:r>
        <w:rPr>
          <w:rFonts w:ascii="Times New Roman" w:hAnsi="Times New Roman" w:eastAsia="宋体" w:cs="Times New Roman"/>
          <w:b/>
          <w:bCs/>
          <w:color w:val="auto"/>
          <w:kern w:val="0"/>
          <w:sz w:val="24"/>
          <w:szCs w:val="24"/>
          <w:highlight w:val="none"/>
        </w:rPr>
        <w:t xml:space="preserve"> The size, zeta potential and PDI of </w:t>
      </w:r>
      <w:r>
        <w:rPr>
          <w:rFonts w:hint="eastAsia" w:ascii="Times New Roman" w:hAnsi="Times New Roman" w:eastAsia="宋体" w:cs="Times New Roman"/>
          <w:b/>
          <w:bCs/>
          <w:color w:val="auto"/>
          <w:kern w:val="0"/>
          <w:sz w:val="24"/>
          <w:szCs w:val="24"/>
          <w:highlight w:val="none"/>
        </w:rPr>
        <w:t>CS/PEC-AMF NPs</w:t>
      </w:r>
      <w:r>
        <w:rPr>
          <w:rFonts w:ascii="Times New Roman" w:hAnsi="Times New Roman" w:eastAsia="宋体" w:cs="Times New Roman"/>
          <w:b/>
          <w:bCs/>
          <w:color w:val="auto"/>
          <w:kern w:val="0"/>
          <w:sz w:val="24"/>
          <w:szCs w:val="24"/>
          <w:highlight w:val="none"/>
        </w:rPr>
        <w:t xml:space="preserve"> at different pectin/chitosan mass Ratios</w:t>
      </w:r>
    </w:p>
    <w:tbl>
      <w:tblPr>
        <w:tblStyle w:val="10"/>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35"/>
        <w:gridCol w:w="1781"/>
        <w:gridCol w:w="2023"/>
        <w:gridCol w:w="2483"/>
      </w:tblGrid>
      <w:tr w14:paraId="0384726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35" w:type="dxa"/>
            <w:tcBorders>
              <w:top w:val="single" w:color="auto" w:sz="12" w:space="0"/>
              <w:bottom w:val="single" w:color="auto" w:sz="6" w:space="0"/>
            </w:tcBorders>
            <w:vAlign w:val="center"/>
          </w:tcPr>
          <w:p w14:paraId="01EA0AC0">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PEC/CS (m/m)</w:t>
            </w:r>
          </w:p>
        </w:tc>
        <w:tc>
          <w:tcPr>
            <w:tcW w:w="1781" w:type="dxa"/>
            <w:tcBorders>
              <w:top w:val="single" w:color="auto" w:sz="12" w:space="0"/>
              <w:bottom w:val="single" w:color="auto" w:sz="6" w:space="0"/>
            </w:tcBorders>
            <w:vAlign w:val="center"/>
          </w:tcPr>
          <w:p w14:paraId="0AAB104A">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Size</w:t>
            </w:r>
            <w:r>
              <w:rPr>
                <w:rFonts w:hint="eastAsia" w:ascii="Times New Roman" w:hAnsi="Times New Roman" w:eastAsia="宋体" w:cs="Times New Roman"/>
                <w:color w:val="auto"/>
                <w:kern w:val="0"/>
                <w:sz w:val="24"/>
                <w:szCs w:val="24"/>
                <w:highlight w:val="none"/>
              </w:rPr>
              <w:t xml:space="preserve"> (</w:t>
            </w:r>
            <w:r>
              <w:rPr>
                <w:rFonts w:ascii="Times New Roman" w:hAnsi="Times New Roman" w:eastAsia="宋体" w:cs="Times New Roman"/>
                <w:color w:val="auto"/>
                <w:kern w:val="0"/>
                <w:sz w:val="24"/>
                <w:szCs w:val="24"/>
                <w:highlight w:val="none"/>
              </w:rPr>
              <w:t>nm</w:t>
            </w:r>
            <w:r>
              <w:rPr>
                <w:rFonts w:hint="eastAsia" w:ascii="Times New Roman" w:hAnsi="Times New Roman" w:eastAsia="宋体" w:cs="Times New Roman"/>
                <w:color w:val="auto"/>
                <w:kern w:val="0"/>
                <w:sz w:val="24"/>
                <w:szCs w:val="24"/>
                <w:highlight w:val="none"/>
              </w:rPr>
              <w:t>)</w:t>
            </w:r>
          </w:p>
        </w:tc>
        <w:tc>
          <w:tcPr>
            <w:tcW w:w="2023" w:type="dxa"/>
            <w:tcBorders>
              <w:top w:val="single" w:color="auto" w:sz="12" w:space="0"/>
              <w:bottom w:val="single" w:color="auto" w:sz="6" w:space="0"/>
            </w:tcBorders>
          </w:tcPr>
          <w:p w14:paraId="5F9CA4A0">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PDI</w:t>
            </w:r>
          </w:p>
        </w:tc>
        <w:tc>
          <w:tcPr>
            <w:tcW w:w="2483" w:type="dxa"/>
            <w:tcBorders>
              <w:top w:val="single" w:color="auto" w:sz="12" w:space="0"/>
              <w:bottom w:val="single" w:color="auto" w:sz="6" w:space="0"/>
            </w:tcBorders>
            <w:vAlign w:val="center"/>
          </w:tcPr>
          <w:p w14:paraId="1764725F">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Potential</w:t>
            </w:r>
            <w:r>
              <w:rPr>
                <w:rFonts w:hint="eastAsia" w:ascii="Times New Roman" w:hAnsi="Times New Roman" w:eastAsia="宋体" w:cs="Times New Roman"/>
                <w:color w:val="auto"/>
                <w:kern w:val="0"/>
                <w:sz w:val="24"/>
                <w:szCs w:val="24"/>
                <w:highlight w:val="none"/>
              </w:rPr>
              <w:t xml:space="preserve"> (</w:t>
            </w:r>
            <w:r>
              <w:rPr>
                <w:rFonts w:ascii="Times New Roman" w:hAnsi="Times New Roman" w:eastAsia="宋体" w:cs="Times New Roman"/>
                <w:color w:val="auto"/>
                <w:kern w:val="0"/>
                <w:sz w:val="24"/>
                <w:szCs w:val="24"/>
                <w:highlight w:val="none"/>
              </w:rPr>
              <w:t>mV</w:t>
            </w:r>
            <w:r>
              <w:rPr>
                <w:rFonts w:hint="eastAsia" w:ascii="Times New Roman" w:hAnsi="Times New Roman" w:eastAsia="宋体" w:cs="Times New Roman"/>
                <w:color w:val="auto"/>
                <w:kern w:val="0"/>
                <w:sz w:val="24"/>
                <w:szCs w:val="24"/>
                <w:highlight w:val="none"/>
              </w:rPr>
              <w:t>)</w:t>
            </w:r>
          </w:p>
        </w:tc>
      </w:tr>
      <w:tr w14:paraId="6A2843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35" w:type="dxa"/>
            <w:tcBorders>
              <w:top w:val="single" w:color="auto" w:sz="6" w:space="0"/>
            </w:tcBorders>
            <w:vAlign w:val="center"/>
          </w:tcPr>
          <w:p w14:paraId="0B26266D">
            <w:pPr>
              <w:widowControl/>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10:1</w:t>
            </w:r>
          </w:p>
        </w:tc>
        <w:tc>
          <w:tcPr>
            <w:tcW w:w="1781" w:type="dxa"/>
            <w:tcBorders>
              <w:top w:val="single" w:color="auto" w:sz="6" w:space="0"/>
            </w:tcBorders>
            <w:vAlign w:val="center"/>
          </w:tcPr>
          <w:p w14:paraId="519CD5E0">
            <w:pPr>
              <w:widowControl/>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91.22</w:t>
            </w:r>
          </w:p>
        </w:tc>
        <w:tc>
          <w:tcPr>
            <w:tcW w:w="2023" w:type="dxa"/>
            <w:tcBorders>
              <w:top w:val="single" w:color="auto" w:sz="6" w:space="0"/>
            </w:tcBorders>
          </w:tcPr>
          <w:p w14:paraId="08C5C7A6">
            <w:pPr>
              <w:widowControl/>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w:t>
            </w:r>
          </w:p>
        </w:tc>
        <w:tc>
          <w:tcPr>
            <w:tcW w:w="2483" w:type="dxa"/>
            <w:tcBorders>
              <w:top w:val="single" w:color="auto" w:sz="6" w:space="0"/>
            </w:tcBorders>
            <w:vAlign w:val="center"/>
          </w:tcPr>
          <w:p w14:paraId="2688D38B">
            <w:pPr>
              <w:widowControl/>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-15.7</w:t>
            </w:r>
          </w:p>
        </w:tc>
      </w:tr>
      <w:tr w14:paraId="23F2B29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35" w:type="dxa"/>
            <w:vAlign w:val="center"/>
          </w:tcPr>
          <w:p w14:paraId="25BB144F">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5</w:t>
            </w:r>
            <w:r>
              <w:rPr>
                <w:rFonts w:ascii="Times New Roman" w:hAnsi="Times New Roman" w:eastAsia="宋体" w:cs="Times New Roman"/>
                <w:color w:val="auto"/>
                <w:kern w:val="0"/>
                <w:sz w:val="24"/>
                <w:szCs w:val="24"/>
                <w:highlight w:val="none"/>
              </w:rPr>
              <w:t>:1</w:t>
            </w:r>
          </w:p>
        </w:tc>
        <w:tc>
          <w:tcPr>
            <w:tcW w:w="1781" w:type="dxa"/>
            <w:vAlign w:val="center"/>
          </w:tcPr>
          <w:p w14:paraId="1506D718">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678.4</w:t>
            </w:r>
          </w:p>
        </w:tc>
        <w:tc>
          <w:tcPr>
            <w:tcW w:w="2023" w:type="dxa"/>
          </w:tcPr>
          <w:p w14:paraId="427676A1">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w:t>
            </w:r>
            <w:r>
              <w:rPr>
                <w:rFonts w:hint="eastAsia" w:ascii="Times New Roman" w:hAnsi="Times New Roman" w:eastAsia="宋体" w:cs="Times New Roman"/>
                <w:color w:val="auto"/>
                <w:kern w:val="0"/>
                <w:sz w:val="24"/>
                <w:szCs w:val="24"/>
                <w:highlight w:val="none"/>
              </w:rPr>
              <w:t>464</w:t>
            </w:r>
          </w:p>
        </w:tc>
        <w:tc>
          <w:tcPr>
            <w:tcW w:w="2483" w:type="dxa"/>
            <w:vAlign w:val="center"/>
          </w:tcPr>
          <w:p w14:paraId="55B1E032">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-12.2</w:t>
            </w:r>
          </w:p>
        </w:tc>
      </w:tr>
      <w:tr w14:paraId="591C38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235" w:type="dxa"/>
            <w:vAlign w:val="center"/>
          </w:tcPr>
          <w:p w14:paraId="30BAD959">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w:t>
            </w:r>
            <w:r>
              <w:rPr>
                <w:rFonts w:ascii="Times New Roman" w:hAnsi="Times New Roman" w:eastAsia="宋体" w:cs="Times New Roman"/>
                <w:color w:val="auto"/>
                <w:kern w:val="0"/>
                <w:sz w:val="24"/>
                <w:szCs w:val="24"/>
                <w:highlight w:val="none"/>
              </w:rPr>
              <w:t>:1</w:t>
            </w:r>
          </w:p>
        </w:tc>
        <w:tc>
          <w:tcPr>
            <w:tcW w:w="1781" w:type="dxa"/>
            <w:vAlign w:val="center"/>
          </w:tcPr>
          <w:p w14:paraId="0B30FA89">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381.1</w:t>
            </w:r>
          </w:p>
        </w:tc>
        <w:tc>
          <w:tcPr>
            <w:tcW w:w="2023" w:type="dxa"/>
          </w:tcPr>
          <w:p w14:paraId="71080D05">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0.1</w:t>
            </w:r>
            <w:r>
              <w:rPr>
                <w:rFonts w:hint="eastAsia" w:ascii="Times New Roman" w:hAnsi="Times New Roman" w:eastAsia="宋体" w:cs="Times New Roman"/>
                <w:color w:val="auto"/>
                <w:kern w:val="0"/>
                <w:sz w:val="24"/>
                <w:szCs w:val="24"/>
                <w:highlight w:val="none"/>
              </w:rPr>
              <w:t>72</w:t>
            </w:r>
          </w:p>
        </w:tc>
        <w:tc>
          <w:tcPr>
            <w:tcW w:w="2483" w:type="dxa"/>
            <w:vAlign w:val="center"/>
          </w:tcPr>
          <w:p w14:paraId="5CE85BF2">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-8.2</w:t>
            </w:r>
            <w:r>
              <w:rPr>
                <w:rFonts w:hint="eastAsia" w:ascii="Times New Roman" w:hAnsi="Times New Roman" w:eastAsia="宋体" w:cs="Times New Roman"/>
                <w:color w:val="auto"/>
                <w:kern w:val="0"/>
                <w:sz w:val="24"/>
                <w:szCs w:val="24"/>
                <w:highlight w:val="none"/>
              </w:rPr>
              <w:t>4</w:t>
            </w:r>
          </w:p>
        </w:tc>
      </w:tr>
      <w:tr w14:paraId="3966F0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35" w:type="dxa"/>
            <w:vAlign w:val="center"/>
          </w:tcPr>
          <w:p w14:paraId="2AB9A518">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1</w:t>
            </w:r>
            <w:r>
              <w:rPr>
                <w:rFonts w:ascii="Times New Roman" w:hAnsi="Times New Roman" w:eastAsia="宋体" w:cs="Times New Roman"/>
                <w:color w:val="auto"/>
                <w:kern w:val="0"/>
                <w:sz w:val="24"/>
                <w:szCs w:val="24"/>
                <w:highlight w:val="none"/>
              </w:rPr>
              <w:t>:1</w:t>
            </w:r>
          </w:p>
        </w:tc>
        <w:tc>
          <w:tcPr>
            <w:tcW w:w="1781" w:type="dxa"/>
            <w:vAlign w:val="center"/>
          </w:tcPr>
          <w:p w14:paraId="2EFF5BEB">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304.8</w:t>
            </w:r>
          </w:p>
        </w:tc>
        <w:tc>
          <w:tcPr>
            <w:tcW w:w="2023" w:type="dxa"/>
          </w:tcPr>
          <w:p w14:paraId="157603D1">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w:t>
            </w:r>
            <w:r>
              <w:rPr>
                <w:rFonts w:hint="eastAsia" w:ascii="Times New Roman" w:hAnsi="Times New Roman" w:eastAsia="宋体" w:cs="Times New Roman"/>
                <w:color w:val="auto"/>
                <w:kern w:val="0"/>
                <w:sz w:val="24"/>
                <w:szCs w:val="24"/>
                <w:highlight w:val="none"/>
              </w:rPr>
              <w:t>131</w:t>
            </w:r>
          </w:p>
        </w:tc>
        <w:tc>
          <w:tcPr>
            <w:tcW w:w="2483" w:type="dxa"/>
            <w:vAlign w:val="center"/>
          </w:tcPr>
          <w:p w14:paraId="6B7D1A4D">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-0.184</w:t>
            </w:r>
          </w:p>
        </w:tc>
      </w:tr>
      <w:tr w14:paraId="3E9E28B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35" w:type="dxa"/>
            <w:vAlign w:val="center"/>
          </w:tcPr>
          <w:p w14:paraId="3D2D4FF5">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w:t>
            </w:r>
            <w:r>
              <w:rPr>
                <w:rFonts w:hint="eastAsia" w:ascii="Times New Roman" w:hAnsi="Times New Roman" w:eastAsia="宋体" w:cs="Times New Roman"/>
                <w:color w:val="auto"/>
                <w:kern w:val="0"/>
                <w:sz w:val="24"/>
                <w:szCs w:val="24"/>
                <w:highlight w:val="none"/>
              </w:rPr>
              <w:t>2</w:t>
            </w:r>
          </w:p>
        </w:tc>
        <w:tc>
          <w:tcPr>
            <w:tcW w:w="1781" w:type="dxa"/>
            <w:vAlign w:val="center"/>
          </w:tcPr>
          <w:p w14:paraId="0E613BAE">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288.1</w:t>
            </w:r>
          </w:p>
        </w:tc>
        <w:tc>
          <w:tcPr>
            <w:tcW w:w="2023" w:type="dxa"/>
          </w:tcPr>
          <w:p w14:paraId="433B353D">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0.110</w:t>
            </w:r>
          </w:p>
        </w:tc>
        <w:tc>
          <w:tcPr>
            <w:tcW w:w="2483" w:type="dxa"/>
            <w:vAlign w:val="center"/>
          </w:tcPr>
          <w:p w14:paraId="51763362">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2.75</w:t>
            </w:r>
          </w:p>
        </w:tc>
      </w:tr>
      <w:tr w14:paraId="68FED74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35" w:type="dxa"/>
            <w:vAlign w:val="center"/>
          </w:tcPr>
          <w:p w14:paraId="548CE6D2">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w:t>
            </w:r>
            <w:r>
              <w:rPr>
                <w:rFonts w:hint="eastAsia" w:ascii="Times New Roman" w:hAnsi="Times New Roman" w:eastAsia="宋体" w:cs="Times New Roman"/>
                <w:color w:val="auto"/>
                <w:kern w:val="0"/>
                <w:sz w:val="24"/>
                <w:szCs w:val="24"/>
                <w:highlight w:val="none"/>
              </w:rPr>
              <w:t>5</w:t>
            </w:r>
          </w:p>
        </w:tc>
        <w:tc>
          <w:tcPr>
            <w:tcW w:w="1781" w:type="dxa"/>
            <w:vAlign w:val="center"/>
          </w:tcPr>
          <w:p w14:paraId="3C7FE72C">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273.5</w:t>
            </w:r>
          </w:p>
        </w:tc>
        <w:tc>
          <w:tcPr>
            <w:tcW w:w="2023" w:type="dxa"/>
          </w:tcPr>
          <w:p w14:paraId="11D45782">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0.0847</w:t>
            </w:r>
          </w:p>
        </w:tc>
        <w:tc>
          <w:tcPr>
            <w:tcW w:w="2483" w:type="dxa"/>
            <w:vAlign w:val="center"/>
          </w:tcPr>
          <w:p w14:paraId="1A2DC582">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6.60</w:t>
            </w:r>
          </w:p>
        </w:tc>
      </w:tr>
      <w:tr w14:paraId="3C27F22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2235" w:type="dxa"/>
            <w:tcBorders>
              <w:bottom w:val="single" w:color="auto" w:sz="12" w:space="0"/>
            </w:tcBorders>
            <w:vAlign w:val="center"/>
          </w:tcPr>
          <w:p w14:paraId="1396A554">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1:1</w:t>
            </w:r>
            <w:r>
              <w:rPr>
                <w:rFonts w:hint="eastAsia" w:ascii="Times New Roman" w:hAnsi="Times New Roman" w:eastAsia="宋体" w:cs="Times New Roman"/>
                <w:color w:val="auto"/>
                <w:kern w:val="0"/>
                <w:sz w:val="24"/>
                <w:szCs w:val="24"/>
                <w:highlight w:val="none"/>
              </w:rPr>
              <w:t>0</w:t>
            </w:r>
          </w:p>
        </w:tc>
        <w:tc>
          <w:tcPr>
            <w:tcW w:w="1781" w:type="dxa"/>
            <w:tcBorders>
              <w:bottom w:val="single" w:color="auto" w:sz="12" w:space="0"/>
            </w:tcBorders>
            <w:vAlign w:val="center"/>
          </w:tcPr>
          <w:p w14:paraId="155140C4">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277.9</w:t>
            </w:r>
          </w:p>
        </w:tc>
        <w:tc>
          <w:tcPr>
            <w:tcW w:w="2023" w:type="dxa"/>
            <w:tcBorders>
              <w:bottom w:val="single" w:color="auto" w:sz="12" w:space="0"/>
            </w:tcBorders>
          </w:tcPr>
          <w:p w14:paraId="692E49FC">
            <w:pPr>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0.0964</w:t>
            </w:r>
          </w:p>
        </w:tc>
        <w:tc>
          <w:tcPr>
            <w:tcW w:w="2483" w:type="dxa"/>
            <w:tcBorders>
              <w:bottom w:val="single" w:color="auto" w:sz="12" w:space="0"/>
            </w:tcBorders>
            <w:vAlign w:val="center"/>
          </w:tcPr>
          <w:p w14:paraId="2FD93DE3">
            <w:pPr>
              <w:jc w:val="center"/>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12.7</w:t>
            </w:r>
          </w:p>
        </w:tc>
      </w:tr>
    </w:tbl>
    <w:p w14:paraId="051CB727">
      <w:pPr>
        <w:spacing w:line="360" w:lineRule="auto"/>
        <w:rPr>
          <w:rFonts w:ascii="Times New Roman" w:hAnsi="Times New Roman" w:cs="Times New Roman"/>
          <w:color w:val="auto"/>
          <w:highlight w:val="none"/>
          <w:lang w:bidi="ar"/>
        </w:rPr>
      </w:pPr>
    </w:p>
    <w:p w14:paraId="1E4839F4">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114300" distR="114300">
            <wp:extent cx="5039995" cy="1112520"/>
            <wp:effectExtent l="0" t="0" r="8255" b="11430"/>
            <wp:docPr id="9" name="图片 9" descr="Figure Sup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Sup 1-01"/>
                    <pic:cNvPicPr>
                      <a:picLocks noChangeAspect="1"/>
                    </pic:cNvPicPr>
                  </pic:nvPicPr>
                  <pic:blipFill>
                    <a:blip r:embed="rId5"/>
                    <a:stretch>
                      <a:fillRect/>
                    </a:stretch>
                  </pic:blipFill>
                  <pic:spPr>
                    <a:xfrm>
                      <a:off x="0" y="0"/>
                      <a:ext cx="5039995" cy="1112520"/>
                    </a:xfrm>
                    <a:prstGeom prst="rect">
                      <a:avLst/>
                    </a:prstGeom>
                  </pic:spPr>
                </pic:pic>
              </a:graphicData>
            </a:graphic>
          </wp:inline>
        </w:drawing>
      </w:r>
    </w:p>
    <w:p w14:paraId="53E3F6F1">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 xml:space="preserve">Figure Sup 1 (A) Amifostine exerts its selective action by utilizing the metabolic differences between normal cells and cancer cells, (B) Tumor cells, normal cells, intestinal immune cells and gut microbiota differences in alkaline phosphatase content, and (C) statistical analysis. </w:t>
      </w:r>
    </w:p>
    <w:p w14:paraId="6B856952">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114300" distR="114300">
            <wp:extent cx="5039995" cy="2811780"/>
            <wp:effectExtent l="0" t="0" r="8255" b="7620"/>
            <wp:docPr id="12" name="图片 12" descr="Figure Sup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Sup 2-01"/>
                    <pic:cNvPicPr>
                      <a:picLocks noChangeAspect="1"/>
                    </pic:cNvPicPr>
                  </pic:nvPicPr>
                  <pic:blipFill>
                    <a:blip r:embed="rId6"/>
                    <a:stretch>
                      <a:fillRect/>
                    </a:stretch>
                  </pic:blipFill>
                  <pic:spPr>
                    <a:xfrm>
                      <a:off x="0" y="0"/>
                      <a:ext cx="5039995" cy="2811780"/>
                    </a:xfrm>
                    <a:prstGeom prst="rect">
                      <a:avLst/>
                    </a:prstGeom>
                  </pic:spPr>
                </pic:pic>
              </a:graphicData>
            </a:graphic>
          </wp:inline>
        </w:drawing>
      </w:r>
    </w:p>
    <w:p w14:paraId="7055734E">
      <w:pPr>
        <w:spacing w:line="360" w:lineRule="auto"/>
        <w:rPr>
          <w:rFonts w:ascii="Times New Roman" w:hAnsi="Times New Roman" w:cs="Times New Roman"/>
          <w:color w:val="auto"/>
          <w:highlight w:val="none"/>
          <w:lang w:bidi="ar"/>
        </w:rPr>
      </w:pPr>
      <w:r>
        <w:rPr>
          <w:rFonts w:ascii="Times New Roman" w:hAnsi="Times New Roman" w:cs="Times New Roman"/>
          <w:color w:val="auto"/>
          <w:highlight w:val="none"/>
        </w:rPr>
        <w:t xml:space="preserve">Figure Sup 2 (A) Effect of amifostine on cell viability of SW620, HCT 116, Caco 2, </w:t>
      </w:r>
      <w:r>
        <w:rPr>
          <w:rFonts w:hint="eastAsia" w:ascii="Times New Roman" w:hAnsi="Times New Roman" w:cs="Times New Roman"/>
          <w:color w:val="auto"/>
          <w:highlight w:val="none"/>
          <w:lang w:val="en-US" w:eastAsia="zh-CN"/>
        </w:rPr>
        <w:t>MCEC</w:t>
      </w:r>
      <w:r>
        <w:rPr>
          <w:rFonts w:ascii="Times New Roman" w:hAnsi="Times New Roman" w:cs="Times New Roman"/>
          <w:color w:val="auto"/>
          <w:highlight w:val="none"/>
        </w:rPr>
        <w:t xml:space="preserve">, and FHC cells at different radiation intensities, (B) quantitative analysis. </w:t>
      </w:r>
    </w:p>
    <w:p w14:paraId="0F70DFBB">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0" distR="0">
            <wp:extent cx="5039995" cy="4140835"/>
            <wp:effectExtent l="0" t="0" r="8255" b="12065"/>
            <wp:docPr id="10" name="图片 10" descr="K:\2023\Papers\Radiation\Figures 20240727\Figure suppl\Supp Fig.3（有原图）\Fig Sup3-2-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K:\2023\Papers\Radiation\Figures 20240727\Figure suppl\Supp Fig.3（有原图）\Fig Sup3-2-0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039995" cy="4140835"/>
                    </a:xfrm>
                    <a:prstGeom prst="rect">
                      <a:avLst/>
                    </a:prstGeom>
                    <a:noFill/>
                    <a:ln>
                      <a:noFill/>
                    </a:ln>
                  </pic:spPr>
                </pic:pic>
              </a:graphicData>
            </a:graphic>
          </wp:inline>
        </w:drawing>
      </w:r>
    </w:p>
    <w:p w14:paraId="101C46C4">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Figure Sup 3 Effect of AMF on the survival of (A) aerobic, anaerobic bacteria and (B) Intestinal immune cells at different radiation intensities</w:t>
      </w:r>
      <w:r>
        <w:rPr>
          <w:rFonts w:hint="eastAsia" w:ascii="Times New Roman" w:hAnsi="Times New Roman" w:cs="Times New Roman"/>
          <w:color w:val="auto"/>
          <w:highlight w:val="none"/>
          <w:lang w:val="en-US" w:eastAsia="zh-CN"/>
        </w:rPr>
        <w:t xml:space="preserve"> (Staining with PI)</w:t>
      </w:r>
      <w:r>
        <w:rPr>
          <w:rFonts w:ascii="Times New Roman" w:hAnsi="Times New Roman" w:cs="Times New Roman"/>
          <w:color w:val="auto"/>
          <w:highlight w:val="none"/>
        </w:rPr>
        <w:t>.</w:t>
      </w:r>
    </w:p>
    <w:p w14:paraId="374025B7">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0" distR="0">
            <wp:extent cx="5039995" cy="2355850"/>
            <wp:effectExtent l="0" t="0" r="8255" b="6350"/>
            <wp:docPr id="8" name="图片 8" descr="K:\2023\Papers\Radiation\20231123重新整理图\Supp Fig.2\Fig sup 2-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K:\2023\Papers\Radiation\20231123重新整理图\Supp Fig.2\Fig sup 2-0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039995" cy="2355850"/>
                    </a:xfrm>
                    <a:prstGeom prst="rect">
                      <a:avLst/>
                    </a:prstGeom>
                    <a:noFill/>
                    <a:ln>
                      <a:noFill/>
                    </a:ln>
                  </pic:spPr>
                </pic:pic>
              </a:graphicData>
            </a:graphic>
          </wp:inline>
        </w:drawing>
      </w:r>
    </w:p>
    <w:p w14:paraId="7B7065D2">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 xml:space="preserve">Figure Sup 4 Construction and evaluation of PEC-AMF conjugate and CS/PEC-AMF NPs. (A) The reaction pathway for the formation of the PEC-AMF conjugate from AMF and PEC; (B) </w:t>
      </w:r>
      <w:r>
        <w:rPr>
          <w:rFonts w:ascii="Times New Roman" w:hAnsi="Times New Roman" w:cs="Times New Roman"/>
          <w:color w:val="auto"/>
          <w:highlight w:val="none"/>
          <w:vertAlign w:val="superscript"/>
        </w:rPr>
        <w:t>1</w:t>
      </w:r>
      <w:r>
        <w:rPr>
          <w:rFonts w:ascii="Times New Roman" w:hAnsi="Times New Roman" w:cs="Times New Roman"/>
          <w:color w:val="auto"/>
          <w:highlight w:val="none"/>
        </w:rPr>
        <w:t>H NMR spectrogram, (C) The infrared spectrogram, and (D) differential scanning calorimeter spectrogram of AMF, PEC and PEC-AMF conjugate. FT-IR spectra further supported the synthesis, revealing absorption bands corresponding to N-H bond stretching, amido II, and amido III bands. DSC thermogram showed distinct thermodynamic properties for PEC-AMF.</w:t>
      </w:r>
    </w:p>
    <w:p w14:paraId="21FF2286">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114300" distR="114300">
            <wp:extent cx="5039995" cy="3589655"/>
            <wp:effectExtent l="0" t="0" r="8255" b="10795"/>
            <wp:docPr id="13" name="图片 13" descr="FIgure Sup 5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FIgure Sup 5_画板 1"/>
                    <pic:cNvPicPr>
                      <a:picLocks noChangeAspect="1"/>
                    </pic:cNvPicPr>
                  </pic:nvPicPr>
                  <pic:blipFill>
                    <a:blip r:embed="rId9"/>
                    <a:stretch>
                      <a:fillRect/>
                    </a:stretch>
                  </pic:blipFill>
                  <pic:spPr>
                    <a:xfrm>
                      <a:off x="0" y="0"/>
                      <a:ext cx="5039995" cy="3589655"/>
                    </a:xfrm>
                    <a:prstGeom prst="rect">
                      <a:avLst/>
                    </a:prstGeom>
                  </pic:spPr>
                </pic:pic>
              </a:graphicData>
            </a:graphic>
          </wp:inline>
        </w:drawing>
      </w:r>
    </w:p>
    <w:p w14:paraId="53DC449F">
      <w:pPr>
        <w:spacing w:line="360" w:lineRule="auto"/>
        <w:rPr>
          <w:rFonts w:ascii="Times New Roman" w:hAnsi="Times New Roman" w:cs="Times New Roman"/>
          <w:color w:val="auto"/>
          <w:highlight w:val="none"/>
          <w:lang w:bidi="ar"/>
        </w:rPr>
      </w:pPr>
      <w:r>
        <w:rPr>
          <w:rFonts w:ascii="Times New Roman" w:hAnsi="Times New Roman" w:cs="Times New Roman"/>
          <w:color w:val="auto"/>
          <w:highlight w:val="none"/>
        </w:rPr>
        <w:t>Figure Sup 5 (A) The degree of substitution of PEC-AMF conjugate, (a) H-PEC, (b) AMF and (c) PEC-H-AMF; (B) Transmission electron microscopy images of PEC-AMF conjugate.</w:t>
      </w:r>
      <w:r>
        <w:rPr>
          <w:rFonts w:ascii="Times New Roman" w:hAnsi="Times New Roman" w:cs="Times New Roman"/>
          <w:color w:val="auto"/>
          <w:highlight w:val="none"/>
          <w:lang w:bidi="ar"/>
        </w:rPr>
        <w:t xml:space="preserve"> </w:t>
      </w:r>
    </w:p>
    <w:p w14:paraId="44416EB7">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0" distR="0">
            <wp:extent cx="4319905" cy="4429125"/>
            <wp:effectExtent l="0" t="0" r="4445" b="9525"/>
            <wp:docPr id="7" name="图片 7" descr="K:\2023\Papers\Radiation\AMF-20240820宋开超\7 Sup 替换\FIgure Sup 6-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K:\2023\Papers\Radiation\AMF-20240820宋开超\7 Sup 替换\FIgure Sup 6-01.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319905" cy="4429125"/>
                    </a:xfrm>
                    <a:prstGeom prst="rect">
                      <a:avLst/>
                    </a:prstGeom>
                    <a:noFill/>
                    <a:ln>
                      <a:noFill/>
                    </a:ln>
                  </pic:spPr>
                </pic:pic>
              </a:graphicData>
            </a:graphic>
          </wp:inline>
        </w:drawing>
      </w:r>
    </w:p>
    <w:p w14:paraId="1D412BFD">
      <w:pPr>
        <w:spacing w:line="360" w:lineRule="auto"/>
        <w:rPr>
          <w:rFonts w:ascii="Times New Roman" w:hAnsi="Times New Roman" w:cs="Times New Roman"/>
          <w:color w:val="auto"/>
          <w:highlight w:val="none"/>
        </w:rPr>
      </w:pPr>
      <w:bookmarkStart w:id="1" w:name="OLE_LINK1"/>
      <w:r>
        <w:rPr>
          <w:rFonts w:ascii="Times New Roman" w:hAnsi="Times New Roman" w:cs="Times New Roman"/>
          <w:color w:val="auto"/>
          <w:highlight w:val="none"/>
        </w:rPr>
        <w:t>Figure Sup 6 Prescription screening and optimi</w:t>
      </w:r>
      <w:r>
        <w:rPr>
          <w:rFonts w:hint="eastAsia" w:ascii="Times New Roman" w:hAnsi="Times New Roman" w:cs="Times New Roman"/>
          <w:color w:val="auto"/>
          <w:highlight w:val="none"/>
          <w:lang w:val="en-US" w:eastAsia="zh-CN"/>
        </w:rPr>
        <w:t>z</w:t>
      </w:r>
      <w:r>
        <w:rPr>
          <w:rFonts w:ascii="Times New Roman" w:hAnsi="Times New Roman" w:cs="Times New Roman"/>
          <w:color w:val="auto"/>
          <w:highlight w:val="none"/>
        </w:rPr>
        <w:t>ation process. (A) Effect of pH on Potential, (B) Effect of mass ratio of AMF and PEC on grafting efficiency, (C) Effect of pectin concentration on Size and PDI, (D) Effect of pectin concentrations on Potential, (E) Effect of mass ratio of PEC-AMF and CS on size and PDI, (F) Effect of mass ratio of PEC-AMF and CS on potential.</w:t>
      </w:r>
    </w:p>
    <w:bookmarkEnd w:id="1"/>
    <w:p w14:paraId="684143A7">
      <w:pPr>
        <w:spacing w:line="360" w:lineRule="auto"/>
        <w:jc w:val="center"/>
        <w:rPr>
          <w:rFonts w:hint="eastAsia" w:ascii="Times New Roman" w:hAnsi="Times New Roman" w:cs="Times New Roman" w:eastAsiaTheme="minorEastAsia"/>
          <w:color w:val="auto"/>
          <w:highlight w:val="none"/>
          <w:lang w:eastAsia="zh-CN" w:bidi="ar"/>
        </w:rPr>
      </w:pPr>
      <w:r>
        <w:rPr>
          <w:rFonts w:hint="eastAsia" w:ascii="Times New Roman" w:hAnsi="Times New Roman" w:cs="Times New Roman" w:eastAsiaTheme="minorEastAsia"/>
          <w:color w:val="auto"/>
          <w:highlight w:val="none"/>
          <w:lang w:eastAsia="zh-CN" w:bidi="ar"/>
        </w:rPr>
        <w:drawing>
          <wp:inline distT="0" distB="0" distL="114300" distR="114300">
            <wp:extent cx="5039995" cy="3288030"/>
            <wp:effectExtent l="0" t="0" r="8255" b="7620"/>
            <wp:docPr id="22" name="图片 22" descr="Figure Sup 7-0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igure Sup 7-0917"/>
                    <pic:cNvPicPr>
                      <a:picLocks noChangeAspect="1"/>
                    </pic:cNvPicPr>
                  </pic:nvPicPr>
                  <pic:blipFill>
                    <a:blip r:embed="rId11"/>
                    <a:stretch>
                      <a:fillRect/>
                    </a:stretch>
                  </pic:blipFill>
                  <pic:spPr>
                    <a:xfrm>
                      <a:off x="0" y="0"/>
                      <a:ext cx="5039995" cy="3288030"/>
                    </a:xfrm>
                    <a:prstGeom prst="rect">
                      <a:avLst/>
                    </a:prstGeom>
                  </pic:spPr>
                </pic:pic>
              </a:graphicData>
            </a:graphic>
          </wp:inline>
        </w:drawing>
      </w:r>
    </w:p>
    <w:p w14:paraId="75E762C9">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Figure Sup 7 (A-B) The schematic diagram of the construction of PEC-Cy5 conjugate and CS/PEC-Cy5 NPs; (C) Particle size distribution and (D) the potential of CS/PEC-Cy5 NPs.</w:t>
      </w:r>
    </w:p>
    <w:p w14:paraId="202D2D00">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0" distR="0">
            <wp:extent cx="5039995" cy="1572260"/>
            <wp:effectExtent l="0" t="0" r="8255" b="8890"/>
            <wp:docPr id="5" name="图片 5" descr="C:\Users\ASUS\Desktop\Figure suppl\新建文件夹 - 副本 (2)\未标题-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SUS\Desktop\Figure suppl\新建文件夹 - 副本 (2)\未标题-1-01.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039995" cy="1572260"/>
                    </a:xfrm>
                    <a:prstGeom prst="rect">
                      <a:avLst/>
                    </a:prstGeom>
                    <a:noFill/>
                    <a:ln>
                      <a:noFill/>
                    </a:ln>
                  </pic:spPr>
                </pic:pic>
              </a:graphicData>
            </a:graphic>
          </wp:inline>
        </w:drawing>
      </w:r>
    </w:p>
    <w:p w14:paraId="00242535">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Figure Sup 8 (A) Time-</w:t>
      </w:r>
      <w:r>
        <w:rPr>
          <w:rFonts w:hint="eastAsia" w:ascii="Times New Roman" w:hAnsi="Times New Roman" w:cs="Times New Roman"/>
          <w:color w:val="auto"/>
          <w:highlight w:val="none"/>
          <w:lang w:val="en-US" w:eastAsia="zh-CN"/>
        </w:rPr>
        <w:t>d</w:t>
      </w:r>
      <w:r>
        <w:rPr>
          <w:rFonts w:ascii="Times New Roman" w:hAnsi="Times New Roman" w:cs="Times New Roman"/>
          <w:color w:val="auto"/>
          <w:highlight w:val="none"/>
        </w:rPr>
        <w:t xml:space="preserve">ependent </w:t>
      </w:r>
      <w:r>
        <w:rPr>
          <w:rFonts w:hint="eastAsia" w:ascii="Times New Roman" w:hAnsi="Times New Roman" w:cs="Times New Roman"/>
          <w:color w:val="auto"/>
          <w:highlight w:val="none"/>
          <w:lang w:val="en-US" w:eastAsia="zh-CN"/>
        </w:rPr>
        <w:t>u</w:t>
      </w:r>
      <w:r>
        <w:rPr>
          <w:rFonts w:ascii="Times New Roman" w:hAnsi="Times New Roman" w:cs="Times New Roman"/>
          <w:color w:val="auto"/>
          <w:highlight w:val="none"/>
        </w:rPr>
        <w:t xml:space="preserve">ptake of CS/PEC-Cy5 NPs by FHC </w:t>
      </w:r>
      <w:r>
        <w:rPr>
          <w:rFonts w:hint="eastAsia" w:ascii="Times New Roman" w:hAnsi="Times New Roman" w:cs="Times New Roman"/>
          <w:color w:val="auto"/>
          <w:highlight w:val="none"/>
          <w:lang w:val="en-US" w:eastAsia="zh-CN"/>
        </w:rPr>
        <w:t>c</w:t>
      </w:r>
      <w:r>
        <w:rPr>
          <w:rFonts w:ascii="Times New Roman" w:hAnsi="Times New Roman" w:cs="Times New Roman"/>
          <w:color w:val="auto"/>
          <w:highlight w:val="none"/>
        </w:rPr>
        <w:t>ells, and (B) quantitative analysis. The fluorescence intensity in FHC cells gradually increased over time, reaching its peak at 2 hours of incubation. Thus, in following in vitro analysis, we incubated cells with AFM formulations for 2 h before radiation.</w:t>
      </w:r>
    </w:p>
    <w:p w14:paraId="7A276E43">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0" distR="0">
            <wp:extent cx="4319905" cy="2429510"/>
            <wp:effectExtent l="0" t="0" r="4445" b="8890"/>
            <wp:docPr id="6" name="图片 6" descr="C:\Users\ASUS\Desktop\resolution-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SUS\Desktop\resolution-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4319905" cy="2429510"/>
                    </a:xfrm>
                    <a:prstGeom prst="rect">
                      <a:avLst/>
                    </a:prstGeom>
                    <a:noFill/>
                    <a:ln>
                      <a:noFill/>
                    </a:ln>
                  </pic:spPr>
                </pic:pic>
              </a:graphicData>
            </a:graphic>
          </wp:inline>
        </w:drawing>
      </w:r>
    </w:p>
    <w:p w14:paraId="41902AEF">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 xml:space="preserve">Figure Sup 9 </w:t>
      </w:r>
      <w:r>
        <w:rPr>
          <w:rFonts w:hint="eastAsia" w:ascii="Times New Roman" w:hAnsi="Times New Roman" w:cs="Times New Roman"/>
          <w:color w:val="auto"/>
          <w:highlight w:val="none"/>
        </w:rPr>
        <w:t xml:space="preserve">Dissolution of AMF </w:t>
      </w:r>
      <w:r>
        <w:rPr>
          <w:rFonts w:hint="eastAsia" w:ascii="Times New Roman" w:hAnsi="Times New Roman" w:cs="Times New Roman"/>
          <w:color w:val="auto"/>
          <w:highlight w:val="none"/>
          <w:lang w:eastAsia="zh-CN"/>
        </w:rPr>
        <w:t>f</w:t>
      </w:r>
      <w:r>
        <w:rPr>
          <w:rFonts w:hint="eastAsia" w:ascii="Times New Roman" w:hAnsi="Times New Roman" w:cs="Times New Roman"/>
          <w:color w:val="auto"/>
          <w:highlight w:val="none"/>
        </w:rPr>
        <w:t xml:space="preserve">ormulations in </w:t>
      </w:r>
      <w:r>
        <w:rPr>
          <w:rFonts w:hint="eastAsia" w:ascii="Times New Roman" w:hAnsi="Times New Roman" w:cs="Times New Roman"/>
          <w:color w:val="auto"/>
          <w:highlight w:val="none"/>
          <w:lang w:eastAsia="zh-CN"/>
        </w:rPr>
        <w:t>s</w:t>
      </w:r>
      <w:r>
        <w:rPr>
          <w:rFonts w:hint="eastAsia" w:ascii="Times New Roman" w:hAnsi="Times New Roman" w:cs="Times New Roman"/>
          <w:color w:val="auto"/>
          <w:highlight w:val="none"/>
        </w:rPr>
        <w:t xml:space="preserve">imulated </w:t>
      </w:r>
      <w:r>
        <w:rPr>
          <w:rFonts w:hint="eastAsia" w:ascii="Times New Roman" w:hAnsi="Times New Roman" w:cs="Times New Roman"/>
          <w:color w:val="auto"/>
          <w:highlight w:val="none"/>
          <w:lang w:eastAsia="zh-CN"/>
        </w:rPr>
        <w:t>g</w:t>
      </w:r>
      <w:r>
        <w:rPr>
          <w:rFonts w:hint="eastAsia" w:ascii="Times New Roman" w:hAnsi="Times New Roman" w:cs="Times New Roman"/>
          <w:color w:val="auto"/>
          <w:highlight w:val="none"/>
        </w:rPr>
        <w:t xml:space="preserve">astrointestinal </w:t>
      </w:r>
      <w:r>
        <w:rPr>
          <w:rFonts w:hint="eastAsia" w:ascii="Times New Roman" w:hAnsi="Times New Roman" w:cs="Times New Roman"/>
          <w:color w:val="auto"/>
          <w:highlight w:val="none"/>
          <w:lang w:eastAsia="zh-CN"/>
        </w:rPr>
        <w:t>e</w:t>
      </w:r>
      <w:r>
        <w:rPr>
          <w:rFonts w:hint="eastAsia" w:ascii="Times New Roman" w:hAnsi="Times New Roman" w:cs="Times New Roman"/>
          <w:color w:val="auto"/>
          <w:highlight w:val="none"/>
        </w:rPr>
        <w:t>nvironments</w:t>
      </w:r>
      <w:r>
        <w:rPr>
          <w:rFonts w:hint="eastAsia" w:ascii="Times New Roman" w:hAnsi="Times New Roman" w:cs="Times New Roman"/>
          <w:color w:val="auto"/>
          <w:highlight w:val="none"/>
          <w:lang w:val="en-US" w:eastAsia="zh-CN"/>
        </w:rPr>
        <w:t xml:space="preserve">. </w:t>
      </w:r>
      <w:r>
        <w:rPr>
          <w:rFonts w:ascii="Times New Roman" w:hAnsi="Times New Roman" w:cs="Times New Roman"/>
          <w:color w:val="auto"/>
          <w:highlight w:val="none"/>
          <w:lang w:bidi="ar"/>
        </w:rPr>
        <w:t xml:space="preserve">AMF formulations were loaded into dialysis tubes, which were then immersed in artificial gastric fluid for 2 hours, followed by artificial intestinal fluid for 3 hours, and artificial colon fluid with 4.5% w/v mouse caecal contents for </w:t>
      </w:r>
      <w:r>
        <w:rPr>
          <w:rFonts w:hint="eastAsia" w:ascii="Times New Roman" w:hAnsi="Times New Roman" w:cs="Times New Roman"/>
          <w:color w:val="auto"/>
          <w:highlight w:val="none"/>
          <w:lang w:bidi="ar"/>
        </w:rPr>
        <w:t>6</w:t>
      </w:r>
      <w:r>
        <w:rPr>
          <w:rFonts w:ascii="Times New Roman" w:hAnsi="Times New Roman" w:cs="Times New Roman"/>
          <w:color w:val="auto"/>
          <w:highlight w:val="none"/>
          <w:lang w:bidi="ar"/>
        </w:rPr>
        <w:t xml:space="preserve"> hours.</w:t>
      </w:r>
    </w:p>
    <w:p w14:paraId="50B41CF9">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0" distR="0">
            <wp:extent cx="5039995" cy="1818005"/>
            <wp:effectExtent l="0" t="0" r="8255" b="10795"/>
            <wp:docPr id="16" name="图片 16" descr="C:\Users\ASUS\Desktop\Figure suppl\Supp Fig.10（safety不需图）\safety &amp; ROS-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SUS\Desktop\Figure suppl\Supp Fig.10（safety不需图）\safety &amp; ROS-01.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039995" cy="1818005"/>
                    </a:xfrm>
                    <a:prstGeom prst="rect">
                      <a:avLst/>
                    </a:prstGeom>
                    <a:noFill/>
                    <a:ln>
                      <a:noFill/>
                    </a:ln>
                  </pic:spPr>
                </pic:pic>
              </a:graphicData>
            </a:graphic>
          </wp:inline>
        </w:drawing>
      </w:r>
    </w:p>
    <w:p w14:paraId="3F7B204E">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 xml:space="preserve">Figure Sup 10 (A) </w:t>
      </w:r>
      <w:bookmarkStart w:id="2" w:name="OLE_LINK6"/>
      <w:r>
        <w:rPr>
          <w:rFonts w:ascii="Times New Roman" w:hAnsi="Times New Roman" w:cs="Times New Roman"/>
          <w:i/>
          <w:iCs/>
          <w:color w:val="auto"/>
          <w:highlight w:val="none"/>
        </w:rPr>
        <w:t xml:space="preserve">In </w:t>
      </w:r>
      <w:r>
        <w:rPr>
          <w:rFonts w:hint="eastAsia" w:ascii="Times New Roman" w:hAnsi="Times New Roman" w:cs="Times New Roman"/>
          <w:i/>
          <w:iCs/>
          <w:color w:val="auto"/>
          <w:highlight w:val="none"/>
          <w:lang w:val="en-US" w:eastAsia="zh-CN"/>
        </w:rPr>
        <w:t>v</w:t>
      </w:r>
      <w:r>
        <w:rPr>
          <w:rFonts w:ascii="Times New Roman" w:hAnsi="Times New Roman" w:cs="Times New Roman"/>
          <w:i/>
          <w:iCs/>
          <w:color w:val="auto"/>
          <w:highlight w:val="none"/>
        </w:rPr>
        <w:t>itro</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lang w:val="en-US" w:eastAsia="zh-CN"/>
        </w:rPr>
        <w:t>t</w:t>
      </w:r>
      <w:r>
        <w:rPr>
          <w:rFonts w:ascii="Times New Roman" w:hAnsi="Times New Roman" w:cs="Times New Roman"/>
          <w:color w:val="auto"/>
          <w:highlight w:val="none"/>
        </w:rPr>
        <w:t xml:space="preserve">oxicity </w:t>
      </w:r>
      <w:r>
        <w:rPr>
          <w:rFonts w:hint="eastAsia" w:ascii="Times New Roman" w:hAnsi="Times New Roman" w:cs="Times New Roman"/>
          <w:color w:val="auto"/>
          <w:highlight w:val="none"/>
          <w:lang w:val="en-US" w:eastAsia="zh-CN"/>
        </w:rPr>
        <w:t>a</w:t>
      </w:r>
      <w:r>
        <w:rPr>
          <w:rFonts w:ascii="Times New Roman" w:hAnsi="Times New Roman" w:cs="Times New Roman"/>
          <w:color w:val="auto"/>
          <w:highlight w:val="none"/>
        </w:rPr>
        <w:t xml:space="preserve">ssessment of AMF, PEC-AMF and CS/PEC-AMF NPs, </w:t>
      </w:r>
      <w:r>
        <w:rPr>
          <w:rFonts w:ascii="Times New Roman" w:hAnsi="Times New Roman" w:cs="Times New Roman"/>
          <w:i/>
          <w:iCs/>
          <w:color w:val="auto"/>
          <w:highlight w:val="none"/>
        </w:rPr>
        <w:t>In vitro</w:t>
      </w:r>
      <w:r>
        <w:rPr>
          <w:rFonts w:ascii="Times New Roman" w:hAnsi="Times New Roman" w:cs="Times New Roman"/>
          <w:color w:val="auto"/>
          <w:highlight w:val="none"/>
        </w:rPr>
        <w:t xml:space="preserve"> toxicity assessment revealed no significant cytotoxicity for AMF, PEC-AMF or CS/PEC-AMF NPs up to 250 μg/mL,</w:t>
      </w:r>
      <w:bookmarkEnd w:id="2"/>
      <w:r>
        <w:rPr>
          <w:rFonts w:ascii="Times New Roman" w:hAnsi="Times New Roman" w:cs="Times New Roman"/>
          <w:color w:val="auto"/>
          <w:highlight w:val="none"/>
        </w:rPr>
        <w:t xml:space="preserve"> (B) ROS </w:t>
      </w:r>
      <w:r>
        <w:rPr>
          <w:rFonts w:hint="eastAsia" w:ascii="Times New Roman" w:hAnsi="Times New Roman" w:cs="Times New Roman"/>
          <w:color w:val="auto"/>
          <w:highlight w:val="none"/>
          <w:lang w:val="en-US" w:eastAsia="zh-CN"/>
        </w:rPr>
        <w:t>g</w:t>
      </w:r>
      <w:r>
        <w:rPr>
          <w:rFonts w:ascii="Times New Roman" w:hAnsi="Times New Roman" w:cs="Times New Roman"/>
          <w:color w:val="auto"/>
          <w:highlight w:val="none"/>
        </w:rPr>
        <w:t xml:space="preserve">eneration in FHC </w:t>
      </w:r>
      <w:r>
        <w:rPr>
          <w:rFonts w:hint="eastAsia" w:ascii="Times New Roman" w:hAnsi="Times New Roman" w:cs="Times New Roman"/>
          <w:color w:val="auto"/>
          <w:highlight w:val="none"/>
          <w:lang w:val="en-US" w:eastAsia="zh-CN"/>
        </w:rPr>
        <w:t>c</w:t>
      </w:r>
      <w:r>
        <w:rPr>
          <w:rFonts w:ascii="Times New Roman" w:hAnsi="Times New Roman" w:cs="Times New Roman"/>
          <w:color w:val="auto"/>
          <w:highlight w:val="none"/>
        </w:rPr>
        <w:t xml:space="preserve">ells </w:t>
      </w:r>
      <w:r>
        <w:rPr>
          <w:rFonts w:hint="eastAsia" w:ascii="Times New Roman" w:hAnsi="Times New Roman" w:cs="Times New Roman"/>
          <w:color w:val="auto"/>
          <w:highlight w:val="none"/>
          <w:lang w:val="en-US" w:eastAsia="zh-CN"/>
        </w:rPr>
        <w:t>p</w:t>
      </w:r>
      <w:r>
        <w:rPr>
          <w:rFonts w:ascii="Times New Roman" w:hAnsi="Times New Roman" w:cs="Times New Roman"/>
          <w:color w:val="auto"/>
          <w:highlight w:val="none"/>
        </w:rPr>
        <w:t xml:space="preserve">ost X-ray </w:t>
      </w:r>
      <w:r>
        <w:rPr>
          <w:rFonts w:hint="eastAsia" w:ascii="Times New Roman" w:hAnsi="Times New Roman" w:cs="Times New Roman"/>
          <w:color w:val="auto"/>
          <w:highlight w:val="none"/>
          <w:lang w:val="en-US" w:eastAsia="zh-CN"/>
        </w:rPr>
        <w:t>e</w:t>
      </w:r>
      <w:r>
        <w:rPr>
          <w:rFonts w:ascii="Times New Roman" w:hAnsi="Times New Roman" w:cs="Times New Roman"/>
          <w:color w:val="auto"/>
          <w:highlight w:val="none"/>
        </w:rPr>
        <w:t>xposure.</w:t>
      </w:r>
    </w:p>
    <w:p w14:paraId="48578C7F">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0" distR="0">
            <wp:extent cx="5039995" cy="3630930"/>
            <wp:effectExtent l="0" t="0" r="8255" b="7620"/>
            <wp:docPr id="15" name="图片 15" descr="C:\Users\ASUS\Desktop\Figures\Figure 2\Figure Sup1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SUS\Desktop\Figures\Figure 2\Figure Sup11-01.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039995" cy="3630930"/>
                    </a:xfrm>
                    <a:prstGeom prst="rect">
                      <a:avLst/>
                    </a:prstGeom>
                    <a:noFill/>
                    <a:ln>
                      <a:noFill/>
                    </a:ln>
                  </pic:spPr>
                </pic:pic>
              </a:graphicData>
            </a:graphic>
          </wp:inline>
        </w:drawing>
      </w:r>
    </w:p>
    <w:p w14:paraId="5B194821">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 xml:space="preserve">Figure Sup 11 (A) Percentage of cell survival, early apoptosis, late apoptosis and apoptosis in different administration groups after radiation stimulation, (B) </w:t>
      </w:r>
      <w:r>
        <w:rPr>
          <w:rFonts w:hint="eastAsia" w:ascii="Times New Roman" w:hAnsi="Times New Roman" w:cs="Times New Roman"/>
          <w:color w:val="auto"/>
          <w:highlight w:val="none"/>
          <w:lang w:val="en-US" w:eastAsia="zh-CN"/>
        </w:rPr>
        <w:t>a</w:t>
      </w:r>
      <w:r>
        <w:rPr>
          <w:rFonts w:ascii="Times New Roman" w:hAnsi="Times New Roman" w:cs="Times New Roman"/>
          <w:color w:val="auto"/>
          <w:highlight w:val="none"/>
        </w:rPr>
        <w:t xml:space="preserve">nalysis of </w:t>
      </w:r>
      <w:r>
        <w:rPr>
          <w:rFonts w:hint="eastAsia" w:ascii="Times New Roman" w:hAnsi="Times New Roman" w:cs="Times New Roman"/>
          <w:color w:val="auto"/>
          <w:highlight w:val="none"/>
          <w:lang w:val="en-US" w:eastAsia="zh-CN"/>
        </w:rPr>
        <w:t>c</w:t>
      </w:r>
      <w:r>
        <w:rPr>
          <w:rFonts w:ascii="Times New Roman" w:hAnsi="Times New Roman" w:cs="Times New Roman"/>
          <w:color w:val="auto"/>
          <w:highlight w:val="none"/>
        </w:rPr>
        <w:t xml:space="preserve">ell </w:t>
      </w:r>
      <w:r>
        <w:rPr>
          <w:rFonts w:hint="eastAsia" w:ascii="Times New Roman" w:hAnsi="Times New Roman" w:cs="Times New Roman"/>
          <w:color w:val="auto"/>
          <w:highlight w:val="none"/>
          <w:lang w:val="en-US" w:eastAsia="zh-CN"/>
        </w:rPr>
        <w:t>d</w:t>
      </w:r>
      <w:r>
        <w:rPr>
          <w:rFonts w:ascii="Times New Roman" w:hAnsi="Times New Roman" w:cs="Times New Roman"/>
          <w:color w:val="auto"/>
          <w:highlight w:val="none"/>
        </w:rPr>
        <w:t xml:space="preserve">eath </w:t>
      </w:r>
      <w:r>
        <w:rPr>
          <w:rFonts w:hint="eastAsia" w:ascii="Times New Roman" w:hAnsi="Times New Roman" w:cs="Times New Roman"/>
          <w:color w:val="auto"/>
          <w:highlight w:val="none"/>
          <w:lang w:val="en-US" w:eastAsia="zh-CN"/>
        </w:rPr>
        <w:t>u</w:t>
      </w:r>
      <w:r>
        <w:rPr>
          <w:rFonts w:ascii="Times New Roman" w:hAnsi="Times New Roman" w:cs="Times New Roman"/>
          <w:color w:val="auto"/>
          <w:highlight w:val="none"/>
        </w:rPr>
        <w:t xml:space="preserve">sing Calcein-AM/PI </w:t>
      </w:r>
      <w:r>
        <w:rPr>
          <w:rFonts w:hint="eastAsia" w:ascii="Times New Roman" w:hAnsi="Times New Roman" w:cs="Times New Roman"/>
          <w:color w:val="auto"/>
          <w:highlight w:val="none"/>
          <w:lang w:val="en-US" w:eastAsia="zh-CN"/>
        </w:rPr>
        <w:t>s</w:t>
      </w:r>
      <w:r>
        <w:rPr>
          <w:rFonts w:ascii="Times New Roman" w:hAnsi="Times New Roman" w:cs="Times New Roman"/>
          <w:color w:val="auto"/>
          <w:highlight w:val="none"/>
        </w:rPr>
        <w:t xml:space="preserve">taining </w:t>
      </w:r>
      <w:r>
        <w:rPr>
          <w:rFonts w:hint="eastAsia" w:ascii="Times New Roman" w:hAnsi="Times New Roman" w:cs="Times New Roman"/>
          <w:color w:val="auto"/>
          <w:highlight w:val="none"/>
          <w:lang w:val="en-US" w:eastAsia="zh-CN"/>
        </w:rPr>
        <w:t>p</w:t>
      </w:r>
      <w:r>
        <w:rPr>
          <w:rFonts w:ascii="Times New Roman" w:hAnsi="Times New Roman" w:cs="Times New Roman"/>
          <w:color w:val="auto"/>
          <w:highlight w:val="none"/>
        </w:rPr>
        <w:t xml:space="preserve">ost CS/PEC-AMF NPs </w:t>
      </w:r>
      <w:r>
        <w:rPr>
          <w:rFonts w:hint="eastAsia" w:ascii="Times New Roman" w:hAnsi="Times New Roman" w:cs="Times New Roman"/>
          <w:color w:val="auto"/>
          <w:highlight w:val="none"/>
          <w:lang w:val="en-US" w:eastAsia="zh-CN"/>
        </w:rPr>
        <w:t>t</w:t>
      </w:r>
      <w:r>
        <w:rPr>
          <w:rFonts w:ascii="Times New Roman" w:hAnsi="Times New Roman" w:cs="Times New Roman"/>
          <w:color w:val="auto"/>
          <w:highlight w:val="none"/>
        </w:rPr>
        <w:t xml:space="preserve">reatment, (C) </w:t>
      </w:r>
      <w:r>
        <w:rPr>
          <w:rFonts w:hint="eastAsia" w:ascii="Times New Roman" w:hAnsi="Times New Roman" w:cs="Times New Roman"/>
          <w:color w:val="auto"/>
          <w:highlight w:val="none"/>
        </w:rPr>
        <w:t>The assessment</w:t>
      </w:r>
      <w:r>
        <w:rPr>
          <w:rFonts w:ascii="Times New Roman" w:hAnsi="Times New Roman" w:cs="Times New Roman"/>
          <w:color w:val="auto"/>
          <w:highlight w:val="none"/>
        </w:rPr>
        <w:t xml:space="preserve"> of intracellular ROS in different treatment groups. </w:t>
      </w:r>
    </w:p>
    <w:p w14:paraId="58610F94">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0" distR="0">
            <wp:extent cx="5039995" cy="3935095"/>
            <wp:effectExtent l="0" t="0" r="8255" b="8255"/>
            <wp:docPr id="17" name="图片 17" descr="C:\Users\ASUS\Desktop\Figure suppl\Supp Fig.12(有原图 Figure 2的补充）\graphpad PDF\未标题-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ASUS\Desktop\Figure suppl\Supp Fig.12(有原图 Figure 2的补充）\graphpad PDF\未标题-1-01.tif"/>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039995" cy="3935095"/>
                    </a:xfrm>
                    <a:prstGeom prst="rect">
                      <a:avLst/>
                    </a:prstGeom>
                    <a:noFill/>
                    <a:ln>
                      <a:noFill/>
                    </a:ln>
                  </pic:spPr>
                </pic:pic>
              </a:graphicData>
            </a:graphic>
          </wp:inline>
        </w:drawing>
      </w:r>
    </w:p>
    <w:p w14:paraId="46C5DDD6">
      <w:pPr>
        <w:spacing w:line="360" w:lineRule="auto"/>
        <w:rPr>
          <w:rFonts w:ascii="Times New Roman" w:hAnsi="Times New Roman" w:cs="Times New Roman"/>
          <w:color w:val="auto"/>
          <w:highlight w:val="none"/>
        </w:rPr>
      </w:pPr>
      <w:bookmarkStart w:id="3" w:name="OLE_LINK5"/>
      <w:r>
        <w:rPr>
          <w:rFonts w:ascii="Times New Roman" w:hAnsi="Times New Roman" w:cs="Times New Roman"/>
          <w:color w:val="auto"/>
          <w:highlight w:val="none"/>
        </w:rPr>
        <w:t>Figure Sup 12</w:t>
      </w:r>
      <w:bookmarkEnd w:id="3"/>
      <w:r>
        <w:rPr>
          <w:rFonts w:ascii="Times New Roman" w:hAnsi="Times New Roman" w:cs="Times New Roman"/>
          <w:color w:val="auto"/>
          <w:highlight w:val="none"/>
        </w:rPr>
        <w:t xml:space="preserve"> Percentage of immune cell survival, early apoptosis, late apoptosis, apoptosis and dead in different administration groups after radiation stimulation.</w:t>
      </w:r>
    </w:p>
    <w:p w14:paraId="27BE13F5">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114300" distR="114300">
            <wp:extent cx="4319905" cy="2063750"/>
            <wp:effectExtent l="0" t="0" r="4445" b="12700"/>
            <wp:docPr id="4" name="图片 4" descr="F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S13"/>
                    <pic:cNvPicPr>
                      <a:picLocks noChangeAspect="1"/>
                    </pic:cNvPicPr>
                  </pic:nvPicPr>
                  <pic:blipFill>
                    <a:blip r:embed="rId17"/>
                    <a:stretch>
                      <a:fillRect/>
                    </a:stretch>
                  </pic:blipFill>
                  <pic:spPr>
                    <a:xfrm>
                      <a:off x="0" y="0"/>
                      <a:ext cx="4319905" cy="2063750"/>
                    </a:xfrm>
                    <a:prstGeom prst="rect">
                      <a:avLst/>
                    </a:prstGeom>
                  </pic:spPr>
                </pic:pic>
              </a:graphicData>
            </a:graphic>
          </wp:inline>
        </w:drawing>
      </w:r>
    </w:p>
    <w:p w14:paraId="626BB0E9">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Figure Sup 13 The fluorescence imaging of excised gastrointestinal tract after administration with Cy5, PEC</w:t>
      </w:r>
      <w:r>
        <w:rPr>
          <w:rFonts w:hint="eastAsia" w:ascii="Times New Roman" w:hAnsi="Times New Roman" w:cs="Times New Roman"/>
          <w:color w:val="auto"/>
          <w:highlight w:val="none"/>
          <w:lang w:val="en-US" w:eastAsia="zh-CN"/>
        </w:rPr>
        <w:t>-Cy5</w:t>
      </w:r>
      <w:r>
        <w:rPr>
          <w:rFonts w:ascii="Times New Roman" w:hAnsi="Times New Roman" w:cs="Times New Roman"/>
          <w:color w:val="auto"/>
          <w:highlight w:val="none"/>
        </w:rPr>
        <w:t xml:space="preserve"> and </w:t>
      </w:r>
      <w:r>
        <w:rPr>
          <w:rFonts w:hint="eastAsia" w:ascii="Times New Roman" w:hAnsi="Times New Roman" w:cs="Times New Roman"/>
          <w:color w:val="auto"/>
          <w:highlight w:val="none"/>
          <w:lang w:val="en-US" w:eastAsia="zh-CN"/>
        </w:rPr>
        <w:t>CS/PEC-</w:t>
      </w:r>
      <w:r>
        <w:rPr>
          <w:rFonts w:ascii="Times New Roman" w:hAnsi="Times New Roman" w:cs="Times New Roman"/>
          <w:color w:val="auto"/>
          <w:highlight w:val="none"/>
        </w:rPr>
        <w:t>Cy5 NPs at different times. Fluorescence intensity of Cy5 in (A) Small intestine and (B) Caecum.</w:t>
      </w:r>
    </w:p>
    <w:p w14:paraId="07262EAC">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0" distR="0">
            <wp:extent cx="4812665" cy="1271270"/>
            <wp:effectExtent l="0" t="0" r="0" b="0"/>
            <wp:docPr id="18" name="图片 18" descr="C:\Users\ASUS\Desktop\Figure suppl\Supp Fig.13(有原图）\Supp Figure 动物辐射20240725-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SUS\Desktop\Figure suppl\Supp Fig.13(有原图）\Supp Figure 动物辐射20240725-01.tif"/>
                    <pic:cNvPicPr>
                      <a:picLocks noChangeAspect="1" noChangeArrowheads="1"/>
                    </pic:cNvPicPr>
                  </pic:nvPicPr>
                  <pic:blipFill>
                    <a:blip r:embed="rId18" cstate="print">
                      <a:extLst>
                        <a:ext uri="{28A0092B-C50C-407E-A947-70E740481C1C}">
                          <a14:useLocalDpi xmlns:a14="http://schemas.microsoft.com/office/drawing/2010/main" val="0"/>
                        </a:ext>
                      </a:extLst>
                    </a:blip>
                    <a:srcRect l="2331" r="2180"/>
                    <a:stretch>
                      <a:fillRect/>
                    </a:stretch>
                  </pic:blipFill>
                  <pic:spPr>
                    <a:xfrm>
                      <a:off x="0" y="0"/>
                      <a:ext cx="4812665" cy="1271270"/>
                    </a:xfrm>
                    <a:prstGeom prst="rect">
                      <a:avLst/>
                    </a:prstGeom>
                    <a:noFill/>
                    <a:ln>
                      <a:noFill/>
                    </a:ln>
                  </pic:spPr>
                </pic:pic>
              </a:graphicData>
            </a:graphic>
          </wp:inline>
        </w:drawing>
      </w:r>
    </w:p>
    <w:p w14:paraId="3BE4EBF7">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 xml:space="preserve">Figure Sup 14 Diagram of CS/PEC-AMF NPs </w:t>
      </w:r>
      <w:r>
        <w:rPr>
          <w:rFonts w:hint="eastAsia" w:ascii="Times New Roman" w:hAnsi="Times New Roman" w:cs="Times New Roman"/>
          <w:color w:val="auto"/>
          <w:highlight w:val="none"/>
          <w:lang w:val="en-US" w:eastAsia="zh-CN"/>
        </w:rPr>
        <w:t>a</w:t>
      </w:r>
      <w:r>
        <w:rPr>
          <w:rFonts w:ascii="Times New Roman" w:hAnsi="Times New Roman" w:cs="Times New Roman"/>
          <w:color w:val="auto"/>
          <w:highlight w:val="none"/>
        </w:rPr>
        <w:t xml:space="preserve">dministration and </w:t>
      </w:r>
      <w:r>
        <w:rPr>
          <w:rFonts w:hint="eastAsia" w:ascii="Times New Roman" w:hAnsi="Times New Roman" w:cs="Times New Roman"/>
          <w:color w:val="auto"/>
          <w:highlight w:val="none"/>
          <w:lang w:val="en-US" w:eastAsia="zh-CN"/>
        </w:rPr>
        <w:t>r</w:t>
      </w:r>
      <w:r>
        <w:rPr>
          <w:rFonts w:ascii="Times New Roman" w:hAnsi="Times New Roman" w:cs="Times New Roman"/>
          <w:color w:val="auto"/>
          <w:highlight w:val="none"/>
        </w:rPr>
        <w:t xml:space="preserve">adiation </w:t>
      </w:r>
      <w:r>
        <w:rPr>
          <w:rFonts w:hint="eastAsia" w:ascii="Times New Roman" w:hAnsi="Times New Roman" w:cs="Times New Roman"/>
          <w:color w:val="auto"/>
          <w:highlight w:val="none"/>
          <w:lang w:val="en-US" w:eastAsia="zh-CN"/>
        </w:rPr>
        <w:t>t</w:t>
      </w:r>
      <w:r>
        <w:rPr>
          <w:rFonts w:ascii="Times New Roman" w:hAnsi="Times New Roman" w:cs="Times New Roman"/>
          <w:color w:val="auto"/>
          <w:highlight w:val="none"/>
        </w:rPr>
        <w:t xml:space="preserve">reatment in </w:t>
      </w:r>
      <w:r>
        <w:rPr>
          <w:rFonts w:hint="eastAsia" w:ascii="Times New Roman" w:hAnsi="Times New Roman" w:cs="Times New Roman"/>
          <w:color w:val="auto"/>
          <w:highlight w:val="none"/>
          <w:lang w:val="en-US" w:eastAsia="zh-CN"/>
        </w:rPr>
        <w:t>m</w:t>
      </w:r>
      <w:r>
        <w:rPr>
          <w:rFonts w:ascii="Times New Roman" w:hAnsi="Times New Roman" w:cs="Times New Roman"/>
          <w:color w:val="auto"/>
          <w:highlight w:val="none"/>
        </w:rPr>
        <w:t>ice.</w:t>
      </w:r>
    </w:p>
    <w:p w14:paraId="4B6310F1">
      <w:pPr>
        <w:spacing w:line="360" w:lineRule="auto"/>
        <w:jc w:val="center"/>
        <w:rPr>
          <w:rFonts w:ascii="Times New Roman" w:hAnsi="Times New Roman" w:cs="Times New Roman"/>
          <w:color w:val="auto"/>
          <w:highlight w:val="none"/>
        </w:rPr>
      </w:pPr>
    </w:p>
    <w:p w14:paraId="1FFC0479">
      <w:pPr>
        <w:spacing w:line="360" w:lineRule="auto"/>
        <w:jc w:val="center"/>
        <w:rPr>
          <w:rFonts w:hint="eastAsia" w:ascii="Times New Roman" w:hAnsi="Times New Roman" w:cs="Times New Roman" w:eastAsiaTheme="minorEastAsia"/>
          <w:color w:val="auto"/>
          <w:highlight w:val="none"/>
          <w:lang w:eastAsia="zh-CN"/>
        </w:rPr>
      </w:pPr>
      <w:r>
        <w:rPr>
          <w:rFonts w:hint="eastAsia" w:ascii="Times New Roman" w:hAnsi="Times New Roman" w:cs="Times New Roman" w:eastAsiaTheme="minorEastAsia"/>
          <w:color w:val="auto"/>
          <w:highlight w:val="none"/>
          <w:lang w:eastAsia="zh-CN"/>
        </w:rPr>
        <w:drawing>
          <wp:inline distT="0" distB="0" distL="114300" distR="114300">
            <wp:extent cx="5039995" cy="4540250"/>
            <wp:effectExtent l="0" t="0" r="8255" b="12700"/>
            <wp:docPr id="32" name="图片 32" descr="Figure sup 15-10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Figure sup 15-10924"/>
                    <pic:cNvPicPr>
                      <a:picLocks noChangeAspect="1"/>
                    </pic:cNvPicPr>
                  </pic:nvPicPr>
                  <pic:blipFill>
                    <a:blip r:embed="rId19"/>
                    <a:srcRect l="42562" t="5675" r="6925" b="51427"/>
                    <a:stretch>
                      <a:fillRect/>
                    </a:stretch>
                  </pic:blipFill>
                  <pic:spPr>
                    <a:xfrm>
                      <a:off x="0" y="0"/>
                      <a:ext cx="5039995" cy="4540250"/>
                    </a:xfrm>
                    <a:prstGeom prst="rect">
                      <a:avLst/>
                    </a:prstGeom>
                  </pic:spPr>
                </pic:pic>
              </a:graphicData>
            </a:graphic>
          </wp:inline>
        </w:drawing>
      </w:r>
    </w:p>
    <w:p w14:paraId="4EE3CE29">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 xml:space="preserve">Figure Sup 15 </w:t>
      </w:r>
      <w:bookmarkStart w:id="4" w:name="OLE_LINK2"/>
      <w:r>
        <w:rPr>
          <w:rFonts w:ascii="Times New Roman" w:hAnsi="Times New Roman" w:cs="Times New Roman"/>
          <w:color w:val="auto"/>
          <w:highlight w:val="none"/>
        </w:rPr>
        <w:t xml:space="preserve">CS/PEC-AMF NPs alleviate acute bowel injury induced by radiation. </w:t>
      </w:r>
      <w:r>
        <w:rPr>
          <w:rFonts w:hint="eastAsia" w:ascii="Times New Roman" w:hAnsi="Times New Roman" w:cs="Times New Roman"/>
          <w:color w:val="auto"/>
          <w:highlight w:val="none"/>
        </w:rPr>
        <w:t xml:space="preserve">CS/PEC-AMF NPs reduce radiation-induced ROS levels, as measured by </w:t>
      </w:r>
      <w:r>
        <w:rPr>
          <w:rFonts w:hint="eastAsia" w:ascii="Times New Roman" w:hAnsi="Times New Roman" w:cs="Times New Roman"/>
          <w:color w:val="auto"/>
          <w:highlight w:val="none"/>
          <w:lang w:val="en-US" w:eastAsia="zh-CN"/>
        </w:rPr>
        <w:t xml:space="preserve">(A) </w:t>
      </w:r>
      <w:r>
        <w:rPr>
          <w:rFonts w:hint="eastAsia" w:ascii="Times New Roman" w:hAnsi="Times New Roman" w:cs="Times New Roman"/>
          <w:color w:val="auto"/>
          <w:highlight w:val="none"/>
        </w:rPr>
        <w:t xml:space="preserve">flow cytometry and </w:t>
      </w:r>
      <w:r>
        <w:rPr>
          <w:rFonts w:hint="eastAsia" w:ascii="Times New Roman" w:hAnsi="Times New Roman" w:cs="Times New Roman"/>
          <w:color w:val="auto"/>
          <w:highlight w:val="none"/>
          <w:lang w:val="en-US" w:eastAsia="zh-CN"/>
        </w:rPr>
        <w:t>(B)</w:t>
      </w:r>
      <w:r>
        <w:rPr>
          <w:rFonts w:hint="eastAsia" w:ascii="Times New Roman" w:hAnsi="Times New Roman" w:cs="Times New Roman"/>
          <w:color w:val="auto"/>
          <w:highlight w:val="none"/>
        </w:rPr>
        <w:t xml:space="preserve"> microplate fluorometric assay</w:t>
      </w:r>
      <w:r>
        <w:rPr>
          <w:rFonts w:ascii="Times New Roman" w:hAnsi="Times New Roman" w:cs="Times New Roman"/>
          <w:color w:val="auto"/>
          <w:highlight w:val="none"/>
        </w:rPr>
        <w:t xml:space="preserve">, (C-D) apoptosis in </w:t>
      </w:r>
      <w:r>
        <w:rPr>
          <w:rFonts w:hint="default" w:ascii="Times New Roman" w:hAnsi="Times New Roman" w:cs="Times New Roman"/>
          <w:szCs w:val="21"/>
        </w:rPr>
        <w:t>colon</w:t>
      </w:r>
      <w:r>
        <w:rPr>
          <w:rFonts w:ascii="Times New Roman" w:hAnsi="Times New Roman" w:cs="Times New Roman"/>
          <w:color w:val="auto"/>
          <w:highlight w:val="none"/>
        </w:rPr>
        <w:t xml:space="preserve"> tissue, and (E) DNA double-strand breaks.</w:t>
      </w:r>
      <w:bookmarkEnd w:id="4"/>
    </w:p>
    <w:p w14:paraId="0ECE87F7">
      <w:pPr>
        <w:spacing w:line="360" w:lineRule="auto"/>
        <w:jc w:val="center"/>
        <w:rPr>
          <w:rFonts w:hint="eastAsia" w:ascii="Times New Roman" w:hAnsi="Times New Roman" w:cs="Times New Roman" w:eastAsiaTheme="minorEastAsia"/>
          <w:color w:val="auto"/>
          <w:highlight w:val="none"/>
          <w:lang w:eastAsia="zh-CN"/>
        </w:rPr>
      </w:pPr>
      <w:r>
        <w:rPr>
          <w:rFonts w:hint="eastAsia" w:ascii="Times New Roman" w:hAnsi="Times New Roman" w:cs="Times New Roman" w:eastAsiaTheme="minorEastAsia"/>
          <w:color w:val="auto"/>
          <w:highlight w:val="none"/>
          <w:lang w:eastAsia="zh-CN"/>
        </w:rPr>
        <w:drawing>
          <wp:inline distT="0" distB="0" distL="114300" distR="114300">
            <wp:extent cx="5039995" cy="1525905"/>
            <wp:effectExtent l="0" t="0" r="8255" b="17145"/>
            <wp:docPr id="3" name="图片 3" descr="Figure sup 16 Zo Occludin-0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up 16 Zo Occludin-0925"/>
                    <pic:cNvPicPr>
                      <a:picLocks noChangeAspect="1"/>
                    </pic:cNvPicPr>
                  </pic:nvPicPr>
                  <pic:blipFill>
                    <a:blip r:embed="rId20"/>
                    <a:stretch>
                      <a:fillRect/>
                    </a:stretch>
                  </pic:blipFill>
                  <pic:spPr>
                    <a:xfrm>
                      <a:off x="0" y="0"/>
                      <a:ext cx="5039995" cy="1525905"/>
                    </a:xfrm>
                    <a:prstGeom prst="rect">
                      <a:avLst/>
                    </a:prstGeom>
                  </pic:spPr>
                </pic:pic>
              </a:graphicData>
            </a:graphic>
          </wp:inline>
        </w:drawing>
      </w:r>
    </w:p>
    <w:p w14:paraId="242B3800">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Figure Sup 16 CS/PEC-AMF NPs protection of (A) reduced expression of tight junction protein and (B) quantitative analysis in radiation-induced acute intestinal injury.</w:t>
      </w:r>
    </w:p>
    <w:p w14:paraId="2C422B9D">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114300" distR="114300">
            <wp:extent cx="5039995" cy="3481705"/>
            <wp:effectExtent l="0" t="0" r="8255" b="4445"/>
            <wp:docPr id="14" name="图片 14" descr="FS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FS 17"/>
                    <pic:cNvPicPr>
                      <a:picLocks noChangeAspect="1"/>
                    </pic:cNvPicPr>
                  </pic:nvPicPr>
                  <pic:blipFill>
                    <a:blip r:embed="rId21"/>
                    <a:stretch>
                      <a:fillRect/>
                    </a:stretch>
                  </pic:blipFill>
                  <pic:spPr>
                    <a:xfrm>
                      <a:off x="0" y="0"/>
                      <a:ext cx="5039995" cy="3481705"/>
                    </a:xfrm>
                    <a:prstGeom prst="rect">
                      <a:avLst/>
                    </a:prstGeom>
                  </pic:spPr>
                </pic:pic>
              </a:graphicData>
            </a:graphic>
          </wp:inline>
        </w:drawing>
      </w:r>
    </w:p>
    <w:p w14:paraId="1229C44F">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Figure Sup 17 (A) Comparison of Ace Index between NPs and X-Ray Groups and between X-Ray and Control Groups, (B) β diversity of the gut microbiota after treatment with CS/PEC-AMF NPs.</w:t>
      </w:r>
    </w:p>
    <w:p w14:paraId="30CA2B52">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114300" distR="114300">
            <wp:extent cx="5039995" cy="4835525"/>
            <wp:effectExtent l="0" t="0" r="8255" b="3175"/>
            <wp:docPr id="23" name="图片 23" descr="FS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S 18"/>
                    <pic:cNvPicPr>
                      <a:picLocks noChangeAspect="1"/>
                    </pic:cNvPicPr>
                  </pic:nvPicPr>
                  <pic:blipFill>
                    <a:blip r:embed="rId22"/>
                    <a:stretch>
                      <a:fillRect/>
                    </a:stretch>
                  </pic:blipFill>
                  <pic:spPr>
                    <a:xfrm>
                      <a:off x="0" y="0"/>
                      <a:ext cx="5039995" cy="4835525"/>
                    </a:xfrm>
                    <a:prstGeom prst="rect">
                      <a:avLst/>
                    </a:prstGeom>
                  </pic:spPr>
                </pic:pic>
              </a:graphicData>
            </a:graphic>
          </wp:inline>
        </w:drawing>
      </w:r>
    </w:p>
    <w:p w14:paraId="7C28F4E4">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Figure Sup 18 (A) Barplot of microbial abundance at the Family and Genus levels across different treatment groups, (B) Heatmap showing microbial abundance at the Family and Genus levels across different treatment groups.</w:t>
      </w:r>
    </w:p>
    <w:p w14:paraId="3DBD2E3A">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114300" distR="114300">
            <wp:extent cx="5039995" cy="7214235"/>
            <wp:effectExtent l="0" t="0" r="8255" b="5715"/>
            <wp:docPr id="34" name="图片 34" descr="FS19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FS19_画板 1"/>
                    <pic:cNvPicPr>
                      <a:picLocks noChangeAspect="1"/>
                    </pic:cNvPicPr>
                  </pic:nvPicPr>
                  <pic:blipFill>
                    <a:blip r:embed="rId23"/>
                    <a:stretch>
                      <a:fillRect/>
                    </a:stretch>
                  </pic:blipFill>
                  <pic:spPr>
                    <a:xfrm>
                      <a:off x="0" y="0"/>
                      <a:ext cx="5039995" cy="7214235"/>
                    </a:xfrm>
                    <a:prstGeom prst="rect">
                      <a:avLst/>
                    </a:prstGeom>
                  </pic:spPr>
                </pic:pic>
              </a:graphicData>
            </a:graphic>
          </wp:inline>
        </w:drawing>
      </w:r>
    </w:p>
    <w:p w14:paraId="06E21859">
      <w:pPr>
        <w:spacing w:line="360" w:lineRule="auto"/>
        <w:rPr>
          <w:rFonts w:hint="eastAsia" w:ascii="Times New Roman" w:hAnsi="Times New Roman" w:cs="Times New Roman" w:eastAsiaTheme="minorEastAsia"/>
          <w:color w:val="auto"/>
          <w:highlight w:val="none"/>
          <w:lang w:eastAsia="zh-CN"/>
        </w:rPr>
      </w:pPr>
      <w:r>
        <w:rPr>
          <w:rFonts w:ascii="Times New Roman" w:hAnsi="Times New Roman" w:cs="Times New Roman"/>
          <w:color w:val="auto"/>
          <w:highlight w:val="none"/>
        </w:rPr>
        <w:t>Figure Sup 19 (A) LDA bar plot showing microbial taxa with significant differences between CS/PEC-AMF NPs and X-Ray groups based on LEfSe analysis, (B) Bar plot showing the mean proportion of microbial communities at the Class level and Order level across different treatment groups, and boxplot showing the proportion of Bacteroidia at the Class level and Bacteroidales at the Order level across different treatment groups.</w:t>
      </w:r>
    </w:p>
    <w:p w14:paraId="56FF167C">
      <w:pPr>
        <w:spacing w:line="360" w:lineRule="auto"/>
        <w:jc w:val="center"/>
        <w:rPr>
          <w:rFonts w:hint="eastAsia" w:ascii="Times New Roman" w:hAnsi="Times New Roman" w:cs="Times New Roman" w:eastAsiaTheme="minorEastAsia"/>
          <w:color w:val="auto"/>
          <w:highlight w:val="none"/>
          <w:lang w:eastAsia="zh-CN"/>
        </w:rPr>
      </w:pPr>
      <w:r>
        <w:rPr>
          <w:rFonts w:hint="eastAsia" w:ascii="Times New Roman" w:hAnsi="Times New Roman" w:cs="Times New Roman" w:eastAsiaTheme="minorEastAsia"/>
          <w:color w:val="auto"/>
          <w:highlight w:val="none"/>
          <w:lang w:eastAsia="zh-CN"/>
        </w:rPr>
        <w:drawing>
          <wp:inline distT="0" distB="0" distL="114300" distR="114300">
            <wp:extent cx="5039995" cy="2972435"/>
            <wp:effectExtent l="0" t="0" r="8255" b="18415"/>
            <wp:docPr id="33" name="图片 33" descr="Figure Sup 20 macrophage20240727-1-09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Figure Sup 20 macrophage20240727-1-0924-2"/>
                    <pic:cNvPicPr>
                      <a:picLocks noChangeAspect="1"/>
                    </pic:cNvPicPr>
                  </pic:nvPicPr>
                  <pic:blipFill>
                    <a:blip r:embed="rId24"/>
                    <a:srcRect b="37321"/>
                    <a:stretch>
                      <a:fillRect/>
                    </a:stretch>
                  </pic:blipFill>
                  <pic:spPr>
                    <a:xfrm>
                      <a:off x="0" y="0"/>
                      <a:ext cx="5039995" cy="2972435"/>
                    </a:xfrm>
                    <a:prstGeom prst="rect">
                      <a:avLst/>
                    </a:prstGeom>
                  </pic:spPr>
                </pic:pic>
              </a:graphicData>
            </a:graphic>
          </wp:inline>
        </w:drawing>
      </w:r>
    </w:p>
    <w:p w14:paraId="4B1ABB70">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Figure Sup 20 (A) Immunofluorescence, (B</w:t>
      </w:r>
      <w:r>
        <w:rPr>
          <w:rFonts w:hint="eastAsia" w:ascii="Times New Roman" w:hAnsi="Times New Roman" w:cs="Times New Roman"/>
          <w:color w:val="auto"/>
          <w:highlight w:val="none"/>
          <w:lang w:val="en-US" w:eastAsia="zh-CN"/>
        </w:rPr>
        <w:t>-C</w:t>
      </w:r>
      <w:r>
        <w:rPr>
          <w:rFonts w:ascii="Times New Roman" w:hAnsi="Times New Roman" w:cs="Times New Roman"/>
          <w:color w:val="auto"/>
          <w:highlight w:val="none"/>
        </w:rPr>
        <w:t>) flow cytometry, and (</w:t>
      </w:r>
      <w:r>
        <w:rPr>
          <w:rFonts w:hint="eastAsia" w:ascii="Times New Roman" w:hAnsi="Times New Roman" w:cs="Times New Roman"/>
          <w:color w:val="auto"/>
          <w:highlight w:val="none"/>
          <w:lang w:val="en-US" w:eastAsia="zh-CN"/>
        </w:rPr>
        <w:t>D</w:t>
      </w:r>
      <w:r>
        <w:rPr>
          <w:rFonts w:ascii="Times New Roman" w:hAnsi="Times New Roman" w:cs="Times New Roman"/>
          <w:color w:val="auto"/>
          <w:highlight w:val="none"/>
        </w:rPr>
        <w:t>) quantitative analysis demonstrate that CS/PEC-AMF NPs promote the polarization of macrophages from the activated M1 to M2 phenotype, thereby enhancing anti-inflammatory effects and tissue repair.</w:t>
      </w:r>
    </w:p>
    <w:p w14:paraId="11EDA7FE">
      <w:pPr>
        <w:spacing w:line="360" w:lineRule="auto"/>
        <w:jc w:val="center"/>
        <w:rPr>
          <w:rFonts w:hint="eastAsia" w:ascii="Times New Roman" w:hAnsi="Times New Roman" w:cs="Times New Roman" w:eastAsiaTheme="minorEastAsia"/>
          <w:color w:val="auto"/>
          <w:highlight w:val="none"/>
          <w:lang w:eastAsia="zh-CN"/>
        </w:rPr>
      </w:pPr>
      <w:r>
        <w:rPr>
          <w:rFonts w:hint="eastAsia" w:ascii="Times New Roman" w:hAnsi="Times New Roman" w:cs="Times New Roman" w:eastAsiaTheme="minorEastAsia"/>
          <w:color w:val="auto"/>
          <w:highlight w:val="none"/>
          <w:lang w:eastAsia="zh-CN"/>
        </w:rPr>
        <w:drawing>
          <wp:inline distT="0" distB="0" distL="114300" distR="114300">
            <wp:extent cx="5039995" cy="5624830"/>
            <wp:effectExtent l="0" t="0" r="8255" b="13970"/>
            <wp:docPr id="2" name="图片 2" descr="Figure Sup 21 neuphil+DC-modified20240727-10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up 21 neuphil+DC-modified20240727-10925"/>
                    <pic:cNvPicPr>
                      <a:picLocks noChangeAspect="1"/>
                    </pic:cNvPicPr>
                  </pic:nvPicPr>
                  <pic:blipFill>
                    <a:blip r:embed="rId25"/>
                    <a:stretch>
                      <a:fillRect/>
                    </a:stretch>
                  </pic:blipFill>
                  <pic:spPr>
                    <a:xfrm>
                      <a:off x="0" y="0"/>
                      <a:ext cx="5039995" cy="5624830"/>
                    </a:xfrm>
                    <a:prstGeom prst="rect">
                      <a:avLst/>
                    </a:prstGeom>
                  </pic:spPr>
                </pic:pic>
              </a:graphicData>
            </a:graphic>
          </wp:inline>
        </w:drawing>
      </w:r>
    </w:p>
    <w:p w14:paraId="4123D2A7">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Figure Sup 21 (A) Immunofluorescence, (B</w:t>
      </w:r>
      <w:r>
        <w:rPr>
          <w:rFonts w:hint="eastAsia" w:ascii="Times New Roman" w:hAnsi="Times New Roman" w:cs="Times New Roman"/>
          <w:color w:val="auto"/>
          <w:highlight w:val="none"/>
          <w:lang w:val="en-US" w:eastAsia="zh-CN"/>
        </w:rPr>
        <w:t>-C</w:t>
      </w:r>
      <w:r>
        <w:rPr>
          <w:rFonts w:ascii="Times New Roman" w:hAnsi="Times New Roman" w:cs="Times New Roman"/>
          <w:color w:val="auto"/>
          <w:highlight w:val="none"/>
        </w:rPr>
        <w:t>) flow cytometry</w:t>
      </w:r>
      <w:r>
        <w:rPr>
          <w:rFonts w:hint="eastAsia" w:ascii="Times New Roman" w:hAnsi="Times New Roman" w:cs="Times New Roman"/>
          <w:color w:val="auto"/>
          <w:highlight w:val="none"/>
          <w:lang w:val="en-US" w:eastAsia="zh-CN"/>
        </w:rPr>
        <w:t xml:space="preserve"> of DCs and </w:t>
      </w:r>
      <w:r>
        <w:rPr>
          <w:rFonts w:ascii="Times New Roman" w:hAnsi="Times New Roman" w:cs="Times New Roman"/>
          <w:color w:val="auto"/>
          <w:highlight w:val="none"/>
        </w:rPr>
        <w:t>monocytes, and (</w:t>
      </w:r>
      <w:r>
        <w:rPr>
          <w:rFonts w:hint="eastAsia" w:ascii="Times New Roman" w:hAnsi="Times New Roman" w:cs="Times New Roman"/>
          <w:color w:val="auto"/>
          <w:highlight w:val="none"/>
          <w:lang w:val="en-US" w:eastAsia="zh-CN"/>
        </w:rPr>
        <w:t>D</w:t>
      </w:r>
      <w:r>
        <w:rPr>
          <w:rFonts w:ascii="Times New Roman" w:hAnsi="Times New Roman" w:cs="Times New Roman"/>
          <w:color w:val="auto"/>
          <w:highlight w:val="none"/>
        </w:rPr>
        <w:t>) quantitative analysis</w:t>
      </w:r>
      <w:r>
        <w:rPr>
          <w:rFonts w:hint="eastAsia" w:ascii="Times New Roman" w:hAnsi="Times New Roman" w:cs="Times New Roman"/>
          <w:color w:val="auto"/>
          <w:highlight w:val="none"/>
          <w:lang w:val="en-US" w:eastAsia="zh-CN"/>
        </w:rPr>
        <w:t>.</w:t>
      </w:r>
      <w:r>
        <w:rPr>
          <w:rFonts w:ascii="Times New Roman" w:hAnsi="Times New Roman" w:cs="Times New Roman"/>
          <w:color w:val="auto"/>
          <w:highlight w:val="none"/>
        </w:rPr>
        <w:t xml:space="preserve"> </w:t>
      </w:r>
      <w:r>
        <w:rPr>
          <w:rFonts w:hint="eastAsia" w:ascii="Times New Roman" w:hAnsi="Times New Roman" w:cs="Times New Roman"/>
          <w:color w:val="auto"/>
          <w:highlight w:val="none"/>
          <w:lang w:val="en-US" w:eastAsia="zh-CN"/>
        </w:rPr>
        <w:t xml:space="preserve">It </w:t>
      </w:r>
      <w:r>
        <w:rPr>
          <w:rFonts w:ascii="Times New Roman" w:hAnsi="Times New Roman" w:cs="Times New Roman"/>
          <w:color w:val="auto"/>
          <w:highlight w:val="none"/>
        </w:rPr>
        <w:t xml:space="preserve">demonstrate that CS/PEC-AMF NPs significantly reduce the infiltration of </w:t>
      </w:r>
      <w:r>
        <w:rPr>
          <w:rFonts w:hint="eastAsia" w:ascii="Times New Roman" w:hAnsi="Times New Roman" w:cs="Times New Roman"/>
          <w:color w:val="auto"/>
          <w:highlight w:val="none"/>
          <w:lang w:val="en-US" w:eastAsia="zh-CN"/>
        </w:rPr>
        <w:t xml:space="preserve">monocytes </w:t>
      </w:r>
      <w:r>
        <w:rPr>
          <w:rFonts w:ascii="Times New Roman" w:hAnsi="Times New Roman" w:cs="Times New Roman"/>
          <w:color w:val="auto"/>
          <w:highlight w:val="none"/>
        </w:rPr>
        <w:t xml:space="preserve">and </w:t>
      </w:r>
      <w:r>
        <w:rPr>
          <w:rFonts w:hint="eastAsia" w:ascii="Times New Roman" w:hAnsi="Times New Roman" w:cs="Times New Roman"/>
          <w:color w:val="auto"/>
          <w:highlight w:val="none"/>
          <w:lang w:val="en-US" w:eastAsia="zh-CN"/>
        </w:rPr>
        <w:t>neutrophils</w:t>
      </w:r>
      <w:r>
        <w:rPr>
          <w:rFonts w:ascii="Times New Roman" w:hAnsi="Times New Roman" w:cs="Times New Roman"/>
          <w:color w:val="auto"/>
          <w:highlight w:val="none"/>
        </w:rPr>
        <w:t>, while increasing the number of DCs.</w:t>
      </w:r>
    </w:p>
    <w:p w14:paraId="7A30929F">
      <w:pPr>
        <w:spacing w:line="360" w:lineRule="auto"/>
        <w:rPr>
          <w:rFonts w:ascii="Times New Roman" w:hAnsi="Times New Roman" w:cs="Times New Roman"/>
          <w:color w:val="auto"/>
          <w:highlight w:val="none"/>
        </w:rPr>
      </w:pPr>
    </w:p>
    <w:p w14:paraId="7C5F66EC">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0" distR="0">
            <wp:extent cx="5039995" cy="2447290"/>
            <wp:effectExtent l="0" t="0" r="8255" b="10160"/>
            <wp:docPr id="19" name="图片 19" descr="K:\2023\Papers\Radiation\Figures 20240727\Figure suppl\Supp Fig.16（ 无需图）\未标题-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K:\2023\Papers\Radiation\Figures 20240727\Figure suppl\Supp Fig.16（ 无需图）\未标题-1-01.tif"/>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039995" cy="2447290"/>
                    </a:xfrm>
                    <a:prstGeom prst="rect">
                      <a:avLst/>
                    </a:prstGeom>
                    <a:noFill/>
                    <a:ln>
                      <a:noFill/>
                    </a:ln>
                  </pic:spPr>
                </pic:pic>
              </a:graphicData>
            </a:graphic>
          </wp:inline>
        </w:drawing>
      </w:r>
    </w:p>
    <w:p w14:paraId="3684667E">
      <w:pPr>
        <w:spacing w:line="360" w:lineRule="auto"/>
        <w:rPr>
          <w:rFonts w:hint="eastAsia" w:ascii="Times New Roman" w:hAnsi="Times New Roman" w:cs="Times New Roman" w:eastAsiaTheme="minorEastAsia"/>
          <w:color w:val="auto"/>
          <w:highlight w:val="none"/>
          <w:lang w:eastAsia="zh-CN"/>
        </w:rPr>
      </w:pPr>
      <w:r>
        <w:rPr>
          <w:rFonts w:ascii="Times New Roman" w:hAnsi="Times New Roman" w:cs="Times New Roman"/>
          <w:color w:val="auto"/>
          <w:highlight w:val="none"/>
        </w:rPr>
        <w:t xml:space="preserve">Figure Sup 22 </w:t>
      </w:r>
      <w:r>
        <w:rPr>
          <w:rFonts w:ascii="Times New Roman" w:hAnsi="Times New Roman" w:cs="Times New Roman"/>
          <w:color w:val="auto"/>
          <w:highlight w:val="none"/>
          <w:lang w:bidi="ar"/>
        </w:rPr>
        <w:t>CS/PEC-AMF NPs attenuates apoptosis of intestinal tissue in radiation-induced chronic intestinal injury.</w:t>
      </w:r>
    </w:p>
    <w:p w14:paraId="54F2E208">
      <w:pPr>
        <w:spacing w:line="360" w:lineRule="auto"/>
        <w:jc w:val="center"/>
        <w:rPr>
          <w:rFonts w:hint="eastAsia" w:ascii="Times New Roman" w:hAnsi="Times New Roman" w:cs="Times New Roman" w:eastAsiaTheme="minorEastAsia"/>
          <w:color w:val="auto"/>
          <w:highlight w:val="none"/>
          <w:lang w:eastAsia="zh-CN"/>
        </w:rPr>
      </w:pPr>
      <w:r>
        <w:rPr>
          <w:rFonts w:hint="eastAsia" w:ascii="Times New Roman" w:hAnsi="Times New Roman" w:cs="Times New Roman" w:eastAsiaTheme="minorEastAsia"/>
          <w:color w:val="auto"/>
          <w:highlight w:val="none"/>
          <w:lang w:eastAsia="zh-CN"/>
        </w:rPr>
        <w:drawing>
          <wp:inline distT="0" distB="0" distL="114300" distR="114300">
            <wp:extent cx="5039995" cy="3404870"/>
            <wp:effectExtent l="0" t="0" r="8255" b="5080"/>
            <wp:docPr id="35" name="图片 35" descr="Figure sup 23-1-0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Figure sup 23-1-0924"/>
                    <pic:cNvPicPr>
                      <a:picLocks noChangeAspect="1"/>
                    </pic:cNvPicPr>
                  </pic:nvPicPr>
                  <pic:blipFill>
                    <a:blip r:embed="rId27"/>
                    <a:srcRect t="25880"/>
                    <a:stretch>
                      <a:fillRect/>
                    </a:stretch>
                  </pic:blipFill>
                  <pic:spPr>
                    <a:xfrm>
                      <a:off x="0" y="0"/>
                      <a:ext cx="5039995" cy="3404870"/>
                    </a:xfrm>
                    <a:prstGeom prst="rect">
                      <a:avLst/>
                    </a:prstGeom>
                  </pic:spPr>
                </pic:pic>
              </a:graphicData>
            </a:graphic>
          </wp:inline>
        </w:drawing>
      </w:r>
    </w:p>
    <w:p w14:paraId="69F630BD">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Figure Sup 23 (A) WB evaluated CS/PEC-AMF NPs to reduce the expression of inflammatory factors, fibrosis and tight junction protein in intestinal tissue in radiation-induced chronic intestinal injury; (B) immunofluorescence also showed that CS/PEC-AMF NPs reduced radiation-induced inflammation.</w:t>
      </w:r>
    </w:p>
    <w:p w14:paraId="7CB53161">
      <w:pPr>
        <w:spacing w:line="360" w:lineRule="auto"/>
        <w:jc w:val="center"/>
        <w:rPr>
          <w:rFonts w:ascii="Times New Roman" w:hAnsi="Times New Roman" w:cs="Times New Roman"/>
          <w:color w:val="auto"/>
          <w:highlight w:val="none"/>
        </w:rPr>
      </w:pPr>
      <w:r>
        <w:rPr>
          <w:rFonts w:ascii="Times New Roman" w:hAnsi="Times New Roman" w:cs="Times New Roman"/>
          <w:color w:val="auto"/>
          <w:highlight w:val="none"/>
        </w:rPr>
        <w:drawing>
          <wp:inline distT="0" distB="0" distL="0" distR="0">
            <wp:extent cx="4319905" cy="2818130"/>
            <wp:effectExtent l="0" t="0" r="4445" b="1270"/>
            <wp:docPr id="27" name="图片 27" descr="K:\2023\Papers\Radiation\Figures 20240727\Figure suppl\Supp Fig.24(结肠模型建立）\免疫鼠结肠手术20170407-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K:\2023\Papers\Radiation\Figures 20240727\Figure suppl\Supp Fig.24(结肠模型建立）\免疫鼠结肠手术20170407-01.t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4319905" cy="2818130"/>
                    </a:xfrm>
                    <a:prstGeom prst="rect">
                      <a:avLst/>
                    </a:prstGeom>
                    <a:noFill/>
                    <a:ln>
                      <a:noFill/>
                    </a:ln>
                  </pic:spPr>
                </pic:pic>
              </a:graphicData>
            </a:graphic>
          </wp:inline>
        </w:drawing>
      </w:r>
    </w:p>
    <w:p w14:paraId="2EB3A624">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 xml:space="preserve">Figure Sup 24 Diagram of </w:t>
      </w:r>
      <w:r>
        <w:rPr>
          <w:rFonts w:hint="eastAsia" w:ascii="Times New Roman" w:hAnsi="Times New Roman" w:cs="Times New Roman"/>
          <w:color w:val="auto"/>
          <w:highlight w:val="none"/>
          <w:lang w:val="en-US" w:eastAsia="zh-CN"/>
        </w:rPr>
        <w:t>o</w:t>
      </w:r>
      <w:r>
        <w:rPr>
          <w:rFonts w:ascii="Times New Roman" w:hAnsi="Times New Roman" w:cs="Times New Roman"/>
          <w:color w:val="auto"/>
          <w:highlight w:val="none"/>
        </w:rPr>
        <w:t xml:space="preserve">rthotopic </w:t>
      </w:r>
      <w:r>
        <w:rPr>
          <w:rFonts w:hint="eastAsia" w:ascii="Times New Roman" w:hAnsi="Times New Roman" w:cs="Times New Roman"/>
          <w:color w:val="auto"/>
          <w:highlight w:val="none"/>
          <w:lang w:val="en-US" w:eastAsia="zh-CN"/>
        </w:rPr>
        <w:t>c</w:t>
      </w:r>
      <w:r>
        <w:rPr>
          <w:rFonts w:ascii="Times New Roman" w:hAnsi="Times New Roman" w:cs="Times New Roman"/>
          <w:color w:val="auto"/>
          <w:highlight w:val="none"/>
        </w:rPr>
        <w:t xml:space="preserve">olon </w:t>
      </w:r>
      <w:r>
        <w:rPr>
          <w:rFonts w:hint="eastAsia" w:ascii="Times New Roman" w:hAnsi="Times New Roman" w:cs="Times New Roman"/>
          <w:color w:val="auto"/>
          <w:highlight w:val="none"/>
          <w:lang w:val="en-US" w:eastAsia="zh-CN"/>
        </w:rPr>
        <w:t>c</w:t>
      </w:r>
      <w:r>
        <w:rPr>
          <w:rFonts w:ascii="Times New Roman" w:hAnsi="Times New Roman" w:cs="Times New Roman"/>
          <w:color w:val="auto"/>
          <w:highlight w:val="none"/>
        </w:rPr>
        <w:t xml:space="preserve">ancer </w:t>
      </w:r>
      <w:r>
        <w:rPr>
          <w:rFonts w:hint="eastAsia" w:ascii="Times New Roman" w:hAnsi="Times New Roman" w:cs="Times New Roman"/>
          <w:color w:val="auto"/>
          <w:highlight w:val="none"/>
          <w:lang w:val="en-US" w:eastAsia="zh-CN"/>
        </w:rPr>
        <w:t>c</w:t>
      </w:r>
      <w:r>
        <w:rPr>
          <w:rFonts w:ascii="Times New Roman" w:hAnsi="Times New Roman" w:cs="Times New Roman"/>
          <w:color w:val="auto"/>
          <w:highlight w:val="none"/>
        </w:rPr>
        <w:t>onstruction.</w:t>
      </w:r>
    </w:p>
    <w:p w14:paraId="0F725195">
      <w:pPr>
        <w:spacing w:line="360" w:lineRule="auto"/>
        <w:jc w:val="center"/>
        <w:rPr>
          <w:rFonts w:hint="eastAsia" w:ascii="Times New Roman" w:hAnsi="Times New Roman" w:cs="Times New Roman" w:eastAsiaTheme="minorEastAsia"/>
          <w:color w:val="auto"/>
          <w:highlight w:val="none"/>
          <w:lang w:eastAsia="zh-CN"/>
        </w:rPr>
      </w:pPr>
      <w:r>
        <w:rPr>
          <w:rFonts w:hint="eastAsia" w:ascii="Times New Roman" w:hAnsi="Times New Roman" w:cs="Times New Roman" w:eastAsiaTheme="minorEastAsia"/>
          <w:color w:val="auto"/>
          <w:highlight w:val="none"/>
          <w:lang w:eastAsia="zh-CN"/>
        </w:rPr>
        <w:drawing>
          <wp:inline distT="0" distB="0" distL="114300" distR="114300">
            <wp:extent cx="5039995" cy="5967730"/>
            <wp:effectExtent l="0" t="0" r="8255" b="13970"/>
            <wp:docPr id="28" name="图片 28" descr="Figure Sup 25-0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Figure Sup 25-0917"/>
                    <pic:cNvPicPr>
                      <a:picLocks noChangeAspect="1"/>
                    </pic:cNvPicPr>
                  </pic:nvPicPr>
                  <pic:blipFill>
                    <a:blip r:embed="rId29"/>
                    <a:stretch>
                      <a:fillRect/>
                    </a:stretch>
                  </pic:blipFill>
                  <pic:spPr>
                    <a:xfrm>
                      <a:off x="0" y="0"/>
                      <a:ext cx="5039995" cy="5967730"/>
                    </a:xfrm>
                    <a:prstGeom prst="rect">
                      <a:avLst/>
                    </a:prstGeom>
                  </pic:spPr>
                </pic:pic>
              </a:graphicData>
            </a:graphic>
          </wp:inline>
        </w:drawing>
      </w:r>
    </w:p>
    <w:p w14:paraId="564399D9">
      <w:pPr>
        <w:spacing w:line="360" w:lineRule="auto"/>
        <w:rPr>
          <w:rFonts w:hint="default" w:ascii="Times New Roman" w:hAnsi="Times New Roman" w:cs="Times New Roman" w:eastAsiaTheme="minorEastAsia"/>
          <w:color w:val="auto"/>
          <w:highlight w:val="none"/>
          <w:lang w:val="en-US" w:eastAsia="zh-CN"/>
        </w:rPr>
      </w:pPr>
      <w:r>
        <w:rPr>
          <w:rFonts w:ascii="Times New Roman" w:hAnsi="Times New Roman" w:cs="Times New Roman"/>
          <w:color w:val="auto"/>
          <w:highlight w:val="none"/>
        </w:rPr>
        <w:t>Figure Sup 25 (A) Lung morphology, (B) Lung morphology (reverse side), and (C-D) histopathological analysis demonstrate that the use of CS/PEC-AMF NPs alleviates tumor lung metastasis</w:t>
      </w:r>
      <w:r>
        <w:rPr>
          <w:rFonts w:hint="eastAsia" w:ascii="Times New Roman" w:hAnsi="Times New Roman" w:cs="Times New Roman"/>
          <w:color w:val="auto"/>
          <w:highlight w:val="none"/>
          <w:lang w:val="en-US" w:eastAsia="zh-CN"/>
        </w:rPr>
        <w:t>, (E) Lung tumor nodules per mouse.</w:t>
      </w:r>
    </w:p>
    <w:p w14:paraId="730FC9FC">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0" distR="0">
            <wp:extent cx="4319905" cy="2867025"/>
            <wp:effectExtent l="0" t="0" r="4445" b="9525"/>
            <wp:docPr id="25" name="图片 25" descr="K:\2023\Papers\Radiation\Figures 20240727\Figure suppl\Supp Fig.26(直肠肠模型建立）\直肠模型建立2-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K:\2023\Papers\Radiation\Figures 20240727\Figure suppl\Supp Fig.26(直肠肠模型建立）\直肠模型建立2-01.t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4319905" cy="2867025"/>
                    </a:xfrm>
                    <a:prstGeom prst="rect">
                      <a:avLst/>
                    </a:prstGeom>
                    <a:noFill/>
                    <a:ln>
                      <a:noFill/>
                    </a:ln>
                  </pic:spPr>
                </pic:pic>
              </a:graphicData>
            </a:graphic>
          </wp:inline>
        </w:drawing>
      </w:r>
    </w:p>
    <w:p w14:paraId="087FEFEC">
      <w:pPr>
        <w:spacing w:line="360" w:lineRule="auto"/>
        <w:rPr>
          <w:rFonts w:ascii="Times New Roman" w:hAnsi="Times New Roman" w:cs="Times New Roman"/>
          <w:color w:val="auto"/>
          <w:highlight w:val="none"/>
        </w:rPr>
      </w:pPr>
      <w:r>
        <w:rPr>
          <w:rFonts w:ascii="Times New Roman" w:hAnsi="Times New Roman" w:cs="Times New Roman"/>
          <w:color w:val="auto"/>
          <w:highlight w:val="none"/>
        </w:rPr>
        <w:t xml:space="preserve">Figure Sup </w:t>
      </w:r>
      <w:r>
        <w:rPr>
          <w:rFonts w:ascii="Times New Roman" w:hAnsi="Times New Roman" w:cs="Times New Roman"/>
          <w:color w:val="auto"/>
          <w:highlight w:val="none"/>
          <w:lang w:bidi="ar"/>
        </w:rPr>
        <w:t xml:space="preserve">26 </w:t>
      </w:r>
      <w:r>
        <w:rPr>
          <w:rFonts w:ascii="Times New Roman" w:hAnsi="Times New Roman" w:cs="Times New Roman"/>
          <w:color w:val="auto"/>
          <w:highlight w:val="none"/>
        </w:rPr>
        <w:t>Diagram of Orthotopic Rectal Cancer Construction.</w:t>
      </w:r>
    </w:p>
    <w:p w14:paraId="65F637CA">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0" distR="0">
            <wp:extent cx="5039995" cy="1588135"/>
            <wp:effectExtent l="0" t="0" r="8255" b="12065"/>
            <wp:docPr id="30" name="图片 30" descr="C:\Users\ASUS\Desktop\volcano-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C:\Users\ASUS\Desktop\volcano-01.t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039995" cy="1588135"/>
                    </a:xfrm>
                    <a:prstGeom prst="rect">
                      <a:avLst/>
                    </a:prstGeom>
                    <a:noFill/>
                    <a:ln>
                      <a:noFill/>
                    </a:ln>
                  </pic:spPr>
                </pic:pic>
              </a:graphicData>
            </a:graphic>
          </wp:inline>
        </w:drawing>
      </w:r>
    </w:p>
    <w:p w14:paraId="7468AA6E">
      <w:pPr>
        <w:spacing w:line="360" w:lineRule="auto"/>
        <w:rPr>
          <w:rFonts w:ascii="Times New Roman" w:hAnsi="Times New Roman" w:cs="Times New Roman"/>
          <w:color w:val="auto"/>
          <w:highlight w:val="none"/>
          <w:lang w:bidi="ar"/>
        </w:rPr>
      </w:pPr>
      <w:r>
        <w:rPr>
          <w:rFonts w:ascii="Times New Roman" w:hAnsi="Times New Roman" w:cs="Times New Roman"/>
          <w:color w:val="auto"/>
          <w:highlight w:val="none"/>
        </w:rPr>
        <w:t xml:space="preserve">Figure Sup </w:t>
      </w:r>
      <w:r>
        <w:rPr>
          <w:rFonts w:ascii="Times New Roman" w:hAnsi="Times New Roman" w:cs="Times New Roman"/>
          <w:color w:val="auto"/>
          <w:highlight w:val="none"/>
          <w:lang w:bidi="ar"/>
        </w:rPr>
        <w:t>27 (A) Bar plot showing differentially regulated genes between X-Ray and Control groups, and (B) volcano plot illustrating gene expression changes between X-Ray and Control groups, (C) Volcano plot showing gene expression changes between CS/PEC-AMF NPs and Control groups.</w:t>
      </w:r>
    </w:p>
    <w:p w14:paraId="302F723E">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0" distR="0">
            <wp:extent cx="2879725" cy="2736215"/>
            <wp:effectExtent l="0" t="0" r="15875" b="6985"/>
            <wp:docPr id="31" name="图片 31" descr="K:\2023\Papers\Radiation\Figures 20240727\Figure suppl\Supp Fig.27，28(转录组）\GO_p Up R8&amp;R2-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K:\2023\Papers\Radiation\Figures 20240727\Figure suppl\Supp Fig.27，28(转录组）\GO_p Up R8&amp;R2-01.t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879725" cy="2736215"/>
                    </a:xfrm>
                    <a:prstGeom prst="rect">
                      <a:avLst/>
                    </a:prstGeom>
                    <a:noFill/>
                    <a:ln>
                      <a:noFill/>
                    </a:ln>
                  </pic:spPr>
                </pic:pic>
              </a:graphicData>
            </a:graphic>
          </wp:inline>
        </w:drawing>
      </w:r>
    </w:p>
    <w:p w14:paraId="47818220">
      <w:pPr>
        <w:spacing w:line="360" w:lineRule="auto"/>
        <w:rPr>
          <w:rFonts w:ascii="Times New Roman" w:hAnsi="Times New Roman" w:cs="Times New Roman"/>
          <w:color w:val="auto"/>
          <w:highlight w:val="none"/>
          <w:lang w:bidi="ar"/>
        </w:rPr>
      </w:pPr>
      <w:r>
        <w:rPr>
          <w:rFonts w:ascii="Times New Roman" w:hAnsi="Times New Roman" w:cs="Times New Roman"/>
          <w:color w:val="auto"/>
          <w:highlight w:val="none"/>
        </w:rPr>
        <w:t xml:space="preserve">Figure Sup </w:t>
      </w:r>
      <w:r>
        <w:rPr>
          <w:rFonts w:ascii="Times New Roman" w:hAnsi="Times New Roman" w:cs="Times New Roman"/>
          <w:color w:val="auto"/>
          <w:highlight w:val="none"/>
          <w:lang w:bidi="ar"/>
        </w:rPr>
        <w:t xml:space="preserve">28 </w:t>
      </w:r>
      <w:bookmarkStart w:id="5" w:name="OLE_LINK4"/>
      <w:r>
        <w:rPr>
          <w:rFonts w:ascii="Times New Roman" w:hAnsi="Times New Roman" w:cs="Times New Roman"/>
          <w:color w:val="auto"/>
          <w:highlight w:val="none"/>
          <w:lang w:bidi="ar"/>
        </w:rPr>
        <w:t>Cluster analysis of upregulated genes in the CS/PEC-AMF NPs group compared to the X-Ray group.</w:t>
      </w:r>
      <w:bookmarkEnd w:id="5"/>
    </w:p>
    <w:p w14:paraId="53F815E2">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0" distR="0">
            <wp:extent cx="5039995" cy="3570605"/>
            <wp:effectExtent l="0" t="0" r="8255" b="10795"/>
            <wp:docPr id="29" name="图片 29" descr="C:\Users\ASUS\Desktop\Luminex\未标题-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ASUS\Desktop\Luminex\未标题-1-01.tif"/>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039995" cy="3570605"/>
                    </a:xfrm>
                    <a:prstGeom prst="rect">
                      <a:avLst/>
                    </a:prstGeom>
                    <a:noFill/>
                    <a:ln>
                      <a:noFill/>
                    </a:ln>
                  </pic:spPr>
                </pic:pic>
              </a:graphicData>
            </a:graphic>
          </wp:inline>
        </w:drawing>
      </w:r>
    </w:p>
    <w:p w14:paraId="4022387D">
      <w:pPr>
        <w:spacing w:line="360" w:lineRule="auto"/>
        <w:rPr>
          <w:rFonts w:ascii="Times New Roman" w:hAnsi="Times New Roman" w:cs="Times New Roman"/>
          <w:color w:val="auto"/>
          <w:highlight w:val="none"/>
          <w:lang w:bidi="ar"/>
        </w:rPr>
      </w:pPr>
      <w:r>
        <w:rPr>
          <w:rFonts w:ascii="Times New Roman" w:hAnsi="Times New Roman" w:cs="Times New Roman"/>
          <w:color w:val="auto"/>
          <w:highlight w:val="none"/>
        </w:rPr>
        <w:t xml:space="preserve">Figure Sup </w:t>
      </w:r>
      <w:r>
        <w:rPr>
          <w:rFonts w:ascii="Times New Roman" w:hAnsi="Times New Roman" w:cs="Times New Roman"/>
          <w:color w:val="auto"/>
          <w:highlight w:val="none"/>
          <w:lang w:bidi="ar"/>
        </w:rPr>
        <w:t>29 Luminex analysis showing the levels of inflammatory cytokines across different treatment groups.</w:t>
      </w:r>
    </w:p>
    <w:p w14:paraId="7D78476A">
      <w:pPr>
        <w:spacing w:line="360" w:lineRule="auto"/>
        <w:jc w:val="center"/>
        <w:rPr>
          <w:rFonts w:ascii="Times New Roman" w:hAnsi="Times New Roman" w:cs="Times New Roman"/>
          <w:color w:val="auto"/>
          <w:highlight w:val="none"/>
          <w:lang w:bidi="ar"/>
        </w:rPr>
      </w:pPr>
      <w:r>
        <w:rPr>
          <w:rFonts w:ascii="Times New Roman" w:hAnsi="Times New Roman" w:cs="Times New Roman"/>
          <w:color w:val="auto"/>
          <w:highlight w:val="none"/>
        </w:rPr>
        <w:drawing>
          <wp:inline distT="0" distB="0" distL="0" distR="0">
            <wp:extent cx="5039995" cy="5662930"/>
            <wp:effectExtent l="0" t="0" r="8255" b="13970"/>
            <wp:docPr id="26" name="图片 26" descr="K:\2023\Papers\Radiation\20231123重新整理图\Supp safety\未标题-1-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K:\2023\Papers\Radiation\20231123重新整理图\Supp safety\未标题-1-01.ti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a:xfrm>
                      <a:off x="0" y="0"/>
                      <a:ext cx="5039995" cy="5662930"/>
                    </a:xfrm>
                    <a:prstGeom prst="rect">
                      <a:avLst/>
                    </a:prstGeom>
                    <a:noFill/>
                    <a:ln>
                      <a:noFill/>
                    </a:ln>
                  </pic:spPr>
                </pic:pic>
              </a:graphicData>
            </a:graphic>
          </wp:inline>
        </w:drawing>
      </w:r>
    </w:p>
    <w:p w14:paraId="4BFEC7BC">
      <w:pPr>
        <w:spacing w:line="360" w:lineRule="auto"/>
        <w:rPr>
          <w:rFonts w:ascii="Times New Roman" w:hAnsi="Times New Roman" w:cs="Times New Roman"/>
          <w:color w:val="auto"/>
          <w:highlight w:val="none"/>
          <w:lang w:bidi="ar"/>
        </w:rPr>
      </w:pPr>
      <w:bookmarkStart w:id="6" w:name="OLE_LINK3"/>
      <w:r>
        <w:rPr>
          <w:rFonts w:ascii="Times New Roman" w:hAnsi="Times New Roman" w:cs="Times New Roman"/>
          <w:color w:val="auto"/>
          <w:highlight w:val="none"/>
        </w:rPr>
        <w:t xml:space="preserve">Figure Sup </w:t>
      </w:r>
      <w:r>
        <w:rPr>
          <w:rFonts w:ascii="Times New Roman" w:hAnsi="Times New Roman" w:cs="Times New Roman"/>
          <w:color w:val="auto"/>
          <w:highlight w:val="none"/>
          <w:lang w:bidi="ar"/>
        </w:rPr>
        <w:t>30</w:t>
      </w:r>
      <w:bookmarkEnd w:id="6"/>
      <w:r>
        <w:rPr>
          <w:rFonts w:ascii="Times New Roman" w:hAnsi="Times New Roman" w:cs="Times New Roman"/>
          <w:color w:val="auto"/>
          <w:highlight w:val="none"/>
          <w:lang w:bidi="ar"/>
        </w:rPr>
        <w:t xml:space="preserve"> CS/PEC-AMF NPs exhibit excellent biocompatibility, (A) causing no inflammatory infiltration in major organs and (B) inducing no significant changes in key serum markers.</w:t>
      </w:r>
    </w:p>
    <w:p w14:paraId="434C8F5E">
      <w:pPr>
        <w:rPr>
          <w:rFonts w:ascii="Times New Roman" w:hAnsi="Times New Roman" w:cs="Times New Roman"/>
          <w:color w:val="auto"/>
          <w:highlight w:val="none"/>
        </w:rPr>
      </w:pPr>
      <w:r>
        <w:rPr>
          <w:rFonts w:hint="default" w:ascii="Times New Roman" w:hAnsi="Times New Roman" w:cs="Times New Roman" w:eastAsiaTheme="minorEastAsia"/>
          <w:color w:val="auto"/>
          <w:highlight w:val="none"/>
          <w:lang w:bidi="ar"/>
        </w:rPr>
        <w:fldChar w:fldCharType="begin"/>
      </w:r>
      <w:r>
        <w:rPr>
          <w:rFonts w:ascii="Times New Roman" w:hAnsi="Times New Roman" w:cs="Times New Roman"/>
          <w:color w:val="auto"/>
          <w:highlight w:val="none"/>
          <w:lang w:bidi="ar"/>
        </w:rPr>
        <w:instrText xml:space="preserve"> ADDIN EN.REFLIST </w:instrText>
      </w:r>
      <w:r>
        <w:rPr>
          <w:rFonts w:hint="default" w:ascii="Times New Roman" w:hAnsi="Times New Roman" w:cs="Times New Roman" w:eastAsiaTheme="minorEastAsia"/>
          <w:color w:val="auto"/>
          <w:highlight w:val="none"/>
          <w:lang w:bidi="ar"/>
        </w:rPr>
        <w:fldChar w:fldCharType="separate"/>
      </w:r>
      <w:r>
        <w:rPr>
          <w:rFonts w:ascii="Times New Roman" w:hAnsi="Times New Roman" w:cs="Times New Roman"/>
          <w:color w:val="auto"/>
          <w:highlight w:val="none"/>
          <w:lang w:bidi="ar"/>
        </w:rPr>
        <w:fldChar w:fldCharType="end"/>
      </w: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lnNumType w:countBy="1" w:restart="continuou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00"/>
    <w:family w:val="roman"/>
    <w:pitch w:val="default"/>
    <w:sig w:usb0="00000000" w:usb1="00000000" w:usb2="00000000" w:usb3="00000000" w:csb0="00040001" w:csb1="00000000"/>
  </w:font>
  <w:font w:name="AdvOTe4bfdd46">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B2B30">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34DD20">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2634DD20">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M1NTA2MGU3MjQ1NGE1NzA5YzViNDFkZjYxYThjOWUifQ=="/>
    <w:docVar w:name="EN.InstantFormat" w:val="&lt;ENInstantFormat&gt;&lt;Enabled&gt;1&lt;/Enabled&gt;&lt;ScanUnformatted&gt;1&lt;/ScanUnformatted&gt;&lt;ScanChanges&gt;1&lt;/ScanChanges&gt;&lt;Suspended&gt;0&lt;/Suspended&gt;&lt;/ENInstantFormat&gt;"/>
    <w:docVar w:name="EN.Layout" w:val="&lt;ENLayout&gt;&lt;Style&gt;Nature Material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dpppzescdspzbeezw9xrsp9wpxpvpwtfdz5&quot;&gt;My EndNote Library&lt;record-ids&gt;&lt;item&gt;226&lt;/item&gt;&lt;item&gt;227&lt;/item&gt;&lt;/record-ids&gt;&lt;/item&gt;&lt;/Libraries&gt;"/>
  </w:docVars>
  <w:rsids>
    <w:rsidRoot w:val="007157E9"/>
    <w:rsid w:val="0000377B"/>
    <w:rsid w:val="0003705C"/>
    <w:rsid w:val="000E352C"/>
    <w:rsid w:val="001258D7"/>
    <w:rsid w:val="001419F2"/>
    <w:rsid w:val="001421DF"/>
    <w:rsid w:val="00172F3D"/>
    <w:rsid w:val="00200DF5"/>
    <w:rsid w:val="00227142"/>
    <w:rsid w:val="0022793D"/>
    <w:rsid w:val="002404B3"/>
    <w:rsid w:val="00242E9B"/>
    <w:rsid w:val="00283A2A"/>
    <w:rsid w:val="00291706"/>
    <w:rsid w:val="00292527"/>
    <w:rsid w:val="00293F2F"/>
    <w:rsid w:val="002A3C4F"/>
    <w:rsid w:val="00312080"/>
    <w:rsid w:val="0037047D"/>
    <w:rsid w:val="00375B57"/>
    <w:rsid w:val="003766D3"/>
    <w:rsid w:val="003A77AB"/>
    <w:rsid w:val="003B78A3"/>
    <w:rsid w:val="004126AE"/>
    <w:rsid w:val="004C2C2C"/>
    <w:rsid w:val="004D6AE7"/>
    <w:rsid w:val="00503287"/>
    <w:rsid w:val="00506FC2"/>
    <w:rsid w:val="00554495"/>
    <w:rsid w:val="005971EB"/>
    <w:rsid w:val="005C633C"/>
    <w:rsid w:val="005E5069"/>
    <w:rsid w:val="005F1AD4"/>
    <w:rsid w:val="006040D5"/>
    <w:rsid w:val="00696A3A"/>
    <w:rsid w:val="006A4CFC"/>
    <w:rsid w:val="006B5A36"/>
    <w:rsid w:val="006F6217"/>
    <w:rsid w:val="007157E9"/>
    <w:rsid w:val="007251DF"/>
    <w:rsid w:val="007467E4"/>
    <w:rsid w:val="007C5958"/>
    <w:rsid w:val="007F518F"/>
    <w:rsid w:val="00803C1C"/>
    <w:rsid w:val="00821139"/>
    <w:rsid w:val="00857A27"/>
    <w:rsid w:val="008D3916"/>
    <w:rsid w:val="00920FE5"/>
    <w:rsid w:val="0096207D"/>
    <w:rsid w:val="0098246B"/>
    <w:rsid w:val="009B3874"/>
    <w:rsid w:val="00A07C0F"/>
    <w:rsid w:val="00A25450"/>
    <w:rsid w:val="00AA2082"/>
    <w:rsid w:val="00AE7587"/>
    <w:rsid w:val="00B07922"/>
    <w:rsid w:val="00B2109C"/>
    <w:rsid w:val="00B40261"/>
    <w:rsid w:val="00BE57BB"/>
    <w:rsid w:val="00C27614"/>
    <w:rsid w:val="00C508C4"/>
    <w:rsid w:val="00C90825"/>
    <w:rsid w:val="00CA06E9"/>
    <w:rsid w:val="00CA4B8A"/>
    <w:rsid w:val="00CE64CB"/>
    <w:rsid w:val="00D200B5"/>
    <w:rsid w:val="00D37243"/>
    <w:rsid w:val="00DD6976"/>
    <w:rsid w:val="00DE3EA7"/>
    <w:rsid w:val="00E23EDD"/>
    <w:rsid w:val="00E23FE4"/>
    <w:rsid w:val="00E269C2"/>
    <w:rsid w:val="00E579F6"/>
    <w:rsid w:val="00ED1439"/>
    <w:rsid w:val="00F031E3"/>
    <w:rsid w:val="00F35931"/>
    <w:rsid w:val="00F608E0"/>
    <w:rsid w:val="00F81F56"/>
    <w:rsid w:val="00FB22BA"/>
    <w:rsid w:val="00FE4C65"/>
    <w:rsid w:val="011F03E0"/>
    <w:rsid w:val="01615AEC"/>
    <w:rsid w:val="01E305B6"/>
    <w:rsid w:val="0293255D"/>
    <w:rsid w:val="07D52226"/>
    <w:rsid w:val="086271C8"/>
    <w:rsid w:val="08D0747B"/>
    <w:rsid w:val="09A8152E"/>
    <w:rsid w:val="0F4D3FC3"/>
    <w:rsid w:val="126C2B42"/>
    <w:rsid w:val="12CF76D1"/>
    <w:rsid w:val="13DD6D1E"/>
    <w:rsid w:val="147321EF"/>
    <w:rsid w:val="18360DD0"/>
    <w:rsid w:val="196F398D"/>
    <w:rsid w:val="1B041DF3"/>
    <w:rsid w:val="1C79337F"/>
    <w:rsid w:val="1E9D38A2"/>
    <w:rsid w:val="1F63358C"/>
    <w:rsid w:val="1FD44B2F"/>
    <w:rsid w:val="20972A26"/>
    <w:rsid w:val="221A6347"/>
    <w:rsid w:val="2556149D"/>
    <w:rsid w:val="294A71FE"/>
    <w:rsid w:val="2AC145C0"/>
    <w:rsid w:val="2B523837"/>
    <w:rsid w:val="2BCD2631"/>
    <w:rsid w:val="2E0F2B31"/>
    <w:rsid w:val="2FA86D99"/>
    <w:rsid w:val="32AA12B4"/>
    <w:rsid w:val="333655C7"/>
    <w:rsid w:val="3630611F"/>
    <w:rsid w:val="371E2E8A"/>
    <w:rsid w:val="39C85C88"/>
    <w:rsid w:val="3A444FBB"/>
    <w:rsid w:val="3AA37E4E"/>
    <w:rsid w:val="3AA75A79"/>
    <w:rsid w:val="3B885457"/>
    <w:rsid w:val="3C0E0938"/>
    <w:rsid w:val="3E550918"/>
    <w:rsid w:val="3E8E35FE"/>
    <w:rsid w:val="3F274D32"/>
    <w:rsid w:val="409964CC"/>
    <w:rsid w:val="4102054D"/>
    <w:rsid w:val="435117C9"/>
    <w:rsid w:val="441F13A2"/>
    <w:rsid w:val="44462F57"/>
    <w:rsid w:val="44A079B8"/>
    <w:rsid w:val="451A3E3D"/>
    <w:rsid w:val="45C55AB4"/>
    <w:rsid w:val="4A3A7D94"/>
    <w:rsid w:val="4B2C6678"/>
    <w:rsid w:val="4B543FDA"/>
    <w:rsid w:val="4C9B3AB5"/>
    <w:rsid w:val="4D02714F"/>
    <w:rsid w:val="4EAB1FA5"/>
    <w:rsid w:val="505F6E23"/>
    <w:rsid w:val="51071719"/>
    <w:rsid w:val="533D4580"/>
    <w:rsid w:val="558C7A4D"/>
    <w:rsid w:val="58164938"/>
    <w:rsid w:val="58324D71"/>
    <w:rsid w:val="58AD70E1"/>
    <w:rsid w:val="5A201C7F"/>
    <w:rsid w:val="5B6D38B5"/>
    <w:rsid w:val="5BF84514"/>
    <w:rsid w:val="5C296FE2"/>
    <w:rsid w:val="5C7137DF"/>
    <w:rsid w:val="5F947D7D"/>
    <w:rsid w:val="5FFB4B3F"/>
    <w:rsid w:val="61B87E92"/>
    <w:rsid w:val="645A0641"/>
    <w:rsid w:val="66BA1620"/>
    <w:rsid w:val="67D31EFE"/>
    <w:rsid w:val="681276D9"/>
    <w:rsid w:val="697F1CF1"/>
    <w:rsid w:val="6E315155"/>
    <w:rsid w:val="6EAE0FCF"/>
    <w:rsid w:val="6EB61DD8"/>
    <w:rsid w:val="70A971E8"/>
    <w:rsid w:val="73F30440"/>
    <w:rsid w:val="746F1200"/>
    <w:rsid w:val="74BD1F6B"/>
    <w:rsid w:val="75170973"/>
    <w:rsid w:val="79605435"/>
    <w:rsid w:val="7A71631C"/>
    <w:rsid w:val="7ABC6C20"/>
    <w:rsid w:val="7AC31BF9"/>
    <w:rsid w:val="7B66335D"/>
    <w:rsid w:val="7D430E57"/>
    <w:rsid w:val="7EF40C80"/>
    <w:rsid w:val="7F326FB5"/>
    <w:rsid w:val="ECFFB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3"/>
    <w:semiHidden/>
    <w:unhideWhenUsed/>
    <w:qFormat/>
    <w:uiPriority w:val="99"/>
    <w:pPr>
      <w:jc w:val="left"/>
    </w:pPr>
  </w:style>
  <w:style w:type="paragraph" w:styleId="5">
    <w:name w:val="Balloon Text"/>
    <w:basedOn w:val="1"/>
    <w:link w:val="22"/>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24"/>
    <w:semiHidden/>
    <w:unhideWhenUsed/>
    <w:qFormat/>
    <w:uiPriority w:val="99"/>
    <w:rPr>
      <w:b/>
      <w:bCs/>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line number"/>
    <w:basedOn w:val="11"/>
    <w:semiHidden/>
    <w:unhideWhenUsed/>
    <w:qFormat/>
    <w:uiPriority w:val="99"/>
  </w:style>
  <w:style w:type="character" w:styleId="13">
    <w:name w:val="annotation reference"/>
    <w:basedOn w:val="11"/>
    <w:semiHidden/>
    <w:unhideWhenUsed/>
    <w:qFormat/>
    <w:uiPriority w:val="99"/>
    <w:rPr>
      <w:sz w:val="21"/>
      <w:szCs w:val="21"/>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paragraph" w:customStyle="1" w:styleId="16">
    <w:name w:val="AM T1"/>
    <w:basedOn w:val="2"/>
    <w:link w:val="18"/>
    <w:qFormat/>
    <w:uiPriority w:val="0"/>
    <w:pPr>
      <w:spacing w:line="480" w:lineRule="auto"/>
      <w:jc w:val="center"/>
    </w:pPr>
    <w:rPr>
      <w:rFonts w:ascii="Arial" w:hAnsi="Arial" w:cs="Arial"/>
      <w:b w:val="0"/>
      <w:color w:val="000000" w:themeColor="text1"/>
      <w:szCs w:val="21"/>
      <w14:textFill>
        <w14:solidFill>
          <w14:schemeClr w14:val="tx1"/>
        </w14:solidFill>
      </w14:textFill>
    </w:rPr>
  </w:style>
  <w:style w:type="paragraph" w:customStyle="1" w:styleId="17">
    <w:name w:val="AM T2"/>
    <w:basedOn w:val="3"/>
    <w:link w:val="19"/>
    <w:qFormat/>
    <w:uiPriority w:val="0"/>
    <w:pPr>
      <w:widowControl/>
      <w:jc w:val="left"/>
    </w:pPr>
    <w:rPr>
      <w:rFonts w:ascii="Times New Roman" w:hAnsi="Times New Roman" w:eastAsia="宋体" w:cs="Times New Roman"/>
      <w:i/>
      <w:iCs/>
      <w:color w:val="000000"/>
      <w:kern w:val="0"/>
      <w:sz w:val="24"/>
      <w:szCs w:val="24"/>
    </w:rPr>
  </w:style>
  <w:style w:type="character" w:customStyle="1" w:styleId="18">
    <w:name w:val="AM T1 字符"/>
    <w:basedOn w:val="11"/>
    <w:link w:val="16"/>
    <w:qFormat/>
    <w:uiPriority w:val="0"/>
    <w:rPr>
      <w:rFonts w:ascii="Arial" w:hAnsi="Arial" w:cs="Arial"/>
      <w:bCs/>
      <w:color w:val="000000" w:themeColor="text1"/>
      <w:kern w:val="44"/>
      <w:sz w:val="44"/>
      <w:szCs w:val="21"/>
      <w14:textFill>
        <w14:solidFill>
          <w14:schemeClr w14:val="tx1"/>
        </w14:solidFill>
      </w14:textFill>
    </w:rPr>
  </w:style>
  <w:style w:type="character" w:customStyle="1" w:styleId="19">
    <w:name w:val="AM T2 字符"/>
    <w:basedOn w:val="11"/>
    <w:link w:val="17"/>
    <w:qFormat/>
    <w:uiPriority w:val="0"/>
    <w:rPr>
      <w:rFonts w:ascii="Times New Roman" w:hAnsi="Times New Roman" w:eastAsia="宋体" w:cs="Times New Roman"/>
      <w:b/>
      <w:bCs/>
      <w:i/>
      <w:iCs/>
      <w:color w:val="000000"/>
      <w:kern w:val="0"/>
      <w:sz w:val="24"/>
      <w:szCs w:val="24"/>
    </w:rPr>
  </w:style>
  <w:style w:type="character" w:customStyle="1" w:styleId="20">
    <w:name w:val="标题 1 字符"/>
    <w:basedOn w:val="11"/>
    <w:link w:val="2"/>
    <w:qFormat/>
    <w:uiPriority w:val="9"/>
    <w:rPr>
      <w:b/>
      <w:bCs/>
      <w:kern w:val="44"/>
      <w:sz w:val="44"/>
      <w:szCs w:val="44"/>
    </w:rPr>
  </w:style>
  <w:style w:type="character" w:customStyle="1" w:styleId="21">
    <w:name w:val="标题 2 字符"/>
    <w:basedOn w:val="11"/>
    <w:link w:val="3"/>
    <w:semiHidden/>
    <w:qFormat/>
    <w:uiPriority w:val="9"/>
    <w:rPr>
      <w:rFonts w:asciiTheme="majorHAnsi" w:hAnsiTheme="majorHAnsi" w:eastAsiaTheme="majorEastAsia" w:cstheme="majorBidi"/>
      <w:b/>
      <w:bCs/>
      <w:sz w:val="32"/>
      <w:szCs w:val="32"/>
    </w:rPr>
  </w:style>
  <w:style w:type="character" w:customStyle="1" w:styleId="22">
    <w:name w:val="批注框文本 字符"/>
    <w:basedOn w:val="11"/>
    <w:link w:val="5"/>
    <w:semiHidden/>
    <w:qFormat/>
    <w:uiPriority w:val="99"/>
    <w:rPr>
      <w:kern w:val="2"/>
      <w:sz w:val="18"/>
      <w:szCs w:val="18"/>
    </w:rPr>
  </w:style>
  <w:style w:type="character" w:customStyle="1" w:styleId="23">
    <w:name w:val="批注文字 字符"/>
    <w:basedOn w:val="11"/>
    <w:link w:val="4"/>
    <w:semiHidden/>
    <w:qFormat/>
    <w:uiPriority w:val="99"/>
    <w:rPr>
      <w:kern w:val="2"/>
      <w:sz w:val="21"/>
      <w:szCs w:val="22"/>
    </w:rPr>
  </w:style>
  <w:style w:type="character" w:customStyle="1" w:styleId="24">
    <w:name w:val="批注主题 字符"/>
    <w:basedOn w:val="23"/>
    <w:link w:val="8"/>
    <w:semiHidden/>
    <w:qFormat/>
    <w:uiPriority w:val="99"/>
    <w:rPr>
      <w:b/>
      <w:bCs/>
      <w:kern w:val="2"/>
      <w:sz w:val="21"/>
      <w:szCs w:val="22"/>
    </w:rPr>
  </w:style>
  <w:style w:type="paragraph" w:customStyle="1" w:styleId="25">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6">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7">
    <w:name w:val="EndNote Bibliography Title"/>
    <w:qFormat/>
    <w:uiPriority w:val="0"/>
    <w:pPr>
      <w:jc w:val="center"/>
    </w:pPr>
    <w:rPr>
      <w:rFonts w:hint="eastAsia" w:ascii="等线" w:hAnsi="等线" w:eastAsia="等线" w:cs="等线"/>
      <w:kern w:val="2"/>
      <w:szCs w:val="22"/>
      <w:lang w:val="en-US" w:eastAsia="zh-CN" w:bidi="ar-SA"/>
    </w:rPr>
  </w:style>
  <w:style w:type="paragraph" w:customStyle="1" w:styleId="28">
    <w:name w:val="EndNote Bibliography"/>
    <w:qFormat/>
    <w:uiPriority w:val="0"/>
    <w:pPr>
      <w:jc w:val="both"/>
    </w:pPr>
    <w:rPr>
      <w:rFonts w:hint="eastAsia" w:ascii="等线" w:hAnsi="等线" w:eastAsia="等线" w:cs="等线"/>
      <w:kern w:val="2"/>
      <w:szCs w:val="22"/>
      <w:lang w:val="en-US" w:eastAsia="zh-CN" w:bidi="ar-SA"/>
    </w:rPr>
  </w:style>
  <w:style w:type="character" w:customStyle="1" w:styleId="29">
    <w:name w:val="item"/>
    <w:basedOn w:val="11"/>
    <w:qFormat/>
    <w:uiPriority w:val="0"/>
  </w:style>
  <w:style w:type="character" w:customStyle="1" w:styleId="30">
    <w:name w:val="fontstyle01"/>
    <w:qFormat/>
    <w:uiPriority w:val="0"/>
    <w:rPr>
      <w:rFonts w:hint="default" w:ascii="TimesNewRomanPSMT" w:hAnsi="TimesNewRomanPSMT"/>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5.tiff"/><Relationship Id="rId8" Type="http://schemas.openxmlformats.org/officeDocument/2006/relationships/image" Target="media/image4.tiff"/><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30.tiff"/><Relationship Id="rId33" Type="http://schemas.openxmlformats.org/officeDocument/2006/relationships/image" Target="media/image29.tiff"/><Relationship Id="rId32" Type="http://schemas.openxmlformats.org/officeDocument/2006/relationships/image" Target="media/image28.tiff"/><Relationship Id="rId31" Type="http://schemas.openxmlformats.org/officeDocument/2006/relationships/image" Target="media/image27.tiff"/><Relationship Id="rId30" Type="http://schemas.openxmlformats.org/officeDocument/2006/relationships/image" Target="media/image26.tiff"/><Relationship Id="rId3" Type="http://schemas.openxmlformats.org/officeDocument/2006/relationships/footer" Target="footer1.xml"/><Relationship Id="rId29" Type="http://schemas.openxmlformats.org/officeDocument/2006/relationships/image" Target="media/image25.tiff"/><Relationship Id="rId28" Type="http://schemas.openxmlformats.org/officeDocument/2006/relationships/image" Target="media/image24.tiff"/><Relationship Id="rId27" Type="http://schemas.openxmlformats.org/officeDocument/2006/relationships/image" Target="media/image23.tiff"/><Relationship Id="rId26" Type="http://schemas.openxmlformats.org/officeDocument/2006/relationships/image" Target="media/image22.tiff"/><Relationship Id="rId25" Type="http://schemas.openxmlformats.org/officeDocument/2006/relationships/image" Target="media/image21.tiff"/><Relationship Id="rId24" Type="http://schemas.openxmlformats.org/officeDocument/2006/relationships/image" Target="media/image20.tiff"/><Relationship Id="rId23" Type="http://schemas.openxmlformats.org/officeDocument/2006/relationships/image" Target="media/image19.tiff"/><Relationship Id="rId22" Type="http://schemas.openxmlformats.org/officeDocument/2006/relationships/image" Target="media/image18.tiff"/><Relationship Id="rId21" Type="http://schemas.openxmlformats.org/officeDocument/2006/relationships/image" Target="media/image17.tiff"/><Relationship Id="rId20" Type="http://schemas.openxmlformats.org/officeDocument/2006/relationships/image" Target="media/image16.tiff"/><Relationship Id="rId2" Type="http://schemas.openxmlformats.org/officeDocument/2006/relationships/settings" Target="settings.xml"/><Relationship Id="rId19" Type="http://schemas.openxmlformats.org/officeDocument/2006/relationships/image" Target="media/image15.tiff"/><Relationship Id="rId18" Type="http://schemas.openxmlformats.org/officeDocument/2006/relationships/image" Target="media/image14.tiff"/><Relationship Id="rId17" Type="http://schemas.openxmlformats.org/officeDocument/2006/relationships/image" Target="media/image13.tiff"/><Relationship Id="rId16" Type="http://schemas.openxmlformats.org/officeDocument/2006/relationships/image" Target="media/image12.tiff"/><Relationship Id="rId15" Type="http://schemas.openxmlformats.org/officeDocument/2006/relationships/image" Target="media/image11.tiff"/><Relationship Id="rId14" Type="http://schemas.openxmlformats.org/officeDocument/2006/relationships/image" Target="media/image10.tiff"/><Relationship Id="rId13" Type="http://schemas.openxmlformats.org/officeDocument/2006/relationships/image" Target="media/image9.jpeg"/><Relationship Id="rId12" Type="http://schemas.openxmlformats.org/officeDocument/2006/relationships/image" Target="media/image8.tiff"/><Relationship Id="rId11" Type="http://schemas.openxmlformats.org/officeDocument/2006/relationships/image" Target="media/image7.tiff"/><Relationship Id="rId10" Type="http://schemas.openxmlformats.org/officeDocument/2006/relationships/image" Target="media/image6.tif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23</Pages>
  <Words>1780</Words>
  <Characters>10865</Characters>
  <Lines>354</Lines>
  <Paragraphs>99</Paragraphs>
  <TotalTime>41</TotalTime>
  <ScaleCrop>false</ScaleCrop>
  <LinksUpToDate>false</LinksUpToDate>
  <CharactersWithSpaces>12260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2024-09-13T17:34:00Z</dcterms:created>
  <dc:creator>webuser</dc:creator>
  <cp:lastModifiedBy>songlvr</cp:lastModifiedBy>
  <dcterms:modified xsi:type="dcterms:W3CDTF">2025-09-25T17:58:18Z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D0E7F1A79511422A854D7097F2627C11_12</vt:lpwstr>
  </property>
  <property fmtid="{D5CDD505-2E9C-101B-9397-08002B2CF9AE}" pid="4" name="KSOTemplateDocerSaveRecord">
    <vt:lpwstr>eyJoZGlkIjoiNDQxM2Y0MDU3ZTVkNDVlOTAyMWQwNWVlNGI3MjM3ZTciLCJ1c2VySWQiOiIxOTA3NTgxOTMifQ==</vt:lpwstr>
  </property>
</Properties>
</file>