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4C27D" w14:textId="1D6F2A20" w:rsidR="00D671AB" w:rsidRPr="00F54B3B" w:rsidRDefault="00D671AB" w:rsidP="00456E2A">
      <w:pPr>
        <w:wordWrap/>
        <w:spacing w:after="0" w:line="480" w:lineRule="auto"/>
        <w:contextualSpacing/>
        <w:mirrorIndents/>
        <w:jc w:val="center"/>
        <w:rPr>
          <w:rFonts w:ascii="Times New Roman" w:hAnsi="Times New Roman" w:cs="Times New Roman"/>
          <w:b/>
          <w:bCs/>
          <w:sz w:val="24"/>
          <w:lang w:val="en-GB"/>
        </w:rPr>
      </w:pPr>
      <w:r w:rsidRPr="00F54B3B">
        <w:rPr>
          <w:rFonts w:ascii="Times New Roman" w:hAnsi="Times New Roman" w:cs="Times New Roman"/>
          <w:b/>
          <w:bCs/>
          <w:sz w:val="24"/>
          <w:lang w:val="en-GB"/>
        </w:rPr>
        <w:t xml:space="preserve">High-Power </w:t>
      </w:r>
      <w:r w:rsidR="008C2BBA" w:rsidRPr="00F54B3B">
        <w:rPr>
          <w:rFonts w:ascii="Times New Roman" w:hAnsi="Times New Roman" w:cs="Times New Roman"/>
          <w:b/>
          <w:bCs/>
          <w:sz w:val="24"/>
          <w:lang w:val="en-GB"/>
        </w:rPr>
        <w:t xml:space="preserve">Temperature Resilient </w:t>
      </w:r>
      <w:r w:rsidR="00096597" w:rsidRPr="00F54B3B">
        <w:rPr>
          <w:rFonts w:ascii="Times New Roman" w:hAnsi="Times New Roman" w:cs="Times New Roman"/>
          <w:b/>
          <w:bCs/>
          <w:sz w:val="24"/>
          <w:lang w:val="en-GB"/>
        </w:rPr>
        <w:t>Ionic Liquid-</w:t>
      </w:r>
      <w:r w:rsidR="00170FB4" w:rsidRPr="00F54B3B">
        <w:rPr>
          <w:rFonts w:ascii="Times New Roman" w:hAnsi="Times New Roman" w:cs="Times New Roman"/>
          <w:b/>
          <w:bCs/>
          <w:sz w:val="24"/>
          <w:lang w:val="en-GB"/>
        </w:rPr>
        <w:t>Driven</w:t>
      </w:r>
      <w:r w:rsidR="00096597" w:rsidRPr="00F54B3B">
        <w:rPr>
          <w:rFonts w:ascii="Times New Roman" w:hAnsi="Times New Roman" w:cs="Times New Roman"/>
          <w:b/>
          <w:bCs/>
          <w:sz w:val="24"/>
          <w:lang w:val="en-GB"/>
        </w:rPr>
        <w:t xml:space="preserve"> Graphene </w:t>
      </w:r>
      <w:r w:rsidR="00096597" w:rsidRPr="00F54B3B">
        <w:rPr>
          <w:rFonts w:ascii="Times New Roman" w:hAnsi="Times New Roman" w:cs="Times New Roman"/>
          <w:b/>
          <w:bCs/>
          <w:sz w:val="24"/>
        </w:rPr>
        <w:t>Supercapacitor for an Effective Solar-Powered Energy Backup System</w:t>
      </w:r>
      <w:r w:rsidR="00096597" w:rsidRPr="00F54B3B">
        <w:rPr>
          <w:rFonts w:ascii="Times New Roman" w:hAnsi="Times New Roman" w:cs="Times New Roman"/>
          <w:b/>
          <w:bCs/>
          <w:sz w:val="24"/>
          <w:lang w:val="en-GB"/>
        </w:rPr>
        <w:t xml:space="preserve"> </w:t>
      </w:r>
    </w:p>
    <w:p w14:paraId="6F81543A" w14:textId="77777777" w:rsidR="00456E2A" w:rsidRPr="004867F6" w:rsidRDefault="00456E2A" w:rsidP="00456E2A">
      <w:pPr>
        <w:wordWrap/>
        <w:spacing w:after="0" w:line="480" w:lineRule="auto"/>
        <w:contextualSpacing/>
        <w:mirrorIndents/>
        <w:jc w:val="center"/>
        <w:rPr>
          <w:rFonts w:ascii="Times New Roman" w:hAnsi="Times New Roman" w:cs="Times New Roman"/>
          <w:sz w:val="24"/>
          <w:vertAlign w:val="superscript"/>
        </w:rPr>
      </w:pPr>
      <w:r w:rsidRPr="004867F6">
        <w:rPr>
          <w:rFonts w:ascii="Times New Roman" w:hAnsi="Times New Roman" w:cs="Times New Roman"/>
          <w:sz w:val="24"/>
        </w:rPr>
        <w:t>Vignesh Krishnan</w:t>
      </w:r>
      <w:r w:rsidRPr="004867F6">
        <w:rPr>
          <w:rFonts w:ascii="Times New Roman" w:hAnsi="Times New Roman" w:cs="Times New Roman"/>
          <w:sz w:val="24"/>
          <w:vertAlign w:val="superscript"/>
        </w:rPr>
        <w:t>a</w:t>
      </w:r>
      <w:r w:rsidRPr="004867F6">
        <w:rPr>
          <w:rFonts w:ascii="Times New Roman" w:hAnsi="Times New Roman" w:cs="Times New Roman"/>
          <w:sz w:val="24"/>
        </w:rPr>
        <w:t>, Noor Ul Haq Liyakath Ali</w:t>
      </w:r>
      <w:r w:rsidRPr="004867F6">
        <w:rPr>
          <w:rFonts w:ascii="Times New Roman" w:hAnsi="Times New Roman" w:cs="Times New Roman"/>
          <w:sz w:val="24"/>
          <w:vertAlign w:val="superscript"/>
        </w:rPr>
        <w:t>a</w:t>
      </w:r>
      <w:r w:rsidRPr="004867F6">
        <w:rPr>
          <w:rFonts w:ascii="Times New Roman" w:hAnsi="Times New Roman" w:cs="Times New Roman"/>
          <w:sz w:val="24"/>
        </w:rPr>
        <w:t>, Muthukumar Perumalsamy</w:t>
      </w:r>
      <w:r w:rsidRPr="004867F6">
        <w:rPr>
          <w:rFonts w:ascii="Times New Roman" w:hAnsi="Times New Roman" w:cs="Times New Roman"/>
          <w:sz w:val="24"/>
          <w:vertAlign w:val="superscript"/>
        </w:rPr>
        <w:t>a</w:t>
      </w:r>
      <w:r w:rsidRPr="004867F6">
        <w:rPr>
          <w:rFonts w:ascii="Times New Roman" w:hAnsi="Times New Roman" w:cs="Times New Roman"/>
          <w:sz w:val="24"/>
        </w:rPr>
        <w:t xml:space="preserve">, </w:t>
      </w:r>
      <w:r w:rsidRPr="004867F6">
        <w:rPr>
          <w:rFonts w:ascii="Times New Roman" w:eastAsia="Times New Roman" w:hAnsi="Times New Roman" w:cs="Times New Roman"/>
          <w:kern w:val="0"/>
          <w:sz w:val="24"/>
          <w14:ligatures w14:val="none"/>
        </w:rPr>
        <w:t>Mohamed Sadiq Mohamed Saleem</w:t>
      </w:r>
      <w:r w:rsidRPr="004867F6">
        <w:rPr>
          <w:rFonts w:ascii="Times New Roman" w:eastAsia="Times New Roman" w:hAnsi="Times New Roman" w:cs="Times New Roman"/>
          <w:kern w:val="0"/>
          <w:sz w:val="24"/>
          <w:vertAlign w:val="superscript"/>
          <w14:ligatures w14:val="none"/>
        </w:rPr>
        <w:t>a</w:t>
      </w:r>
      <w:r w:rsidRPr="004867F6">
        <w:rPr>
          <w:rFonts w:ascii="Times New Roman" w:eastAsia="Times New Roman" w:hAnsi="Times New Roman" w:cs="Times New Roman"/>
          <w:kern w:val="0"/>
          <w:sz w:val="24"/>
          <w:vertAlign w:val="subscript"/>
          <w14:ligatures w14:val="none"/>
        </w:rPr>
        <w:t>,</w:t>
      </w:r>
      <w:r w:rsidRPr="004867F6">
        <w:rPr>
          <w:rFonts w:ascii="Times New Roman" w:eastAsia="Times New Roman" w:hAnsi="Times New Roman" w:cs="Times New Roman"/>
          <w:kern w:val="0"/>
          <w:sz w:val="24"/>
          <w14:ligatures w14:val="none"/>
        </w:rPr>
        <w:t xml:space="preserve"> </w:t>
      </w:r>
      <w:r w:rsidRPr="004867F6">
        <w:rPr>
          <w:rFonts w:ascii="Times New Roman" w:hAnsi="Times New Roman" w:cs="Times New Roman"/>
          <w:sz w:val="24"/>
        </w:rPr>
        <w:t xml:space="preserve">Sang-Jae </w:t>
      </w:r>
      <w:proofErr w:type="spellStart"/>
      <w:proofErr w:type="gramStart"/>
      <w:r w:rsidRPr="004867F6">
        <w:rPr>
          <w:rFonts w:ascii="Times New Roman" w:hAnsi="Times New Roman" w:cs="Times New Roman"/>
          <w:sz w:val="24"/>
        </w:rPr>
        <w:t>Kim</w:t>
      </w:r>
      <w:r w:rsidRPr="004867F6">
        <w:rPr>
          <w:rFonts w:ascii="Times New Roman" w:hAnsi="Times New Roman" w:cs="Times New Roman"/>
          <w:sz w:val="24"/>
          <w:vertAlign w:val="superscript"/>
        </w:rPr>
        <w:t>a,b</w:t>
      </w:r>
      <w:proofErr w:type="gramEnd"/>
      <w:r w:rsidRPr="004867F6">
        <w:rPr>
          <w:rFonts w:ascii="Times New Roman" w:hAnsi="Times New Roman" w:cs="Times New Roman"/>
          <w:sz w:val="24"/>
          <w:vertAlign w:val="superscript"/>
        </w:rPr>
        <w:t>,</w:t>
      </w:r>
      <w:proofErr w:type="gramStart"/>
      <w:r w:rsidRPr="004867F6">
        <w:rPr>
          <w:rFonts w:ascii="Times New Roman" w:hAnsi="Times New Roman" w:cs="Times New Roman"/>
          <w:sz w:val="24"/>
          <w:vertAlign w:val="superscript"/>
        </w:rPr>
        <w:t>c,d</w:t>
      </w:r>
      <w:proofErr w:type="spellEnd"/>
      <w:proofErr w:type="gramEnd"/>
      <w:r w:rsidRPr="004867F6">
        <w:rPr>
          <w:rFonts w:ascii="Times New Roman" w:hAnsi="Times New Roman" w:cs="Times New Roman"/>
          <w:sz w:val="24"/>
          <w:vertAlign w:val="superscript"/>
        </w:rPr>
        <w:t>*</w:t>
      </w:r>
    </w:p>
    <w:p w14:paraId="4F891C05" w14:textId="77777777" w:rsidR="00456E2A" w:rsidRPr="004867F6" w:rsidRDefault="00456E2A" w:rsidP="00456E2A">
      <w:pPr>
        <w:wordWrap/>
        <w:spacing w:after="0" w:line="480" w:lineRule="auto"/>
        <w:contextualSpacing/>
        <w:mirrorIndents/>
        <w:jc w:val="center"/>
        <w:rPr>
          <w:rFonts w:ascii="Times New Roman" w:hAnsi="Times New Roman"/>
          <w:szCs w:val="22"/>
        </w:rPr>
      </w:pPr>
      <w:r w:rsidRPr="004867F6">
        <w:rPr>
          <w:rFonts w:ascii="Times New Roman" w:hAnsi="Times New Roman"/>
          <w:szCs w:val="22"/>
          <w:vertAlign w:val="superscript"/>
        </w:rPr>
        <w:t>a</w:t>
      </w:r>
      <w:r w:rsidRPr="004867F6">
        <w:rPr>
          <w:rFonts w:ascii="Times New Roman" w:hAnsi="Times New Roman"/>
          <w:szCs w:val="22"/>
        </w:rPr>
        <w:t>Nanomaterials &amp; System Laboratory, Major of Mechatronics Engineering, Faculty of Applied Energy System, Jeju National University, Jeju 63243, Republic of Korea</w:t>
      </w:r>
    </w:p>
    <w:p w14:paraId="5A04DBD5" w14:textId="77777777" w:rsidR="00456E2A" w:rsidRPr="004867F6" w:rsidRDefault="00456E2A" w:rsidP="00456E2A">
      <w:pPr>
        <w:wordWrap/>
        <w:spacing w:after="0" w:line="480" w:lineRule="auto"/>
        <w:contextualSpacing/>
        <w:mirrorIndents/>
        <w:jc w:val="center"/>
        <w:rPr>
          <w:rFonts w:ascii="Times New Roman" w:hAnsi="Times New Roman"/>
          <w:szCs w:val="22"/>
        </w:rPr>
      </w:pPr>
      <w:proofErr w:type="spellStart"/>
      <w:r w:rsidRPr="004867F6">
        <w:rPr>
          <w:rFonts w:ascii="Times New Roman" w:hAnsi="Times New Roman"/>
          <w:szCs w:val="22"/>
          <w:vertAlign w:val="superscript"/>
        </w:rPr>
        <w:t>b</w:t>
      </w:r>
      <w:r w:rsidRPr="004867F6">
        <w:rPr>
          <w:rFonts w:ascii="Times New Roman" w:hAnsi="Times New Roman"/>
          <w:szCs w:val="22"/>
        </w:rPr>
        <w:t>Research</w:t>
      </w:r>
      <w:proofErr w:type="spellEnd"/>
      <w:r w:rsidRPr="004867F6">
        <w:rPr>
          <w:rFonts w:ascii="Times New Roman" w:hAnsi="Times New Roman"/>
          <w:szCs w:val="22"/>
        </w:rPr>
        <w:t xml:space="preserve"> Institute of New Energy Industry (RINEI), Jeju National University, Jeju 63243, </w:t>
      </w:r>
    </w:p>
    <w:p w14:paraId="0772696D" w14:textId="77777777" w:rsidR="00456E2A" w:rsidRPr="004867F6" w:rsidRDefault="00456E2A" w:rsidP="00456E2A">
      <w:pPr>
        <w:wordWrap/>
        <w:spacing w:after="0" w:line="480" w:lineRule="auto"/>
        <w:contextualSpacing/>
        <w:mirrorIndents/>
        <w:jc w:val="center"/>
        <w:rPr>
          <w:rFonts w:ascii="Times New Roman" w:hAnsi="Times New Roman"/>
          <w:szCs w:val="22"/>
        </w:rPr>
      </w:pPr>
      <w:r w:rsidRPr="004867F6">
        <w:rPr>
          <w:rFonts w:ascii="Times New Roman" w:hAnsi="Times New Roman"/>
          <w:szCs w:val="22"/>
        </w:rPr>
        <w:t>Republic of Korea</w:t>
      </w:r>
    </w:p>
    <w:p w14:paraId="4B43356A" w14:textId="77777777" w:rsidR="00456E2A" w:rsidRPr="004867F6" w:rsidRDefault="00456E2A" w:rsidP="00456E2A">
      <w:pPr>
        <w:wordWrap/>
        <w:spacing w:after="0" w:line="480" w:lineRule="auto"/>
        <w:contextualSpacing/>
        <w:mirrorIndents/>
        <w:jc w:val="center"/>
        <w:rPr>
          <w:rFonts w:ascii="Times New Roman" w:hAnsi="Times New Roman"/>
          <w:szCs w:val="22"/>
        </w:rPr>
      </w:pPr>
      <w:proofErr w:type="spellStart"/>
      <w:r w:rsidRPr="004867F6">
        <w:rPr>
          <w:rFonts w:ascii="Times New Roman" w:hAnsi="Times New Roman"/>
          <w:szCs w:val="22"/>
          <w:vertAlign w:val="superscript"/>
        </w:rPr>
        <w:t>c</w:t>
      </w:r>
      <w:r w:rsidRPr="004867F6">
        <w:rPr>
          <w:rFonts w:ascii="Times New Roman" w:hAnsi="Times New Roman"/>
          <w:szCs w:val="22"/>
        </w:rPr>
        <w:t>Green</w:t>
      </w:r>
      <w:proofErr w:type="spellEnd"/>
      <w:r w:rsidRPr="004867F6">
        <w:rPr>
          <w:rFonts w:ascii="Times New Roman" w:hAnsi="Times New Roman"/>
          <w:szCs w:val="22"/>
        </w:rPr>
        <w:t xml:space="preserve"> Hydrogen Glocal Leading Research Center (gH</w:t>
      </w:r>
      <w:r w:rsidRPr="004867F6">
        <w:rPr>
          <w:rFonts w:ascii="Times New Roman" w:hAnsi="Times New Roman"/>
          <w:szCs w:val="22"/>
          <w:vertAlign w:val="subscript"/>
        </w:rPr>
        <w:t>2</w:t>
      </w:r>
      <w:r w:rsidRPr="004867F6">
        <w:rPr>
          <w:rFonts w:ascii="Times New Roman" w:hAnsi="Times New Roman"/>
          <w:szCs w:val="22"/>
        </w:rPr>
        <w:t xml:space="preserve">-RC), Jeju National University, Jeju 63243, </w:t>
      </w:r>
    </w:p>
    <w:p w14:paraId="6C6513E6" w14:textId="77777777" w:rsidR="00456E2A" w:rsidRPr="004867F6" w:rsidRDefault="00456E2A" w:rsidP="00456E2A">
      <w:pPr>
        <w:wordWrap/>
        <w:spacing w:after="0" w:line="480" w:lineRule="auto"/>
        <w:contextualSpacing/>
        <w:mirrorIndents/>
        <w:jc w:val="center"/>
        <w:rPr>
          <w:rFonts w:ascii="Times New Roman" w:hAnsi="Times New Roman"/>
          <w:szCs w:val="22"/>
        </w:rPr>
      </w:pPr>
      <w:r w:rsidRPr="004867F6">
        <w:rPr>
          <w:rFonts w:ascii="Times New Roman" w:hAnsi="Times New Roman"/>
          <w:szCs w:val="22"/>
        </w:rPr>
        <w:t>Republic of Korea</w:t>
      </w:r>
    </w:p>
    <w:p w14:paraId="7CB94A13" w14:textId="77777777" w:rsidR="00456E2A" w:rsidRPr="004867F6" w:rsidRDefault="00456E2A" w:rsidP="00456E2A">
      <w:pPr>
        <w:wordWrap/>
        <w:spacing w:after="0" w:line="480" w:lineRule="auto"/>
        <w:contextualSpacing/>
        <w:mirrorIndents/>
        <w:jc w:val="center"/>
        <w:rPr>
          <w:rFonts w:ascii="Times New Roman" w:hAnsi="Times New Roman"/>
          <w:szCs w:val="22"/>
        </w:rPr>
      </w:pPr>
      <w:proofErr w:type="spellStart"/>
      <w:r w:rsidRPr="004867F6">
        <w:rPr>
          <w:rFonts w:ascii="Times New Roman" w:hAnsi="Times New Roman"/>
          <w:szCs w:val="22"/>
          <w:vertAlign w:val="superscript"/>
        </w:rPr>
        <w:t>d</w:t>
      </w:r>
      <w:r w:rsidRPr="004867F6">
        <w:rPr>
          <w:rFonts w:ascii="Times New Roman" w:hAnsi="Times New Roman"/>
          <w:szCs w:val="22"/>
        </w:rPr>
        <w:t>Nanomaterials</w:t>
      </w:r>
      <w:proofErr w:type="spellEnd"/>
      <w:r w:rsidRPr="004867F6">
        <w:rPr>
          <w:rFonts w:ascii="Times New Roman" w:hAnsi="Times New Roman"/>
          <w:szCs w:val="22"/>
        </w:rPr>
        <w:t xml:space="preserve"> &amp; System Lab, Major of Mechanical System Engineering, College of Engineering, </w:t>
      </w:r>
    </w:p>
    <w:p w14:paraId="6B5BADEA" w14:textId="77777777" w:rsidR="00456E2A" w:rsidRPr="004867F6" w:rsidRDefault="00456E2A" w:rsidP="00456E2A">
      <w:pPr>
        <w:tabs>
          <w:tab w:val="center" w:pos="4680"/>
          <w:tab w:val="left" w:pos="7515"/>
        </w:tabs>
        <w:wordWrap/>
        <w:spacing w:after="0" w:line="480" w:lineRule="auto"/>
        <w:contextualSpacing/>
        <w:mirrorIndents/>
        <w:rPr>
          <w:rFonts w:ascii="Times New Roman" w:hAnsi="Times New Roman"/>
          <w:szCs w:val="22"/>
        </w:rPr>
      </w:pPr>
      <w:r w:rsidRPr="004867F6">
        <w:rPr>
          <w:rFonts w:ascii="Times New Roman" w:hAnsi="Times New Roman"/>
          <w:szCs w:val="22"/>
        </w:rPr>
        <w:tab/>
        <w:t>Jeju National University, Jeju 63243, Republic of Korea</w:t>
      </w:r>
      <w:r w:rsidRPr="004867F6">
        <w:rPr>
          <w:rFonts w:ascii="Times New Roman" w:hAnsi="Times New Roman"/>
          <w:szCs w:val="22"/>
        </w:rPr>
        <w:tab/>
      </w:r>
    </w:p>
    <w:p w14:paraId="372BE351" w14:textId="77777777" w:rsidR="00456E2A" w:rsidRPr="004867F6" w:rsidRDefault="00456E2A" w:rsidP="00456E2A">
      <w:pPr>
        <w:wordWrap/>
        <w:spacing w:after="0" w:line="480" w:lineRule="auto"/>
        <w:contextualSpacing/>
        <w:mirrorIndents/>
        <w:jc w:val="center"/>
        <w:rPr>
          <w:rFonts w:ascii="Times New Roman" w:hAnsi="Times New Roman" w:cs="Times New Roman"/>
          <w:b/>
          <w:bCs/>
          <w:szCs w:val="22"/>
        </w:rPr>
      </w:pPr>
    </w:p>
    <w:p w14:paraId="29BC7743" w14:textId="77777777" w:rsidR="00456E2A" w:rsidRPr="00D47116" w:rsidRDefault="00456E2A" w:rsidP="00456E2A">
      <w:pPr>
        <w:wordWrap/>
        <w:spacing w:after="0" w:line="480" w:lineRule="auto"/>
        <w:contextualSpacing/>
        <w:mirrorIndents/>
        <w:jc w:val="both"/>
        <w:rPr>
          <w:rFonts w:ascii="Times New Roman" w:hAnsi="Times New Roman" w:cs="Times New Roman"/>
          <w:b/>
          <w:bCs/>
          <w:sz w:val="24"/>
        </w:rPr>
      </w:pPr>
    </w:p>
    <w:p w14:paraId="3E382134" w14:textId="77777777" w:rsidR="00456E2A" w:rsidRPr="00D47116" w:rsidRDefault="00456E2A" w:rsidP="00456E2A">
      <w:pPr>
        <w:wordWrap/>
        <w:spacing w:after="0" w:line="480" w:lineRule="auto"/>
        <w:contextualSpacing/>
        <w:mirrorIndents/>
        <w:jc w:val="both"/>
        <w:rPr>
          <w:rFonts w:ascii="Times New Roman" w:hAnsi="Times New Roman" w:cs="Times New Roman"/>
          <w:b/>
          <w:bCs/>
          <w:sz w:val="24"/>
          <w:lang w:val="en-GB"/>
        </w:rPr>
      </w:pPr>
    </w:p>
    <w:p w14:paraId="0A5E95E5" w14:textId="77777777" w:rsidR="00456E2A" w:rsidRPr="00D47116" w:rsidRDefault="00456E2A" w:rsidP="00456E2A">
      <w:pPr>
        <w:wordWrap/>
        <w:spacing w:after="0" w:line="480" w:lineRule="auto"/>
        <w:contextualSpacing/>
        <w:mirrorIndents/>
        <w:jc w:val="both"/>
        <w:rPr>
          <w:rFonts w:ascii="Times New Roman" w:hAnsi="Times New Roman" w:cs="Times New Roman"/>
          <w:sz w:val="24"/>
        </w:rPr>
      </w:pPr>
    </w:p>
    <w:p w14:paraId="69A92909" w14:textId="77777777" w:rsidR="00456E2A" w:rsidRPr="00D47116" w:rsidRDefault="00456E2A" w:rsidP="00456E2A">
      <w:pPr>
        <w:wordWrap/>
        <w:spacing w:after="0" w:line="480" w:lineRule="auto"/>
        <w:contextualSpacing/>
        <w:mirrorIndents/>
        <w:jc w:val="both"/>
        <w:rPr>
          <w:rFonts w:ascii="Times New Roman" w:hAnsi="Times New Roman" w:cs="Times New Roman"/>
          <w:sz w:val="24"/>
        </w:rPr>
      </w:pPr>
    </w:p>
    <w:p w14:paraId="19983CFA" w14:textId="77777777" w:rsidR="00456E2A" w:rsidRDefault="00456E2A" w:rsidP="00456E2A">
      <w:pPr>
        <w:wordWrap/>
        <w:spacing w:after="0" w:line="480" w:lineRule="auto"/>
        <w:contextualSpacing/>
        <w:mirrorIndents/>
        <w:jc w:val="both"/>
        <w:rPr>
          <w:rFonts w:ascii="Times New Roman" w:hAnsi="Times New Roman" w:cs="Times New Roman"/>
          <w:sz w:val="24"/>
        </w:rPr>
      </w:pPr>
    </w:p>
    <w:p w14:paraId="0067FC38" w14:textId="77777777" w:rsidR="00456E2A" w:rsidRPr="00D47116" w:rsidRDefault="00456E2A" w:rsidP="00456E2A">
      <w:pPr>
        <w:wordWrap/>
        <w:spacing w:after="0" w:line="480" w:lineRule="auto"/>
        <w:contextualSpacing/>
        <w:mirrorIndents/>
        <w:jc w:val="both"/>
        <w:rPr>
          <w:rFonts w:ascii="Times New Roman" w:hAnsi="Times New Roman" w:cs="Times New Roman"/>
          <w:sz w:val="24"/>
        </w:rPr>
      </w:pPr>
    </w:p>
    <w:p w14:paraId="3043A911" w14:textId="77777777" w:rsidR="00456E2A" w:rsidRPr="00D47116" w:rsidRDefault="00456E2A" w:rsidP="00456E2A">
      <w:pPr>
        <w:wordWrap/>
        <w:spacing w:after="0" w:line="480" w:lineRule="auto"/>
        <w:contextualSpacing/>
        <w:mirrorIndents/>
        <w:jc w:val="both"/>
        <w:rPr>
          <w:rFonts w:ascii="Times New Roman" w:hAnsi="Times New Roman" w:cs="Times New Roman"/>
          <w:sz w:val="24"/>
        </w:rPr>
      </w:pPr>
    </w:p>
    <w:p w14:paraId="2EB9B7E9" w14:textId="77777777" w:rsidR="00456E2A" w:rsidRPr="00652953" w:rsidRDefault="00456E2A" w:rsidP="00456E2A">
      <w:pPr>
        <w:spacing w:after="0" w:line="480" w:lineRule="auto"/>
        <w:jc w:val="both"/>
        <w:rPr>
          <w:rFonts w:ascii="Times New Roman" w:hAnsi="Times New Roman" w:cs="Times New Roman"/>
          <w:b/>
          <w:bCs/>
          <w:sz w:val="24"/>
        </w:rPr>
      </w:pPr>
      <w:r w:rsidRPr="00652953">
        <w:rPr>
          <w:rFonts w:ascii="Times New Roman" w:hAnsi="Times New Roman" w:cs="Times New Roman"/>
          <w:b/>
          <w:bCs/>
          <w:sz w:val="24"/>
        </w:rPr>
        <w:t>Mailing address:</w:t>
      </w:r>
    </w:p>
    <w:p w14:paraId="25D1397E" w14:textId="77777777" w:rsidR="00456E2A" w:rsidRPr="00652953" w:rsidRDefault="00456E2A" w:rsidP="00456E2A">
      <w:pPr>
        <w:spacing w:after="0" w:line="480" w:lineRule="auto"/>
        <w:jc w:val="both"/>
        <w:rPr>
          <w:rFonts w:ascii="Times New Roman" w:hAnsi="Times New Roman" w:cs="Times New Roman"/>
          <w:sz w:val="24"/>
        </w:rPr>
      </w:pPr>
      <w:r w:rsidRPr="00652953">
        <w:rPr>
          <w:rFonts w:ascii="Times New Roman" w:hAnsi="Times New Roman" w:cs="Times New Roman"/>
          <w:sz w:val="24"/>
        </w:rPr>
        <w:t>Prof. Sang-Jae Kim,</w:t>
      </w:r>
    </w:p>
    <w:p w14:paraId="66975410" w14:textId="77777777" w:rsidR="00456E2A" w:rsidRPr="00652953" w:rsidRDefault="00456E2A" w:rsidP="00456E2A">
      <w:pPr>
        <w:spacing w:after="0" w:line="480" w:lineRule="auto"/>
        <w:jc w:val="both"/>
        <w:rPr>
          <w:rFonts w:ascii="Times New Roman" w:hAnsi="Times New Roman" w:cs="Times New Roman"/>
          <w:sz w:val="24"/>
        </w:rPr>
      </w:pPr>
      <w:r w:rsidRPr="00652953">
        <w:rPr>
          <w:rFonts w:ascii="Times New Roman" w:hAnsi="Times New Roman" w:cs="Times New Roman"/>
          <w:sz w:val="24"/>
        </w:rPr>
        <w:t>Nanomaterials &amp; System Lab, Department of Mechatronics Engineering,</w:t>
      </w:r>
    </w:p>
    <w:p w14:paraId="5680D9FB" w14:textId="77777777" w:rsidR="00456E2A" w:rsidRPr="00652953" w:rsidRDefault="00456E2A" w:rsidP="00456E2A">
      <w:pPr>
        <w:spacing w:after="0" w:line="480" w:lineRule="auto"/>
        <w:jc w:val="both"/>
        <w:rPr>
          <w:rFonts w:ascii="Times New Roman" w:hAnsi="Times New Roman" w:cs="Times New Roman"/>
          <w:sz w:val="24"/>
        </w:rPr>
      </w:pPr>
      <w:r w:rsidRPr="00652953">
        <w:rPr>
          <w:rFonts w:ascii="Times New Roman" w:hAnsi="Times New Roman" w:cs="Times New Roman"/>
          <w:sz w:val="24"/>
        </w:rPr>
        <w:t>Engineering Building No. 4, D-130, Jeju National University,</w:t>
      </w:r>
    </w:p>
    <w:p w14:paraId="283748CD" w14:textId="77777777" w:rsidR="00456E2A" w:rsidRPr="00652953" w:rsidRDefault="00456E2A" w:rsidP="00456E2A">
      <w:pPr>
        <w:spacing w:after="0" w:line="480" w:lineRule="auto"/>
        <w:jc w:val="both"/>
        <w:rPr>
          <w:rFonts w:ascii="Times New Roman" w:hAnsi="Times New Roman" w:cs="Times New Roman"/>
          <w:sz w:val="24"/>
        </w:rPr>
      </w:pPr>
      <w:r w:rsidRPr="00652953">
        <w:rPr>
          <w:rFonts w:ascii="Times New Roman" w:hAnsi="Times New Roman" w:cs="Times New Roman"/>
          <w:sz w:val="24"/>
        </w:rPr>
        <w:t>Ara-1-Dong, Jeju-Si, Jeju-Do, Jeju-63243, South Korea</w:t>
      </w:r>
    </w:p>
    <w:p w14:paraId="6BF0B969" w14:textId="77777777" w:rsidR="00456E2A" w:rsidRPr="00652953" w:rsidRDefault="00456E2A" w:rsidP="00456E2A">
      <w:pPr>
        <w:spacing w:after="0" w:line="480" w:lineRule="auto"/>
        <w:jc w:val="both"/>
        <w:rPr>
          <w:rFonts w:ascii="Times New Roman" w:hAnsi="Times New Roman" w:cs="Times New Roman"/>
          <w:sz w:val="24"/>
        </w:rPr>
      </w:pPr>
      <w:r w:rsidRPr="00652953">
        <w:rPr>
          <w:rFonts w:ascii="Times New Roman" w:hAnsi="Times New Roman" w:cs="Times New Roman"/>
          <w:sz w:val="24"/>
        </w:rPr>
        <w:t xml:space="preserve">Email ID: </w:t>
      </w:r>
      <w:r w:rsidRPr="00652953">
        <w:rPr>
          <w:rFonts w:ascii="Times New Roman" w:hAnsi="Times New Roman" w:cs="Times New Roman"/>
          <w:color w:val="0000FF"/>
          <w:sz w:val="24"/>
          <w:u w:val="single"/>
        </w:rPr>
        <w:t>kimsangj@jejunu.ac.kr</w:t>
      </w:r>
    </w:p>
    <w:p w14:paraId="12C686B6" w14:textId="6522DEE9" w:rsidR="00456E2A" w:rsidRDefault="00456E2A" w:rsidP="00456E2A">
      <w:pPr>
        <w:spacing w:after="0" w:line="480" w:lineRule="auto"/>
        <w:jc w:val="both"/>
        <w:rPr>
          <w:rFonts w:ascii="Times New Roman" w:eastAsia="Gulim" w:hAnsi="Times New Roman"/>
          <w:b/>
          <w:bCs/>
          <w:sz w:val="24"/>
        </w:rPr>
      </w:pPr>
      <w:r>
        <w:rPr>
          <w:rFonts w:ascii="Times New Roman" w:eastAsia="Gulim" w:hAnsi="Times New Roman"/>
          <w:b/>
          <w:bCs/>
          <w:sz w:val="24"/>
        </w:rPr>
        <w:lastRenderedPageBreak/>
        <w:t>S1. Materials and methods</w:t>
      </w:r>
    </w:p>
    <w:p w14:paraId="70EC2D9F" w14:textId="614442E0" w:rsidR="007D7481" w:rsidRPr="009C1CEE" w:rsidRDefault="007D7481" w:rsidP="00456E2A">
      <w:pPr>
        <w:spacing w:after="0" w:line="480" w:lineRule="auto"/>
        <w:jc w:val="both"/>
        <w:rPr>
          <w:rFonts w:ascii="Times New Roman" w:hAnsi="Times New Roman"/>
          <w:b/>
          <w:bCs/>
          <w:sz w:val="24"/>
        </w:rPr>
      </w:pPr>
      <w:r>
        <w:rPr>
          <w:rFonts w:ascii="Times New Roman" w:eastAsia="Gulim" w:hAnsi="Times New Roman"/>
          <w:b/>
          <w:bCs/>
          <w:sz w:val="24"/>
        </w:rPr>
        <w:t>S</w:t>
      </w:r>
      <w:r w:rsidRPr="009C1CEE">
        <w:rPr>
          <w:rFonts w:ascii="Times New Roman" w:eastAsia="Gulim" w:hAnsi="Times New Roman"/>
          <w:b/>
          <w:bCs/>
          <w:sz w:val="24"/>
        </w:rPr>
        <w:t>1.1 Chemicals</w:t>
      </w:r>
    </w:p>
    <w:p w14:paraId="2F9F1FDA" w14:textId="23B491A6" w:rsidR="007D7481" w:rsidRPr="009C1CEE" w:rsidRDefault="007D7481" w:rsidP="00456E2A">
      <w:pPr>
        <w:spacing w:after="0" w:line="480" w:lineRule="auto"/>
        <w:jc w:val="both"/>
        <w:rPr>
          <w:rFonts w:ascii="Times New Roman" w:hAnsi="Times New Roman"/>
          <w:color w:val="1F1F1F"/>
          <w:sz w:val="24"/>
        </w:rPr>
      </w:pPr>
      <w:r>
        <w:rPr>
          <w:rFonts w:ascii="Times New Roman" w:hAnsi="Times New Roman"/>
          <w:color w:val="1F1F1F"/>
          <w:sz w:val="24"/>
        </w:rPr>
        <w:tab/>
      </w:r>
      <w:r w:rsidRPr="009C1CEE">
        <w:rPr>
          <w:rFonts w:ascii="Times New Roman" w:hAnsi="Times New Roman"/>
          <w:color w:val="1F1F1F"/>
          <w:sz w:val="24"/>
        </w:rPr>
        <w:t xml:space="preserve">Polyvinylidene fluoride (PVDF) powders were obtained from Alfa </w:t>
      </w:r>
      <w:proofErr w:type="spellStart"/>
      <w:r w:rsidRPr="009C1CEE">
        <w:rPr>
          <w:rFonts w:ascii="Times New Roman" w:hAnsi="Times New Roman"/>
          <w:color w:val="1F1F1F"/>
          <w:sz w:val="24"/>
        </w:rPr>
        <w:t>Aesar</w:t>
      </w:r>
      <w:proofErr w:type="spellEnd"/>
      <w:r w:rsidRPr="009C1CEE">
        <w:rPr>
          <w:rFonts w:ascii="Times New Roman" w:hAnsi="Times New Roman"/>
          <w:color w:val="1F1F1F"/>
          <w:sz w:val="24"/>
        </w:rPr>
        <w:t>, South Korea. The chemicals</w:t>
      </w:r>
      <w:r w:rsidR="001314BA">
        <w:rPr>
          <w:rFonts w:ascii="Times New Roman" w:hAnsi="Times New Roman"/>
          <w:color w:val="1F1F1F"/>
          <w:sz w:val="24"/>
        </w:rPr>
        <w:t>, such as absolute ethanol and N-methyl pyrrolidone (NMP), were purchased from Dae Jung Chemicals Co.,</w:t>
      </w:r>
      <w:r w:rsidRPr="009C1CEE">
        <w:rPr>
          <w:rFonts w:ascii="Times New Roman" w:hAnsi="Times New Roman"/>
          <w:color w:val="1F1F1F"/>
          <w:sz w:val="24"/>
        </w:rPr>
        <w:t xml:space="preserve"> Ltd, South Korea. </w:t>
      </w:r>
      <w:r w:rsidR="00456E2A">
        <w:rPr>
          <w:rFonts w:ascii="Times New Roman" w:eastAsia="Gulim" w:hAnsi="Times New Roman"/>
          <w:sz w:val="24"/>
        </w:rPr>
        <w:t>Deionized</w:t>
      </w:r>
      <w:r>
        <w:rPr>
          <w:rFonts w:ascii="Times New Roman" w:eastAsia="Gulim" w:hAnsi="Times New Roman"/>
          <w:sz w:val="24"/>
        </w:rPr>
        <w:t xml:space="preserve"> water (DI) with a resistivity of 18.2 MΩ was prepared using a Millipore system. All the chemicals used in this work are of research grade and were </w:t>
      </w:r>
      <w:r w:rsidRPr="009C1CEE">
        <w:rPr>
          <w:rFonts w:ascii="Times New Roman" w:hAnsi="Times New Roman"/>
          <w:color w:val="1F1F1F"/>
          <w:sz w:val="24"/>
        </w:rPr>
        <w:t>used without further purification.</w:t>
      </w:r>
    </w:p>
    <w:p w14:paraId="2F73D31D" w14:textId="77777777" w:rsidR="007D7481" w:rsidRPr="009C1CEE" w:rsidRDefault="007D7481" w:rsidP="00456E2A">
      <w:pPr>
        <w:spacing w:after="0" w:line="480" w:lineRule="auto"/>
        <w:jc w:val="both"/>
        <w:rPr>
          <w:rFonts w:ascii="Times New Roman" w:eastAsia="Gulim" w:hAnsi="Times New Roman"/>
          <w:b/>
          <w:bCs/>
          <w:sz w:val="24"/>
        </w:rPr>
      </w:pPr>
      <w:r>
        <w:rPr>
          <w:rFonts w:ascii="Times New Roman" w:eastAsia="Gulim" w:hAnsi="Times New Roman"/>
          <w:b/>
          <w:bCs/>
          <w:sz w:val="24"/>
        </w:rPr>
        <w:t>S</w:t>
      </w:r>
      <w:r w:rsidRPr="009C1CEE">
        <w:rPr>
          <w:rFonts w:ascii="Times New Roman" w:eastAsia="Gulim" w:hAnsi="Times New Roman"/>
          <w:b/>
          <w:bCs/>
          <w:sz w:val="24"/>
        </w:rPr>
        <w:t>1.2 Physicochemical characterization</w:t>
      </w:r>
    </w:p>
    <w:p w14:paraId="0976D8C7" w14:textId="377D58E3" w:rsidR="007D7481" w:rsidRPr="009C1CEE" w:rsidRDefault="007D7481" w:rsidP="00456E2A">
      <w:pPr>
        <w:spacing w:after="0" w:line="480" w:lineRule="auto"/>
        <w:jc w:val="both"/>
        <w:rPr>
          <w:rFonts w:ascii="Times New Roman" w:eastAsia="Gulim" w:hAnsi="Times New Roman"/>
          <w:sz w:val="24"/>
        </w:rPr>
      </w:pPr>
      <w:r w:rsidRPr="009C1CEE">
        <w:rPr>
          <w:rFonts w:ascii="Times New Roman" w:hAnsi="Times New Roman"/>
          <w:color w:val="1F1F1F"/>
          <w:sz w:val="24"/>
        </w:rPr>
        <w:tab/>
      </w:r>
      <w:r w:rsidRPr="009C1CEE">
        <w:rPr>
          <w:rFonts w:ascii="Times New Roman" w:eastAsia="Gulim" w:hAnsi="Times New Roman"/>
          <w:sz w:val="24"/>
        </w:rPr>
        <w:t xml:space="preserve">The morphology of </w:t>
      </w:r>
      <w:r>
        <w:rPr>
          <w:rFonts w:ascii="Times New Roman" w:eastAsia="Gulim" w:hAnsi="Times New Roman"/>
          <w:sz w:val="24"/>
        </w:rPr>
        <w:t>as-prepared</w:t>
      </w:r>
      <w:r w:rsidRPr="009C1CEE">
        <w:rPr>
          <w:rFonts w:ascii="Times New Roman" w:eastAsia="Gulim" w:hAnsi="Times New Roman"/>
          <w:sz w:val="24"/>
        </w:rPr>
        <w:t xml:space="preserve"> GO, rGO</w:t>
      </w:r>
      <w:r w:rsidR="001314BA">
        <w:rPr>
          <w:rFonts w:ascii="Times New Roman" w:eastAsia="Gulim" w:hAnsi="Times New Roman"/>
          <w:sz w:val="24"/>
        </w:rPr>
        <w:t>,</w:t>
      </w:r>
      <w:r w:rsidRPr="009C1CEE">
        <w:rPr>
          <w:rFonts w:ascii="Times New Roman" w:eastAsia="Gulim" w:hAnsi="Times New Roman"/>
          <w:sz w:val="24"/>
        </w:rPr>
        <w:t xml:space="preserve"> and </w:t>
      </w:r>
      <w:r w:rsidR="00966C8E">
        <w:rPr>
          <w:rFonts w:ascii="Times New Roman" w:eastAsia="Gulim" w:hAnsi="Times New Roman"/>
          <w:sz w:val="24"/>
        </w:rPr>
        <w:t>F-Gr</w:t>
      </w:r>
      <w:r w:rsidRPr="009C1CEE">
        <w:rPr>
          <w:rFonts w:ascii="Times New Roman" w:eastAsia="Gulim" w:hAnsi="Times New Roman"/>
          <w:sz w:val="24"/>
        </w:rPr>
        <w:t xml:space="preserve"> was examined using field emission scanning electron microscopy (FE-SEM, TESCAN MIRA3). High-resolution transmission electron microscopy (HR-TEM: Talos F200X G2) attached to the EDS </w:t>
      </w:r>
      <w:r w:rsidR="00487A7D" w:rsidRPr="009C1CEE">
        <w:rPr>
          <w:rFonts w:ascii="Times New Roman" w:eastAsia="Gulim" w:hAnsi="Times New Roman"/>
          <w:sz w:val="24"/>
        </w:rPr>
        <w:t>Analyser</w:t>
      </w:r>
      <w:r w:rsidRPr="009C1CEE">
        <w:rPr>
          <w:rFonts w:ascii="Times New Roman" w:eastAsia="Gulim" w:hAnsi="Times New Roman"/>
          <w:sz w:val="24"/>
        </w:rPr>
        <w:t xml:space="preserve"> </w:t>
      </w:r>
      <w:r>
        <w:rPr>
          <w:rFonts w:ascii="Times New Roman" w:eastAsia="Gulim" w:hAnsi="Times New Roman"/>
          <w:sz w:val="24"/>
        </w:rPr>
        <w:t>was</w:t>
      </w:r>
      <w:r w:rsidRPr="009C1CEE">
        <w:rPr>
          <w:rFonts w:ascii="Times New Roman" w:eastAsia="Gulim" w:hAnsi="Times New Roman"/>
          <w:sz w:val="24"/>
        </w:rPr>
        <w:t xml:space="preserve"> used to study the morphological and quantitative elemental analysis of GO, rG</w:t>
      </w:r>
      <w:r>
        <w:rPr>
          <w:rFonts w:ascii="Times New Roman" w:eastAsia="Gulim" w:hAnsi="Times New Roman"/>
          <w:sz w:val="24"/>
        </w:rPr>
        <w:t>O</w:t>
      </w:r>
      <w:r w:rsidR="001314BA">
        <w:rPr>
          <w:rFonts w:ascii="Times New Roman" w:eastAsia="Gulim" w:hAnsi="Times New Roman"/>
          <w:sz w:val="24"/>
        </w:rPr>
        <w:t>,</w:t>
      </w:r>
      <w:r w:rsidRPr="009C1CEE">
        <w:rPr>
          <w:rFonts w:ascii="Times New Roman" w:eastAsia="Gulim" w:hAnsi="Times New Roman"/>
          <w:sz w:val="24"/>
        </w:rPr>
        <w:t xml:space="preserve"> and </w:t>
      </w:r>
      <w:r w:rsidR="00966C8E">
        <w:rPr>
          <w:rFonts w:ascii="Times New Roman" w:eastAsia="Gulim" w:hAnsi="Times New Roman"/>
          <w:sz w:val="24"/>
        </w:rPr>
        <w:t>F-Gr</w:t>
      </w:r>
      <w:r w:rsidR="00966C8E" w:rsidRPr="009C1CEE">
        <w:rPr>
          <w:rFonts w:ascii="Times New Roman" w:eastAsia="Gulim" w:hAnsi="Times New Roman"/>
          <w:sz w:val="24"/>
        </w:rPr>
        <w:t xml:space="preserve"> </w:t>
      </w:r>
      <w:r w:rsidRPr="009C1CEE">
        <w:rPr>
          <w:rFonts w:ascii="Times New Roman" w:eastAsia="Gulim" w:hAnsi="Times New Roman"/>
          <w:sz w:val="24"/>
        </w:rPr>
        <w:t xml:space="preserve">powders. To </w:t>
      </w:r>
      <w:r w:rsidR="00487A7D" w:rsidRPr="009C1CEE">
        <w:rPr>
          <w:rFonts w:ascii="Times New Roman" w:eastAsia="Gulim" w:hAnsi="Times New Roman"/>
          <w:sz w:val="24"/>
        </w:rPr>
        <w:t>analyze</w:t>
      </w:r>
      <w:r w:rsidRPr="009C1CEE">
        <w:rPr>
          <w:rFonts w:ascii="Times New Roman" w:eastAsia="Gulim" w:hAnsi="Times New Roman"/>
          <w:sz w:val="24"/>
        </w:rPr>
        <w:t xml:space="preserve"> the planar structure and lattice characteristics, X-ray diffraction (XRD) was performed with a Malvern Panalytical diffractometer (UK). Raman spectroscopy (DXR3xi, 532 nm excitation laser) was used to assess the graphitic nature of </w:t>
      </w:r>
      <w:r>
        <w:rPr>
          <w:rFonts w:ascii="Times New Roman" w:eastAsia="Gulim" w:hAnsi="Times New Roman"/>
          <w:sz w:val="24"/>
        </w:rPr>
        <w:t>as-prepared</w:t>
      </w:r>
      <w:r w:rsidRPr="009C1CEE">
        <w:rPr>
          <w:rFonts w:ascii="Times New Roman" w:eastAsia="Gulim" w:hAnsi="Times New Roman"/>
          <w:sz w:val="24"/>
        </w:rPr>
        <w:t xml:space="preserve"> materials. The chemical states of the surface elements were investigated using X-ray photoelectron spectroscopy (XPS) (ESCA-2000, VG Microtech Ltd.) at the Korea Basic Science Institute (Busan center). Atomic force microscopy (AFM) was </w:t>
      </w:r>
      <w:r>
        <w:rPr>
          <w:rFonts w:ascii="Times New Roman" w:eastAsia="Gulim" w:hAnsi="Times New Roman"/>
          <w:sz w:val="24"/>
        </w:rPr>
        <w:t>performed using a Multimode 8-HR atomic force microscope to assess</w:t>
      </w:r>
      <w:r w:rsidRPr="009C1CEE">
        <w:rPr>
          <w:rFonts w:ascii="Times New Roman" w:eastAsia="Gulim" w:hAnsi="Times New Roman"/>
          <w:sz w:val="24"/>
        </w:rPr>
        <w:t xml:space="preserve"> the surface topology.</w:t>
      </w:r>
    </w:p>
    <w:p w14:paraId="006196A7" w14:textId="77777777" w:rsidR="007D7481" w:rsidRPr="009C1CEE" w:rsidRDefault="007D7481" w:rsidP="00456E2A">
      <w:pPr>
        <w:spacing w:after="0" w:line="480" w:lineRule="auto"/>
        <w:jc w:val="both"/>
        <w:rPr>
          <w:rFonts w:ascii="Times New Roman" w:eastAsia="Gulim" w:hAnsi="Times New Roman"/>
          <w:b/>
          <w:bCs/>
          <w:sz w:val="24"/>
        </w:rPr>
      </w:pPr>
      <w:r>
        <w:rPr>
          <w:rFonts w:ascii="Times New Roman" w:eastAsia="Gulim" w:hAnsi="Times New Roman"/>
          <w:b/>
          <w:bCs/>
          <w:sz w:val="24"/>
        </w:rPr>
        <w:t>S</w:t>
      </w:r>
      <w:r w:rsidRPr="009C1CEE">
        <w:rPr>
          <w:rFonts w:ascii="Times New Roman" w:eastAsia="Gulim" w:hAnsi="Times New Roman"/>
          <w:b/>
          <w:bCs/>
          <w:sz w:val="24"/>
        </w:rPr>
        <w:t xml:space="preserve">1.3 Electrochemical </w:t>
      </w:r>
      <w:r>
        <w:rPr>
          <w:rFonts w:ascii="Times New Roman" w:eastAsia="Gulim" w:hAnsi="Times New Roman"/>
          <w:b/>
          <w:bCs/>
          <w:sz w:val="24"/>
        </w:rPr>
        <w:t>Characterisation</w:t>
      </w:r>
    </w:p>
    <w:p w14:paraId="3ADD41CF" w14:textId="33FC59EE" w:rsidR="007D7481" w:rsidRPr="009C1CEE" w:rsidRDefault="007D7481" w:rsidP="00456E2A">
      <w:pPr>
        <w:spacing w:after="0" w:line="480" w:lineRule="auto"/>
        <w:jc w:val="both"/>
        <w:rPr>
          <w:rFonts w:ascii="Times New Roman" w:eastAsia="Gulim" w:hAnsi="Times New Roman"/>
          <w:sz w:val="24"/>
        </w:rPr>
      </w:pPr>
      <w:r>
        <w:rPr>
          <w:rFonts w:ascii="Times New Roman" w:hAnsi="Times New Roman"/>
          <w:sz w:val="24"/>
        </w:rPr>
        <w:tab/>
      </w:r>
      <w:r w:rsidRPr="009C1CEE">
        <w:rPr>
          <w:rFonts w:ascii="Times New Roman" w:hAnsi="Times New Roman"/>
          <w:sz w:val="24"/>
        </w:rPr>
        <w:t xml:space="preserve">Electrochemical measurements were conducted using </w:t>
      </w:r>
      <w:r>
        <w:rPr>
          <w:rFonts w:ascii="Times New Roman" w:hAnsi="Times New Roman"/>
          <w:sz w:val="24"/>
        </w:rPr>
        <w:t>an AUTOLAB PGSTAT302N electrochemical workstation for cyclic voltammetry (CV), galvanostatic charge-discharge (GCD)</w:t>
      </w:r>
      <w:r w:rsidR="001314BA">
        <w:rPr>
          <w:rFonts w:ascii="Times New Roman" w:hAnsi="Times New Roman"/>
          <w:sz w:val="24"/>
        </w:rPr>
        <w:t>,</w:t>
      </w:r>
      <w:r>
        <w:rPr>
          <w:rFonts w:ascii="Times New Roman" w:hAnsi="Times New Roman"/>
          <w:sz w:val="24"/>
        </w:rPr>
        <w:t xml:space="preserve"> and electrochemical impedance spectroscopy (EIS) in </w:t>
      </w:r>
      <w:r w:rsidR="009A3E15">
        <w:rPr>
          <w:rFonts w:ascii="Times New Roman" w:hAnsi="Times New Roman"/>
          <w:sz w:val="24"/>
        </w:rPr>
        <w:t>coin cell</w:t>
      </w:r>
      <w:r>
        <w:rPr>
          <w:rFonts w:ascii="Times New Roman" w:hAnsi="Times New Roman"/>
          <w:sz w:val="24"/>
        </w:rPr>
        <w:t xml:space="preserve"> configuration</w:t>
      </w:r>
      <w:r w:rsidR="009A3E15">
        <w:rPr>
          <w:rFonts w:ascii="Times New Roman" w:hAnsi="Times New Roman"/>
          <w:sz w:val="24"/>
        </w:rPr>
        <w:t xml:space="preserve">. </w:t>
      </w:r>
      <w:r w:rsidRPr="009C1CEE">
        <w:rPr>
          <w:rFonts w:ascii="Times New Roman" w:eastAsia="Gulim" w:hAnsi="Times New Roman"/>
          <w:sz w:val="24"/>
        </w:rPr>
        <w:t xml:space="preserve">Further details on device fabrication and additional experimental procedures can be found in </w:t>
      </w:r>
      <w:r>
        <w:rPr>
          <w:rFonts w:ascii="Times New Roman" w:eastAsia="Gulim" w:hAnsi="Times New Roman"/>
          <w:sz w:val="24"/>
        </w:rPr>
        <w:t>the corresponding experimental sections</w:t>
      </w:r>
      <w:r w:rsidRPr="009C1CEE">
        <w:rPr>
          <w:rFonts w:ascii="Times New Roman" w:eastAsia="Gulim" w:hAnsi="Times New Roman"/>
          <w:sz w:val="24"/>
        </w:rPr>
        <w:t>.</w:t>
      </w:r>
      <w:r w:rsidR="00546C21">
        <w:rPr>
          <w:rFonts w:ascii="Times New Roman" w:eastAsia="Gulim" w:hAnsi="Times New Roman"/>
          <w:sz w:val="24"/>
        </w:rPr>
        <w:t xml:space="preserve"> </w:t>
      </w:r>
      <w:r w:rsidR="009C3D05">
        <w:rPr>
          <w:rFonts w:ascii="Times New Roman" w:eastAsia="Gulim" w:hAnsi="Times New Roman"/>
          <w:sz w:val="24"/>
        </w:rPr>
        <w:t>The temperature</w:t>
      </w:r>
      <w:r w:rsidR="00546C21">
        <w:rPr>
          <w:rFonts w:ascii="Times New Roman" w:eastAsia="Gulim" w:hAnsi="Times New Roman"/>
          <w:sz w:val="24"/>
        </w:rPr>
        <w:t xml:space="preserve"> tolerance </w:t>
      </w:r>
      <w:r w:rsidR="00487A7D">
        <w:rPr>
          <w:rFonts w:ascii="Times New Roman" w:eastAsia="Gulim" w:hAnsi="Times New Roman"/>
          <w:sz w:val="24"/>
        </w:rPr>
        <w:t>behaviour</w:t>
      </w:r>
      <w:r w:rsidR="004301EF">
        <w:rPr>
          <w:rFonts w:ascii="Times New Roman" w:eastAsia="Gulim" w:hAnsi="Times New Roman"/>
          <w:sz w:val="24"/>
        </w:rPr>
        <w:t xml:space="preserve"> of the F-Gr IL-SSC </w:t>
      </w:r>
      <w:r w:rsidR="004301EF">
        <w:rPr>
          <w:rFonts w:ascii="Times New Roman" w:eastAsia="Gulim" w:hAnsi="Times New Roman"/>
          <w:sz w:val="24"/>
        </w:rPr>
        <w:lastRenderedPageBreak/>
        <w:t xml:space="preserve">device was recorded by using a temperature control chamber, as shown in </w:t>
      </w:r>
      <w:r w:rsidR="00546C21">
        <w:rPr>
          <w:rFonts w:ascii="Times New Roman" w:eastAsia="Gulim" w:hAnsi="Times New Roman"/>
          <w:sz w:val="24"/>
        </w:rPr>
        <w:t xml:space="preserve">Figure S10. The CV and EIS analysis was measured at various temperatures ranging from -10 to 80 °C, and its resilience is discussed by calculating the capacitive response. </w:t>
      </w:r>
    </w:p>
    <w:p w14:paraId="279DEA08" w14:textId="77777777" w:rsidR="007D7481" w:rsidRDefault="007D7481" w:rsidP="00456E2A">
      <w:pPr>
        <w:spacing w:after="0" w:line="480" w:lineRule="auto"/>
        <w:jc w:val="both"/>
        <w:rPr>
          <w:rFonts w:ascii="Times New Roman" w:eastAsia="Gulim" w:hAnsi="Times New Roman"/>
          <w:b/>
          <w:bCs/>
          <w:sz w:val="24"/>
        </w:rPr>
      </w:pPr>
      <w:r>
        <w:rPr>
          <w:rFonts w:ascii="Times New Roman" w:eastAsia="Gulim" w:hAnsi="Times New Roman"/>
          <w:b/>
          <w:bCs/>
          <w:sz w:val="24"/>
        </w:rPr>
        <w:t>S2. Electrochemical characterization</w:t>
      </w:r>
    </w:p>
    <w:p w14:paraId="7027EA54" w14:textId="77777777" w:rsidR="007D7481" w:rsidRPr="009C1CEE" w:rsidRDefault="007D7481" w:rsidP="00456E2A">
      <w:pPr>
        <w:spacing w:after="0" w:line="480" w:lineRule="auto"/>
        <w:jc w:val="both"/>
        <w:rPr>
          <w:rFonts w:ascii="Times New Roman" w:eastAsia="Gulim" w:hAnsi="Times New Roman"/>
          <w:b/>
          <w:bCs/>
          <w:sz w:val="24"/>
        </w:rPr>
      </w:pPr>
      <w:r>
        <w:rPr>
          <w:rFonts w:ascii="Times New Roman" w:eastAsia="Gulim" w:hAnsi="Times New Roman"/>
          <w:b/>
          <w:bCs/>
          <w:sz w:val="24"/>
        </w:rPr>
        <w:t>S</w:t>
      </w:r>
      <w:r w:rsidRPr="009C1CEE">
        <w:rPr>
          <w:rFonts w:ascii="Times New Roman" w:eastAsia="Gulim" w:hAnsi="Times New Roman"/>
          <w:b/>
          <w:bCs/>
          <w:sz w:val="24"/>
        </w:rPr>
        <w:t>2.</w:t>
      </w:r>
      <w:r>
        <w:rPr>
          <w:rFonts w:ascii="Times New Roman" w:eastAsia="Gulim" w:hAnsi="Times New Roman"/>
          <w:b/>
          <w:bCs/>
          <w:sz w:val="24"/>
        </w:rPr>
        <w:t>1</w:t>
      </w:r>
      <w:r w:rsidRPr="009C1CEE">
        <w:rPr>
          <w:rFonts w:ascii="Times New Roman" w:eastAsia="Gulim" w:hAnsi="Times New Roman"/>
          <w:b/>
          <w:bCs/>
          <w:sz w:val="24"/>
        </w:rPr>
        <w:t xml:space="preserve"> Supercapacitor device fabrication</w:t>
      </w:r>
    </w:p>
    <w:p w14:paraId="465585E9" w14:textId="39F9C43D" w:rsidR="007D7481" w:rsidRDefault="007D7481" w:rsidP="00456E2A">
      <w:pPr>
        <w:spacing w:after="0" w:line="480" w:lineRule="auto"/>
        <w:jc w:val="both"/>
        <w:rPr>
          <w:rFonts w:ascii="Times New Roman" w:hAnsi="Times New Roman"/>
          <w:sz w:val="24"/>
        </w:rPr>
      </w:pPr>
      <w:r w:rsidRPr="009C1CEE">
        <w:rPr>
          <w:rFonts w:ascii="Times New Roman" w:hAnsi="Times New Roman"/>
          <w:sz w:val="24"/>
        </w:rPr>
        <w:tab/>
        <w:t xml:space="preserve">The as-prepared electrode materials </w:t>
      </w:r>
      <w:r w:rsidR="00966C8E">
        <w:rPr>
          <w:rFonts w:ascii="Times New Roman" w:eastAsia="Gulim" w:hAnsi="Times New Roman"/>
          <w:sz w:val="24"/>
        </w:rPr>
        <w:t>F-Gr</w:t>
      </w:r>
      <w:r w:rsidR="00966C8E" w:rsidRPr="009C1CEE">
        <w:rPr>
          <w:rFonts w:ascii="Times New Roman" w:eastAsia="Gulim" w:hAnsi="Times New Roman"/>
          <w:sz w:val="24"/>
        </w:rPr>
        <w:t xml:space="preserve"> </w:t>
      </w:r>
      <w:proofErr w:type="gramStart"/>
      <w:r w:rsidR="001314BA">
        <w:rPr>
          <w:rFonts w:ascii="Times New Roman" w:hAnsi="Times New Roman"/>
          <w:sz w:val="24"/>
        </w:rPr>
        <w:t>are</w:t>
      </w:r>
      <w:proofErr w:type="gramEnd"/>
      <w:r w:rsidR="001314BA">
        <w:rPr>
          <w:rFonts w:ascii="Times New Roman" w:hAnsi="Times New Roman"/>
          <w:sz w:val="24"/>
        </w:rPr>
        <w:t xml:space="preserve"> mixed with PVDF binder at a</w:t>
      </w:r>
      <w:r w:rsidRPr="009C1CEE">
        <w:rPr>
          <w:rFonts w:ascii="Times New Roman" w:hAnsi="Times New Roman"/>
          <w:sz w:val="24"/>
        </w:rPr>
        <w:t xml:space="preserve"> ratio of 95:5 in an agate mortar to form a homogenous slurry. The slurry was coated on </w:t>
      </w:r>
      <w:r>
        <w:rPr>
          <w:rFonts w:ascii="Times New Roman" w:hAnsi="Times New Roman"/>
          <w:sz w:val="24"/>
        </w:rPr>
        <w:t>a stainless-steel substrate</w:t>
      </w:r>
      <w:r w:rsidR="009C3D05">
        <w:rPr>
          <w:rFonts w:ascii="Times New Roman" w:hAnsi="Times New Roman"/>
          <w:sz w:val="24"/>
        </w:rPr>
        <w:t>, and a coin-cell</w:t>
      </w:r>
      <w:r w:rsidRPr="009C1CEE">
        <w:rPr>
          <w:rFonts w:ascii="Times New Roman" w:hAnsi="Times New Roman"/>
          <w:sz w:val="24"/>
        </w:rPr>
        <w:t xml:space="preserve"> </w:t>
      </w:r>
      <w:r w:rsidRPr="007B4A79">
        <w:rPr>
          <w:rFonts w:ascii="Times New Roman" w:hAnsi="Times New Roman"/>
          <w:sz w:val="24"/>
        </w:rPr>
        <w:t xml:space="preserve">device was fabricated using a Celgard separator, and its performance was investigated in a </w:t>
      </w:r>
      <w:r w:rsidR="00AB67FD" w:rsidRPr="007B4A79">
        <w:rPr>
          <w:rFonts w:ascii="Times New Roman" w:hAnsi="Times New Roman"/>
          <w:sz w:val="24"/>
        </w:rPr>
        <w:t>TEABF</w:t>
      </w:r>
      <w:r w:rsidR="00AB67FD" w:rsidRPr="007B4A79">
        <w:rPr>
          <w:rFonts w:ascii="Times New Roman" w:hAnsi="Times New Roman"/>
          <w:sz w:val="24"/>
          <w:vertAlign w:val="subscript"/>
        </w:rPr>
        <w:t xml:space="preserve">4 </w:t>
      </w:r>
      <w:r w:rsidRPr="007B4A79">
        <w:rPr>
          <w:rFonts w:ascii="Times New Roman" w:hAnsi="Times New Roman"/>
          <w:sz w:val="24"/>
        </w:rPr>
        <w:t xml:space="preserve">electrolyte. </w:t>
      </w:r>
      <w:r w:rsidR="007B4A79" w:rsidRPr="007B4A79">
        <w:rPr>
          <w:rFonts w:ascii="Times New Roman" w:hAnsi="Times New Roman" w:cs="Times New Roman"/>
          <w:sz w:val="24"/>
        </w:rPr>
        <w:t xml:space="preserve">The electroactive mass of the coated electrodes is calculated from the difference in mass between the substrate before and after the coating of the active materials (F-Gr), which is approximately ~1.2 mg. </w:t>
      </w:r>
    </w:p>
    <w:p w14:paraId="59FF1CFA" w14:textId="77777777" w:rsidR="007D7481" w:rsidRPr="008D1EFF" w:rsidRDefault="007D7481" w:rsidP="00456E2A">
      <w:pPr>
        <w:adjustRightInd w:val="0"/>
        <w:spacing w:after="0" w:line="480" w:lineRule="auto"/>
        <w:contextualSpacing/>
        <w:jc w:val="both"/>
        <w:rPr>
          <w:rFonts w:ascii="Times New Roman" w:hAnsi="Times New Roman"/>
          <w:b/>
          <w:sz w:val="24"/>
        </w:rPr>
      </w:pPr>
      <w:r w:rsidRPr="008D1EFF">
        <w:rPr>
          <w:rFonts w:ascii="Times New Roman" w:hAnsi="Times New Roman"/>
          <w:b/>
          <w:sz w:val="24"/>
        </w:rPr>
        <w:t>S2.2 Determination of specific capacitance from CV and GCD profiles</w:t>
      </w:r>
    </w:p>
    <w:p w14:paraId="2B077ACA" w14:textId="75617DA3" w:rsidR="007D7481" w:rsidRPr="008D1EFF" w:rsidRDefault="007D7481" w:rsidP="00456E2A">
      <w:pPr>
        <w:adjustRightInd w:val="0"/>
        <w:spacing w:after="0" w:line="480" w:lineRule="auto"/>
        <w:contextualSpacing/>
        <w:jc w:val="both"/>
        <w:rPr>
          <w:rFonts w:ascii="Times New Roman" w:hAnsi="Times New Roman"/>
          <w:sz w:val="24"/>
        </w:rPr>
      </w:pPr>
      <w:r w:rsidRPr="008D1EFF">
        <w:rPr>
          <w:rFonts w:ascii="Times New Roman" w:hAnsi="Times New Roman"/>
          <w:sz w:val="24"/>
        </w:rPr>
        <w:tab/>
        <w:t xml:space="preserve">The specific capacitance for the electrode and the </w:t>
      </w:r>
      <w:r w:rsidR="009A3E15">
        <w:rPr>
          <w:rFonts w:ascii="Times New Roman" w:hAnsi="Times New Roman"/>
          <w:sz w:val="24"/>
        </w:rPr>
        <w:t>F-Gr IL-</w:t>
      </w:r>
      <w:r w:rsidR="009A3E15" w:rsidRPr="008D1EFF">
        <w:rPr>
          <w:rFonts w:ascii="Times New Roman" w:hAnsi="Times New Roman"/>
          <w:sz w:val="24"/>
        </w:rPr>
        <w:t xml:space="preserve">SSC </w:t>
      </w:r>
      <w:r w:rsidRPr="008D1EFF">
        <w:rPr>
          <w:rFonts w:ascii="Times New Roman" w:hAnsi="Times New Roman"/>
          <w:sz w:val="24"/>
        </w:rPr>
        <w:t>device was calculated using the relation</w:t>
      </w:r>
      <w:r>
        <w:rPr>
          <w:rFonts w:ascii="Times New Roman" w:hAnsi="Times New Roman"/>
          <w:sz w:val="24"/>
        </w:rPr>
        <w:t xml:space="preserve"> </w:t>
      </w:r>
      <w:r w:rsidRPr="008D1EFF">
        <w:rPr>
          <w:rFonts w:ascii="Times New Roman" w:hAnsi="Times New Roman"/>
          <w:sz w:val="24"/>
        </w:rPr>
        <w:fldChar w:fldCharType="begin" w:fldLock="1"/>
      </w:r>
      <w:r w:rsidR="000220B5">
        <w:rPr>
          <w:rFonts w:ascii="Times New Roman" w:hAnsi="Times New Roman"/>
          <w:sz w:val="24"/>
        </w:rPr>
        <w:instrText>ADDIN CSL_CITATION {"citationItems":[{"id":"ITEM-1","itemData":{"DOI":"10.1039/d0qm00421a","ISSN":"20521537","abstract":"The use of two-dimensional transition metal dichalcogenides as electrodes for energy storage devices is rapidly increasing due to their intriguing electrochemical properties. In this contribution, we demonstrate the high-performance supercapacitive properties of hydrothermally prepared rhenium disulfide nanostructures using Li2SO4 and TEABF4 electrolytes. Physico-chemical characterizations, such as X-ray diffraction analysis, laser Raman spectroscopy, and X-ray photoelectron spectroscopy, reveal the formation of rhenium disulfide with good stoichiometry. Cyclic voltammetry and electrochemical impedance analyses reveal the presence of ideal capacitive properties in the rhenium disulfide electrode. The rhenium disulfide electrode possesses a specific capacitance of about 189.28 F g-1 obtained from charge-discharge analysis at a current density of 0.5 mA cm-2 measured using a three-electrode configuration. The electrochemical studies of a rhenium disulfide symmetric supercapacitor device demonstrate the high-performance capacitive properties with a high cell capacitance of 35.75 F g-1 and high energy density of 3.17 W h kg-1 with excellent cyclic stability. The specific capacitance and energy density of a rhenium disulfide symmetric supercapacitor were boosted to 51.4 F g-1 and 28.55 W h kg-1 using TEABF4 electrolyte. Furthermore, the solar cell charged ReS2 SSC can efficiently power electronic devices for a long time, improving its effectiveness for the development of backup energy systems. The experimental results elucidate the potential use of rhenium disulfide nanostructures as an electrode material for high-performance supercapacitor devices.","author":[{"dropping-particle":"","family":"Pazhamalai","given":"Parthiban","non-dropping-particle":"","parse-names":false,"suffix":""},{"dropping-particle":"","family":"Krishnamoorthy","given":"Karthikeyan","non-dropping-particle":"","parse-names":false,"suffix":""},{"dropping-particle":"","family":"Mariappan","given":"Vimal Kumar","non-dropping-particle":"","parse-names":false,"suffix":""},{"dropping-particle":"","family":"Sathyaseelan","given":"Arunprasath","non-dropping-particle":"","parse-names":false,"suffix":""},{"dropping-particle":"","family":"Kim","given":"Sang Jae","non-dropping-particle":"","parse-names":false,"suffix":""}],"container-title":"Materials Chemistry Frontiers","id":"ITEM-1","issue":"11","issued":{"date-parts":[["2020"]]},"page":"3290-3301","title":"Solar driven renewable energy storage using rhenium disulfide nanostructure based rechargeable supercapacitors","type":"article-journal","volume":"4"},"uris":["http://www.mendeley.com/documents/?uuid=65d838f1-d2c0-4cf2-a490-9a704bf4b7ad"]}],"mendeley":{"formattedCitation":"[1]","plainTextFormattedCitation":"[1]","previouslyFormattedCitation":"[1]"},"properties":{"noteIndex":0},"schema":"https://github.com/citation-style-language/schema/raw/master/csl-citation.json"}</w:instrText>
      </w:r>
      <w:r w:rsidRPr="008D1EFF">
        <w:rPr>
          <w:rFonts w:ascii="Times New Roman" w:hAnsi="Times New Roman"/>
          <w:sz w:val="24"/>
        </w:rPr>
        <w:fldChar w:fldCharType="separate"/>
      </w:r>
      <w:r w:rsidR="009D2408" w:rsidRPr="009D2408">
        <w:rPr>
          <w:rFonts w:ascii="Times New Roman" w:hAnsi="Times New Roman"/>
          <w:noProof/>
          <w:sz w:val="24"/>
        </w:rPr>
        <w:t>[1]</w:t>
      </w:r>
      <w:r w:rsidRPr="008D1EFF">
        <w:rPr>
          <w:rFonts w:ascii="Times New Roman" w:hAnsi="Times New Roman"/>
          <w:sz w:val="24"/>
        </w:rPr>
        <w:fldChar w:fldCharType="end"/>
      </w:r>
      <w:r w:rsidRPr="008D1EFF">
        <w:rPr>
          <w:rFonts w:ascii="Times New Roman" w:hAnsi="Times New Roman"/>
          <w:sz w:val="24"/>
        </w:rPr>
        <w:t>:</w:t>
      </w:r>
    </w:p>
    <w:p w14:paraId="58FE544C" w14:textId="77777777" w:rsidR="007D7481" w:rsidRPr="008D1EFF" w:rsidRDefault="007D7481" w:rsidP="00456E2A">
      <w:pPr>
        <w:adjustRightInd w:val="0"/>
        <w:spacing w:after="0" w:line="480" w:lineRule="auto"/>
        <w:contextualSpacing/>
        <w:jc w:val="center"/>
        <w:rPr>
          <w:rFonts w:ascii="Times New Roman" w:hAnsi="Times New Roman"/>
          <w:sz w:val="24"/>
        </w:rPr>
      </w:pPr>
      <w:r w:rsidRPr="008D1EFF">
        <w:rPr>
          <w:rFonts w:ascii="Times New Roman" w:hAnsi="Times New Roman"/>
          <w:sz w:val="24"/>
        </w:rPr>
        <w:t>C</w:t>
      </w:r>
      <w:r w:rsidRPr="008D1EFF">
        <w:rPr>
          <w:rFonts w:ascii="Times New Roman" w:hAnsi="Times New Roman"/>
          <w:sz w:val="24"/>
          <w:vertAlign w:val="subscript"/>
        </w:rPr>
        <w:t>s</w:t>
      </w:r>
      <w:r w:rsidRPr="008D1EFF">
        <w:rPr>
          <w:rFonts w:ascii="Times New Roman" w:hAnsi="Times New Roman"/>
          <w:sz w:val="24"/>
        </w:rPr>
        <w:t xml:space="preserve"> = [ʃ </w:t>
      </w:r>
      <w:proofErr w:type="spellStart"/>
      <w:r w:rsidRPr="008D1EFF">
        <w:rPr>
          <w:rFonts w:ascii="Times New Roman" w:hAnsi="Times New Roman"/>
          <w:sz w:val="24"/>
        </w:rPr>
        <w:t>IdV</w:t>
      </w:r>
      <w:proofErr w:type="spellEnd"/>
      <w:r w:rsidRPr="008D1EFF">
        <w:rPr>
          <w:rFonts w:ascii="Times New Roman" w:hAnsi="Times New Roman"/>
          <w:sz w:val="24"/>
        </w:rPr>
        <w:t xml:space="preserve"> / (s ×∆V× M)] .......................... (1)</w:t>
      </w:r>
    </w:p>
    <w:p w14:paraId="2FF4DB4D" w14:textId="77777777" w:rsidR="007D7481" w:rsidRPr="008D1EFF" w:rsidRDefault="007D7481" w:rsidP="00456E2A">
      <w:pPr>
        <w:adjustRightInd w:val="0"/>
        <w:spacing w:after="0" w:line="480" w:lineRule="auto"/>
        <w:contextualSpacing/>
        <w:jc w:val="center"/>
        <w:rPr>
          <w:rFonts w:ascii="Times New Roman" w:hAnsi="Times New Roman"/>
          <w:sz w:val="24"/>
        </w:rPr>
      </w:pPr>
      <w:r w:rsidRPr="008D1EFF">
        <w:rPr>
          <w:rFonts w:ascii="Times New Roman" w:hAnsi="Times New Roman"/>
          <w:sz w:val="24"/>
        </w:rPr>
        <w:t>C</w:t>
      </w:r>
      <w:r w:rsidRPr="008D1EFF">
        <w:rPr>
          <w:rFonts w:ascii="Times New Roman" w:hAnsi="Times New Roman"/>
          <w:sz w:val="24"/>
          <w:vertAlign w:val="subscript"/>
        </w:rPr>
        <w:t>s</w:t>
      </w:r>
      <w:r w:rsidRPr="008D1EFF">
        <w:rPr>
          <w:rFonts w:ascii="Times New Roman" w:hAnsi="Times New Roman"/>
          <w:sz w:val="24"/>
        </w:rPr>
        <w:t xml:space="preserve"> = (I </w:t>
      </w:r>
      <w:r w:rsidRPr="008D1EFF">
        <w:rPr>
          <w:rFonts w:ascii="Times New Roman" w:hAnsi="Times New Roman"/>
          <w:sz w:val="24"/>
        </w:rPr>
        <w:sym w:font="Symbol" w:char="F0B4"/>
      </w:r>
      <w:r w:rsidRPr="008D1EFF">
        <w:rPr>
          <w:rFonts w:ascii="Times New Roman" w:hAnsi="Times New Roman"/>
          <w:sz w:val="24"/>
        </w:rPr>
        <w:t xml:space="preserve"> t</w:t>
      </w:r>
      <w:r w:rsidRPr="008D1EFF">
        <w:rPr>
          <w:rFonts w:ascii="Times New Roman" w:hAnsi="Times New Roman"/>
          <w:sz w:val="24"/>
          <w:vertAlign w:val="subscript"/>
        </w:rPr>
        <w:t>d</w:t>
      </w:r>
      <w:r w:rsidRPr="008D1EFF">
        <w:rPr>
          <w:rFonts w:ascii="Times New Roman" w:hAnsi="Times New Roman"/>
          <w:sz w:val="24"/>
        </w:rPr>
        <w:t xml:space="preserve">) / (M </w:t>
      </w:r>
      <w:r w:rsidRPr="008D1EFF">
        <w:rPr>
          <w:rFonts w:ascii="Times New Roman" w:hAnsi="Times New Roman"/>
          <w:sz w:val="24"/>
        </w:rPr>
        <w:sym w:font="Symbol" w:char="F0B4"/>
      </w:r>
      <w:r w:rsidRPr="008D1EFF">
        <w:rPr>
          <w:rFonts w:ascii="Times New Roman" w:hAnsi="Times New Roman"/>
          <w:sz w:val="24"/>
        </w:rPr>
        <w:t xml:space="preserve"> </w:t>
      </w:r>
      <w:r w:rsidRPr="008D1EFF">
        <w:rPr>
          <w:rFonts w:ascii="Times New Roman" w:hAnsi="Times New Roman"/>
          <w:sz w:val="24"/>
        </w:rPr>
        <w:sym w:font="Symbol" w:char="F044"/>
      </w:r>
      <w:r w:rsidRPr="008D1EFF">
        <w:rPr>
          <w:rFonts w:ascii="Times New Roman" w:hAnsi="Times New Roman"/>
          <w:sz w:val="24"/>
        </w:rPr>
        <w:t xml:space="preserve">V) </w:t>
      </w:r>
      <w:r>
        <w:rPr>
          <w:rFonts w:ascii="Times New Roman" w:hAnsi="Times New Roman"/>
          <w:sz w:val="24"/>
        </w:rPr>
        <w:t xml:space="preserve">      </w:t>
      </w:r>
      <w:r w:rsidRPr="008D1EFF">
        <w:rPr>
          <w:rFonts w:ascii="Times New Roman" w:hAnsi="Times New Roman"/>
          <w:sz w:val="24"/>
        </w:rPr>
        <w:t>………………. (2)</w:t>
      </w:r>
    </w:p>
    <w:p w14:paraId="5F8DDDD5" w14:textId="30DC8ADB" w:rsidR="007D7481" w:rsidRDefault="007D7481" w:rsidP="00456E2A">
      <w:pPr>
        <w:adjustRightInd w:val="0"/>
        <w:spacing w:after="0" w:line="480" w:lineRule="auto"/>
        <w:contextualSpacing/>
        <w:jc w:val="both"/>
        <w:rPr>
          <w:rFonts w:ascii="Times New Roman" w:hAnsi="Times New Roman"/>
          <w:sz w:val="24"/>
        </w:rPr>
      </w:pPr>
      <w:r w:rsidRPr="008D1EFF">
        <w:rPr>
          <w:rFonts w:ascii="Times New Roman" w:hAnsi="Times New Roman"/>
          <w:sz w:val="24"/>
        </w:rPr>
        <w:tab/>
        <w:t>Here</w:t>
      </w:r>
      <w:r w:rsidR="001314BA">
        <w:rPr>
          <w:rFonts w:ascii="Times New Roman" w:hAnsi="Times New Roman"/>
          <w:sz w:val="24"/>
        </w:rPr>
        <w:t>,</w:t>
      </w:r>
      <w:r w:rsidRPr="008D1EFF">
        <w:rPr>
          <w:rFonts w:ascii="Times New Roman" w:hAnsi="Times New Roman"/>
          <w:sz w:val="24"/>
        </w:rPr>
        <w:t xml:space="preserve"> “C</w:t>
      </w:r>
      <w:r w:rsidRPr="008D1EFF">
        <w:rPr>
          <w:rFonts w:ascii="Times New Roman" w:hAnsi="Times New Roman"/>
          <w:sz w:val="24"/>
          <w:vertAlign w:val="subscript"/>
        </w:rPr>
        <w:t>s</w:t>
      </w:r>
      <w:r w:rsidRPr="008D1EFF">
        <w:rPr>
          <w:rFonts w:ascii="Times New Roman" w:hAnsi="Times New Roman"/>
          <w:sz w:val="24"/>
        </w:rPr>
        <w:t>” is the specific capacitance (F g</w:t>
      </w:r>
      <w:r w:rsidRPr="008D1EFF">
        <w:rPr>
          <w:rFonts w:ascii="Times New Roman" w:hAnsi="Times New Roman"/>
          <w:sz w:val="24"/>
          <w:vertAlign w:val="superscript"/>
        </w:rPr>
        <w:t>-1</w:t>
      </w:r>
      <w:r w:rsidRPr="008D1EFF">
        <w:rPr>
          <w:rFonts w:ascii="Times New Roman" w:hAnsi="Times New Roman"/>
          <w:sz w:val="24"/>
        </w:rPr>
        <w:t>), “I” is the current (A), “s” is the scan rate (mV s</w:t>
      </w:r>
      <w:r w:rsidRPr="008D1EFF">
        <w:rPr>
          <w:rFonts w:ascii="Times New Roman" w:hAnsi="Times New Roman"/>
          <w:sz w:val="24"/>
          <w:vertAlign w:val="superscript"/>
        </w:rPr>
        <w:t>-1</w:t>
      </w:r>
      <w:r w:rsidRPr="008D1EFF">
        <w:rPr>
          <w:rFonts w:ascii="Times New Roman" w:hAnsi="Times New Roman"/>
          <w:sz w:val="24"/>
        </w:rPr>
        <w:t>), “∆V” is the potential window (V), “t</w:t>
      </w:r>
      <w:r w:rsidRPr="008D1EFF">
        <w:rPr>
          <w:rFonts w:ascii="Times New Roman" w:hAnsi="Times New Roman"/>
          <w:sz w:val="24"/>
          <w:vertAlign w:val="subscript"/>
        </w:rPr>
        <w:t>d</w:t>
      </w:r>
      <w:r w:rsidRPr="008D1EFF">
        <w:rPr>
          <w:rFonts w:ascii="Times New Roman" w:hAnsi="Times New Roman"/>
          <w:sz w:val="24"/>
        </w:rPr>
        <w:t>” is the discharge time</w:t>
      </w:r>
      <w:r w:rsidR="001314BA">
        <w:rPr>
          <w:rFonts w:ascii="Times New Roman" w:hAnsi="Times New Roman"/>
          <w:sz w:val="24"/>
        </w:rPr>
        <w:t>,</w:t>
      </w:r>
      <w:r w:rsidRPr="008D1EFF">
        <w:rPr>
          <w:rFonts w:ascii="Times New Roman" w:hAnsi="Times New Roman"/>
          <w:sz w:val="24"/>
        </w:rPr>
        <w:t xml:space="preserve"> and “M” is the mass of the electrode (g).</w:t>
      </w:r>
    </w:p>
    <w:p w14:paraId="399915A7" w14:textId="6CCB9809" w:rsidR="00E81531" w:rsidRPr="00E81531" w:rsidRDefault="00F74E9B" w:rsidP="00E81531">
      <w:pPr>
        <w:adjustRightInd w:val="0"/>
        <w:spacing w:after="0" w:line="480" w:lineRule="auto"/>
        <w:contextualSpacing/>
        <w:jc w:val="both"/>
        <w:rPr>
          <w:rFonts w:ascii="Times New Roman" w:hAnsi="Times New Roman"/>
          <w:sz w:val="24"/>
          <w:lang w:val="de-DE"/>
        </w:rPr>
      </w:pPr>
      <w:r>
        <w:rPr>
          <w:rFonts w:ascii="Times New Roman" w:hAnsi="Times New Roman"/>
          <w:sz w:val="24"/>
          <w:lang w:val="de-DE"/>
        </w:rPr>
        <w:tab/>
      </w:r>
      <w:r w:rsidR="00E81531" w:rsidRPr="00E81531">
        <w:rPr>
          <w:rFonts w:ascii="Times New Roman" w:hAnsi="Times New Roman"/>
          <w:sz w:val="24"/>
          <w:lang w:val="de-DE"/>
        </w:rPr>
        <w:t xml:space="preserve">The coulombic and energy efficiency were calculated by using the following equations; </w:t>
      </w:r>
    </w:p>
    <w:p w14:paraId="40E06FF9" w14:textId="25E4E34A" w:rsidR="00E81531" w:rsidRPr="00487A7D" w:rsidRDefault="00E81531" w:rsidP="00F74E9B">
      <w:pPr>
        <w:adjustRightInd w:val="0"/>
        <w:spacing w:after="0" w:line="480" w:lineRule="auto"/>
        <w:contextualSpacing/>
        <w:jc w:val="center"/>
        <w:rPr>
          <w:rFonts w:ascii="Times New Roman" w:hAnsi="Times New Roman" w:cs="Times New Roman"/>
          <w:iCs/>
          <w:sz w:val="24"/>
          <w:lang w:val="de-DE"/>
        </w:rPr>
      </w:pPr>
      <m:oMath>
        <m:r>
          <m:rPr>
            <m:sty m:val="p"/>
          </m:rPr>
          <w:rPr>
            <w:rFonts w:ascii="Cambria Math" w:hAnsi="Cambria Math" w:cs="Times New Roman"/>
            <w:sz w:val="24"/>
            <w:lang w:val="de-DE"/>
          </w:rPr>
          <m:t>Coulombic efficiency (%)=</m:t>
        </m:r>
        <m:f>
          <m:fPr>
            <m:ctrlPr>
              <w:rPr>
                <w:rFonts w:ascii="Cambria Math" w:hAnsi="Cambria Math" w:cs="Times New Roman"/>
                <w:iCs/>
                <w:sz w:val="24"/>
                <w:lang w:val="de-DE"/>
              </w:rPr>
            </m:ctrlPr>
          </m:fPr>
          <m:num>
            <m:r>
              <m:rPr>
                <m:sty m:val="p"/>
              </m:rPr>
              <w:rPr>
                <w:rFonts w:ascii="Cambria Math" w:hAnsi="Cambria Math" w:cs="Times New Roman"/>
                <w:sz w:val="24"/>
                <w:lang w:val="de-DE"/>
              </w:rPr>
              <m:t>Dicharge time ×100</m:t>
            </m:r>
          </m:num>
          <m:den>
            <m:r>
              <m:rPr>
                <m:sty m:val="p"/>
              </m:rPr>
              <w:rPr>
                <w:rFonts w:ascii="Cambria Math" w:hAnsi="Cambria Math" w:cs="Times New Roman"/>
                <w:sz w:val="24"/>
                <w:lang w:val="de-DE"/>
              </w:rPr>
              <m:t>Charge time</m:t>
            </m:r>
          </m:den>
        </m:f>
      </m:oMath>
      <w:r w:rsidRPr="00487A7D">
        <w:rPr>
          <w:rFonts w:ascii="Times New Roman" w:hAnsi="Times New Roman" w:cs="Times New Roman"/>
          <w:iCs/>
          <w:sz w:val="24"/>
          <w:lang w:val="de-DE"/>
        </w:rPr>
        <w:t xml:space="preserve"> </w:t>
      </w:r>
      <w:r w:rsidR="00F74E9B" w:rsidRPr="00487A7D">
        <w:rPr>
          <w:rFonts w:ascii="Times New Roman" w:hAnsi="Times New Roman" w:cs="Times New Roman"/>
          <w:iCs/>
          <w:sz w:val="24"/>
          <w:lang w:val="de-DE"/>
        </w:rPr>
        <w:t>....................</w:t>
      </w:r>
      <w:r w:rsidRPr="00487A7D">
        <w:rPr>
          <w:rFonts w:ascii="Times New Roman" w:hAnsi="Times New Roman" w:cs="Times New Roman"/>
          <w:iCs/>
          <w:sz w:val="24"/>
          <w:lang w:val="de-DE"/>
        </w:rPr>
        <w:t xml:space="preserve"> </w:t>
      </w:r>
      <w:r w:rsidR="00F74E9B" w:rsidRPr="00487A7D">
        <w:rPr>
          <w:rFonts w:ascii="Times New Roman" w:hAnsi="Times New Roman" w:cs="Times New Roman"/>
          <w:iCs/>
          <w:sz w:val="24"/>
          <w:lang w:val="de-DE"/>
        </w:rPr>
        <w:t>(3)</w:t>
      </w:r>
    </w:p>
    <w:p w14:paraId="28031E57" w14:textId="72428B7D" w:rsidR="00E81531" w:rsidRPr="00487A7D" w:rsidRDefault="00E81531" w:rsidP="00B235E3">
      <w:pPr>
        <w:adjustRightInd w:val="0"/>
        <w:spacing w:after="0" w:line="480" w:lineRule="auto"/>
        <w:contextualSpacing/>
        <w:jc w:val="center"/>
        <w:rPr>
          <w:rFonts w:ascii="Times New Roman" w:hAnsi="Times New Roman" w:cs="Times New Roman"/>
          <w:sz w:val="24"/>
          <w:lang w:val="de-DE"/>
        </w:rPr>
      </w:pPr>
      <m:oMath>
        <m:r>
          <m:rPr>
            <m:sty m:val="p"/>
          </m:rPr>
          <w:rPr>
            <w:rFonts w:ascii="Cambria Math" w:hAnsi="Cambria Math" w:cs="Times New Roman"/>
            <w:sz w:val="24"/>
            <w:lang w:val="de-DE"/>
          </w:rPr>
          <m:t>Energy efficiency (%)=</m:t>
        </m:r>
        <m:f>
          <m:fPr>
            <m:ctrlPr>
              <w:rPr>
                <w:rFonts w:ascii="Cambria Math" w:hAnsi="Cambria Math" w:cs="Times New Roman"/>
                <w:iCs/>
                <w:sz w:val="24"/>
                <w:lang w:val="de-DE"/>
              </w:rPr>
            </m:ctrlPr>
          </m:fPr>
          <m:num>
            <m:r>
              <m:rPr>
                <m:sty m:val="p"/>
              </m:rPr>
              <w:rPr>
                <w:rFonts w:ascii="Cambria Math" w:hAnsi="Cambria Math" w:cs="Times New Roman"/>
                <w:sz w:val="24"/>
                <w:lang w:val="de-DE"/>
              </w:rPr>
              <m:t>dicharge specific energy ×100</m:t>
            </m:r>
          </m:num>
          <m:den>
            <m:r>
              <m:rPr>
                <m:sty m:val="p"/>
              </m:rPr>
              <w:rPr>
                <w:rFonts w:ascii="Cambria Math" w:hAnsi="Cambria Math" w:cs="Times New Roman"/>
                <w:sz w:val="24"/>
                <w:lang w:val="de-DE"/>
              </w:rPr>
              <m:t xml:space="preserve">charge specific energy </m:t>
            </m:r>
          </m:den>
        </m:f>
      </m:oMath>
      <w:r w:rsidR="00F74E9B" w:rsidRPr="00487A7D">
        <w:rPr>
          <w:rFonts w:ascii="Times New Roman" w:hAnsi="Times New Roman" w:cs="Times New Roman"/>
          <w:iCs/>
          <w:sz w:val="24"/>
          <w:lang w:val="de-DE"/>
        </w:rPr>
        <w:t xml:space="preserve"> ....................(4)</w:t>
      </w:r>
    </w:p>
    <w:p w14:paraId="60840B72" w14:textId="77777777" w:rsidR="007D7481" w:rsidRPr="008B6AB3" w:rsidRDefault="007D7481" w:rsidP="00456E2A">
      <w:pPr>
        <w:adjustRightInd w:val="0"/>
        <w:spacing w:after="0" w:line="480" w:lineRule="auto"/>
        <w:contextualSpacing/>
        <w:jc w:val="both"/>
        <w:rPr>
          <w:rFonts w:ascii="Times New Roman" w:hAnsi="Times New Roman"/>
          <w:b/>
          <w:sz w:val="24"/>
        </w:rPr>
      </w:pPr>
      <w:r w:rsidRPr="008B6AB3">
        <w:rPr>
          <w:rFonts w:ascii="Times New Roman" w:hAnsi="Times New Roman"/>
          <w:b/>
          <w:sz w:val="24"/>
        </w:rPr>
        <w:t>S2.3 Determination of energy and power density</w:t>
      </w:r>
    </w:p>
    <w:p w14:paraId="44B7F0CD" w14:textId="13A851D1" w:rsidR="007D7481" w:rsidRPr="008D1EFF" w:rsidRDefault="007D7481" w:rsidP="00456E2A">
      <w:pPr>
        <w:adjustRightInd w:val="0"/>
        <w:spacing w:after="0" w:line="480" w:lineRule="auto"/>
        <w:ind w:firstLine="800"/>
        <w:contextualSpacing/>
        <w:jc w:val="both"/>
        <w:rPr>
          <w:rFonts w:ascii="Times New Roman" w:hAnsi="Times New Roman"/>
          <w:sz w:val="24"/>
        </w:rPr>
      </w:pPr>
      <w:r w:rsidRPr="008D1EFF">
        <w:rPr>
          <w:rFonts w:ascii="Times New Roman" w:hAnsi="Times New Roman"/>
          <w:sz w:val="24"/>
        </w:rPr>
        <w:t xml:space="preserve">The energy and power density for the </w:t>
      </w:r>
      <w:r w:rsidR="009A3E15">
        <w:rPr>
          <w:rFonts w:ascii="Times New Roman" w:hAnsi="Times New Roman"/>
          <w:sz w:val="24"/>
        </w:rPr>
        <w:t>F-Gr IL-</w:t>
      </w:r>
      <w:r w:rsidRPr="008D1EFF">
        <w:rPr>
          <w:rFonts w:ascii="Times New Roman" w:hAnsi="Times New Roman"/>
          <w:sz w:val="24"/>
        </w:rPr>
        <w:t xml:space="preserve">SSC device </w:t>
      </w:r>
      <w:r>
        <w:rPr>
          <w:rFonts w:ascii="Times New Roman" w:hAnsi="Times New Roman"/>
          <w:sz w:val="24"/>
        </w:rPr>
        <w:t>were</w:t>
      </w:r>
      <w:r w:rsidRPr="008D1EFF">
        <w:rPr>
          <w:rFonts w:ascii="Times New Roman" w:hAnsi="Times New Roman"/>
          <w:sz w:val="24"/>
        </w:rPr>
        <w:t xml:space="preserve"> obtained using the </w:t>
      </w:r>
      <w:r w:rsidRPr="008D1EFF">
        <w:rPr>
          <w:rFonts w:ascii="Times New Roman" w:hAnsi="Times New Roman"/>
          <w:sz w:val="24"/>
        </w:rPr>
        <w:lastRenderedPageBreak/>
        <w:t>relations:</w:t>
      </w:r>
    </w:p>
    <w:p w14:paraId="5F9DC0E3" w14:textId="2EA15A20" w:rsidR="007D7481" w:rsidRPr="008D1EFF" w:rsidRDefault="007D7481" w:rsidP="00456E2A">
      <w:pPr>
        <w:adjustRightInd w:val="0"/>
        <w:spacing w:after="0" w:line="480" w:lineRule="auto"/>
        <w:contextualSpacing/>
        <w:jc w:val="center"/>
        <w:rPr>
          <w:rFonts w:ascii="Times New Roman" w:hAnsi="Times New Roman"/>
          <w:iCs/>
          <w:sz w:val="24"/>
        </w:rPr>
      </w:pPr>
      <w:r w:rsidRPr="008D1EFF">
        <w:rPr>
          <w:rFonts w:ascii="Times New Roman" w:hAnsi="Times New Roman"/>
          <w:iCs/>
          <w:sz w:val="24"/>
        </w:rPr>
        <w:t>E = (C</w:t>
      </w:r>
      <w:r w:rsidRPr="008B6AB3">
        <w:rPr>
          <w:rFonts w:ascii="Times New Roman" w:hAnsi="Times New Roman"/>
          <w:iCs/>
          <w:sz w:val="24"/>
          <w:vertAlign w:val="subscript"/>
        </w:rPr>
        <w:t>s</w:t>
      </w:r>
      <w:r w:rsidRPr="008D1EFF">
        <w:rPr>
          <w:rFonts w:ascii="Times New Roman" w:hAnsi="Times New Roman"/>
          <w:iCs/>
          <w:sz w:val="24"/>
        </w:rPr>
        <w:t xml:space="preserve"> × </w:t>
      </w:r>
      <w:r w:rsidRPr="008D1EFF">
        <w:rPr>
          <w:rFonts w:ascii="Times New Roman" w:hAnsi="Times New Roman"/>
          <w:sz w:val="24"/>
        </w:rPr>
        <w:sym w:font="Symbol" w:char="F044"/>
      </w:r>
      <w:r w:rsidRPr="008D1EFF">
        <w:rPr>
          <w:rFonts w:ascii="Times New Roman" w:hAnsi="Times New Roman"/>
          <w:sz w:val="24"/>
        </w:rPr>
        <w:t>V</w:t>
      </w:r>
      <w:r w:rsidRPr="008D1EFF">
        <w:rPr>
          <w:rFonts w:ascii="Times New Roman" w:hAnsi="Times New Roman"/>
          <w:sz w:val="24"/>
          <w:vertAlign w:val="superscript"/>
        </w:rPr>
        <w:t>2</w:t>
      </w:r>
      <w:r w:rsidRPr="008D1EFF">
        <w:rPr>
          <w:rFonts w:ascii="Times New Roman" w:hAnsi="Times New Roman"/>
          <w:iCs/>
          <w:sz w:val="24"/>
        </w:rPr>
        <w:t xml:space="preserve">)/2 </w:t>
      </w:r>
      <w:r w:rsidRPr="008D1EFF">
        <w:rPr>
          <w:rFonts w:ascii="Times New Roman" w:hAnsi="Times New Roman"/>
          <w:sz w:val="24"/>
        </w:rPr>
        <w:t>……………….……</w:t>
      </w:r>
      <w:r w:rsidRPr="008D1EFF">
        <w:rPr>
          <w:rFonts w:ascii="Times New Roman" w:hAnsi="Times New Roman"/>
          <w:iCs/>
          <w:sz w:val="24"/>
        </w:rPr>
        <w:t xml:space="preserve"> </w:t>
      </w:r>
      <w:r w:rsidRPr="008D1EFF">
        <w:rPr>
          <w:rFonts w:ascii="Times New Roman" w:hAnsi="Times New Roman"/>
          <w:sz w:val="24"/>
        </w:rPr>
        <w:t>(</w:t>
      </w:r>
      <w:r w:rsidR="00F74E9B">
        <w:rPr>
          <w:rFonts w:ascii="Times New Roman" w:hAnsi="Times New Roman"/>
          <w:sz w:val="24"/>
        </w:rPr>
        <w:t>5</w:t>
      </w:r>
      <w:r w:rsidRPr="008D1EFF">
        <w:rPr>
          <w:rFonts w:ascii="Times New Roman" w:hAnsi="Times New Roman"/>
          <w:sz w:val="24"/>
        </w:rPr>
        <w:t>)</w:t>
      </w:r>
    </w:p>
    <w:p w14:paraId="41FDAB31" w14:textId="7060EAD3" w:rsidR="007D7481" w:rsidRPr="008D1EFF" w:rsidRDefault="007D7481" w:rsidP="00456E2A">
      <w:pPr>
        <w:adjustRightInd w:val="0"/>
        <w:spacing w:after="0" w:line="480" w:lineRule="auto"/>
        <w:contextualSpacing/>
        <w:jc w:val="center"/>
        <w:rPr>
          <w:rFonts w:ascii="Times New Roman" w:hAnsi="Times New Roman"/>
          <w:i/>
          <w:iCs/>
          <w:sz w:val="24"/>
        </w:rPr>
      </w:pPr>
      <w:r w:rsidRPr="008D1EFF">
        <w:rPr>
          <w:rFonts w:ascii="Times New Roman" w:hAnsi="Times New Roman"/>
          <w:iCs/>
          <w:sz w:val="24"/>
        </w:rPr>
        <w:t>P = E/</w:t>
      </w:r>
      <w:r w:rsidRPr="008D1EFF">
        <w:rPr>
          <w:rFonts w:ascii="Times New Roman" w:hAnsi="Times New Roman"/>
          <w:sz w:val="24"/>
        </w:rPr>
        <w:t>t</w:t>
      </w:r>
      <w:r w:rsidRPr="008D1EFF">
        <w:rPr>
          <w:rFonts w:ascii="Times New Roman" w:hAnsi="Times New Roman"/>
          <w:sz w:val="24"/>
          <w:vertAlign w:val="subscript"/>
        </w:rPr>
        <w:t>d</w:t>
      </w:r>
      <w:r w:rsidRPr="008D1EFF">
        <w:rPr>
          <w:rFonts w:ascii="Times New Roman" w:hAnsi="Times New Roman"/>
          <w:iCs/>
          <w:sz w:val="24"/>
        </w:rPr>
        <w:t xml:space="preserve">   </w:t>
      </w:r>
      <w:r w:rsidRPr="008D1EFF">
        <w:rPr>
          <w:rFonts w:ascii="Times New Roman" w:hAnsi="Times New Roman"/>
          <w:i/>
          <w:iCs/>
          <w:sz w:val="24"/>
        </w:rPr>
        <w:t>………….</w:t>
      </w:r>
      <w:r w:rsidRPr="008D1EFF">
        <w:rPr>
          <w:rFonts w:ascii="Times New Roman" w:hAnsi="Times New Roman"/>
          <w:sz w:val="24"/>
        </w:rPr>
        <w:t>……………</w:t>
      </w:r>
      <w:proofErr w:type="gramStart"/>
      <w:r w:rsidRPr="008D1EFF">
        <w:rPr>
          <w:rFonts w:ascii="Times New Roman" w:hAnsi="Times New Roman"/>
          <w:sz w:val="24"/>
        </w:rPr>
        <w:t>…..</w:t>
      </w:r>
      <w:proofErr w:type="gramEnd"/>
      <w:r w:rsidRPr="008D1EFF">
        <w:rPr>
          <w:rFonts w:ascii="Times New Roman" w:hAnsi="Times New Roman"/>
          <w:sz w:val="24"/>
        </w:rPr>
        <w:t>…</w:t>
      </w:r>
      <w:r w:rsidRPr="008D1EFF">
        <w:rPr>
          <w:rFonts w:ascii="Times New Roman" w:hAnsi="Times New Roman"/>
          <w:i/>
          <w:iCs/>
          <w:sz w:val="24"/>
        </w:rPr>
        <w:t xml:space="preserve"> </w:t>
      </w:r>
      <w:r w:rsidRPr="008D1EFF">
        <w:rPr>
          <w:rFonts w:ascii="Times New Roman" w:hAnsi="Times New Roman"/>
          <w:sz w:val="24"/>
        </w:rPr>
        <w:t>(</w:t>
      </w:r>
      <w:r w:rsidR="00F74E9B">
        <w:rPr>
          <w:rFonts w:ascii="Times New Roman" w:hAnsi="Times New Roman"/>
          <w:sz w:val="24"/>
        </w:rPr>
        <w:t>6</w:t>
      </w:r>
      <w:r w:rsidRPr="008D1EFF">
        <w:rPr>
          <w:rFonts w:ascii="Times New Roman" w:hAnsi="Times New Roman"/>
          <w:sz w:val="24"/>
        </w:rPr>
        <w:t>)</w:t>
      </w:r>
    </w:p>
    <w:p w14:paraId="3B9D51C4" w14:textId="134E8F54" w:rsidR="007D7481" w:rsidRPr="008D1EFF" w:rsidRDefault="007D7481" w:rsidP="00456E2A">
      <w:pPr>
        <w:adjustRightInd w:val="0"/>
        <w:spacing w:after="0" w:line="480" w:lineRule="auto"/>
        <w:contextualSpacing/>
        <w:jc w:val="both"/>
        <w:rPr>
          <w:rFonts w:ascii="Times New Roman" w:hAnsi="Times New Roman"/>
          <w:sz w:val="24"/>
        </w:rPr>
      </w:pPr>
      <w:r w:rsidRPr="008D1EFF">
        <w:rPr>
          <w:rFonts w:ascii="Times New Roman" w:hAnsi="Times New Roman"/>
          <w:sz w:val="24"/>
        </w:rPr>
        <w:tab/>
        <w:t>Here</w:t>
      </w:r>
      <w:r w:rsidR="001314BA">
        <w:rPr>
          <w:rFonts w:ascii="Times New Roman" w:hAnsi="Times New Roman"/>
          <w:sz w:val="24"/>
        </w:rPr>
        <w:t>,</w:t>
      </w:r>
      <w:r w:rsidRPr="008D1EFF">
        <w:rPr>
          <w:rFonts w:ascii="Times New Roman" w:hAnsi="Times New Roman"/>
          <w:sz w:val="24"/>
        </w:rPr>
        <w:t xml:space="preserve"> “C</w:t>
      </w:r>
      <w:r w:rsidRPr="008D1EFF">
        <w:rPr>
          <w:rFonts w:ascii="Times New Roman" w:hAnsi="Times New Roman"/>
          <w:i/>
          <w:iCs/>
          <w:sz w:val="24"/>
          <w:vertAlign w:val="subscript"/>
        </w:rPr>
        <w:t>s</w:t>
      </w:r>
      <w:r w:rsidRPr="008D1EFF">
        <w:rPr>
          <w:rFonts w:ascii="Times New Roman" w:hAnsi="Times New Roman"/>
          <w:i/>
          <w:iCs/>
          <w:sz w:val="24"/>
        </w:rPr>
        <w:t xml:space="preserve">” </w:t>
      </w:r>
      <w:r w:rsidRPr="008D1EFF">
        <w:rPr>
          <w:rFonts w:ascii="Times New Roman" w:hAnsi="Times New Roman"/>
          <w:sz w:val="24"/>
        </w:rPr>
        <w:t>is the specific capacitance, “E” is the energy density, “P” is the power density, “</w:t>
      </w:r>
      <w:r w:rsidRPr="008D1EFF">
        <w:rPr>
          <w:rFonts w:ascii="Times New Roman" w:hAnsi="Times New Roman"/>
          <w:i/>
          <w:sz w:val="24"/>
        </w:rPr>
        <w:t>t</w:t>
      </w:r>
      <w:r w:rsidRPr="008D1EFF">
        <w:rPr>
          <w:rFonts w:ascii="Times New Roman" w:hAnsi="Times New Roman"/>
          <w:i/>
          <w:iCs/>
          <w:sz w:val="24"/>
          <w:vertAlign w:val="subscript"/>
        </w:rPr>
        <w:t>d</w:t>
      </w:r>
      <w:r w:rsidRPr="008D1EFF">
        <w:rPr>
          <w:rFonts w:ascii="Times New Roman" w:hAnsi="Times New Roman"/>
          <w:sz w:val="24"/>
        </w:rPr>
        <w:t>” is the discharge time, and “∆V” is the potential window.</w:t>
      </w:r>
    </w:p>
    <w:p w14:paraId="24D203BB" w14:textId="5FC2F013" w:rsidR="007D7481" w:rsidRPr="009C1CEE" w:rsidRDefault="007D7481" w:rsidP="00456E2A">
      <w:pPr>
        <w:spacing w:after="0" w:line="480" w:lineRule="auto"/>
        <w:jc w:val="both"/>
        <w:rPr>
          <w:rFonts w:ascii="Times New Roman" w:hAnsi="Times New Roman"/>
          <w:b/>
          <w:sz w:val="24"/>
        </w:rPr>
      </w:pPr>
      <w:r>
        <w:rPr>
          <w:rFonts w:ascii="Times New Roman" w:eastAsia="Gulim" w:hAnsi="Times New Roman"/>
          <w:b/>
          <w:bCs/>
          <w:sz w:val="24"/>
        </w:rPr>
        <w:t>S</w:t>
      </w:r>
      <w:r w:rsidR="00456E2A">
        <w:rPr>
          <w:rFonts w:ascii="Times New Roman" w:eastAsia="Gulim" w:hAnsi="Times New Roman"/>
          <w:b/>
          <w:bCs/>
          <w:sz w:val="24"/>
        </w:rPr>
        <w:t>3</w:t>
      </w:r>
      <w:r w:rsidRPr="009C1CEE">
        <w:rPr>
          <w:rFonts w:ascii="Times New Roman" w:eastAsia="Gulim" w:hAnsi="Times New Roman"/>
          <w:b/>
          <w:bCs/>
          <w:sz w:val="24"/>
        </w:rPr>
        <w:t xml:space="preserve">. </w:t>
      </w:r>
      <w:r w:rsidRPr="009C1CEE">
        <w:rPr>
          <w:rFonts w:ascii="Times New Roman" w:hAnsi="Times New Roman"/>
          <w:b/>
          <w:sz w:val="24"/>
        </w:rPr>
        <w:t>Computational analysis details</w:t>
      </w:r>
    </w:p>
    <w:p w14:paraId="399839DD" w14:textId="29878DC6" w:rsidR="007D7481" w:rsidRPr="009C1CEE" w:rsidRDefault="007D7481" w:rsidP="00456E2A">
      <w:pPr>
        <w:spacing w:after="0" w:line="480" w:lineRule="auto"/>
        <w:ind w:firstLine="800"/>
        <w:jc w:val="both"/>
        <w:rPr>
          <w:rFonts w:ascii="Times New Roman" w:eastAsia="Gulim" w:hAnsi="Times New Roman"/>
          <w:sz w:val="24"/>
        </w:rPr>
      </w:pPr>
      <w:r w:rsidRPr="008D1613">
        <w:rPr>
          <w:rFonts w:ascii="Times New Roman" w:eastAsia="Gulim" w:hAnsi="Times New Roman"/>
          <w:sz w:val="24"/>
        </w:rPr>
        <w:t xml:space="preserve">The density functional theory calculations are performed by using </w:t>
      </w:r>
      <w:r w:rsidR="001314BA">
        <w:rPr>
          <w:rFonts w:ascii="Times New Roman" w:eastAsia="Gulim" w:hAnsi="Times New Roman"/>
          <w:sz w:val="24"/>
        </w:rPr>
        <w:t xml:space="preserve">the </w:t>
      </w:r>
      <w:r w:rsidRPr="008D1613">
        <w:rPr>
          <w:rFonts w:ascii="Times New Roman" w:eastAsia="Gulim" w:hAnsi="Times New Roman"/>
          <w:sz w:val="24"/>
        </w:rPr>
        <w:t>Vienna ab-initio simulation</w:t>
      </w:r>
      <w:r>
        <w:rPr>
          <w:rFonts w:ascii="Times New Roman" w:eastAsia="Gulim" w:hAnsi="Times New Roman"/>
          <w:sz w:val="24"/>
        </w:rPr>
        <w:t xml:space="preserve"> </w:t>
      </w:r>
      <w:r w:rsidRPr="008D1613">
        <w:rPr>
          <w:rFonts w:ascii="Times New Roman" w:eastAsia="Gulim" w:hAnsi="Times New Roman"/>
          <w:sz w:val="24"/>
        </w:rPr>
        <w:t xml:space="preserve">package (VASP) with </w:t>
      </w:r>
      <w:r w:rsidR="000B67B5">
        <w:rPr>
          <w:rFonts w:ascii="Times New Roman" w:eastAsia="Gulim" w:hAnsi="Times New Roman"/>
          <w:sz w:val="24"/>
        </w:rPr>
        <w:t xml:space="preserve">the </w:t>
      </w:r>
      <w:r w:rsidRPr="008D1613">
        <w:rPr>
          <w:rFonts w:ascii="Times New Roman" w:eastAsia="Gulim" w:hAnsi="Times New Roman"/>
          <w:sz w:val="24"/>
        </w:rPr>
        <w:t xml:space="preserve">projector augmented wave (PAW) method </w:t>
      </w:r>
      <w:r>
        <w:rPr>
          <w:rFonts w:ascii="Times New Roman" w:eastAsia="Gulim" w:hAnsi="Times New Roman"/>
          <w:sz w:val="24"/>
        </w:rPr>
        <w:fldChar w:fldCharType="begin" w:fldLock="1"/>
      </w:r>
      <w:r w:rsidR="000220B5">
        <w:rPr>
          <w:rFonts w:ascii="Times New Roman" w:eastAsia="Gulim" w:hAnsi="Times New Roman"/>
          <w:sz w:val="24"/>
        </w:rPr>
        <w:instrText>ADDIN CSL_CITATION {"citationItems":[{"id":"ITEM-1","itemData":{"DOI":"10.1103/PhysRevB.50.17953","ISSN":"0163-1829","author":[{"dropping-particle":"","family":"Blöchl","given":"P. E.","non-dropping-particle":"","parse-names":false,"suffix":""}],"container-title":"Physical Review B","id":"ITEM-1","issue":"24","issued":{"date-parts":[["1994","12","15"]]},"page":"17953-17979","title":"Projector augmented-wave method","type":"article-journal","volume":"50"},"uris":["http://www.mendeley.com/documents/?uuid=9baf09ab-a5d3-4a8d-81ef-d6540348805b"]}],"mendeley":{"formattedCitation":"[2]","plainTextFormattedCitation":"[2]","previouslyFormattedCitation":"[2]"},"properties":{"noteIndex":0},"schema":"https://github.com/citation-style-language/schema/raw/master/csl-citation.json"}</w:instrText>
      </w:r>
      <w:r>
        <w:rPr>
          <w:rFonts w:ascii="Times New Roman" w:eastAsia="Gulim" w:hAnsi="Times New Roman"/>
          <w:sz w:val="24"/>
        </w:rPr>
        <w:fldChar w:fldCharType="separate"/>
      </w:r>
      <w:r w:rsidR="009D2408" w:rsidRPr="009D2408">
        <w:rPr>
          <w:rFonts w:ascii="Times New Roman" w:eastAsia="Gulim" w:hAnsi="Times New Roman"/>
          <w:noProof/>
          <w:sz w:val="24"/>
        </w:rPr>
        <w:t>[2]</w:t>
      </w:r>
      <w:r>
        <w:rPr>
          <w:rFonts w:ascii="Times New Roman" w:eastAsia="Gulim" w:hAnsi="Times New Roman"/>
          <w:sz w:val="24"/>
        </w:rPr>
        <w:fldChar w:fldCharType="end"/>
      </w:r>
      <w:r w:rsidRPr="008D1613">
        <w:rPr>
          <w:rFonts w:ascii="Times New Roman" w:eastAsia="Gulim" w:hAnsi="Times New Roman"/>
          <w:sz w:val="24"/>
        </w:rPr>
        <w:t>. The generalized gradient</w:t>
      </w:r>
      <w:r>
        <w:rPr>
          <w:rFonts w:ascii="Times New Roman" w:eastAsia="Gulim" w:hAnsi="Times New Roman"/>
          <w:sz w:val="24"/>
        </w:rPr>
        <w:t xml:space="preserve"> </w:t>
      </w:r>
      <w:r w:rsidRPr="008D1613">
        <w:rPr>
          <w:rFonts w:ascii="Times New Roman" w:eastAsia="Gulim" w:hAnsi="Times New Roman"/>
          <w:sz w:val="24"/>
        </w:rPr>
        <w:t>approximation (GGA) with Perdew-Burke-Ernzerhof (PBE) exchange-correlation functional was</w:t>
      </w:r>
      <w:r>
        <w:rPr>
          <w:rFonts w:ascii="Times New Roman" w:eastAsia="Gulim" w:hAnsi="Times New Roman"/>
          <w:sz w:val="24"/>
        </w:rPr>
        <w:t xml:space="preserve"> </w:t>
      </w:r>
      <w:r w:rsidRPr="008D1613">
        <w:rPr>
          <w:rFonts w:ascii="Times New Roman" w:eastAsia="Gulim" w:hAnsi="Times New Roman"/>
          <w:sz w:val="24"/>
        </w:rPr>
        <w:t>employed</w:t>
      </w:r>
      <w:r>
        <w:rPr>
          <w:rFonts w:ascii="Times New Roman" w:eastAsia="Gulim" w:hAnsi="Times New Roman"/>
          <w:sz w:val="24"/>
        </w:rPr>
        <w:t xml:space="preserve"> </w:t>
      </w:r>
      <w:r>
        <w:rPr>
          <w:rFonts w:ascii="Times New Roman" w:eastAsia="Gulim" w:hAnsi="Times New Roman"/>
          <w:sz w:val="24"/>
        </w:rPr>
        <w:fldChar w:fldCharType="begin" w:fldLock="1"/>
      </w:r>
      <w:r w:rsidR="000220B5">
        <w:rPr>
          <w:rFonts w:ascii="Times New Roman" w:eastAsia="Gulim" w:hAnsi="Times New Roman"/>
          <w:sz w:val="24"/>
        </w:rPr>
        <w:instrText>ADDIN CSL_CITATION {"citationItems":[{"id":"ITEM-1","itemData":{"DOI":"10.1103/PhysRevLett.77.3865","ISSN":"0031-9007","author":[{"dropping-particle":"","family":"Perdew","given":"John P.","non-dropping-particle":"","parse-names":false,"suffix":""},{"dropping-particle":"","family":"Burke","given":"Kieron","non-dropping-particle":"","parse-names":false,"suffix":""},{"dropping-particle":"","family":"Ernzerhof","given":"Matthias","non-dropping-particle":"","parse-names":false,"suffix":""}],"container-title":"Physical Review Letters","id":"ITEM-1","issue":"18","issued":{"date-parts":[["1996","10","28"]]},"page":"3865-3868","title":"Generalized Gradient Approximation Made Simple","type":"article-journal","volume":"77"},"uris":["http://www.mendeley.com/documents/?uuid=e635f5df-34ca-453a-9f1d-574945f9cc8d"]}],"mendeley":{"formattedCitation":"[3]","plainTextFormattedCitation":"[3]","previouslyFormattedCitation":"[3]"},"properties":{"noteIndex":0},"schema":"https://github.com/citation-style-language/schema/raw/master/csl-citation.json"}</w:instrText>
      </w:r>
      <w:r>
        <w:rPr>
          <w:rFonts w:ascii="Times New Roman" w:eastAsia="Gulim" w:hAnsi="Times New Roman"/>
          <w:sz w:val="24"/>
        </w:rPr>
        <w:fldChar w:fldCharType="separate"/>
      </w:r>
      <w:r w:rsidR="009D2408" w:rsidRPr="009D2408">
        <w:rPr>
          <w:rFonts w:ascii="Times New Roman" w:eastAsia="Gulim" w:hAnsi="Times New Roman"/>
          <w:noProof/>
          <w:sz w:val="24"/>
        </w:rPr>
        <w:t>[3]</w:t>
      </w:r>
      <w:r>
        <w:rPr>
          <w:rFonts w:ascii="Times New Roman" w:eastAsia="Gulim" w:hAnsi="Times New Roman"/>
          <w:sz w:val="24"/>
        </w:rPr>
        <w:fldChar w:fldCharType="end"/>
      </w:r>
      <w:r w:rsidRPr="008D1613">
        <w:rPr>
          <w:rFonts w:ascii="Times New Roman" w:eastAsia="Gulim" w:hAnsi="Times New Roman"/>
          <w:sz w:val="24"/>
        </w:rPr>
        <w:t>.</w:t>
      </w:r>
      <w:r w:rsidR="001A7E6B">
        <w:rPr>
          <w:rFonts w:ascii="Times New Roman" w:eastAsia="Gulim" w:hAnsi="Times New Roman"/>
          <w:sz w:val="24"/>
        </w:rPr>
        <w:t>GO and F-Gr structures</w:t>
      </w:r>
      <w:r>
        <w:rPr>
          <w:rFonts w:ascii="Times New Roman" w:hAnsi="Times New Roman"/>
          <w:color w:val="000000"/>
          <w:sz w:val="24"/>
        </w:rPr>
        <w:t xml:space="preserve"> are </w:t>
      </w:r>
      <w:r w:rsidR="00487A7D">
        <w:rPr>
          <w:rFonts w:ascii="Times New Roman" w:hAnsi="Times New Roman"/>
          <w:color w:val="000000"/>
          <w:sz w:val="24"/>
        </w:rPr>
        <w:t>analyzed</w:t>
      </w:r>
      <w:r>
        <w:rPr>
          <w:rFonts w:ascii="Times New Roman" w:hAnsi="Times New Roman"/>
          <w:color w:val="000000"/>
          <w:sz w:val="24"/>
        </w:rPr>
        <w:t xml:space="preserve"> in detail</w:t>
      </w:r>
      <w:r w:rsidR="001A7E6B">
        <w:rPr>
          <w:rFonts w:ascii="Times New Roman" w:hAnsi="Times New Roman"/>
          <w:color w:val="000000"/>
          <w:sz w:val="24"/>
        </w:rPr>
        <w:t xml:space="preserve"> d</w:t>
      </w:r>
      <w:r w:rsidRPr="009C1CEE">
        <w:rPr>
          <w:rFonts w:ascii="Times New Roman" w:eastAsia="Gulim" w:hAnsi="Times New Roman"/>
          <w:sz w:val="24"/>
        </w:rPr>
        <w:t xml:space="preserve">uring the </w:t>
      </w:r>
      <w:r w:rsidR="00487A7D">
        <w:rPr>
          <w:rFonts w:ascii="Times New Roman" w:eastAsia="Gulim" w:hAnsi="Times New Roman"/>
          <w:sz w:val="24"/>
        </w:rPr>
        <w:t>optimization</w:t>
      </w:r>
      <w:r w:rsidRPr="009C1CEE">
        <w:rPr>
          <w:rFonts w:ascii="Times New Roman" w:eastAsia="Gulim" w:hAnsi="Times New Roman"/>
          <w:sz w:val="24"/>
        </w:rPr>
        <w:t xml:space="preserve"> process</w:t>
      </w:r>
      <w:r w:rsidR="000B67B5">
        <w:rPr>
          <w:rFonts w:ascii="Times New Roman" w:eastAsia="Gulim" w:hAnsi="Times New Roman"/>
          <w:sz w:val="24"/>
        </w:rPr>
        <w:t>;</w:t>
      </w:r>
      <w:r w:rsidRPr="009C1CEE">
        <w:rPr>
          <w:rFonts w:ascii="Times New Roman" w:eastAsia="Gulim" w:hAnsi="Times New Roman"/>
          <w:sz w:val="24"/>
        </w:rPr>
        <w:t xml:space="preserve"> no constraints were applied to bonds, angles, or dihedral angles. For all the electronic structure calculations, </w:t>
      </w:r>
      <w:r>
        <w:rPr>
          <w:rFonts w:ascii="Times New Roman" w:eastAsia="Gulim" w:hAnsi="Times New Roman"/>
          <w:sz w:val="24"/>
        </w:rPr>
        <w:t xml:space="preserve">the VASP code was used. </w:t>
      </w:r>
      <w:r w:rsidRPr="009C1CEE">
        <w:rPr>
          <w:rFonts w:ascii="Times New Roman" w:eastAsia="Gulim" w:hAnsi="Times New Roman"/>
          <w:sz w:val="24"/>
        </w:rPr>
        <w:t>The energies of the HOMO (Highest Occupied Molecular Orbita</w:t>
      </w:r>
      <w:r>
        <w:rPr>
          <w:rFonts w:ascii="Times New Roman" w:eastAsia="Gulim" w:hAnsi="Times New Roman"/>
          <w:sz w:val="24"/>
        </w:rPr>
        <w:t>s</w:t>
      </w:r>
      <w:r w:rsidRPr="009C1CEE">
        <w:rPr>
          <w:rFonts w:ascii="Times New Roman" w:eastAsia="Gulim" w:hAnsi="Times New Roman"/>
          <w:sz w:val="24"/>
        </w:rPr>
        <w:t>l) and LUMO (Lowest Unoccupied Molecular Orbital) orbitals go a long way towards describing the physical and chemical properties.</w:t>
      </w:r>
      <w:r w:rsidR="00456E2A">
        <w:rPr>
          <w:rFonts w:ascii="Times New Roman" w:eastAsia="Gulim" w:hAnsi="Times New Roman"/>
          <w:sz w:val="24"/>
        </w:rPr>
        <w:t xml:space="preserve"> </w:t>
      </w:r>
      <w:r w:rsidRPr="009C1CEE">
        <w:rPr>
          <w:rFonts w:ascii="Times New Roman" w:eastAsia="Gulim" w:hAnsi="Times New Roman"/>
          <w:sz w:val="24"/>
        </w:rPr>
        <w:t xml:space="preserve">The difference in energy between these two orbitals is called the energy gap, and its energy value is given by </w:t>
      </w:r>
    </w:p>
    <w:p w14:paraId="1FF0B1EC" w14:textId="35BEBCA1" w:rsidR="007D7481" w:rsidRPr="009C1CEE" w:rsidRDefault="007D7481" w:rsidP="00456E2A">
      <w:pPr>
        <w:spacing w:after="0" w:line="480" w:lineRule="auto"/>
        <w:jc w:val="center"/>
        <w:rPr>
          <w:rFonts w:ascii="Times New Roman" w:eastAsia="Gulim" w:hAnsi="Times New Roman"/>
          <w:sz w:val="24"/>
        </w:rPr>
      </w:pPr>
      <w:r w:rsidRPr="009C1CEE">
        <w:rPr>
          <w:rFonts w:ascii="Times New Roman" w:eastAsia="Gulim" w:hAnsi="Times New Roman"/>
          <w:sz w:val="24"/>
        </w:rPr>
        <w:t>-</w:t>
      </w:r>
      <w:proofErr w:type="spellStart"/>
      <w:r w:rsidRPr="009C1CEE">
        <w:rPr>
          <w:rFonts w:ascii="Times New Roman" w:hAnsi="Times New Roman"/>
          <w:sz w:val="24"/>
        </w:rPr>
        <w:t>Δ</w:t>
      </w:r>
      <w:r w:rsidRPr="009C1CEE">
        <w:rPr>
          <w:rFonts w:ascii="Times New Roman" w:eastAsia="Gulim" w:hAnsi="Times New Roman"/>
          <w:sz w:val="24"/>
        </w:rPr>
        <w:t>Eg</w:t>
      </w:r>
      <w:proofErr w:type="spellEnd"/>
      <w:r w:rsidRPr="009C1CEE">
        <w:rPr>
          <w:rFonts w:ascii="Times New Roman" w:eastAsia="Gulim" w:hAnsi="Times New Roman"/>
          <w:sz w:val="24"/>
        </w:rPr>
        <w:t xml:space="preserve"> = E</w:t>
      </w:r>
      <w:r w:rsidRPr="009C1CEE">
        <w:rPr>
          <w:rFonts w:ascii="Times New Roman" w:eastAsia="Gulim" w:hAnsi="Times New Roman"/>
          <w:sz w:val="24"/>
          <w:vertAlign w:val="subscript"/>
        </w:rPr>
        <w:t>LUMO</w:t>
      </w:r>
      <w:r w:rsidRPr="009C1CEE">
        <w:rPr>
          <w:rFonts w:ascii="Times New Roman" w:eastAsia="Gulim" w:hAnsi="Times New Roman"/>
          <w:sz w:val="24"/>
        </w:rPr>
        <w:t xml:space="preserve"> − E</w:t>
      </w:r>
      <w:r w:rsidRPr="009C1CEE">
        <w:rPr>
          <w:rFonts w:ascii="Times New Roman" w:eastAsia="Gulim" w:hAnsi="Times New Roman"/>
          <w:sz w:val="24"/>
          <w:vertAlign w:val="subscript"/>
        </w:rPr>
        <w:t>HOMO</w:t>
      </w:r>
      <w:r w:rsidRPr="009C1CEE">
        <w:rPr>
          <w:rFonts w:ascii="Times New Roman" w:eastAsia="Gulim" w:hAnsi="Times New Roman"/>
          <w:sz w:val="24"/>
        </w:rPr>
        <w:t>…………… (</w:t>
      </w:r>
      <w:r w:rsidR="00B235E3">
        <w:rPr>
          <w:rFonts w:ascii="Times New Roman" w:eastAsia="Gulim" w:hAnsi="Times New Roman"/>
          <w:sz w:val="24"/>
        </w:rPr>
        <w:t>7</w:t>
      </w:r>
      <w:r w:rsidRPr="009C1CEE">
        <w:rPr>
          <w:rFonts w:ascii="Times New Roman" w:eastAsia="Gulim" w:hAnsi="Times New Roman"/>
          <w:sz w:val="24"/>
        </w:rPr>
        <w:t>)</w:t>
      </w:r>
    </w:p>
    <w:p w14:paraId="267CE3B6" w14:textId="77777777" w:rsidR="00AD7B57" w:rsidRPr="007D7481" w:rsidRDefault="00AD7B57" w:rsidP="00456E2A">
      <w:pPr>
        <w:wordWrap/>
        <w:spacing w:after="0" w:line="480" w:lineRule="auto"/>
        <w:contextualSpacing/>
        <w:mirrorIndents/>
        <w:jc w:val="both"/>
        <w:rPr>
          <w:rFonts w:ascii="Times New Roman" w:hAnsi="Times New Roman" w:cs="Times New Roman"/>
          <w:sz w:val="24"/>
        </w:rPr>
      </w:pPr>
    </w:p>
    <w:p w14:paraId="31A8B8DB" w14:textId="77777777" w:rsidR="00AD7B57" w:rsidRPr="00F54B3B" w:rsidRDefault="00AD7B57" w:rsidP="00456E2A">
      <w:pPr>
        <w:wordWrap/>
        <w:spacing w:after="0" w:line="480" w:lineRule="auto"/>
        <w:contextualSpacing/>
        <w:mirrorIndents/>
        <w:jc w:val="both"/>
        <w:rPr>
          <w:rFonts w:ascii="Times New Roman" w:hAnsi="Times New Roman" w:cs="Times New Roman"/>
          <w:sz w:val="24"/>
          <w:lang w:val="en-GB"/>
        </w:rPr>
      </w:pPr>
    </w:p>
    <w:p w14:paraId="157D07B7" w14:textId="77777777" w:rsidR="00AD7B57" w:rsidRPr="00F54B3B" w:rsidRDefault="00AD7B57" w:rsidP="00456E2A">
      <w:pPr>
        <w:wordWrap/>
        <w:spacing w:after="0" w:line="480" w:lineRule="auto"/>
        <w:contextualSpacing/>
        <w:mirrorIndents/>
        <w:jc w:val="both"/>
        <w:rPr>
          <w:rFonts w:ascii="Times New Roman" w:hAnsi="Times New Roman" w:cs="Times New Roman"/>
          <w:sz w:val="24"/>
          <w:lang w:val="en-GB"/>
        </w:rPr>
      </w:pPr>
    </w:p>
    <w:p w14:paraId="55243A1F" w14:textId="77777777" w:rsidR="00AD7B57" w:rsidRPr="00F54B3B" w:rsidRDefault="00AD7B57" w:rsidP="00456E2A">
      <w:pPr>
        <w:wordWrap/>
        <w:spacing w:after="0" w:line="480" w:lineRule="auto"/>
        <w:contextualSpacing/>
        <w:mirrorIndents/>
        <w:jc w:val="both"/>
        <w:rPr>
          <w:rFonts w:ascii="Times New Roman" w:hAnsi="Times New Roman" w:cs="Times New Roman"/>
          <w:sz w:val="24"/>
          <w:lang w:val="en-GB"/>
        </w:rPr>
      </w:pPr>
    </w:p>
    <w:p w14:paraId="68EDD414" w14:textId="77777777" w:rsidR="00AD7B57" w:rsidRDefault="00AD7B57" w:rsidP="00456E2A">
      <w:pPr>
        <w:wordWrap/>
        <w:spacing w:after="0" w:line="480" w:lineRule="auto"/>
        <w:contextualSpacing/>
        <w:mirrorIndents/>
        <w:jc w:val="both"/>
        <w:rPr>
          <w:rFonts w:ascii="Times New Roman" w:hAnsi="Times New Roman" w:cs="Times New Roman"/>
          <w:sz w:val="24"/>
          <w:lang w:val="en-GB"/>
        </w:rPr>
      </w:pPr>
    </w:p>
    <w:p w14:paraId="212AC9D7" w14:textId="77777777" w:rsidR="002D3410" w:rsidRDefault="002D3410" w:rsidP="00456E2A">
      <w:pPr>
        <w:wordWrap/>
        <w:spacing w:after="0" w:line="480" w:lineRule="auto"/>
        <w:contextualSpacing/>
        <w:mirrorIndents/>
        <w:jc w:val="both"/>
        <w:rPr>
          <w:rFonts w:ascii="Times New Roman" w:hAnsi="Times New Roman" w:cs="Times New Roman"/>
          <w:sz w:val="24"/>
          <w:lang w:val="en-GB"/>
        </w:rPr>
      </w:pPr>
    </w:p>
    <w:p w14:paraId="412789B3" w14:textId="77777777" w:rsidR="002D3410" w:rsidRDefault="002D3410" w:rsidP="00456E2A">
      <w:pPr>
        <w:wordWrap/>
        <w:spacing w:after="0" w:line="480" w:lineRule="auto"/>
        <w:contextualSpacing/>
        <w:mirrorIndents/>
        <w:jc w:val="both"/>
        <w:rPr>
          <w:rFonts w:ascii="Times New Roman" w:hAnsi="Times New Roman" w:cs="Times New Roman"/>
          <w:sz w:val="24"/>
          <w:lang w:val="en-GB"/>
        </w:rPr>
      </w:pPr>
    </w:p>
    <w:p w14:paraId="6D5D371D" w14:textId="77777777" w:rsidR="002D3410" w:rsidRDefault="002D3410" w:rsidP="00456E2A">
      <w:pPr>
        <w:wordWrap/>
        <w:spacing w:after="0" w:line="480" w:lineRule="auto"/>
        <w:contextualSpacing/>
        <w:mirrorIndents/>
        <w:jc w:val="both"/>
        <w:rPr>
          <w:rFonts w:ascii="Times New Roman" w:hAnsi="Times New Roman" w:cs="Times New Roman"/>
          <w:sz w:val="24"/>
          <w:lang w:val="en-GB"/>
        </w:rPr>
      </w:pPr>
    </w:p>
    <w:p w14:paraId="23BF20E7" w14:textId="77777777" w:rsidR="00E45911" w:rsidRPr="005531DA" w:rsidRDefault="00E45911" w:rsidP="00E45911">
      <w:pPr>
        <w:tabs>
          <w:tab w:val="left" w:pos="2635"/>
          <w:tab w:val="center" w:pos="4513"/>
          <w:tab w:val="left" w:pos="6962"/>
        </w:tabs>
        <w:spacing w:line="480" w:lineRule="auto"/>
        <w:jc w:val="center"/>
        <w:rPr>
          <w:rFonts w:ascii="Times New Roman" w:hAnsi="Times New Roman" w:cs="Times New Roman"/>
          <w:sz w:val="24"/>
          <w:lang w:val="en-GB"/>
        </w:rPr>
      </w:pPr>
      <w:r>
        <w:rPr>
          <w:rFonts w:ascii="Times New Roman" w:hAnsi="Times New Roman" w:cs="Times New Roman"/>
          <w:noProof/>
          <w:sz w:val="24"/>
          <w:lang w:val="en-GB"/>
        </w:rPr>
        <w:lastRenderedPageBreak/>
        <w:drawing>
          <wp:inline distT="0" distB="0" distL="0" distR="0" wp14:anchorId="10161DEE" wp14:editId="77A7DE5C">
            <wp:extent cx="3254339" cy="2868864"/>
            <wp:effectExtent l="0" t="0" r="3810" b="8255"/>
            <wp:docPr id="1060629885" name="Picture 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29885" name="Picture 4" descr="A graph of different colored line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6076" cy="2870395"/>
                    </a:xfrm>
                    <a:prstGeom prst="rect">
                      <a:avLst/>
                    </a:prstGeom>
                    <a:noFill/>
                  </pic:spPr>
                </pic:pic>
              </a:graphicData>
            </a:graphic>
          </wp:inline>
        </w:drawing>
      </w:r>
    </w:p>
    <w:p w14:paraId="765E05EC" w14:textId="24B437E0" w:rsidR="00E45911" w:rsidRPr="005531DA" w:rsidRDefault="00E45911" w:rsidP="00E45911">
      <w:pPr>
        <w:tabs>
          <w:tab w:val="left" w:pos="2635"/>
        </w:tabs>
        <w:spacing w:line="480" w:lineRule="auto"/>
        <w:jc w:val="center"/>
        <w:rPr>
          <w:rFonts w:ascii="Times New Roman" w:hAnsi="Times New Roman" w:cs="Times New Roman"/>
          <w:sz w:val="24"/>
          <w:lang w:val="en-GB"/>
        </w:rPr>
      </w:pPr>
      <w:r w:rsidRPr="005531DA">
        <w:rPr>
          <w:rFonts w:ascii="Times New Roman" w:hAnsi="Times New Roman" w:cs="Times New Roman"/>
          <w:b/>
          <w:bCs/>
          <w:sz w:val="24"/>
          <w:lang w:val="en-GB"/>
        </w:rPr>
        <w:t>Fig. S</w:t>
      </w:r>
      <w:r>
        <w:rPr>
          <w:rFonts w:ascii="Times New Roman" w:hAnsi="Times New Roman" w:cs="Times New Roman"/>
          <w:b/>
          <w:bCs/>
          <w:sz w:val="24"/>
          <w:lang w:val="en-GB"/>
        </w:rPr>
        <w:t>1</w:t>
      </w:r>
      <w:r w:rsidRPr="005531DA">
        <w:rPr>
          <w:rFonts w:ascii="Times New Roman" w:hAnsi="Times New Roman" w:cs="Times New Roman"/>
          <w:b/>
          <w:bCs/>
          <w:sz w:val="24"/>
          <w:lang w:val="en-GB"/>
        </w:rPr>
        <w:t xml:space="preserve"> </w:t>
      </w:r>
      <w:r>
        <w:rPr>
          <w:rFonts w:ascii="Times New Roman" w:hAnsi="Times New Roman" w:cs="Times New Roman"/>
          <w:sz w:val="24"/>
          <w:lang w:val="en-GB"/>
        </w:rPr>
        <w:t>Raman analysis of Go, rGO and F-Gr</w:t>
      </w:r>
      <w:r w:rsidRPr="005531DA">
        <w:rPr>
          <w:rFonts w:ascii="Times New Roman" w:hAnsi="Times New Roman" w:cs="Times New Roman"/>
          <w:sz w:val="24"/>
          <w:lang w:val="en-GB"/>
        </w:rPr>
        <w:t>.</w:t>
      </w:r>
    </w:p>
    <w:p w14:paraId="26E469E4" w14:textId="77777777" w:rsidR="00E45911" w:rsidRPr="00E45911" w:rsidRDefault="00E45911" w:rsidP="00456E2A">
      <w:pPr>
        <w:wordWrap/>
        <w:spacing w:after="0" w:line="480" w:lineRule="auto"/>
        <w:contextualSpacing/>
        <w:mirrorIndents/>
        <w:jc w:val="both"/>
        <w:rPr>
          <w:rFonts w:ascii="Times New Roman" w:hAnsi="Times New Roman" w:cs="Times New Roman"/>
          <w:sz w:val="24"/>
          <w:lang w:val="en-GB"/>
        </w:rPr>
      </w:pPr>
    </w:p>
    <w:p w14:paraId="4F9B5CC1" w14:textId="77777777" w:rsidR="002D3410" w:rsidRDefault="002D3410" w:rsidP="00456E2A">
      <w:pPr>
        <w:wordWrap/>
        <w:spacing w:after="0" w:line="480" w:lineRule="auto"/>
        <w:contextualSpacing/>
        <w:mirrorIndents/>
        <w:jc w:val="both"/>
        <w:rPr>
          <w:rFonts w:ascii="Times New Roman" w:hAnsi="Times New Roman" w:cs="Times New Roman"/>
          <w:sz w:val="24"/>
          <w:lang w:val="en-GB"/>
        </w:rPr>
      </w:pPr>
    </w:p>
    <w:p w14:paraId="0AA90542" w14:textId="77777777" w:rsidR="00E45911" w:rsidRDefault="00E45911" w:rsidP="00456E2A">
      <w:pPr>
        <w:wordWrap/>
        <w:spacing w:after="0" w:line="480" w:lineRule="auto"/>
        <w:contextualSpacing/>
        <w:mirrorIndents/>
        <w:jc w:val="both"/>
        <w:rPr>
          <w:rFonts w:ascii="Times New Roman" w:hAnsi="Times New Roman" w:cs="Times New Roman"/>
          <w:sz w:val="24"/>
          <w:lang w:val="en-GB"/>
        </w:rPr>
      </w:pPr>
    </w:p>
    <w:p w14:paraId="30426EE2" w14:textId="77777777" w:rsidR="00E45911" w:rsidRDefault="00E45911" w:rsidP="00456E2A">
      <w:pPr>
        <w:wordWrap/>
        <w:spacing w:after="0" w:line="480" w:lineRule="auto"/>
        <w:contextualSpacing/>
        <w:mirrorIndents/>
        <w:jc w:val="both"/>
        <w:rPr>
          <w:rFonts w:ascii="Times New Roman" w:hAnsi="Times New Roman" w:cs="Times New Roman"/>
          <w:sz w:val="24"/>
          <w:lang w:val="en-GB"/>
        </w:rPr>
      </w:pPr>
    </w:p>
    <w:p w14:paraId="675C3A24" w14:textId="77777777" w:rsidR="00E45911" w:rsidRDefault="00E45911" w:rsidP="00456E2A">
      <w:pPr>
        <w:wordWrap/>
        <w:spacing w:after="0" w:line="480" w:lineRule="auto"/>
        <w:contextualSpacing/>
        <w:mirrorIndents/>
        <w:jc w:val="both"/>
        <w:rPr>
          <w:rFonts w:ascii="Times New Roman" w:hAnsi="Times New Roman" w:cs="Times New Roman"/>
          <w:sz w:val="24"/>
          <w:lang w:val="en-GB"/>
        </w:rPr>
      </w:pPr>
    </w:p>
    <w:p w14:paraId="2CDAFB0A" w14:textId="77777777" w:rsidR="00E45911" w:rsidRDefault="00E45911" w:rsidP="00456E2A">
      <w:pPr>
        <w:wordWrap/>
        <w:spacing w:after="0" w:line="480" w:lineRule="auto"/>
        <w:contextualSpacing/>
        <w:mirrorIndents/>
        <w:jc w:val="both"/>
        <w:rPr>
          <w:rFonts w:ascii="Times New Roman" w:hAnsi="Times New Roman" w:cs="Times New Roman"/>
          <w:sz w:val="24"/>
          <w:lang w:val="en-GB"/>
        </w:rPr>
      </w:pPr>
    </w:p>
    <w:p w14:paraId="392B173C" w14:textId="77777777" w:rsidR="00E45911" w:rsidRDefault="00E45911" w:rsidP="00456E2A">
      <w:pPr>
        <w:wordWrap/>
        <w:spacing w:after="0" w:line="480" w:lineRule="auto"/>
        <w:contextualSpacing/>
        <w:mirrorIndents/>
        <w:jc w:val="both"/>
        <w:rPr>
          <w:rFonts w:ascii="Times New Roman" w:hAnsi="Times New Roman" w:cs="Times New Roman"/>
          <w:sz w:val="24"/>
          <w:lang w:val="en-GB"/>
        </w:rPr>
      </w:pPr>
    </w:p>
    <w:p w14:paraId="17C35C0D" w14:textId="77777777" w:rsidR="00712BB6" w:rsidRPr="00712BB6" w:rsidRDefault="00712BB6" w:rsidP="00712BB6">
      <w:pPr>
        <w:rPr>
          <w:rFonts w:ascii="Times New Roman" w:hAnsi="Times New Roman" w:cs="Times New Roman"/>
          <w:sz w:val="24"/>
          <w:lang w:val="en-GB"/>
        </w:rPr>
      </w:pPr>
    </w:p>
    <w:p w14:paraId="274812F0" w14:textId="77777777" w:rsidR="00712BB6" w:rsidRPr="00712BB6" w:rsidRDefault="00712BB6" w:rsidP="00712BB6">
      <w:pPr>
        <w:rPr>
          <w:rFonts w:ascii="Times New Roman" w:hAnsi="Times New Roman" w:cs="Times New Roman"/>
          <w:sz w:val="24"/>
          <w:lang w:val="en-GB"/>
        </w:rPr>
      </w:pPr>
    </w:p>
    <w:p w14:paraId="322F1591" w14:textId="77777777" w:rsidR="00712BB6" w:rsidRDefault="00712BB6" w:rsidP="00712BB6">
      <w:pPr>
        <w:rPr>
          <w:rFonts w:ascii="Times New Roman" w:hAnsi="Times New Roman" w:cs="Times New Roman"/>
          <w:sz w:val="24"/>
          <w:lang w:val="en-GB"/>
        </w:rPr>
      </w:pPr>
    </w:p>
    <w:p w14:paraId="6A46BB79" w14:textId="473BECD8" w:rsidR="00712BB6" w:rsidRPr="00712BB6" w:rsidRDefault="00712BB6" w:rsidP="00045E45">
      <w:pPr>
        <w:tabs>
          <w:tab w:val="left" w:pos="2135"/>
        </w:tabs>
        <w:rPr>
          <w:rFonts w:ascii="Times New Roman" w:hAnsi="Times New Roman" w:cs="Times New Roman"/>
          <w:sz w:val="24"/>
          <w:lang w:val="en-GB"/>
        </w:rPr>
      </w:pPr>
    </w:p>
    <w:p w14:paraId="423BD12C" w14:textId="7C64FCD8" w:rsidR="00AD7B57" w:rsidRPr="005531DA" w:rsidRDefault="00BB2779" w:rsidP="00456E2A">
      <w:pPr>
        <w:wordWrap/>
        <w:spacing w:after="0" w:line="480" w:lineRule="auto"/>
        <w:contextualSpacing/>
        <w:mirrorIndents/>
        <w:jc w:val="center"/>
        <w:rPr>
          <w:rFonts w:ascii="Times New Roman" w:hAnsi="Times New Roman" w:cs="Times New Roman"/>
          <w:sz w:val="24"/>
          <w:lang w:val="en-GB"/>
        </w:rPr>
      </w:pPr>
      <w:r w:rsidRPr="005531DA">
        <w:rPr>
          <w:rFonts w:ascii="Times New Roman" w:hAnsi="Times New Roman" w:cs="Times New Roman"/>
          <w:noProof/>
          <w:sz w:val="24"/>
          <w:lang w:val="en-GB"/>
        </w:rPr>
        <w:lastRenderedPageBreak/>
        <w:drawing>
          <wp:inline distT="0" distB="0" distL="0" distR="0" wp14:anchorId="55A4EAEC" wp14:editId="3E2068E5">
            <wp:extent cx="3365500" cy="3035935"/>
            <wp:effectExtent l="0" t="0" r="6350" b="0"/>
            <wp:docPr id="153489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5500" cy="3035935"/>
                    </a:xfrm>
                    <a:prstGeom prst="rect">
                      <a:avLst/>
                    </a:prstGeom>
                    <a:noFill/>
                  </pic:spPr>
                </pic:pic>
              </a:graphicData>
            </a:graphic>
          </wp:inline>
        </w:drawing>
      </w:r>
    </w:p>
    <w:p w14:paraId="32FE80BA" w14:textId="436A3A9F" w:rsidR="00AA2B01" w:rsidRDefault="00332F20" w:rsidP="00332F20">
      <w:pPr>
        <w:tabs>
          <w:tab w:val="left" w:pos="2635"/>
          <w:tab w:val="center" w:pos="4513"/>
          <w:tab w:val="left" w:pos="6962"/>
        </w:tabs>
        <w:spacing w:line="480" w:lineRule="auto"/>
        <w:rPr>
          <w:rFonts w:ascii="Times New Roman" w:hAnsi="Times New Roman" w:cs="Times New Roman"/>
          <w:sz w:val="24"/>
          <w:lang w:val="en-GB"/>
        </w:rPr>
      </w:pPr>
      <w:r>
        <w:rPr>
          <w:rFonts w:ascii="Times New Roman" w:hAnsi="Times New Roman" w:cs="Times New Roman"/>
          <w:b/>
          <w:bCs/>
          <w:sz w:val="24"/>
          <w:lang w:val="en-GB"/>
        </w:rPr>
        <w:tab/>
      </w:r>
      <w:r w:rsidR="00AA2B01" w:rsidRPr="005531DA">
        <w:rPr>
          <w:rFonts w:ascii="Times New Roman" w:hAnsi="Times New Roman" w:cs="Times New Roman"/>
          <w:b/>
          <w:bCs/>
          <w:sz w:val="24"/>
          <w:lang w:val="en-GB"/>
        </w:rPr>
        <w:t>Fig. S</w:t>
      </w:r>
      <w:r w:rsidR="00E45911">
        <w:rPr>
          <w:rFonts w:ascii="Times New Roman" w:hAnsi="Times New Roman" w:cs="Times New Roman"/>
          <w:b/>
          <w:bCs/>
          <w:sz w:val="24"/>
          <w:lang w:val="en-GB"/>
        </w:rPr>
        <w:t>2</w:t>
      </w:r>
      <w:r w:rsidR="00AA2B01" w:rsidRPr="005531DA">
        <w:rPr>
          <w:rFonts w:ascii="Times New Roman" w:hAnsi="Times New Roman" w:cs="Times New Roman"/>
          <w:b/>
          <w:bCs/>
          <w:sz w:val="24"/>
          <w:lang w:val="en-GB"/>
        </w:rPr>
        <w:t xml:space="preserve"> </w:t>
      </w:r>
      <w:r w:rsidR="00AA2B01" w:rsidRPr="005531DA">
        <w:rPr>
          <w:rFonts w:ascii="Times New Roman" w:hAnsi="Times New Roman" w:cs="Times New Roman"/>
          <w:sz w:val="24"/>
          <w:lang w:val="en-GB"/>
        </w:rPr>
        <w:t>Overall FT-IR mapping for rGO.</w:t>
      </w:r>
      <w:r>
        <w:rPr>
          <w:rFonts w:ascii="Times New Roman" w:hAnsi="Times New Roman" w:cs="Times New Roman"/>
          <w:sz w:val="24"/>
          <w:lang w:val="en-GB"/>
        </w:rPr>
        <w:tab/>
      </w:r>
    </w:p>
    <w:p w14:paraId="104C4F60"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0E8BDB30"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762D1046" w14:textId="77777777" w:rsidR="00332F20" w:rsidRPr="00E45911"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6A5C54FA"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50B49C31"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08180123"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6B37F232"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070B6D92"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6475C2FA"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02EE27B8" w14:textId="77777777" w:rsidR="00332F20" w:rsidRDefault="00332F20" w:rsidP="00332F20">
      <w:pPr>
        <w:tabs>
          <w:tab w:val="left" w:pos="2635"/>
          <w:tab w:val="center" w:pos="4513"/>
          <w:tab w:val="left" w:pos="6962"/>
        </w:tabs>
        <w:spacing w:line="480" w:lineRule="auto"/>
        <w:rPr>
          <w:rFonts w:ascii="Times New Roman" w:hAnsi="Times New Roman" w:cs="Times New Roman"/>
          <w:sz w:val="24"/>
          <w:lang w:val="en-GB"/>
        </w:rPr>
      </w:pPr>
    </w:p>
    <w:p w14:paraId="540343BC" w14:textId="77777777" w:rsidR="00AA2B01" w:rsidRPr="005531DA" w:rsidRDefault="00AA2B01" w:rsidP="00456E2A">
      <w:pPr>
        <w:tabs>
          <w:tab w:val="left" w:pos="2635"/>
        </w:tabs>
        <w:spacing w:line="480" w:lineRule="auto"/>
        <w:rPr>
          <w:rFonts w:ascii="Times New Roman" w:hAnsi="Times New Roman" w:cs="Times New Roman"/>
          <w:sz w:val="24"/>
          <w:lang w:val="en-GB"/>
        </w:rPr>
      </w:pPr>
    </w:p>
    <w:p w14:paraId="6F9E2E73" w14:textId="0B9314FD" w:rsidR="00AA2B01" w:rsidRPr="005531DA" w:rsidRDefault="00075A5C" w:rsidP="00456E2A">
      <w:pPr>
        <w:tabs>
          <w:tab w:val="left" w:pos="2635"/>
        </w:tabs>
        <w:spacing w:line="480" w:lineRule="auto"/>
        <w:jc w:val="center"/>
        <w:rPr>
          <w:rFonts w:ascii="Times New Roman" w:hAnsi="Times New Roman" w:cs="Times New Roman"/>
          <w:sz w:val="24"/>
        </w:rPr>
      </w:pPr>
      <w:r w:rsidRPr="005531DA">
        <w:rPr>
          <w:rFonts w:ascii="Times New Roman" w:hAnsi="Times New Roman" w:cs="Times New Roman"/>
          <w:noProof/>
          <w:sz w:val="24"/>
        </w:rPr>
        <w:lastRenderedPageBreak/>
        <w:drawing>
          <wp:inline distT="0" distB="0" distL="0" distR="0" wp14:anchorId="2C57B229" wp14:editId="13E01107">
            <wp:extent cx="4462780" cy="2204415"/>
            <wp:effectExtent l="0" t="0" r="0" b="5715"/>
            <wp:docPr id="1948754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88191" cy="2216967"/>
                    </a:xfrm>
                    <a:prstGeom prst="rect">
                      <a:avLst/>
                    </a:prstGeom>
                    <a:noFill/>
                  </pic:spPr>
                </pic:pic>
              </a:graphicData>
            </a:graphic>
          </wp:inline>
        </w:drawing>
      </w:r>
    </w:p>
    <w:p w14:paraId="71DAB613" w14:textId="07FD14DC" w:rsidR="00075A5C" w:rsidRPr="00075A5C" w:rsidRDefault="00075A5C" w:rsidP="00456E2A">
      <w:pPr>
        <w:tabs>
          <w:tab w:val="left" w:pos="2635"/>
        </w:tabs>
        <w:spacing w:line="480" w:lineRule="auto"/>
        <w:jc w:val="center"/>
        <w:rPr>
          <w:rFonts w:ascii="Times New Roman" w:hAnsi="Times New Roman" w:cs="Times New Roman"/>
          <w:sz w:val="24"/>
        </w:rPr>
      </w:pPr>
      <w:r w:rsidRPr="00075A5C">
        <w:rPr>
          <w:rFonts w:ascii="Times New Roman" w:hAnsi="Times New Roman" w:cs="Times New Roman"/>
          <w:b/>
          <w:bCs/>
          <w:sz w:val="24"/>
          <w:lang w:val="en-GB"/>
        </w:rPr>
        <w:t>Fig. S</w:t>
      </w:r>
      <w:r w:rsidR="00E45911">
        <w:rPr>
          <w:rFonts w:ascii="Times New Roman" w:hAnsi="Times New Roman" w:cs="Times New Roman"/>
          <w:b/>
          <w:bCs/>
          <w:sz w:val="24"/>
          <w:lang w:val="en-GB"/>
        </w:rPr>
        <w:t>3</w:t>
      </w:r>
      <w:r w:rsidRPr="00075A5C">
        <w:rPr>
          <w:rFonts w:ascii="Times New Roman" w:hAnsi="Times New Roman" w:cs="Times New Roman"/>
          <w:b/>
          <w:bCs/>
          <w:sz w:val="24"/>
          <w:lang w:val="en-GB"/>
        </w:rPr>
        <w:t xml:space="preserve"> </w:t>
      </w:r>
      <w:r w:rsidRPr="00075A5C">
        <w:rPr>
          <w:rFonts w:ascii="Times New Roman" w:hAnsi="Times New Roman" w:cs="Times New Roman"/>
          <w:sz w:val="24"/>
          <w:lang w:val="en-GB"/>
        </w:rPr>
        <w:t>(A-B) HR-TEM images of GO measured at various magnifications</w:t>
      </w:r>
      <w:r w:rsidR="00195D46">
        <w:rPr>
          <w:rFonts w:ascii="Times New Roman" w:hAnsi="Times New Roman" w:cs="Times New Roman"/>
          <w:sz w:val="24"/>
          <w:lang w:val="en-GB"/>
        </w:rPr>
        <w:t>.</w:t>
      </w:r>
    </w:p>
    <w:p w14:paraId="4152647F" w14:textId="689D37FC" w:rsidR="00AA2B01" w:rsidRPr="005531DA" w:rsidRDefault="00AA2B01" w:rsidP="00456E2A">
      <w:pPr>
        <w:tabs>
          <w:tab w:val="left" w:pos="2635"/>
        </w:tabs>
        <w:spacing w:line="480" w:lineRule="auto"/>
        <w:rPr>
          <w:rFonts w:ascii="Times New Roman" w:hAnsi="Times New Roman" w:cs="Times New Roman"/>
          <w:sz w:val="24"/>
        </w:rPr>
      </w:pPr>
    </w:p>
    <w:p w14:paraId="16951183"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3D874F5E"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1B21FD45"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0B03F8AA"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40FFDEA2"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0AA127ED"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0EE435EC"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57651C02"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0E5C6B28"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0E73C429"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17140D47" w14:textId="77777777" w:rsidR="004B6E8B" w:rsidRPr="005531DA" w:rsidRDefault="004B6E8B" w:rsidP="00456E2A">
      <w:pPr>
        <w:tabs>
          <w:tab w:val="left" w:pos="2635"/>
        </w:tabs>
        <w:spacing w:line="480" w:lineRule="auto"/>
        <w:rPr>
          <w:rFonts w:ascii="Times New Roman" w:hAnsi="Times New Roman" w:cs="Times New Roman"/>
          <w:sz w:val="24"/>
          <w:lang w:val="en-GB"/>
        </w:rPr>
      </w:pPr>
    </w:p>
    <w:p w14:paraId="16A789B5" w14:textId="315C737D" w:rsidR="00BC1A39" w:rsidRPr="005531DA" w:rsidRDefault="004B6E8B" w:rsidP="00456E2A">
      <w:pPr>
        <w:tabs>
          <w:tab w:val="left" w:pos="2635"/>
        </w:tabs>
        <w:spacing w:line="480" w:lineRule="auto"/>
        <w:jc w:val="center"/>
        <w:rPr>
          <w:rFonts w:ascii="Times New Roman" w:hAnsi="Times New Roman" w:cs="Times New Roman"/>
          <w:sz w:val="24"/>
          <w:lang w:val="en-GB"/>
        </w:rPr>
      </w:pPr>
      <w:r w:rsidRPr="005531DA">
        <w:rPr>
          <w:rFonts w:ascii="Times New Roman" w:hAnsi="Times New Roman" w:cs="Times New Roman"/>
          <w:noProof/>
          <w:sz w:val="24"/>
          <w:lang w:val="en-GB"/>
        </w:rPr>
        <w:lastRenderedPageBreak/>
        <w:drawing>
          <wp:inline distT="0" distB="0" distL="0" distR="0" wp14:anchorId="580EA61B" wp14:editId="598CE9D6">
            <wp:extent cx="3717985" cy="1807084"/>
            <wp:effectExtent l="0" t="0" r="0" b="3175"/>
            <wp:docPr id="1226473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35921" cy="1815801"/>
                    </a:xfrm>
                    <a:prstGeom prst="rect">
                      <a:avLst/>
                    </a:prstGeom>
                    <a:noFill/>
                  </pic:spPr>
                </pic:pic>
              </a:graphicData>
            </a:graphic>
          </wp:inline>
        </w:drawing>
      </w:r>
    </w:p>
    <w:p w14:paraId="594325B2" w14:textId="4E7F0BD8" w:rsidR="00BC1A39" w:rsidRPr="005531DA" w:rsidRDefault="00BC1A39" w:rsidP="00456E2A">
      <w:pPr>
        <w:tabs>
          <w:tab w:val="left" w:pos="1739"/>
        </w:tabs>
        <w:spacing w:line="480" w:lineRule="auto"/>
        <w:jc w:val="center"/>
        <w:rPr>
          <w:rFonts w:ascii="Times New Roman" w:hAnsi="Times New Roman" w:cs="Times New Roman"/>
          <w:sz w:val="24"/>
          <w:lang w:val="en-GB"/>
        </w:rPr>
      </w:pPr>
      <w:r w:rsidRPr="005531DA">
        <w:rPr>
          <w:rFonts w:ascii="Times New Roman" w:hAnsi="Times New Roman" w:cs="Times New Roman"/>
          <w:b/>
          <w:bCs/>
          <w:sz w:val="24"/>
          <w:lang w:val="en-GB"/>
        </w:rPr>
        <w:t>Fig. S</w:t>
      </w:r>
      <w:r w:rsidR="00E45911">
        <w:rPr>
          <w:rFonts w:ascii="Times New Roman" w:hAnsi="Times New Roman" w:cs="Times New Roman"/>
          <w:b/>
          <w:bCs/>
          <w:sz w:val="24"/>
          <w:lang w:val="en-GB"/>
        </w:rPr>
        <w:t>4</w:t>
      </w:r>
      <w:r w:rsidRPr="005531DA">
        <w:rPr>
          <w:rFonts w:ascii="Times New Roman" w:hAnsi="Times New Roman" w:cs="Times New Roman"/>
          <w:sz w:val="24"/>
          <w:lang w:val="en-GB"/>
        </w:rPr>
        <w:t xml:space="preserve"> (A-B) HR-TEM images of rGO measured at various magnifications</w:t>
      </w:r>
    </w:p>
    <w:p w14:paraId="5D107B01"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6116D255"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05C31572"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17B66901"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790D414A"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59604495"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2D817576"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1483ECCD"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03F3A110"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41A4A6C2"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23ABF88F"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0A585BD0"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3CCC25A0" w14:textId="77777777" w:rsidR="00DC2EE9" w:rsidRPr="005531DA" w:rsidRDefault="00DC2EE9" w:rsidP="00456E2A">
      <w:pPr>
        <w:tabs>
          <w:tab w:val="left" w:pos="1739"/>
        </w:tabs>
        <w:spacing w:line="480" w:lineRule="auto"/>
        <w:rPr>
          <w:rFonts w:ascii="Times New Roman" w:hAnsi="Times New Roman" w:cs="Times New Roman"/>
          <w:sz w:val="24"/>
          <w:lang w:val="en-GB"/>
        </w:rPr>
      </w:pPr>
    </w:p>
    <w:p w14:paraId="7B28A44C" w14:textId="77777777" w:rsidR="00DC2EE9" w:rsidRPr="005531DA" w:rsidRDefault="00DC2EE9" w:rsidP="00456E2A">
      <w:pPr>
        <w:tabs>
          <w:tab w:val="left" w:pos="1739"/>
        </w:tabs>
        <w:spacing w:line="480" w:lineRule="auto"/>
        <w:rPr>
          <w:rFonts w:ascii="Times New Roman" w:hAnsi="Times New Roman" w:cs="Times New Roman"/>
          <w:sz w:val="24"/>
        </w:rPr>
      </w:pPr>
    </w:p>
    <w:p w14:paraId="045F99DE" w14:textId="721CF819" w:rsidR="00905AE0" w:rsidRPr="005531DA" w:rsidRDefault="00DC2EE9" w:rsidP="00456E2A">
      <w:pPr>
        <w:tabs>
          <w:tab w:val="left" w:pos="1739"/>
        </w:tabs>
        <w:spacing w:line="480" w:lineRule="auto"/>
        <w:jc w:val="center"/>
        <w:rPr>
          <w:rFonts w:ascii="Times New Roman" w:hAnsi="Times New Roman" w:cs="Times New Roman"/>
          <w:noProof/>
          <w:sz w:val="24"/>
        </w:rPr>
      </w:pPr>
      <w:r w:rsidRPr="005531DA">
        <w:rPr>
          <w:rFonts w:ascii="Times New Roman" w:hAnsi="Times New Roman" w:cs="Times New Roman"/>
          <w:noProof/>
          <w:sz w:val="24"/>
        </w:rPr>
        <w:lastRenderedPageBreak/>
        <w:drawing>
          <wp:inline distT="0" distB="0" distL="0" distR="0" wp14:anchorId="5530C678" wp14:editId="32B74EB2">
            <wp:extent cx="4302940" cy="2873668"/>
            <wp:effectExtent l="0" t="0" r="2540" b="3175"/>
            <wp:docPr id="5796641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0739" cy="2878877"/>
                    </a:xfrm>
                    <a:prstGeom prst="rect">
                      <a:avLst/>
                    </a:prstGeom>
                    <a:noFill/>
                  </pic:spPr>
                </pic:pic>
              </a:graphicData>
            </a:graphic>
          </wp:inline>
        </w:drawing>
      </w:r>
    </w:p>
    <w:p w14:paraId="02B5F8FA" w14:textId="51CEADB7" w:rsidR="00905AE0" w:rsidRPr="005531DA" w:rsidRDefault="00905AE0" w:rsidP="00456E2A">
      <w:pPr>
        <w:tabs>
          <w:tab w:val="left" w:pos="1834"/>
        </w:tabs>
        <w:spacing w:line="480" w:lineRule="auto"/>
        <w:jc w:val="both"/>
        <w:rPr>
          <w:rFonts w:ascii="Times New Roman" w:hAnsi="Times New Roman" w:cs="Times New Roman"/>
          <w:sz w:val="24"/>
        </w:rPr>
      </w:pPr>
      <w:r w:rsidRPr="005531DA">
        <w:rPr>
          <w:rFonts w:ascii="Times New Roman" w:hAnsi="Times New Roman" w:cs="Times New Roman"/>
          <w:b/>
          <w:bCs/>
          <w:sz w:val="24"/>
          <w:lang w:val="en-GB"/>
        </w:rPr>
        <w:t>Fig. S</w:t>
      </w:r>
      <w:r w:rsidR="00E45911">
        <w:rPr>
          <w:rFonts w:ascii="Times New Roman" w:hAnsi="Times New Roman" w:cs="Times New Roman"/>
          <w:b/>
          <w:bCs/>
          <w:sz w:val="24"/>
          <w:lang w:val="en-GB"/>
        </w:rPr>
        <w:t>5</w:t>
      </w:r>
      <w:r w:rsidRPr="005531DA">
        <w:rPr>
          <w:rFonts w:ascii="Times New Roman" w:hAnsi="Times New Roman" w:cs="Times New Roman"/>
          <w:sz w:val="24"/>
          <w:lang w:val="en-GB"/>
        </w:rPr>
        <w:t xml:space="preserve"> (A) Overlay micrograph and (B) elemental mapping of carbon, (C) oxygen</w:t>
      </w:r>
      <w:r w:rsidR="00195D46">
        <w:rPr>
          <w:rFonts w:ascii="Times New Roman" w:hAnsi="Times New Roman" w:cs="Times New Roman"/>
          <w:sz w:val="24"/>
          <w:lang w:val="en-GB"/>
        </w:rPr>
        <w:t>,</w:t>
      </w:r>
      <w:r w:rsidRPr="005531DA">
        <w:rPr>
          <w:rFonts w:ascii="Times New Roman" w:hAnsi="Times New Roman" w:cs="Times New Roman"/>
          <w:sz w:val="24"/>
          <w:lang w:val="en-GB"/>
        </w:rPr>
        <w:t xml:space="preserve"> and (D) elemental spectra for GO obtained from HR-TEM analysis.</w:t>
      </w:r>
    </w:p>
    <w:p w14:paraId="774B39C9" w14:textId="1A1D2E71" w:rsidR="00905AE0" w:rsidRPr="00195D46" w:rsidRDefault="00905AE0" w:rsidP="00456E2A">
      <w:pPr>
        <w:tabs>
          <w:tab w:val="left" w:pos="1834"/>
        </w:tabs>
        <w:spacing w:line="480" w:lineRule="auto"/>
        <w:rPr>
          <w:rFonts w:ascii="Times New Roman" w:hAnsi="Times New Roman" w:cs="Times New Roman"/>
          <w:sz w:val="24"/>
        </w:rPr>
      </w:pPr>
    </w:p>
    <w:p w14:paraId="03B42980"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32ACB914"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20042A6E"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58AA8852"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2BF62374"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48BDF33D"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5BB92923"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70FBEA76"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4643C4C2"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350F2AA5" w14:textId="77777777" w:rsidR="00905AE0" w:rsidRPr="005531DA" w:rsidRDefault="00905AE0" w:rsidP="00456E2A">
      <w:pPr>
        <w:tabs>
          <w:tab w:val="left" w:pos="1834"/>
        </w:tabs>
        <w:spacing w:line="480" w:lineRule="auto"/>
        <w:rPr>
          <w:rFonts w:ascii="Times New Roman" w:hAnsi="Times New Roman" w:cs="Times New Roman"/>
          <w:sz w:val="24"/>
          <w:lang w:val="en-GB"/>
        </w:rPr>
      </w:pPr>
    </w:p>
    <w:p w14:paraId="386B5AEC" w14:textId="6F9B7196" w:rsidR="00905AE0" w:rsidRPr="005531DA" w:rsidRDefault="00914137" w:rsidP="00456E2A">
      <w:pPr>
        <w:tabs>
          <w:tab w:val="left" w:pos="1834"/>
        </w:tabs>
        <w:spacing w:line="480" w:lineRule="auto"/>
        <w:jc w:val="center"/>
        <w:rPr>
          <w:rFonts w:ascii="Times New Roman" w:hAnsi="Times New Roman" w:cs="Times New Roman"/>
          <w:sz w:val="24"/>
          <w:lang w:val="en-GB"/>
        </w:rPr>
      </w:pPr>
      <w:r w:rsidRPr="005531DA">
        <w:rPr>
          <w:rFonts w:ascii="Times New Roman" w:hAnsi="Times New Roman" w:cs="Times New Roman"/>
          <w:noProof/>
          <w:sz w:val="24"/>
          <w:lang w:val="en-GB"/>
        </w:rPr>
        <w:lastRenderedPageBreak/>
        <w:drawing>
          <wp:inline distT="0" distB="0" distL="0" distR="0" wp14:anchorId="79EA7E08" wp14:editId="6771E387">
            <wp:extent cx="4928260" cy="3486522"/>
            <wp:effectExtent l="0" t="0" r="0" b="0"/>
            <wp:docPr id="6021510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41462" cy="3495862"/>
                    </a:xfrm>
                    <a:prstGeom prst="rect">
                      <a:avLst/>
                    </a:prstGeom>
                    <a:noFill/>
                  </pic:spPr>
                </pic:pic>
              </a:graphicData>
            </a:graphic>
          </wp:inline>
        </w:drawing>
      </w:r>
    </w:p>
    <w:p w14:paraId="58711AE3" w14:textId="5A7BB7A9" w:rsidR="00914137" w:rsidRPr="005531DA" w:rsidRDefault="00914137" w:rsidP="00456E2A">
      <w:pPr>
        <w:spacing w:line="480" w:lineRule="auto"/>
        <w:jc w:val="both"/>
        <w:rPr>
          <w:rFonts w:ascii="Times New Roman" w:hAnsi="Times New Roman" w:cs="Times New Roman"/>
          <w:sz w:val="24"/>
          <w:lang w:val="en-GB"/>
        </w:rPr>
      </w:pPr>
      <w:r w:rsidRPr="00914137">
        <w:rPr>
          <w:rFonts w:ascii="Times New Roman" w:hAnsi="Times New Roman" w:cs="Times New Roman"/>
          <w:b/>
          <w:bCs/>
          <w:sz w:val="24"/>
          <w:lang w:val="en-GB"/>
        </w:rPr>
        <w:t>Fig. S</w:t>
      </w:r>
      <w:r w:rsidR="00E45911">
        <w:rPr>
          <w:rFonts w:ascii="Times New Roman" w:hAnsi="Times New Roman" w:cs="Times New Roman"/>
          <w:b/>
          <w:bCs/>
          <w:sz w:val="24"/>
          <w:lang w:val="en-GB"/>
        </w:rPr>
        <w:t>6</w:t>
      </w:r>
      <w:r w:rsidRPr="00914137">
        <w:rPr>
          <w:rFonts w:ascii="Times New Roman" w:hAnsi="Times New Roman" w:cs="Times New Roman"/>
          <w:sz w:val="24"/>
          <w:lang w:val="en-GB"/>
        </w:rPr>
        <w:t xml:space="preserve"> (A) Overlay micrograph</w:t>
      </w:r>
      <w:r w:rsidR="00195D46">
        <w:rPr>
          <w:rFonts w:ascii="Times New Roman" w:hAnsi="Times New Roman" w:cs="Times New Roman"/>
          <w:sz w:val="24"/>
          <w:lang w:val="en-GB"/>
        </w:rPr>
        <w:t>, (B) Elemental mapping of carbon, (C) oxygen,</w:t>
      </w:r>
      <w:r w:rsidRPr="00914137">
        <w:rPr>
          <w:rFonts w:ascii="Times New Roman" w:hAnsi="Times New Roman" w:cs="Times New Roman"/>
          <w:sz w:val="24"/>
          <w:lang w:val="en-GB"/>
        </w:rPr>
        <w:t xml:space="preserve"> and (D)</w:t>
      </w:r>
      <w:r w:rsidR="004434E6" w:rsidRPr="005531DA">
        <w:rPr>
          <w:rFonts w:ascii="Times New Roman" w:hAnsi="Times New Roman" w:cs="Times New Roman"/>
          <w:sz w:val="24"/>
          <w:lang w:val="en-GB"/>
        </w:rPr>
        <w:t xml:space="preserve"> </w:t>
      </w:r>
      <w:r w:rsidRPr="00914137">
        <w:rPr>
          <w:rFonts w:ascii="Times New Roman" w:hAnsi="Times New Roman" w:cs="Times New Roman"/>
          <w:sz w:val="24"/>
          <w:lang w:val="en-GB"/>
        </w:rPr>
        <w:t>Elemental spectra for rGO obtained from HR-TEM analysis.</w:t>
      </w:r>
    </w:p>
    <w:p w14:paraId="52B17ACA" w14:textId="77777777" w:rsidR="004434E6" w:rsidRPr="005531DA" w:rsidRDefault="004434E6" w:rsidP="00456E2A">
      <w:pPr>
        <w:spacing w:line="480" w:lineRule="auto"/>
        <w:rPr>
          <w:rFonts w:ascii="Times New Roman" w:hAnsi="Times New Roman" w:cs="Times New Roman"/>
          <w:sz w:val="24"/>
          <w:lang w:val="en-GB"/>
        </w:rPr>
      </w:pPr>
    </w:p>
    <w:p w14:paraId="5B42E3B0" w14:textId="77777777" w:rsidR="004434E6" w:rsidRPr="005531DA" w:rsidRDefault="004434E6" w:rsidP="00456E2A">
      <w:pPr>
        <w:spacing w:line="480" w:lineRule="auto"/>
        <w:rPr>
          <w:rFonts w:ascii="Times New Roman" w:hAnsi="Times New Roman" w:cs="Times New Roman"/>
          <w:sz w:val="24"/>
          <w:lang w:val="en-GB"/>
        </w:rPr>
      </w:pPr>
    </w:p>
    <w:p w14:paraId="32828261" w14:textId="77777777" w:rsidR="004434E6" w:rsidRPr="005531DA" w:rsidRDefault="004434E6" w:rsidP="00456E2A">
      <w:pPr>
        <w:spacing w:line="480" w:lineRule="auto"/>
        <w:rPr>
          <w:rFonts w:ascii="Times New Roman" w:hAnsi="Times New Roman" w:cs="Times New Roman"/>
          <w:sz w:val="24"/>
          <w:lang w:val="en-GB"/>
        </w:rPr>
      </w:pPr>
    </w:p>
    <w:p w14:paraId="0194C311" w14:textId="77777777" w:rsidR="004434E6" w:rsidRPr="005531DA" w:rsidRDefault="004434E6" w:rsidP="00456E2A">
      <w:pPr>
        <w:spacing w:line="480" w:lineRule="auto"/>
        <w:rPr>
          <w:rFonts w:ascii="Times New Roman" w:hAnsi="Times New Roman" w:cs="Times New Roman"/>
          <w:sz w:val="24"/>
          <w:lang w:val="en-GB"/>
        </w:rPr>
      </w:pPr>
    </w:p>
    <w:p w14:paraId="42A84C83" w14:textId="77777777" w:rsidR="004434E6" w:rsidRPr="005531DA" w:rsidRDefault="004434E6" w:rsidP="00456E2A">
      <w:pPr>
        <w:spacing w:line="480" w:lineRule="auto"/>
        <w:rPr>
          <w:rFonts w:ascii="Times New Roman" w:hAnsi="Times New Roman" w:cs="Times New Roman"/>
          <w:sz w:val="24"/>
          <w:lang w:val="en-GB"/>
        </w:rPr>
      </w:pPr>
    </w:p>
    <w:p w14:paraId="1320C07D" w14:textId="77777777" w:rsidR="004434E6" w:rsidRPr="005531DA" w:rsidRDefault="004434E6" w:rsidP="00456E2A">
      <w:pPr>
        <w:spacing w:line="480" w:lineRule="auto"/>
        <w:rPr>
          <w:rFonts w:ascii="Times New Roman" w:hAnsi="Times New Roman" w:cs="Times New Roman"/>
          <w:sz w:val="24"/>
          <w:lang w:val="en-GB"/>
        </w:rPr>
      </w:pPr>
    </w:p>
    <w:p w14:paraId="13A95D87" w14:textId="77777777" w:rsidR="004434E6" w:rsidRPr="005531DA" w:rsidRDefault="004434E6" w:rsidP="00456E2A">
      <w:pPr>
        <w:spacing w:line="480" w:lineRule="auto"/>
        <w:rPr>
          <w:rFonts w:ascii="Times New Roman" w:hAnsi="Times New Roman" w:cs="Times New Roman"/>
          <w:sz w:val="24"/>
          <w:lang w:val="en-GB"/>
        </w:rPr>
      </w:pPr>
    </w:p>
    <w:p w14:paraId="3530E4F3" w14:textId="77777777" w:rsidR="004434E6" w:rsidRPr="005531DA" w:rsidRDefault="004434E6" w:rsidP="00456E2A">
      <w:pPr>
        <w:spacing w:line="480" w:lineRule="auto"/>
        <w:rPr>
          <w:rFonts w:ascii="Times New Roman" w:hAnsi="Times New Roman" w:cs="Times New Roman"/>
          <w:sz w:val="24"/>
          <w:lang w:val="en-GB"/>
        </w:rPr>
      </w:pPr>
    </w:p>
    <w:p w14:paraId="1EC06757" w14:textId="77777777" w:rsidR="004434E6" w:rsidRPr="005531DA" w:rsidRDefault="004434E6" w:rsidP="00456E2A">
      <w:pPr>
        <w:spacing w:line="480" w:lineRule="auto"/>
        <w:rPr>
          <w:rFonts w:ascii="Times New Roman" w:hAnsi="Times New Roman" w:cs="Times New Roman"/>
          <w:sz w:val="24"/>
          <w:lang w:val="en-GB"/>
        </w:rPr>
      </w:pPr>
    </w:p>
    <w:p w14:paraId="6DF90F47" w14:textId="6241C2FB" w:rsidR="00914137" w:rsidRPr="005531DA" w:rsidRDefault="00F54B3B" w:rsidP="00456E2A">
      <w:pPr>
        <w:spacing w:line="480" w:lineRule="auto"/>
        <w:jc w:val="center"/>
        <w:rPr>
          <w:rFonts w:ascii="Times New Roman" w:hAnsi="Times New Roman" w:cs="Times New Roman"/>
          <w:sz w:val="24"/>
        </w:rPr>
      </w:pPr>
      <w:r w:rsidRPr="005531DA">
        <w:rPr>
          <w:rFonts w:ascii="Times New Roman" w:hAnsi="Times New Roman" w:cs="Times New Roman"/>
          <w:noProof/>
          <w:sz w:val="24"/>
        </w:rPr>
        <w:lastRenderedPageBreak/>
        <w:drawing>
          <wp:inline distT="0" distB="0" distL="0" distR="0" wp14:anchorId="7CA87961" wp14:editId="47B1B4E9">
            <wp:extent cx="3459193" cy="2849588"/>
            <wp:effectExtent l="0" t="0" r="8255" b="8255"/>
            <wp:docPr id="625642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1685" cy="2851641"/>
                    </a:xfrm>
                    <a:prstGeom prst="rect">
                      <a:avLst/>
                    </a:prstGeom>
                    <a:noFill/>
                  </pic:spPr>
                </pic:pic>
              </a:graphicData>
            </a:graphic>
          </wp:inline>
        </w:drawing>
      </w:r>
    </w:p>
    <w:p w14:paraId="5C728C6F" w14:textId="1140F080" w:rsidR="00F54B3B" w:rsidRPr="005531DA" w:rsidRDefault="00F54B3B" w:rsidP="00456E2A">
      <w:pPr>
        <w:tabs>
          <w:tab w:val="left" w:pos="992"/>
        </w:tabs>
        <w:spacing w:line="480" w:lineRule="auto"/>
        <w:jc w:val="both"/>
        <w:rPr>
          <w:rFonts w:ascii="Times New Roman" w:hAnsi="Times New Roman" w:cs="Times New Roman"/>
          <w:sz w:val="24"/>
          <w:lang w:val="en-GB"/>
        </w:rPr>
      </w:pPr>
      <w:r w:rsidRPr="005531DA">
        <w:rPr>
          <w:rFonts w:ascii="Times New Roman" w:hAnsi="Times New Roman" w:cs="Times New Roman"/>
          <w:b/>
          <w:bCs/>
          <w:sz w:val="24"/>
          <w:lang w:val="en-GB"/>
        </w:rPr>
        <w:t>Fig. S</w:t>
      </w:r>
      <w:r w:rsidR="00E45911">
        <w:rPr>
          <w:rFonts w:ascii="Times New Roman" w:hAnsi="Times New Roman" w:cs="Times New Roman"/>
          <w:b/>
          <w:bCs/>
          <w:sz w:val="24"/>
          <w:lang w:val="en-GB"/>
        </w:rPr>
        <w:t>7</w:t>
      </w:r>
      <w:r w:rsidRPr="005531DA">
        <w:rPr>
          <w:rFonts w:ascii="Times New Roman" w:hAnsi="Times New Roman" w:cs="Times New Roman"/>
          <w:sz w:val="24"/>
          <w:lang w:val="en-GB"/>
        </w:rPr>
        <w:t xml:space="preserve"> Specific capacitance vs. extended voltage from 1.0 V to 3.0 V of </w:t>
      </w:r>
      <w:r w:rsidRPr="005531DA">
        <w:rPr>
          <w:rFonts w:ascii="Times New Roman" w:hAnsi="Times New Roman" w:cs="Times New Roman"/>
          <w:sz w:val="24"/>
        </w:rPr>
        <w:t xml:space="preserve">F-Gr IL-SSC device </w:t>
      </w:r>
      <w:r w:rsidRPr="005531DA">
        <w:rPr>
          <w:rFonts w:ascii="Times New Roman" w:hAnsi="Times New Roman" w:cs="Times New Roman"/>
          <w:sz w:val="24"/>
          <w:lang w:val="en-GB"/>
        </w:rPr>
        <w:t xml:space="preserve">calculated from the CV analysis. </w:t>
      </w:r>
    </w:p>
    <w:p w14:paraId="1EAE826A"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22203523"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3B22EB9E"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6AB3CD58"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4C30D1B4"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2E130283"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78C10F17"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69679400"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039B6E1C"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1938A479"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49ED4EF0" w14:textId="77777777" w:rsidR="00F54B3B" w:rsidRPr="005531DA" w:rsidRDefault="00F54B3B" w:rsidP="00456E2A">
      <w:pPr>
        <w:tabs>
          <w:tab w:val="left" w:pos="992"/>
        </w:tabs>
        <w:spacing w:line="480" w:lineRule="auto"/>
        <w:rPr>
          <w:rFonts w:ascii="Times New Roman" w:hAnsi="Times New Roman" w:cs="Times New Roman"/>
          <w:sz w:val="24"/>
          <w:lang w:val="en-GB"/>
        </w:rPr>
      </w:pPr>
    </w:p>
    <w:p w14:paraId="2AAC89BC" w14:textId="2F304E58" w:rsidR="00F54B3B" w:rsidRPr="005531DA" w:rsidRDefault="00195142" w:rsidP="00456E2A">
      <w:pPr>
        <w:tabs>
          <w:tab w:val="left" w:pos="992"/>
        </w:tabs>
        <w:spacing w:line="480" w:lineRule="auto"/>
        <w:jc w:val="center"/>
        <w:rPr>
          <w:rFonts w:ascii="Times New Roman" w:hAnsi="Times New Roman" w:cs="Times New Roman"/>
          <w:sz w:val="24"/>
        </w:rPr>
      </w:pPr>
      <w:r w:rsidRPr="005531DA">
        <w:rPr>
          <w:rFonts w:ascii="Times New Roman" w:hAnsi="Times New Roman" w:cs="Times New Roman"/>
          <w:noProof/>
          <w:sz w:val="24"/>
        </w:rPr>
        <w:lastRenderedPageBreak/>
        <w:drawing>
          <wp:inline distT="0" distB="0" distL="0" distR="0" wp14:anchorId="39F3D79D" wp14:editId="4692AC9A">
            <wp:extent cx="3755149" cy="3006520"/>
            <wp:effectExtent l="0" t="0" r="0" b="3810"/>
            <wp:docPr id="10119439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9376" cy="3025917"/>
                    </a:xfrm>
                    <a:prstGeom prst="rect">
                      <a:avLst/>
                    </a:prstGeom>
                    <a:noFill/>
                  </pic:spPr>
                </pic:pic>
              </a:graphicData>
            </a:graphic>
          </wp:inline>
        </w:drawing>
      </w:r>
    </w:p>
    <w:p w14:paraId="3183462B" w14:textId="3DAFDD1F" w:rsidR="00195142" w:rsidRPr="005531DA" w:rsidRDefault="00195142" w:rsidP="00456E2A">
      <w:pPr>
        <w:tabs>
          <w:tab w:val="left" w:pos="992"/>
        </w:tabs>
        <w:spacing w:line="480" w:lineRule="auto"/>
        <w:jc w:val="center"/>
        <w:rPr>
          <w:rFonts w:ascii="Times New Roman" w:hAnsi="Times New Roman" w:cs="Times New Roman"/>
          <w:sz w:val="24"/>
          <w:lang w:val="en-GB"/>
        </w:rPr>
      </w:pPr>
      <w:r w:rsidRPr="00195142">
        <w:rPr>
          <w:rFonts w:ascii="Times New Roman" w:hAnsi="Times New Roman" w:cs="Times New Roman"/>
          <w:b/>
          <w:bCs/>
          <w:sz w:val="24"/>
          <w:lang w:val="en-GB"/>
        </w:rPr>
        <w:t>Fig. S</w:t>
      </w:r>
      <w:r w:rsidR="00E45911">
        <w:rPr>
          <w:rFonts w:ascii="Times New Roman" w:hAnsi="Times New Roman" w:cs="Times New Roman"/>
          <w:b/>
          <w:bCs/>
          <w:sz w:val="24"/>
          <w:lang w:val="en-GB"/>
        </w:rPr>
        <w:t>8</w:t>
      </w:r>
      <w:r w:rsidRPr="00195142">
        <w:rPr>
          <w:rFonts w:ascii="Times New Roman" w:hAnsi="Times New Roman" w:cs="Times New Roman"/>
          <w:b/>
          <w:bCs/>
          <w:sz w:val="24"/>
          <w:lang w:val="en-GB"/>
        </w:rPr>
        <w:t xml:space="preserve"> </w:t>
      </w:r>
      <w:r w:rsidRPr="00195142">
        <w:rPr>
          <w:rFonts w:ascii="Times New Roman" w:hAnsi="Times New Roman" w:cs="Times New Roman"/>
          <w:sz w:val="24"/>
          <w:lang w:val="en-GB"/>
        </w:rPr>
        <w:t xml:space="preserve">Specific capacitance vs. scan rate plot in </w:t>
      </w:r>
      <w:r w:rsidR="00195D46" w:rsidRPr="005531DA">
        <w:rPr>
          <w:rFonts w:ascii="Times New Roman" w:hAnsi="Times New Roman" w:cs="Times New Roman"/>
          <w:sz w:val="24"/>
        </w:rPr>
        <w:t>F-Gr IL-SSC device</w:t>
      </w:r>
      <w:r w:rsidRPr="00195142">
        <w:rPr>
          <w:rFonts w:ascii="Times New Roman" w:hAnsi="Times New Roman" w:cs="Times New Roman"/>
          <w:sz w:val="24"/>
          <w:lang w:val="en-GB"/>
        </w:rPr>
        <w:t>.</w:t>
      </w:r>
    </w:p>
    <w:p w14:paraId="48E546B2"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43341D3B"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086A79F0"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30C4E80A"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4E2921C6"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22E8DDEA"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4C86FD94"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298B148E"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3BEA801A"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1892E048"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38068289" w14:textId="77777777" w:rsidR="00195142" w:rsidRPr="005531DA" w:rsidRDefault="00195142" w:rsidP="00456E2A">
      <w:pPr>
        <w:tabs>
          <w:tab w:val="left" w:pos="992"/>
        </w:tabs>
        <w:spacing w:line="480" w:lineRule="auto"/>
        <w:rPr>
          <w:rFonts w:ascii="Times New Roman" w:hAnsi="Times New Roman" w:cs="Times New Roman"/>
          <w:sz w:val="24"/>
          <w:lang w:val="en-GB"/>
        </w:rPr>
      </w:pPr>
    </w:p>
    <w:p w14:paraId="34C8F572" w14:textId="02E97608" w:rsidR="00195142" w:rsidRPr="005531DA" w:rsidRDefault="00FD3201" w:rsidP="00456E2A">
      <w:pPr>
        <w:tabs>
          <w:tab w:val="left" w:pos="992"/>
        </w:tabs>
        <w:spacing w:line="480" w:lineRule="auto"/>
        <w:jc w:val="center"/>
        <w:rPr>
          <w:rFonts w:ascii="Times New Roman" w:hAnsi="Times New Roman" w:cs="Times New Roman"/>
          <w:sz w:val="24"/>
          <w:lang w:val="en-GB"/>
        </w:rPr>
      </w:pPr>
      <w:r>
        <w:rPr>
          <w:rFonts w:ascii="Times New Roman" w:hAnsi="Times New Roman" w:cs="Times New Roman"/>
          <w:noProof/>
          <w:sz w:val="24"/>
          <w:lang w:val="en-GB"/>
        </w:rPr>
        <w:lastRenderedPageBreak/>
        <w:drawing>
          <wp:inline distT="0" distB="0" distL="0" distR="0" wp14:anchorId="0FA97A7A" wp14:editId="0A5BE83F">
            <wp:extent cx="3517900" cy="2810510"/>
            <wp:effectExtent l="0" t="0" r="6350" b="8890"/>
            <wp:docPr id="99543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7900" cy="2810510"/>
                    </a:xfrm>
                    <a:prstGeom prst="rect">
                      <a:avLst/>
                    </a:prstGeom>
                    <a:noFill/>
                  </pic:spPr>
                </pic:pic>
              </a:graphicData>
            </a:graphic>
          </wp:inline>
        </w:drawing>
      </w:r>
    </w:p>
    <w:p w14:paraId="6908DA15" w14:textId="33636985" w:rsidR="00115560" w:rsidRDefault="00115560" w:rsidP="00456E2A">
      <w:pPr>
        <w:tabs>
          <w:tab w:val="left" w:pos="992"/>
        </w:tabs>
        <w:spacing w:line="480" w:lineRule="auto"/>
        <w:jc w:val="both"/>
        <w:rPr>
          <w:rFonts w:ascii="Times New Roman" w:hAnsi="Times New Roman" w:cs="Times New Roman"/>
          <w:sz w:val="24"/>
          <w:lang w:val="en-GB"/>
        </w:rPr>
      </w:pPr>
      <w:r w:rsidRPr="00115560">
        <w:rPr>
          <w:rFonts w:ascii="Times New Roman" w:hAnsi="Times New Roman" w:cs="Times New Roman"/>
          <w:b/>
          <w:bCs/>
          <w:sz w:val="24"/>
          <w:lang w:val="en-GB"/>
        </w:rPr>
        <w:t>Fig. S</w:t>
      </w:r>
      <w:r w:rsidR="00E45911">
        <w:rPr>
          <w:rFonts w:ascii="Times New Roman" w:hAnsi="Times New Roman" w:cs="Times New Roman"/>
          <w:b/>
          <w:bCs/>
          <w:sz w:val="24"/>
          <w:lang w:val="en-GB"/>
        </w:rPr>
        <w:t>9</w:t>
      </w:r>
      <w:r w:rsidRPr="00115560">
        <w:rPr>
          <w:rFonts w:ascii="Times New Roman" w:hAnsi="Times New Roman" w:cs="Times New Roman"/>
          <w:sz w:val="24"/>
          <w:lang w:val="en-GB"/>
        </w:rPr>
        <w:t xml:space="preserve"> Continuous charging and discharging profile of </w:t>
      </w:r>
      <w:r w:rsidRPr="00115560">
        <w:rPr>
          <w:rFonts w:ascii="Times New Roman" w:hAnsi="Times New Roman" w:cs="Times New Roman"/>
          <w:sz w:val="24"/>
        </w:rPr>
        <w:t xml:space="preserve">F-Gr IL-SSC device </w:t>
      </w:r>
      <w:r w:rsidRPr="00115560">
        <w:rPr>
          <w:rFonts w:ascii="Times New Roman" w:hAnsi="Times New Roman" w:cs="Times New Roman"/>
          <w:sz w:val="24"/>
          <w:lang w:val="en-GB"/>
        </w:rPr>
        <w:t>measured at 1.</w:t>
      </w:r>
      <w:r w:rsidR="00FD3201">
        <w:rPr>
          <w:rFonts w:ascii="Times New Roman" w:hAnsi="Times New Roman" w:cs="Times New Roman"/>
          <w:sz w:val="24"/>
          <w:lang w:val="en-GB"/>
        </w:rPr>
        <w:t>25</w:t>
      </w:r>
      <w:r w:rsidRPr="00115560">
        <w:rPr>
          <w:rFonts w:ascii="Times New Roman" w:hAnsi="Times New Roman" w:cs="Times New Roman"/>
          <w:sz w:val="24"/>
          <w:lang w:val="en-GB"/>
        </w:rPr>
        <w:t xml:space="preserve"> A</w:t>
      </w:r>
      <w:r w:rsidR="00FD3201">
        <w:rPr>
          <w:rFonts w:ascii="Times New Roman" w:hAnsi="Times New Roman" w:cs="Times New Roman"/>
          <w:sz w:val="24"/>
          <w:lang w:val="en-GB"/>
        </w:rPr>
        <w:t xml:space="preserve"> g</w:t>
      </w:r>
      <w:r w:rsidR="00FD3201">
        <w:rPr>
          <w:rFonts w:ascii="Times New Roman" w:hAnsi="Times New Roman" w:cs="Times New Roman"/>
          <w:sz w:val="24"/>
          <w:vertAlign w:val="superscript"/>
          <w:lang w:val="en-GB"/>
        </w:rPr>
        <w:t>-1</w:t>
      </w:r>
      <w:r w:rsidRPr="00115560">
        <w:rPr>
          <w:rFonts w:ascii="Times New Roman" w:hAnsi="Times New Roman" w:cs="Times New Roman"/>
          <w:sz w:val="24"/>
          <w:lang w:val="en-GB"/>
        </w:rPr>
        <w:t xml:space="preserve">. </w:t>
      </w:r>
    </w:p>
    <w:p w14:paraId="29620D21"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283C878F"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089E4792"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2F019C15"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485838E2"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213A1EDD"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29BBF895"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3DFF7EB0"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175B6B2E"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03E9F9B7"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05D6B670"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36556F43" w14:textId="68D374B5" w:rsidR="000322F4" w:rsidRDefault="005B52AE" w:rsidP="000322F4">
      <w:pPr>
        <w:tabs>
          <w:tab w:val="left" w:pos="992"/>
        </w:tabs>
        <w:spacing w:line="480" w:lineRule="auto"/>
        <w:jc w:val="center"/>
        <w:rPr>
          <w:rFonts w:ascii="Times New Roman" w:hAnsi="Times New Roman" w:cs="Times New Roman"/>
          <w:sz w:val="24"/>
          <w:lang w:val="en-GB"/>
        </w:rPr>
      </w:pPr>
      <w:r>
        <w:rPr>
          <w:rFonts w:ascii="Times New Roman" w:hAnsi="Times New Roman" w:cs="Times New Roman"/>
          <w:noProof/>
          <w:sz w:val="24"/>
          <w:lang w:val="en-GB"/>
        </w:rPr>
        <w:lastRenderedPageBreak/>
        <w:drawing>
          <wp:inline distT="0" distB="0" distL="0" distR="0" wp14:anchorId="53CC5A1F" wp14:editId="3B81A6AB">
            <wp:extent cx="3398383" cy="3895106"/>
            <wp:effectExtent l="0" t="0" r="0" b="0"/>
            <wp:docPr id="7662914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0713" cy="3909238"/>
                    </a:xfrm>
                    <a:prstGeom prst="rect">
                      <a:avLst/>
                    </a:prstGeom>
                    <a:noFill/>
                  </pic:spPr>
                </pic:pic>
              </a:graphicData>
            </a:graphic>
          </wp:inline>
        </w:drawing>
      </w:r>
    </w:p>
    <w:p w14:paraId="7E22FD6B" w14:textId="6F08A08B" w:rsidR="000322F4" w:rsidRDefault="000322F4" w:rsidP="000322F4">
      <w:pPr>
        <w:tabs>
          <w:tab w:val="left" w:pos="992"/>
        </w:tabs>
        <w:spacing w:line="480" w:lineRule="auto"/>
        <w:jc w:val="both"/>
        <w:rPr>
          <w:rFonts w:ascii="Times New Roman" w:hAnsi="Times New Roman" w:cs="Times New Roman"/>
          <w:sz w:val="24"/>
          <w:lang w:val="en-GB"/>
        </w:rPr>
      </w:pPr>
      <w:r w:rsidRPr="00115560">
        <w:rPr>
          <w:rFonts w:ascii="Times New Roman" w:hAnsi="Times New Roman" w:cs="Times New Roman"/>
          <w:b/>
          <w:bCs/>
          <w:sz w:val="24"/>
          <w:lang w:val="en-GB"/>
        </w:rPr>
        <w:t>Fig. S</w:t>
      </w:r>
      <w:r w:rsidR="00E45911">
        <w:rPr>
          <w:rFonts w:ascii="Times New Roman" w:hAnsi="Times New Roman" w:cs="Times New Roman"/>
          <w:b/>
          <w:bCs/>
          <w:sz w:val="24"/>
          <w:lang w:val="en-GB"/>
        </w:rPr>
        <w:t>10</w:t>
      </w:r>
      <w:r w:rsidRPr="00115560">
        <w:rPr>
          <w:rFonts w:ascii="Times New Roman" w:hAnsi="Times New Roman" w:cs="Times New Roman"/>
          <w:sz w:val="24"/>
          <w:lang w:val="en-GB"/>
        </w:rPr>
        <w:t xml:space="preserve"> Co</w:t>
      </w:r>
      <w:r>
        <w:rPr>
          <w:rFonts w:ascii="Times New Roman" w:hAnsi="Times New Roman" w:cs="Times New Roman"/>
          <w:sz w:val="24"/>
          <w:lang w:val="en-GB"/>
        </w:rPr>
        <w:t xml:space="preserve">ulombic </w:t>
      </w:r>
      <w:r w:rsidR="00904055">
        <w:rPr>
          <w:rFonts w:ascii="Times New Roman" w:hAnsi="Times New Roman" w:cs="Times New Roman"/>
          <w:sz w:val="24"/>
          <w:lang w:val="en-GB"/>
        </w:rPr>
        <w:t xml:space="preserve">and energy </w:t>
      </w:r>
      <w:r>
        <w:rPr>
          <w:rFonts w:ascii="Times New Roman" w:hAnsi="Times New Roman" w:cs="Times New Roman"/>
          <w:sz w:val="24"/>
          <w:lang w:val="en-GB"/>
        </w:rPr>
        <w:t xml:space="preserve">efficiency plot at different current densities from GCD analysis of </w:t>
      </w:r>
      <w:r w:rsidRPr="00115560">
        <w:rPr>
          <w:rFonts w:ascii="Times New Roman" w:hAnsi="Times New Roman" w:cs="Times New Roman"/>
          <w:sz w:val="24"/>
        </w:rPr>
        <w:t>F-Gr IL-SSC device</w:t>
      </w:r>
      <w:r w:rsidRPr="00115560">
        <w:rPr>
          <w:rFonts w:ascii="Times New Roman" w:hAnsi="Times New Roman" w:cs="Times New Roman"/>
          <w:sz w:val="24"/>
          <w:lang w:val="en-GB"/>
        </w:rPr>
        <w:t>.</w:t>
      </w:r>
    </w:p>
    <w:p w14:paraId="645DBBBA" w14:textId="77777777" w:rsidR="000322F4" w:rsidRPr="000322F4" w:rsidRDefault="000322F4" w:rsidP="00456E2A">
      <w:pPr>
        <w:tabs>
          <w:tab w:val="left" w:pos="992"/>
        </w:tabs>
        <w:spacing w:line="480" w:lineRule="auto"/>
        <w:jc w:val="both"/>
        <w:rPr>
          <w:rFonts w:ascii="Times New Roman" w:hAnsi="Times New Roman" w:cs="Times New Roman"/>
          <w:sz w:val="24"/>
          <w:lang w:val="en-GB"/>
        </w:rPr>
      </w:pPr>
    </w:p>
    <w:p w14:paraId="0D5D2F48"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49F5EA13"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7BB7DC54"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42F8B02E"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5D6F5782"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3BCD6571"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06D7ADAA" w14:textId="77777777" w:rsidR="000322F4" w:rsidRDefault="000322F4" w:rsidP="00456E2A">
      <w:pPr>
        <w:tabs>
          <w:tab w:val="left" w:pos="992"/>
        </w:tabs>
        <w:spacing w:line="480" w:lineRule="auto"/>
        <w:jc w:val="both"/>
        <w:rPr>
          <w:rFonts w:ascii="Times New Roman" w:hAnsi="Times New Roman" w:cs="Times New Roman"/>
          <w:sz w:val="24"/>
          <w:lang w:val="en-GB"/>
        </w:rPr>
      </w:pPr>
    </w:p>
    <w:p w14:paraId="2C2B63C5" w14:textId="0AFBDC8C" w:rsidR="00072C73" w:rsidRPr="005531DA" w:rsidRDefault="00B2143F" w:rsidP="00456E2A">
      <w:pPr>
        <w:tabs>
          <w:tab w:val="left" w:pos="992"/>
        </w:tabs>
        <w:spacing w:line="480" w:lineRule="auto"/>
        <w:jc w:val="center"/>
        <w:rPr>
          <w:rFonts w:ascii="Times New Roman" w:hAnsi="Times New Roman" w:cs="Times New Roman"/>
          <w:b/>
          <w:bCs/>
          <w:sz w:val="24"/>
          <w:lang w:val="en-GB"/>
        </w:rPr>
      </w:pPr>
      <w:r w:rsidRPr="005531DA">
        <w:rPr>
          <w:rFonts w:ascii="Times New Roman" w:hAnsi="Times New Roman" w:cs="Times New Roman"/>
          <w:noProof/>
          <w:sz w:val="24"/>
          <w:lang w:val="en-GB"/>
        </w:rPr>
        <w:lastRenderedPageBreak/>
        <w:drawing>
          <wp:inline distT="0" distB="0" distL="0" distR="0" wp14:anchorId="5941219F" wp14:editId="3262D815">
            <wp:extent cx="3444833" cy="2802576"/>
            <wp:effectExtent l="0" t="0" r="3810" b="0"/>
            <wp:docPr id="7064612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4115" cy="2810127"/>
                    </a:xfrm>
                    <a:prstGeom prst="rect">
                      <a:avLst/>
                    </a:prstGeom>
                    <a:noFill/>
                  </pic:spPr>
                </pic:pic>
              </a:graphicData>
            </a:graphic>
          </wp:inline>
        </w:drawing>
      </w:r>
    </w:p>
    <w:p w14:paraId="6097A0D6" w14:textId="67790CA7" w:rsidR="00072C73" w:rsidRPr="005531DA" w:rsidRDefault="00072C73" w:rsidP="00456E2A">
      <w:pPr>
        <w:tabs>
          <w:tab w:val="left" w:pos="3233"/>
        </w:tabs>
        <w:spacing w:line="480" w:lineRule="auto"/>
        <w:jc w:val="center"/>
        <w:rPr>
          <w:rFonts w:ascii="Times New Roman" w:hAnsi="Times New Roman" w:cs="Times New Roman"/>
          <w:sz w:val="24"/>
        </w:rPr>
      </w:pPr>
      <w:r w:rsidRPr="005531DA">
        <w:rPr>
          <w:rFonts w:ascii="Times New Roman" w:hAnsi="Times New Roman" w:cs="Times New Roman"/>
          <w:b/>
          <w:bCs/>
          <w:sz w:val="24"/>
        </w:rPr>
        <w:t>Fig. S</w:t>
      </w:r>
      <w:r w:rsidR="000322F4">
        <w:rPr>
          <w:rFonts w:ascii="Times New Roman" w:hAnsi="Times New Roman" w:cs="Times New Roman"/>
          <w:b/>
          <w:bCs/>
          <w:sz w:val="24"/>
        </w:rPr>
        <w:t>1</w:t>
      </w:r>
      <w:r w:rsidR="00E45911">
        <w:rPr>
          <w:rFonts w:ascii="Times New Roman" w:hAnsi="Times New Roman" w:cs="Times New Roman"/>
          <w:b/>
          <w:bCs/>
          <w:sz w:val="24"/>
        </w:rPr>
        <w:t>1</w:t>
      </w:r>
      <w:r w:rsidRPr="005531DA">
        <w:rPr>
          <w:rFonts w:ascii="Times New Roman" w:hAnsi="Times New Roman" w:cs="Times New Roman"/>
          <w:sz w:val="24"/>
        </w:rPr>
        <w:t xml:space="preserve"> Analyzing the mechanism of self-discharge via voltage vs. t</w:t>
      </w:r>
      <w:r w:rsidRPr="005531DA">
        <w:rPr>
          <w:rFonts w:ascii="Times New Roman" w:hAnsi="Times New Roman" w:cs="Times New Roman"/>
          <w:sz w:val="24"/>
          <w:vertAlign w:val="superscript"/>
        </w:rPr>
        <w:t xml:space="preserve">1/2 </w:t>
      </w:r>
      <w:r w:rsidRPr="005531DA">
        <w:rPr>
          <w:rFonts w:ascii="Times New Roman" w:hAnsi="Times New Roman" w:cs="Times New Roman"/>
          <w:sz w:val="24"/>
        </w:rPr>
        <w:t>profile.</w:t>
      </w:r>
    </w:p>
    <w:p w14:paraId="75E883E7" w14:textId="77777777" w:rsidR="00072C73" w:rsidRPr="005531DA" w:rsidRDefault="00072C73" w:rsidP="00456E2A">
      <w:pPr>
        <w:tabs>
          <w:tab w:val="left" w:pos="3233"/>
        </w:tabs>
        <w:spacing w:line="480" w:lineRule="auto"/>
        <w:jc w:val="center"/>
        <w:rPr>
          <w:rFonts w:ascii="Times New Roman" w:hAnsi="Times New Roman" w:cs="Times New Roman"/>
          <w:sz w:val="24"/>
          <w:lang w:val="en-GB"/>
        </w:rPr>
      </w:pPr>
    </w:p>
    <w:p w14:paraId="17BE32B4"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3D416793"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5D844417"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2F575628"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0D870704"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6EB66B90"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07A7E34A"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4EF7C303" w14:textId="77777777" w:rsidR="00DA3D6B" w:rsidRPr="005531DA" w:rsidRDefault="00DA3D6B" w:rsidP="00456E2A">
      <w:pPr>
        <w:tabs>
          <w:tab w:val="left" w:pos="3233"/>
        </w:tabs>
        <w:spacing w:line="480" w:lineRule="auto"/>
        <w:jc w:val="center"/>
        <w:rPr>
          <w:rFonts w:ascii="Times New Roman" w:hAnsi="Times New Roman" w:cs="Times New Roman"/>
          <w:sz w:val="24"/>
          <w:lang w:val="en-GB"/>
        </w:rPr>
      </w:pPr>
    </w:p>
    <w:p w14:paraId="06C15075" w14:textId="77777777" w:rsidR="00072C73" w:rsidRPr="005531DA" w:rsidRDefault="00072C73" w:rsidP="00456E2A">
      <w:pPr>
        <w:tabs>
          <w:tab w:val="left" w:pos="3233"/>
        </w:tabs>
        <w:spacing w:line="480" w:lineRule="auto"/>
        <w:rPr>
          <w:rFonts w:ascii="Times New Roman" w:hAnsi="Times New Roman" w:cs="Times New Roman"/>
          <w:sz w:val="24"/>
          <w:lang w:val="en-GB"/>
        </w:rPr>
      </w:pPr>
    </w:p>
    <w:p w14:paraId="27DEACD3" w14:textId="26FDD747" w:rsidR="00072C73" w:rsidRPr="005531DA" w:rsidRDefault="00DA3D6B" w:rsidP="00456E2A">
      <w:pPr>
        <w:tabs>
          <w:tab w:val="left" w:pos="3233"/>
        </w:tabs>
        <w:spacing w:line="480" w:lineRule="auto"/>
        <w:jc w:val="center"/>
        <w:rPr>
          <w:rFonts w:ascii="Times New Roman" w:hAnsi="Times New Roman" w:cs="Times New Roman"/>
          <w:sz w:val="24"/>
          <w:lang w:val="en-GB"/>
        </w:rPr>
      </w:pPr>
      <w:r w:rsidRPr="005531DA">
        <w:rPr>
          <w:rFonts w:ascii="Times New Roman" w:hAnsi="Times New Roman" w:cs="Times New Roman"/>
          <w:noProof/>
          <w:sz w:val="24"/>
          <w:lang w:val="en-GB"/>
        </w:rPr>
        <w:lastRenderedPageBreak/>
        <w:drawing>
          <wp:inline distT="0" distB="0" distL="0" distR="0" wp14:anchorId="3A7F9D66" wp14:editId="3FCE79EC">
            <wp:extent cx="3933645" cy="2862178"/>
            <wp:effectExtent l="0" t="0" r="0" b="0"/>
            <wp:docPr id="1669854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39518" cy="2866451"/>
                    </a:xfrm>
                    <a:prstGeom prst="rect">
                      <a:avLst/>
                    </a:prstGeom>
                    <a:noFill/>
                  </pic:spPr>
                </pic:pic>
              </a:graphicData>
            </a:graphic>
          </wp:inline>
        </w:drawing>
      </w:r>
    </w:p>
    <w:p w14:paraId="71E87377" w14:textId="294ADEE8" w:rsidR="00D8634E" w:rsidRPr="00D8634E" w:rsidRDefault="00D8634E" w:rsidP="00456E2A">
      <w:pPr>
        <w:tabs>
          <w:tab w:val="left" w:pos="3233"/>
        </w:tabs>
        <w:spacing w:line="480" w:lineRule="auto"/>
        <w:jc w:val="both"/>
        <w:rPr>
          <w:rFonts w:ascii="Times New Roman" w:hAnsi="Times New Roman" w:cs="Times New Roman"/>
          <w:sz w:val="24"/>
        </w:rPr>
      </w:pPr>
      <w:r w:rsidRPr="00D8634E">
        <w:rPr>
          <w:rFonts w:ascii="Times New Roman" w:hAnsi="Times New Roman" w:cs="Times New Roman"/>
          <w:b/>
          <w:bCs/>
          <w:sz w:val="24"/>
        </w:rPr>
        <w:t>Fig. S1</w:t>
      </w:r>
      <w:r w:rsidR="00E45911">
        <w:rPr>
          <w:rFonts w:ascii="Times New Roman" w:hAnsi="Times New Roman" w:cs="Times New Roman"/>
          <w:b/>
          <w:bCs/>
          <w:sz w:val="24"/>
        </w:rPr>
        <w:t>2</w:t>
      </w:r>
      <w:r w:rsidRPr="00D8634E">
        <w:rPr>
          <w:rFonts w:ascii="Times New Roman" w:hAnsi="Times New Roman" w:cs="Times New Roman"/>
          <w:sz w:val="24"/>
        </w:rPr>
        <w:t xml:space="preserve"> (A)</w:t>
      </w:r>
      <w:r w:rsidR="00456E2A">
        <w:rPr>
          <w:rFonts w:ascii="Times New Roman" w:hAnsi="Times New Roman" w:cs="Times New Roman"/>
          <w:sz w:val="24"/>
        </w:rPr>
        <w:t xml:space="preserve"> </w:t>
      </w:r>
      <w:r w:rsidRPr="00D8634E">
        <w:rPr>
          <w:rFonts w:ascii="Times New Roman" w:hAnsi="Times New Roman" w:cs="Times New Roman"/>
          <w:sz w:val="24"/>
        </w:rPr>
        <w:t>Temperature chamber</w:t>
      </w:r>
      <w:r w:rsidR="00195D46">
        <w:rPr>
          <w:rFonts w:ascii="Times New Roman" w:hAnsi="Times New Roman" w:cs="Times New Roman"/>
          <w:sz w:val="24"/>
        </w:rPr>
        <w:t>, (B) control unit,</w:t>
      </w:r>
      <w:r w:rsidRPr="00D8634E">
        <w:rPr>
          <w:rFonts w:ascii="Times New Roman" w:hAnsi="Times New Roman" w:cs="Times New Roman"/>
          <w:sz w:val="24"/>
        </w:rPr>
        <w:t xml:space="preserve"> and (</w:t>
      </w:r>
      <w:r w:rsidR="002C090F">
        <w:rPr>
          <w:rFonts w:ascii="Times New Roman" w:hAnsi="Times New Roman" w:cs="Times New Roman"/>
          <w:sz w:val="24"/>
        </w:rPr>
        <w:t>C</w:t>
      </w:r>
      <w:r w:rsidRPr="00D8634E">
        <w:rPr>
          <w:rFonts w:ascii="Times New Roman" w:hAnsi="Times New Roman" w:cs="Times New Roman"/>
          <w:sz w:val="24"/>
        </w:rPr>
        <w:t>) F-Gr IL-SSC device in temperature control chamber.</w:t>
      </w:r>
    </w:p>
    <w:p w14:paraId="15E65121" w14:textId="77777777" w:rsidR="00072C73" w:rsidRPr="005531DA" w:rsidRDefault="00072C73" w:rsidP="00456E2A">
      <w:pPr>
        <w:tabs>
          <w:tab w:val="left" w:pos="3233"/>
        </w:tabs>
        <w:spacing w:line="480" w:lineRule="auto"/>
        <w:rPr>
          <w:rFonts w:ascii="Times New Roman" w:hAnsi="Times New Roman" w:cs="Times New Roman"/>
          <w:sz w:val="24"/>
        </w:rPr>
      </w:pPr>
    </w:p>
    <w:p w14:paraId="3912B7A1" w14:textId="77777777" w:rsidR="00072C73" w:rsidRPr="005531DA" w:rsidRDefault="00072C73" w:rsidP="00456E2A">
      <w:pPr>
        <w:tabs>
          <w:tab w:val="left" w:pos="3233"/>
        </w:tabs>
        <w:spacing w:line="480" w:lineRule="auto"/>
        <w:rPr>
          <w:rFonts w:ascii="Times New Roman" w:hAnsi="Times New Roman" w:cs="Times New Roman"/>
          <w:sz w:val="24"/>
          <w:lang w:val="en-GB"/>
        </w:rPr>
      </w:pPr>
    </w:p>
    <w:p w14:paraId="48266B3B" w14:textId="77777777" w:rsidR="00D8634E" w:rsidRDefault="00D8634E" w:rsidP="00456E2A">
      <w:pPr>
        <w:tabs>
          <w:tab w:val="left" w:pos="3233"/>
        </w:tabs>
        <w:spacing w:line="480" w:lineRule="auto"/>
        <w:rPr>
          <w:rFonts w:ascii="Times New Roman" w:hAnsi="Times New Roman" w:cs="Times New Roman"/>
          <w:sz w:val="24"/>
          <w:lang w:val="en-GB"/>
        </w:rPr>
      </w:pPr>
    </w:p>
    <w:p w14:paraId="6FE5B6F5" w14:textId="77777777" w:rsidR="004F56DE" w:rsidRDefault="004F56DE" w:rsidP="00456E2A">
      <w:pPr>
        <w:tabs>
          <w:tab w:val="left" w:pos="3233"/>
        </w:tabs>
        <w:spacing w:line="480" w:lineRule="auto"/>
        <w:rPr>
          <w:rFonts w:ascii="Times New Roman" w:hAnsi="Times New Roman" w:cs="Times New Roman"/>
          <w:sz w:val="24"/>
          <w:lang w:val="en-GB"/>
        </w:rPr>
      </w:pPr>
    </w:p>
    <w:p w14:paraId="17E31CA1" w14:textId="77777777" w:rsidR="004F56DE" w:rsidRDefault="004F56DE" w:rsidP="00456E2A">
      <w:pPr>
        <w:tabs>
          <w:tab w:val="left" w:pos="3233"/>
        </w:tabs>
        <w:spacing w:line="480" w:lineRule="auto"/>
        <w:rPr>
          <w:rFonts w:ascii="Times New Roman" w:hAnsi="Times New Roman" w:cs="Times New Roman"/>
          <w:sz w:val="24"/>
          <w:lang w:val="en-GB"/>
        </w:rPr>
      </w:pPr>
    </w:p>
    <w:p w14:paraId="42C9F6E8" w14:textId="77777777" w:rsidR="004F56DE" w:rsidRDefault="004F56DE" w:rsidP="00456E2A">
      <w:pPr>
        <w:tabs>
          <w:tab w:val="left" w:pos="3233"/>
        </w:tabs>
        <w:spacing w:line="480" w:lineRule="auto"/>
        <w:rPr>
          <w:rFonts w:ascii="Times New Roman" w:hAnsi="Times New Roman" w:cs="Times New Roman"/>
          <w:sz w:val="24"/>
          <w:lang w:val="en-GB"/>
        </w:rPr>
      </w:pPr>
    </w:p>
    <w:p w14:paraId="22F937D0" w14:textId="77777777" w:rsidR="004F56DE" w:rsidRDefault="004F56DE" w:rsidP="00456E2A">
      <w:pPr>
        <w:tabs>
          <w:tab w:val="left" w:pos="3233"/>
        </w:tabs>
        <w:spacing w:line="480" w:lineRule="auto"/>
        <w:rPr>
          <w:rFonts w:ascii="Times New Roman" w:hAnsi="Times New Roman" w:cs="Times New Roman"/>
          <w:sz w:val="24"/>
          <w:lang w:val="en-GB"/>
        </w:rPr>
      </w:pPr>
    </w:p>
    <w:p w14:paraId="7DAF51A4" w14:textId="77777777" w:rsidR="004F56DE" w:rsidRDefault="004F56DE" w:rsidP="00456E2A">
      <w:pPr>
        <w:tabs>
          <w:tab w:val="left" w:pos="3233"/>
        </w:tabs>
        <w:spacing w:line="480" w:lineRule="auto"/>
        <w:rPr>
          <w:rFonts w:ascii="Times New Roman" w:hAnsi="Times New Roman" w:cs="Times New Roman"/>
          <w:sz w:val="24"/>
          <w:lang w:val="en-GB"/>
        </w:rPr>
      </w:pPr>
    </w:p>
    <w:p w14:paraId="3CE989D7" w14:textId="77777777" w:rsidR="00C868DC" w:rsidRDefault="00C868DC" w:rsidP="00456E2A">
      <w:pPr>
        <w:tabs>
          <w:tab w:val="left" w:pos="3233"/>
        </w:tabs>
        <w:spacing w:line="480" w:lineRule="auto"/>
        <w:rPr>
          <w:rFonts w:ascii="Times New Roman" w:hAnsi="Times New Roman" w:cs="Times New Roman"/>
          <w:sz w:val="24"/>
          <w:lang w:val="en-GB"/>
        </w:rPr>
      </w:pPr>
    </w:p>
    <w:p w14:paraId="1D30AF44" w14:textId="77777777" w:rsidR="00C868DC" w:rsidRDefault="00C868DC" w:rsidP="00456E2A">
      <w:pPr>
        <w:tabs>
          <w:tab w:val="left" w:pos="3233"/>
        </w:tabs>
        <w:spacing w:line="480" w:lineRule="auto"/>
        <w:rPr>
          <w:rFonts w:ascii="Times New Roman" w:hAnsi="Times New Roman" w:cs="Times New Roman"/>
          <w:sz w:val="24"/>
          <w:lang w:val="en-GB"/>
        </w:rPr>
      </w:pPr>
    </w:p>
    <w:p w14:paraId="458672EF" w14:textId="77777777" w:rsidR="00C868DC" w:rsidRDefault="00C868DC" w:rsidP="00456E2A">
      <w:pPr>
        <w:tabs>
          <w:tab w:val="left" w:pos="3233"/>
        </w:tabs>
        <w:spacing w:line="480" w:lineRule="auto"/>
        <w:rPr>
          <w:rFonts w:ascii="Times New Roman" w:hAnsi="Times New Roman" w:cs="Times New Roman"/>
          <w:sz w:val="24"/>
          <w:lang w:val="en-GB"/>
        </w:rPr>
      </w:pPr>
    </w:p>
    <w:p w14:paraId="143D9FD3" w14:textId="7EF6B7AC" w:rsidR="00BA6AC8" w:rsidRPr="009C1CEE" w:rsidRDefault="00BA6AC8" w:rsidP="00456E2A">
      <w:pPr>
        <w:spacing w:line="480" w:lineRule="auto"/>
        <w:jc w:val="both"/>
        <w:rPr>
          <w:rFonts w:ascii="Times New Roman" w:hAnsi="Times New Roman"/>
          <w:sz w:val="24"/>
        </w:rPr>
      </w:pPr>
      <w:r w:rsidRPr="00C83100">
        <w:rPr>
          <w:rFonts w:ascii="Times New Roman" w:hAnsi="Times New Roman"/>
          <w:b/>
          <w:bCs/>
          <w:sz w:val="24"/>
        </w:rPr>
        <w:lastRenderedPageBreak/>
        <w:t>Table S</w:t>
      </w:r>
      <w:r w:rsidR="00E73DEA">
        <w:rPr>
          <w:rFonts w:ascii="Times New Roman" w:hAnsi="Times New Roman"/>
          <w:b/>
          <w:bCs/>
          <w:sz w:val="24"/>
        </w:rPr>
        <w:t>1</w:t>
      </w:r>
      <w:r>
        <w:rPr>
          <w:rFonts w:ascii="Times New Roman" w:hAnsi="Times New Roman"/>
          <w:sz w:val="24"/>
        </w:rPr>
        <w:t xml:space="preserve">: Comparison of specific capacitance with F-Gr IL-SSC device and </w:t>
      </w:r>
      <w:r w:rsidR="00FD3DE5">
        <w:rPr>
          <w:rFonts w:ascii="Times New Roman" w:hAnsi="Times New Roman"/>
          <w:sz w:val="24"/>
        </w:rPr>
        <w:t>state-of-the-art</w:t>
      </w:r>
      <w:r>
        <w:rPr>
          <w:rFonts w:ascii="Times New Roman" w:hAnsi="Times New Roman"/>
          <w:sz w:val="24"/>
        </w:rPr>
        <w:t xml:space="preserve"> SSC devices in ionic/organic </w:t>
      </w:r>
      <w:r w:rsidRPr="008D1EFF">
        <w:rPr>
          <w:rFonts w:ascii="Times New Roman" w:hAnsi="Times New Roman"/>
          <w:sz w:val="24"/>
        </w:rPr>
        <w:t>electrolyte.</w:t>
      </w:r>
    </w:p>
    <w:tbl>
      <w:tblPr>
        <w:tblW w:w="5000" w:type="pct"/>
        <w:jc w:val="center"/>
        <w:tblBorders>
          <w:top w:val="single" w:sz="4" w:space="0" w:color="7F7F7F"/>
          <w:bottom w:val="single" w:sz="4" w:space="0" w:color="7F7F7F"/>
        </w:tblBorders>
        <w:tblLayout w:type="fixed"/>
        <w:tblLook w:val="04A0" w:firstRow="1" w:lastRow="0" w:firstColumn="1" w:lastColumn="0" w:noHBand="0" w:noVBand="1"/>
      </w:tblPr>
      <w:tblGrid>
        <w:gridCol w:w="994"/>
        <w:gridCol w:w="1672"/>
        <w:gridCol w:w="1885"/>
        <w:gridCol w:w="1877"/>
        <w:gridCol w:w="1459"/>
        <w:gridCol w:w="1139"/>
      </w:tblGrid>
      <w:tr w:rsidR="00FD3DE5" w:rsidRPr="009C1CEE" w14:paraId="00471F48" w14:textId="77777777" w:rsidTr="000B2B4D">
        <w:trPr>
          <w:trHeight w:val="669"/>
          <w:jc w:val="center"/>
        </w:trPr>
        <w:tc>
          <w:tcPr>
            <w:tcW w:w="551" w:type="pct"/>
            <w:tcBorders>
              <w:top w:val="single" w:sz="4" w:space="0" w:color="7F7F7F"/>
              <w:left w:val="nil"/>
              <w:bottom w:val="single" w:sz="4" w:space="0" w:color="7F7F7F"/>
              <w:right w:val="nil"/>
            </w:tcBorders>
            <w:vAlign w:val="center"/>
            <w:hideMark/>
          </w:tcPr>
          <w:p w14:paraId="1B29192D" w14:textId="77777777" w:rsidR="00FD3DE5" w:rsidRPr="009C1CEE" w:rsidRDefault="00FD3DE5" w:rsidP="001A329F">
            <w:pPr>
              <w:spacing w:after="0" w:line="360" w:lineRule="auto"/>
              <w:contextualSpacing/>
              <w:jc w:val="center"/>
              <w:rPr>
                <w:rFonts w:ascii="Times New Roman" w:hAnsi="Times New Roman"/>
                <w:b/>
                <w:bCs/>
                <w:sz w:val="24"/>
              </w:rPr>
            </w:pPr>
            <w:r w:rsidRPr="009C1CEE">
              <w:rPr>
                <w:rFonts w:ascii="Times New Roman" w:hAnsi="Times New Roman"/>
                <w:b/>
                <w:bCs/>
                <w:sz w:val="24"/>
              </w:rPr>
              <w:t>S. No</w:t>
            </w:r>
          </w:p>
        </w:tc>
        <w:tc>
          <w:tcPr>
            <w:tcW w:w="926" w:type="pct"/>
            <w:tcBorders>
              <w:top w:val="single" w:sz="4" w:space="0" w:color="7F7F7F"/>
              <w:left w:val="nil"/>
              <w:bottom w:val="single" w:sz="4" w:space="0" w:color="7F7F7F"/>
              <w:right w:val="nil"/>
            </w:tcBorders>
            <w:vAlign w:val="center"/>
            <w:hideMark/>
          </w:tcPr>
          <w:p w14:paraId="12B79DAE" w14:textId="77777777" w:rsidR="00FD3DE5" w:rsidRDefault="00FD3DE5" w:rsidP="001A329F">
            <w:pPr>
              <w:spacing w:after="0" w:line="360" w:lineRule="auto"/>
              <w:contextualSpacing/>
              <w:jc w:val="center"/>
              <w:rPr>
                <w:rFonts w:ascii="Times New Roman" w:hAnsi="Times New Roman"/>
                <w:b/>
                <w:bCs/>
                <w:sz w:val="24"/>
              </w:rPr>
            </w:pPr>
            <w:r w:rsidRPr="009C1CEE">
              <w:rPr>
                <w:rFonts w:ascii="Times New Roman" w:hAnsi="Times New Roman"/>
                <w:b/>
                <w:bCs/>
                <w:sz w:val="24"/>
              </w:rPr>
              <w:t>Electrode</w:t>
            </w:r>
          </w:p>
          <w:p w14:paraId="2928D6E2" w14:textId="77777777" w:rsidR="00FD3DE5" w:rsidRPr="009C1CEE" w:rsidRDefault="00FD3DE5" w:rsidP="001A329F">
            <w:pPr>
              <w:spacing w:after="0" w:line="360" w:lineRule="auto"/>
              <w:contextualSpacing/>
              <w:jc w:val="center"/>
              <w:rPr>
                <w:rFonts w:ascii="Times New Roman" w:hAnsi="Times New Roman"/>
                <w:b/>
                <w:bCs/>
                <w:sz w:val="24"/>
              </w:rPr>
            </w:pPr>
            <w:r>
              <w:rPr>
                <w:rFonts w:ascii="Times New Roman" w:hAnsi="Times New Roman"/>
                <w:b/>
                <w:bCs/>
                <w:sz w:val="24"/>
              </w:rPr>
              <w:t>materials</w:t>
            </w:r>
          </w:p>
        </w:tc>
        <w:tc>
          <w:tcPr>
            <w:tcW w:w="1044" w:type="pct"/>
            <w:tcBorders>
              <w:top w:val="single" w:sz="4" w:space="0" w:color="7F7F7F"/>
              <w:left w:val="nil"/>
              <w:bottom w:val="single" w:sz="4" w:space="0" w:color="7F7F7F"/>
              <w:right w:val="nil"/>
            </w:tcBorders>
            <w:vAlign w:val="center"/>
          </w:tcPr>
          <w:p w14:paraId="1EC85832" w14:textId="77777777" w:rsidR="00FD3DE5" w:rsidRPr="009C1CEE" w:rsidRDefault="00FD3DE5" w:rsidP="001A329F">
            <w:pPr>
              <w:spacing w:after="0" w:line="360" w:lineRule="auto"/>
              <w:contextualSpacing/>
              <w:jc w:val="center"/>
              <w:rPr>
                <w:rFonts w:ascii="Times New Roman" w:hAnsi="Times New Roman"/>
                <w:b/>
                <w:bCs/>
                <w:sz w:val="24"/>
              </w:rPr>
            </w:pPr>
            <w:r w:rsidRPr="009C1CEE">
              <w:rPr>
                <w:rFonts w:ascii="Times New Roman" w:hAnsi="Times New Roman"/>
                <w:b/>
                <w:bCs/>
                <w:sz w:val="24"/>
              </w:rPr>
              <w:t>Electrolyte</w:t>
            </w:r>
          </w:p>
        </w:tc>
        <w:tc>
          <w:tcPr>
            <w:tcW w:w="1040" w:type="pct"/>
            <w:tcBorders>
              <w:top w:val="single" w:sz="4" w:space="0" w:color="7F7F7F"/>
              <w:left w:val="nil"/>
              <w:bottom w:val="single" w:sz="4" w:space="0" w:color="7F7F7F"/>
              <w:right w:val="nil"/>
            </w:tcBorders>
            <w:vAlign w:val="center"/>
            <w:hideMark/>
          </w:tcPr>
          <w:p w14:paraId="06EC4392" w14:textId="77777777" w:rsidR="00FD3DE5" w:rsidRPr="009C1CEE" w:rsidRDefault="00FD3DE5" w:rsidP="001A329F">
            <w:pPr>
              <w:spacing w:after="0" w:line="360" w:lineRule="auto"/>
              <w:contextualSpacing/>
              <w:jc w:val="center"/>
              <w:rPr>
                <w:rFonts w:ascii="Times New Roman" w:hAnsi="Times New Roman"/>
                <w:b/>
                <w:bCs/>
                <w:sz w:val="24"/>
              </w:rPr>
            </w:pPr>
            <w:r w:rsidRPr="009C1CEE">
              <w:rPr>
                <w:rFonts w:ascii="Times New Roman" w:hAnsi="Times New Roman"/>
                <w:b/>
                <w:bCs/>
                <w:sz w:val="24"/>
              </w:rPr>
              <w:t>Potential window (V)</w:t>
            </w:r>
          </w:p>
        </w:tc>
        <w:tc>
          <w:tcPr>
            <w:tcW w:w="808" w:type="pct"/>
            <w:tcBorders>
              <w:top w:val="single" w:sz="4" w:space="0" w:color="7F7F7F"/>
              <w:left w:val="nil"/>
              <w:bottom w:val="single" w:sz="4" w:space="0" w:color="7F7F7F"/>
              <w:right w:val="nil"/>
            </w:tcBorders>
            <w:vAlign w:val="center"/>
            <w:hideMark/>
          </w:tcPr>
          <w:p w14:paraId="30E8DD81" w14:textId="43A3E6A9" w:rsidR="00FD3DE5" w:rsidRPr="009C1CEE" w:rsidRDefault="00FD3DE5" w:rsidP="001A329F">
            <w:pPr>
              <w:spacing w:after="0" w:line="360" w:lineRule="auto"/>
              <w:contextualSpacing/>
              <w:jc w:val="center"/>
              <w:rPr>
                <w:rFonts w:ascii="Times New Roman" w:hAnsi="Times New Roman"/>
                <w:b/>
                <w:bCs/>
                <w:sz w:val="24"/>
              </w:rPr>
            </w:pPr>
            <w:r>
              <w:rPr>
                <w:rFonts w:ascii="Times New Roman" w:hAnsi="Times New Roman"/>
                <w:b/>
                <w:bCs/>
                <w:sz w:val="24"/>
              </w:rPr>
              <w:t xml:space="preserve">Specific capacitance </w:t>
            </w:r>
            <w:r w:rsidRPr="009C1CEE">
              <w:rPr>
                <w:rFonts w:ascii="Times New Roman" w:hAnsi="Times New Roman"/>
                <w:b/>
                <w:bCs/>
                <w:sz w:val="24"/>
              </w:rPr>
              <w:t>(</w:t>
            </w:r>
            <w:r>
              <w:rPr>
                <w:rFonts w:ascii="Times New Roman" w:hAnsi="Times New Roman"/>
                <w:b/>
                <w:bCs/>
                <w:sz w:val="24"/>
              </w:rPr>
              <w:t>F</w:t>
            </w:r>
            <w:r w:rsidRPr="009C1CEE">
              <w:rPr>
                <w:rFonts w:ascii="Times New Roman" w:hAnsi="Times New Roman"/>
                <w:b/>
                <w:bCs/>
                <w:sz w:val="24"/>
              </w:rPr>
              <w:t xml:space="preserve"> g</w:t>
            </w:r>
            <w:r w:rsidRPr="009C1CEE">
              <w:rPr>
                <w:rFonts w:ascii="Times New Roman" w:hAnsi="Times New Roman"/>
                <w:b/>
                <w:bCs/>
                <w:sz w:val="24"/>
                <w:vertAlign w:val="superscript"/>
              </w:rPr>
              <w:t>-1</w:t>
            </w:r>
            <w:r w:rsidRPr="009C1CEE">
              <w:rPr>
                <w:rFonts w:ascii="Times New Roman" w:hAnsi="Times New Roman"/>
                <w:b/>
                <w:bCs/>
                <w:sz w:val="24"/>
              </w:rPr>
              <w:t>)</w:t>
            </w:r>
          </w:p>
        </w:tc>
        <w:tc>
          <w:tcPr>
            <w:tcW w:w="631" w:type="pct"/>
            <w:tcBorders>
              <w:top w:val="single" w:sz="4" w:space="0" w:color="7F7F7F"/>
              <w:left w:val="nil"/>
              <w:bottom w:val="single" w:sz="4" w:space="0" w:color="7F7F7F"/>
              <w:right w:val="nil"/>
            </w:tcBorders>
            <w:vAlign w:val="center"/>
          </w:tcPr>
          <w:p w14:paraId="27C65F6A" w14:textId="77777777" w:rsidR="00FD3DE5" w:rsidRPr="009C1CEE" w:rsidRDefault="00FD3DE5" w:rsidP="001A329F">
            <w:pPr>
              <w:spacing w:after="0" w:line="360" w:lineRule="auto"/>
              <w:contextualSpacing/>
              <w:jc w:val="center"/>
              <w:rPr>
                <w:rFonts w:ascii="Times New Roman" w:hAnsi="Times New Roman"/>
                <w:b/>
                <w:bCs/>
                <w:sz w:val="24"/>
              </w:rPr>
            </w:pPr>
            <w:r w:rsidRPr="009C1CEE">
              <w:rPr>
                <w:rFonts w:ascii="Times New Roman" w:hAnsi="Times New Roman"/>
                <w:b/>
                <w:bCs/>
                <w:sz w:val="24"/>
              </w:rPr>
              <w:t>Ref</w:t>
            </w:r>
          </w:p>
        </w:tc>
      </w:tr>
      <w:tr w:rsidR="00FD3DE5" w:rsidRPr="009C1CEE" w14:paraId="072E5D51" w14:textId="77777777" w:rsidTr="000B2B4D">
        <w:trPr>
          <w:trHeight w:val="669"/>
          <w:jc w:val="center"/>
        </w:trPr>
        <w:tc>
          <w:tcPr>
            <w:tcW w:w="551" w:type="pct"/>
            <w:tcBorders>
              <w:top w:val="nil"/>
              <w:left w:val="nil"/>
              <w:bottom w:val="single" w:sz="4" w:space="0" w:color="7F7F7F"/>
              <w:right w:val="nil"/>
            </w:tcBorders>
            <w:vAlign w:val="center"/>
          </w:tcPr>
          <w:p w14:paraId="4387C25B" w14:textId="77777777" w:rsidR="00FD3DE5" w:rsidRPr="009C1CEE" w:rsidRDefault="00FD3DE5" w:rsidP="001A329F">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1</w:t>
            </w:r>
          </w:p>
        </w:tc>
        <w:tc>
          <w:tcPr>
            <w:tcW w:w="926" w:type="pct"/>
            <w:tcBorders>
              <w:top w:val="nil"/>
              <w:left w:val="nil"/>
              <w:bottom w:val="single" w:sz="4" w:space="0" w:color="7F7F7F"/>
              <w:right w:val="nil"/>
            </w:tcBorders>
            <w:vAlign w:val="center"/>
          </w:tcPr>
          <w:p w14:paraId="4A37F58D" w14:textId="77777777" w:rsidR="00FD3DE5" w:rsidRPr="009C1CEE" w:rsidRDefault="00FD3DE5" w:rsidP="001A329F">
            <w:pPr>
              <w:spacing w:after="0" w:line="360" w:lineRule="auto"/>
              <w:contextualSpacing/>
              <w:jc w:val="center"/>
              <w:rPr>
                <w:rFonts w:ascii="Times New Roman" w:hAnsi="Times New Roman"/>
                <w:sz w:val="24"/>
              </w:rPr>
            </w:pPr>
            <w:r>
              <w:rPr>
                <w:rFonts w:ascii="Times New Roman" w:hAnsi="Times New Roman"/>
                <w:sz w:val="24"/>
              </w:rPr>
              <w:t>Activated carbon (AC)</w:t>
            </w:r>
            <w:r w:rsidRPr="009C1CEE">
              <w:rPr>
                <w:rFonts w:ascii="Times New Roman" w:hAnsi="Times New Roman"/>
                <w:sz w:val="24"/>
              </w:rPr>
              <w:t xml:space="preserve"> </w:t>
            </w:r>
          </w:p>
        </w:tc>
        <w:tc>
          <w:tcPr>
            <w:tcW w:w="1044" w:type="pct"/>
            <w:tcBorders>
              <w:top w:val="nil"/>
              <w:left w:val="nil"/>
              <w:bottom w:val="single" w:sz="4" w:space="0" w:color="7F7F7F"/>
              <w:right w:val="nil"/>
            </w:tcBorders>
            <w:vAlign w:val="center"/>
          </w:tcPr>
          <w:p w14:paraId="5FD3F7F0" w14:textId="77777777" w:rsidR="00FD3DE5"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BMPY-</w:t>
            </w:r>
          </w:p>
          <w:p w14:paraId="61DBAA98" w14:textId="77777777" w:rsidR="00FD3DE5" w:rsidRPr="003E7EDF"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TFSI</w:t>
            </w:r>
          </w:p>
        </w:tc>
        <w:tc>
          <w:tcPr>
            <w:tcW w:w="1040" w:type="pct"/>
            <w:tcBorders>
              <w:top w:val="nil"/>
              <w:left w:val="nil"/>
              <w:bottom w:val="single" w:sz="4" w:space="0" w:color="7F7F7F"/>
              <w:right w:val="nil"/>
            </w:tcBorders>
            <w:vAlign w:val="center"/>
          </w:tcPr>
          <w:p w14:paraId="432C8573" w14:textId="1BD05CD2" w:rsidR="00FD3DE5" w:rsidRPr="007D6E50" w:rsidRDefault="00FD3DE5" w:rsidP="001A329F">
            <w:pPr>
              <w:spacing w:after="0" w:line="360" w:lineRule="auto"/>
              <w:contextualSpacing/>
              <w:rPr>
                <w:rFonts w:ascii="Times New Roman" w:hAnsi="Times New Roman"/>
                <w:sz w:val="24"/>
                <w:lang w:val="en-GB"/>
              </w:rPr>
            </w:pPr>
            <w:r>
              <w:rPr>
                <w:rFonts w:ascii="Times New Roman" w:hAnsi="Times New Roman"/>
                <w:sz w:val="24"/>
                <w:lang w:val="en-GB"/>
              </w:rPr>
              <w:t xml:space="preserve">     3.0</w:t>
            </w:r>
          </w:p>
        </w:tc>
        <w:tc>
          <w:tcPr>
            <w:tcW w:w="808" w:type="pct"/>
            <w:tcBorders>
              <w:top w:val="nil"/>
              <w:left w:val="nil"/>
              <w:bottom w:val="single" w:sz="4" w:space="0" w:color="7F7F7F"/>
              <w:right w:val="nil"/>
            </w:tcBorders>
            <w:vAlign w:val="center"/>
          </w:tcPr>
          <w:p w14:paraId="1E086CC3" w14:textId="487C8CA7" w:rsidR="00FD3DE5" w:rsidRPr="00FD3DE5"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16.3</w:t>
            </w:r>
          </w:p>
        </w:tc>
        <w:tc>
          <w:tcPr>
            <w:tcW w:w="631" w:type="pct"/>
            <w:tcBorders>
              <w:top w:val="nil"/>
              <w:left w:val="nil"/>
              <w:bottom w:val="single" w:sz="4" w:space="0" w:color="7F7F7F"/>
              <w:right w:val="nil"/>
            </w:tcBorders>
            <w:vAlign w:val="center"/>
          </w:tcPr>
          <w:p w14:paraId="169FAFF7" w14:textId="55156AFA" w:rsidR="00FD3DE5" w:rsidRPr="009C1CEE" w:rsidRDefault="00FD3DE5"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nanoen.2016.04.036","ISSN":"22112855","author":[{"dropping-particle":"","family":"Li","given":"Zhi","non-dropping-particle":"","parse-names":false,"suffix":""},{"dropping-particle":"","family":"Liu","given":"Jun","non-dropping-particle":"","parse-names":false,"suffix":""},{"dropping-particle":"","family":"Jiang","given":"Keren","non-dropping-particle":"","parse-names":false,"suffix":""},{"dropping-particle":"","family":"Thundat","given":"Thomas","non-dropping-particle":"","parse-names":false,"suffix":""}],"container-title":"Nano Energy","id":"ITEM-1","issued":{"date-parts":[["2016","7"]]},"page":"161-169","title":"Carbonized nanocellulose sustainably boosts the performance of activated carbon in ionic liquid supercapacitors","type":"article-journal","volume":"25"},"uris":["http://www.mendeley.com/documents/?uuid=131ea343-0261-4531-b7c1-d1517420387e"]}],"mendeley":{"formattedCitation":"[4]","plainTextFormattedCitation":"[4]","previouslyFormattedCitation":"[4]"},"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[4]</w:t>
            </w:r>
            <w:r>
              <w:rPr>
                <w:rFonts w:ascii="Times New Roman" w:hAnsi="Times New Roman"/>
                <w:sz w:val="24"/>
              </w:rPr>
              <w:fldChar w:fldCharType="end"/>
            </w:r>
          </w:p>
        </w:tc>
      </w:tr>
      <w:tr w:rsidR="00FD3DE5" w:rsidRPr="009C1CEE" w14:paraId="7CBA0E33" w14:textId="77777777" w:rsidTr="000B2B4D">
        <w:trPr>
          <w:trHeight w:val="669"/>
          <w:jc w:val="center"/>
        </w:trPr>
        <w:tc>
          <w:tcPr>
            <w:tcW w:w="551" w:type="pct"/>
            <w:tcBorders>
              <w:top w:val="nil"/>
              <w:left w:val="nil"/>
              <w:bottom w:val="single" w:sz="4" w:space="0" w:color="7F7F7F"/>
              <w:right w:val="nil"/>
            </w:tcBorders>
            <w:vAlign w:val="center"/>
          </w:tcPr>
          <w:p w14:paraId="18BEA3F3" w14:textId="77777777" w:rsidR="00FD3DE5" w:rsidRPr="009C1CEE" w:rsidRDefault="00FD3DE5" w:rsidP="001A329F">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2</w:t>
            </w:r>
          </w:p>
        </w:tc>
        <w:tc>
          <w:tcPr>
            <w:tcW w:w="926" w:type="pct"/>
            <w:tcBorders>
              <w:top w:val="nil"/>
              <w:left w:val="nil"/>
              <w:bottom w:val="single" w:sz="4" w:space="0" w:color="7F7F7F"/>
              <w:right w:val="nil"/>
            </w:tcBorders>
            <w:vAlign w:val="center"/>
          </w:tcPr>
          <w:p w14:paraId="64A46B9B" w14:textId="77777777" w:rsidR="00FD3DE5" w:rsidRPr="009C1CEE" w:rsidRDefault="00FD3DE5" w:rsidP="001A329F">
            <w:pPr>
              <w:spacing w:after="0" w:line="360" w:lineRule="auto"/>
              <w:contextualSpacing/>
              <w:jc w:val="center"/>
              <w:rPr>
                <w:rFonts w:ascii="Times New Roman" w:hAnsi="Times New Roman"/>
                <w:sz w:val="24"/>
              </w:rPr>
            </w:pPr>
            <w:r w:rsidRPr="00813C37">
              <w:rPr>
                <w:rFonts w:ascii="Times New Roman" w:hAnsi="Times New Roman"/>
                <w:sz w:val="24"/>
              </w:rPr>
              <w:t>Graphene / V</w:t>
            </w:r>
            <w:r w:rsidRPr="00624F00">
              <w:rPr>
                <w:rFonts w:ascii="Times New Roman" w:hAnsi="Times New Roman"/>
                <w:sz w:val="24"/>
                <w:vertAlign w:val="subscript"/>
              </w:rPr>
              <w:t>2</w:t>
            </w:r>
            <w:r w:rsidRPr="00813C37">
              <w:rPr>
                <w:rFonts w:ascii="Times New Roman" w:hAnsi="Times New Roman"/>
                <w:sz w:val="24"/>
              </w:rPr>
              <w:t>O</w:t>
            </w:r>
            <w:r w:rsidRPr="00624F00">
              <w:rPr>
                <w:rFonts w:ascii="Times New Roman" w:hAnsi="Times New Roman"/>
                <w:sz w:val="24"/>
                <w:vertAlign w:val="subscript"/>
              </w:rPr>
              <w:t>5</w:t>
            </w:r>
          </w:p>
        </w:tc>
        <w:tc>
          <w:tcPr>
            <w:tcW w:w="1044" w:type="pct"/>
            <w:tcBorders>
              <w:top w:val="nil"/>
              <w:left w:val="nil"/>
              <w:bottom w:val="single" w:sz="4" w:space="0" w:color="7F7F7F"/>
              <w:right w:val="nil"/>
            </w:tcBorders>
            <w:vAlign w:val="center"/>
          </w:tcPr>
          <w:p w14:paraId="12C0FA58" w14:textId="77777777" w:rsidR="00FD3DE5" w:rsidRPr="00813C37"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LiClO</w:t>
            </w:r>
            <w:r w:rsidRPr="00813C37">
              <w:rPr>
                <w:rFonts w:ascii="Times New Roman" w:hAnsi="Times New Roman"/>
                <w:sz w:val="24"/>
                <w:vertAlign w:val="subscript"/>
                <w:lang w:val="en-GB"/>
              </w:rPr>
              <w:t>4</w:t>
            </w:r>
          </w:p>
        </w:tc>
        <w:tc>
          <w:tcPr>
            <w:tcW w:w="1040" w:type="pct"/>
            <w:tcBorders>
              <w:top w:val="nil"/>
              <w:left w:val="nil"/>
              <w:bottom w:val="single" w:sz="4" w:space="0" w:color="7F7F7F"/>
              <w:right w:val="nil"/>
            </w:tcBorders>
            <w:vAlign w:val="center"/>
          </w:tcPr>
          <w:p w14:paraId="1050BE11" w14:textId="77777777" w:rsidR="00FD3DE5" w:rsidRPr="00123C03"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2.5</w:t>
            </w:r>
          </w:p>
        </w:tc>
        <w:tc>
          <w:tcPr>
            <w:tcW w:w="808" w:type="pct"/>
            <w:tcBorders>
              <w:top w:val="nil"/>
              <w:left w:val="nil"/>
              <w:bottom w:val="single" w:sz="4" w:space="0" w:color="7F7F7F"/>
              <w:right w:val="nil"/>
            </w:tcBorders>
            <w:vAlign w:val="center"/>
          </w:tcPr>
          <w:p w14:paraId="04983938" w14:textId="6C76921D" w:rsidR="00FD3DE5" w:rsidRPr="00123C03"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31.2</w:t>
            </w:r>
          </w:p>
        </w:tc>
        <w:tc>
          <w:tcPr>
            <w:tcW w:w="631" w:type="pct"/>
            <w:tcBorders>
              <w:top w:val="nil"/>
              <w:left w:val="nil"/>
              <w:bottom w:val="single" w:sz="4" w:space="0" w:color="7F7F7F"/>
              <w:right w:val="nil"/>
            </w:tcBorders>
            <w:vAlign w:val="center"/>
          </w:tcPr>
          <w:p w14:paraId="15BFDE26" w14:textId="677CBC2D" w:rsidR="00FD3DE5" w:rsidRPr="009C1CEE" w:rsidRDefault="00FD3DE5"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{"citationItems":[{"id":"ITEM-1","itemData":{"DOI":"10.1039/C7RA13357J","ISSN":"2046-2069","abstract":"Herein, carbon nanosphere-decorated vanadium pentoxide (C@V 2 O 5 ) hybrid nanobelts were grown via a single step hydrothermal route with improved electronic conductivity as compared to that of pristine oxide.","author":[{"dropping-particle":"","family":"Narayanan","given":"Remya","non-dropping-particle":"","parse-names":false,"suffix":""},{"dropping-particle":"","family":"Dewan","given":"Anweshi","non-dropping-particle":"","parse-names":false,"suffix":""},{"dropping-particle":"","family":"Chakraborty","given":"Debanjan","non-dropping-particle":"","parse-names":false,"suffix":""}],"container-title":"RSC Advances","id":"ITEM-1","issue":"16","issued":{"date-parts":[["2018"]]},"page":"8596-8606","title":"Complimentary effects of annealing temperature on optimal tuning of functionalized carbon–V 2 O 5 hybrid nanobelts for targeted dual applications in electrochromic and supercapacitor devices","type":"article-journal","volume":"8"},"uris":["http://www.mendeley.com/documents/?uuid=aa776579-c997-449c-a073-d06ee6fd2caa"]}],"mendeley":{"formattedCitation":"[5]","plainTextFormattedCitation":"[5]","previouslyFormattedCitation":"[5]"},"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[5]</w:t>
            </w:r>
            <w:r>
              <w:rPr>
                <w:rFonts w:ascii="Times New Roman" w:hAnsi="Times New Roman"/>
                <w:sz w:val="24"/>
              </w:rPr>
              <w:fldChar w:fldCharType="end"/>
            </w:r>
          </w:p>
        </w:tc>
      </w:tr>
      <w:tr w:rsidR="00FD3DE5" w:rsidRPr="009C1CEE" w14:paraId="2DD73ED9" w14:textId="77777777" w:rsidTr="000B2B4D">
        <w:trPr>
          <w:trHeight w:val="669"/>
          <w:jc w:val="center"/>
        </w:trPr>
        <w:tc>
          <w:tcPr>
            <w:tcW w:w="551" w:type="pct"/>
            <w:tcBorders>
              <w:top w:val="nil"/>
              <w:left w:val="nil"/>
              <w:bottom w:val="single" w:sz="4" w:space="0" w:color="7F7F7F"/>
              <w:right w:val="nil"/>
            </w:tcBorders>
            <w:vAlign w:val="center"/>
          </w:tcPr>
          <w:p w14:paraId="08BFB5CA" w14:textId="77777777" w:rsidR="00FD3DE5" w:rsidRPr="009C1CEE" w:rsidRDefault="00FD3DE5" w:rsidP="001A329F">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3</w:t>
            </w:r>
          </w:p>
        </w:tc>
        <w:tc>
          <w:tcPr>
            <w:tcW w:w="926" w:type="pct"/>
            <w:tcBorders>
              <w:top w:val="nil"/>
              <w:left w:val="nil"/>
              <w:bottom w:val="single" w:sz="4" w:space="0" w:color="7F7F7F"/>
              <w:right w:val="nil"/>
            </w:tcBorders>
            <w:vAlign w:val="center"/>
          </w:tcPr>
          <w:p w14:paraId="3DADB237" w14:textId="77777777" w:rsidR="00FD3DE5" w:rsidRPr="009C1CEE" w:rsidRDefault="00FD3DE5" w:rsidP="001A329F">
            <w:pPr>
              <w:spacing w:after="0" w:line="360" w:lineRule="auto"/>
              <w:contextualSpacing/>
              <w:jc w:val="center"/>
              <w:rPr>
                <w:rFonts w:ascii="Times New Roman" w:hAnsi="Times New Roman"/>
                <w:sz w:val="24"/>
              </w:rPr>
            </w:pPr>
            <w:r w:rsidRPr="00191D74">
              <w:rPr>
                <w:rFonts w:ascii="Times New Roman" w:hAnsi="Times New Roman"/>
                <w:sz w:val="24"/>
              </w:rPr>
              <w:t>BDA/rGO</w:t>
            </w:r>
          </w:p>
        </w:tc>
        <w:tc>
          <w:tcPr>
            <w:tcW w:w="1044" w:type="pct"/>
            <w:tcBorders>
              <w:top w:val="nil"/>
              <w:left w:val="nil"/>
              <w:bottom w:val="single" w:sz="4" w:space="0" w:color="7F7F7F"/>
              <w:right w:val="nil"/>
            </w:tcBorders>
            <w:vAlign w:val="center"/>
          </w:tcPr>
          <w:p w14:paraId="4B9ACBC9" w14:textId="77777777" w:rsidR="00FD3DE5" w:rsidRPr="00191D74"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1040" w:type="pct"/>
            <w:tcBorders>
              <w:top w:val="nil"/>
              <w:left w:val="nil"/>
              <w:bottom w:val="single" w:sz="4" w:space="0" w:color="7F7F7F"/>
              <w:right w:val="nil"/>
            </w:tcBorders>
            <w:vAlign w:val="center"/>
          </w:tcPr>
          <w:p w14:paraId="0C88B5C4" w14:textId="77777777" w:rsidR="00FD3DE5" w:rsidRPr="00191D74"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2.5</w:t>
            </w:r>
          </w:p>
        </w:tc>
        <w:tc>
          <w:tcPr>
            <w:tcW w:w="808" w:type="pct"/>
            <w:tcBorders>
              <w:top w:val="nil"/>
              <w:left w:val="nil"/>
              <w:bottom w:val="single" w:sz="4" w:space="0" w:color="7F7F7F"/>
              <w:right w:val="nil"/>
            </w:tcBorders>
            <w:vAlign w:val="center"/>
          </w:tcPr>
          <w:p w14:paraId="73B1C836" w14:textId="65B65E25" w:rsidR="00FD3DE5" w:rsidRPr="00D37F6A" w:rsidRDefault="00297171"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33.5</w:t>
            </w:r>
          </w:p>
        </w:tc>
        <w:tc>
          <w:tcPr>
            <w:tcW w:w="631" w:type="pct"/>
            <w:tcBorders>
              <w:top w:val="nil"/>
              <w:left w:val="nil"/>
              <w:bottom w:val="single" w:sz="4" w:space="0" w:color="7F7F7F"/>
              <w:right w:val="nil"/>
            </w:tcBorders>
            <w:vAlign w:val="center"/>
          </w:tcPr>
          <w:p w14:paraId="6277ED4B" w14:textId="4105A362" w:rsidR="00FD3DE5" w:rsidRPr="009C1CEE" w:rsidRDefault="00FD3DE5"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nanoen.2016.10.057","ISSN":"22112855","author":[{"dropping-particle":"","family":"Song","given":"Bo","non-dropping-particle":"","parse-names":false,"suffix":""},{"dropping-particle":"","family":"Zhao","given":"Jingxiang","non-dropping-particle":"","parse-names":false,"suffix":""},{"dropping-particle":"","family":"Wang","given":"Mingjun","non-dropping-particle":"","parse-names":false,"suffix":""},{"dropping-particle":"","family":"Mullavey","given":"Jeffrey","non-dropping-particle":"","parse-names":false,"suffix":""},{"dropping-particle":"","family":"Zhu","given":"Yuntong","non-dropping-particle":"","parse-names":false,"suffix":""},{"dropping-particle":"","family":"Geng","given":"Zhishuai","non-dropping-particle":"","parse-names":false,"suffix":""},{"dropping-particle":"","family":"Chen","given":"Dongchang","non-dropping-particle":"","parse-names":false,"suffix":""},{"dropping-particle":"","family":"Ding","given":"Yong","non-dropping-particle":"","parse-names":false,"suffix":""},{"dropping-particle":"","family":"Moon","given":"Kyoung-sik","non-dropping-particle":"","parse-names":false,"suffix":""},{"dropping-particle":"","family":"Liu","given":"Meilin","non-dropping-particle":"","parse-names":false,"suffix":""},{"dropping-particle":"","family":"Wong","given":"Ching-Ping","non-dropping-particle":"","parse-names":false,"suffix":""}],"container-title":"Nano Energy","id":"ITEM-1","issued":{"date-parts":[["2017","1"]]},"page":"183-193","title":"Systematic study on structural and electronic properties of diamine/triamine functionalized graphene networks for supercapacitor application","type":"article-journal","volume":"31"},"uris":["http://www.mendeley.com/documents/?uuid=a04ec44a-022b-4f0d-945d-4fe2263f29fc"]}],"mendeley":{"formattedCitation":"[6]","plainTextFormattedCitation":"[6]","previouslyFormattedCitation":"[6]"},"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[6]</w:t>
            </w:r>
            <w:r>
              <w:rPr>
                <w:rFonts w:ascii="Times New Roman" w:hAnsi="Times New Roman"/>
                <w:sz w:val="24"/>
              </w:rPr>
              <w:fldChar w:fldCharType="end"/>
            </w:r>
          </w:p>
        </w:tc>
      </w:tr>
      <w:tr w:rsidR="00FD3DE5" w:rsidRPr="009C1CEE" w14:paraId="7415686E" w14:textId="77777777" w:rsidTr="000B2B4D">
        <w:trPr>
          <w:trHeight w:val="669"/>
          <w:jc w:val="center"/>
        </w:trPr>
        <w:tc>
          <w:tcPr>
            <w:tcW w:w="551" w:type="pct"/>
            <w:tcBorders>
              <w:top w:val="nil"/>
              <w:left w:val="nil"/>
              <w:bottom w:val="single" w:sz="4" w:space="0" w:color="7F7F7F"/>
              <w:right w:val="nil"/>
            </w:tcBorders>
            <w:vAlign w:val="center"/>
          </w:tcPr>
          <w:p w14:paraId="3592D430" w14:textId="77777777" w:rsidR="00FD3DE5" w:rsidRPr="009C1CEE" w:rsidRDefault="00FD3DE5" w:rsidP="001A329F">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4</w:t>
            </w:r>
          </w:p>
        </w:tc>
        <w:tc>
          <w:tcPr>
            <w:tcW w:w="926" w:type="pct"/>
            <w:tcBorders>
              <w:top w:val="nil"/>
              <w:left w:val="nil"/>
              <w:bottom w:val="single" w:sz="4" w:space="0" w:color="7F7F7F"/>
              <w:right w:val="nil"/>
            </w:tcBorders>
            <w:vAlign w:val="center"/>
          </w:tcPr>
          <w:p w14:paraId="5CE3089B" w14:textId="77777777" w:rsidR="00FD3DE5" w:rsidRPr="009C1CEE" w:rsidRDefault="00FD3DE5" w:rsidP="001A329F">
            <w:pPr>
              <w:spacing w:after="0" w:line="360" w:lineRule="auto"/>
              <w:contextualSpacing/>
              <w:jc w:val="center"/>
              <w:rPr>
                <w:rFonts w:ascii="Times New Roman" w:hAnsi="Times New Roman"/>
                <w:sz w:val="24"/>
              </w:rPr>
            </w:pPr>
            <w:r w:rsidRPr="0089678B">
              <w:rPr>
                <w:rFonts w:ascii="Times New Roman" w:hAnsi="Times New Roman"/>
                <w:sz w:val="24"/>
              </w:rPr>
              <w:t>Tris-rGO</w:t>
            </w:r>
          </w:p>
        </w:tc>
        <w:tc>
          <w:tcPr>
            <w:tcW w:w="1044" w:type="pct"/>
            <w:tcBorders>
              <w:top w:val="nil"/>
              <w:left w:val="nil"/>
              <w:bottom w:val="single" w:sz="4" w:space="0" w:color="7F7F7F"/>
              <w:right w:val="nil"/>
            </w:tcBorders>
            <w:vAlign w:val="center"/>
          </w:tcPr>
          <w:p w14:paraId="0CCE13FA" w14:textId="77777777" w:rsidR="00FD3DE5" w:rsidRPr="009C1CEE" w:rsidRDefault="00FD3DE5" w:rsidP="001A329F">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1040" w:type="pct"/>
            <w:tcBorders>
              <w:top w:val="nil"/>
              <w:left w:val="nil"/>
              <w:bottom w:val="single" w:sz="4" w:space="0" w:color="7F7F7F"/>
              <w:right w:val="nil"/>
            </w:tcBorders>
            <w:vAlign w:val="center"/>
          </w:tcPr>
          <w:p w14:paraId="58E1265A" w14:textId="77777777" w:rsidR="00FD3DE5" w:rsidRPr="0089678B"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3.5</w:t>
            </w:r>
          </w:p>
        </w:tc>
        <w:tc>
          <w:tcPr>
            <w:tcW w:w="808" w:type="pct"/>
            <w:tcBorders>
              <w:top w:val="nil"/>
              <w:left w:val="nil"/>
              <w:bottom w:val="single" w:sz="4" w:space="0" w:color="7F7F7F"/>
              <w:right w:val="nil"/>
            </w:tcBorders>
            <w:vAlign w:val="center"/>
          </w:tcPr>
          <w:p w14:paraId="50891DF1" w14:textId="3A7F53F2" w:rsidR="00FD3DE5" w:rsidRPr="0089678B" w:rsidRDefault="0020404C"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29.75</w:t>
            </w:r>
          </w:p>
        </w:tc>
        <w:tc>
          <w:tcPr>
            <w:tcW w:w="631" w:type="pct"/>
            <w:tcBorders>
              <w:top w:val="nil"/>
              <w:left w:val="nil"/>
              <w:bottom w:val="single" w:sz="4" w:space="0" w:color="7F7F7F"/>
              <w:right w:val="nil"/>
            </w:tcBorders>
            <w:vAlign w:val="center"/>
          </w:tcPr>
          <w:p w14:paraId="587DFB10" w14:textId="4374C671" w:rsidR="00FD3DE5" w:rsidRPr="009C1CEE" w:rsidRDefault="00FD3DE5"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nanoen.2016.10.057","ISSN":"22112855","author":[{"dropping-particle":"","family":"Song","given":"Bo","non-dropping-particle":"","parse-names":false,"suffix":""},{"dropping-particle":"","family":"Zhao","given":"Jingxiang","non-dropping-particle":"","parse-names":false,"suffix":""},{"dropping-particle":"","family":"Wang","given":"Mingjun","non-dropping-particle":"","parse-names":false,"suffix":""},{"dropping-particle":"","family":"Mullavey","given":"Jeffrey","non-dropping-particle":"","parse-names":false,"suffix":""},{"dropping-particle":"","family":"Zhu","given":"Yuntong","non-dropping-particle":"","parse-names":false,"suffix":""},{"dropping-particle":"","family":"Geng","given":"Zhishuai","non-dropping-particle":"","parse-names":false,"suffix":""},{"dropping-particle":"","family":"Chen","given":"Dongchang","non-dropping-particle":"","parse-names":false,"suffix":""},{"dropping-particle":"","family":"Ding","given":"Yong","non-dropping-particle":"","parse-names":false,"suffix":""},{"dropping-particle":"","family":"Moon","given":"Kyoung-sik","non-dropping-particle":"","parse-names":false,"suffix":""},{"dropping-particle":"","family":"Liu","given":"Meilin","non-dropping-particle":"","parse-names":false,"suffix":""},{"dropping-particle":"","family":"Wong","given":"Ching-Ping","non-dropping-particle":"","parse-names":false,"suffix":""}],"container-title":"Nano Energy","id":"ITEM-1","issued":{"date-parts":[["2017","1"]]},"page":"183-193","title":"Systematic study on structural and electronic properties of diamine/triamine functionalized graphene networks for supercapacitor application","type":"article-journal","volume":"31"},"uris":["http://www.mendeley.com/documents/?uuid=a04ec44a-022b-4f0d-945d-4fe2263f29fc"]}],"mendeley":{"formattedCitation":"[6]","plainTextFormattedCitation":"[6]","previouslyFormattedCitation":"[6]"},"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[6]</w:t>
            </w:r>
            <w:r>
              <w:rPr>
                <w:rFonts w:ascii="Times New Roman" w:hAnsi="Times New Roman"/>
                <w:sz w:val="24"/>
              </w:rPr>
              <w:fldChar w:fldCharType="end"/>
            </w:r>
          </w:p>
        </w:tc>
      </w:tr>
      <w:tr w:rsidR="00FD3DE5" w:rsidRPr="009C1CEE" w14:paraId="134DC54C" w14:textId="77777777" w:rsidTr="000B2B4D">
        <w:trPr>
          <w:trHeight w:val="669"/>
          <w:jc w:val="center"/>
        </w:trPr>
        <w:tc>
          <w:tcPr>
            <w:tcW w:w="551" w:type="pct"/>
            <w:tcBorders>
              <w:top w:val="nil"/>
              <w:left w:val="nil"/>
              <w:bottom w:val="single" w:sz="4" w:space="0" w:color="7F7F7F"/>
              <w:right w:val="nil"/>
            </w:tcBorders>
            <w:vAlign w:val="center"/>
          </w:tcPr>
          <w:p w14:paraId="74543912" w14:textId="77777777" w:rsidR="00FD3DE5" w:rsidRPr="009C1CEE" w:rsidRDefault="00FD3DE5" w:rsidP="001A329F">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5</w:t>
            </w:r>
          </w:p>
        </w:tc>
        <w:tc>
          <w:tcPr>
            <w:tcW w:w="926" w:type="pct"/>
            <w:tcBorders>
              <w:top w:val="nil"/>
              <w:left w:val="nil"/>
              <w:bottom w:val="single" w:sz="4" w:space="0" w:color="7F7F7F"/>
              <w:right w:val="nil"/>
            </w:tcBorders>
            <w:vAlign w:val="center"/>
          </w:tcPr>
          <w:p w14:paraId="5E1E6425" w14:textId="77777777" w:rsidR="00FD3DE5" w:rsidRPr="00123B86"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rGO</w:t>
            </w:r>
          </w:p>
        </w:tc>
        <w:tc>
          <w:tcPr>
            <w:tcW w:w="1044" w:type="pct"/>
            <w:tcBorders>
              <w:top w:val="nil"/>
              <w:left w:val="nil"/>
              <w:bottom w:val="single" w:sz="4" w:space="0" w:color="7F7F7F"/>
              <w:right w:val="nil"/>
            </w:tcBorders>
            <w:vAlign w:val="center"/>
          </w:tcPr>
          <w:p w14:paraId="4EF4BBFA" w14:textId="77777777" w:rsidR="00FD3DE5" w:rsidRPr="009C1CEE" w:rsidRDefault="00FD3DE5" w:rsidP="001A329F">
            <w:pPr>
              <w:spacing w:after="0" w:line="360" w:lineRule="auto"/>
              <w:contextualSpacing/>
              <w:jc w:val="center"/>
              <w:rPr>
                <w:rFonts w:ascii="Times New Roman" w:hAnsi="Times New Roman"/>
                <w:sz w:val="24"/>
              </w:rPr>
            </w:pPr>
            <w:r w:rsidRPr="00123B86">
              <w:rPr>
                <w:rFonts w:ascii="Times New Roman" w:hAnsi="Times New Roman"/>
                <w:sz w:val="24"/>
              </w:rPr>
              <w:t>[SET</w:t>
            </w:r>
            <w:r w:rsidRPr="00123B86">
              <w:rPr>
                <w:rFonts w:ascii="Times New Roman" w:hAnsi="Times New Roman"/>
                <w:sz w:val="24"/>
                <w:vertAlign w:val="subscript"/>
              </w:rPr>
              <w:t>3</w:t>
            </w:r>
            <w:r w:rsidRPr="00123B86">
              <w:rPr>
                <w:rFonts w:ascii="Times New Roman" w:hAnsi="Times New Roman"/>
                <w:sz w:val="24"/>
              </w:rPr>
              <w:t xml:space="preserve">] [TFSI] / GO </w:t>
            </w:r>
          </w:p>
        </w:tc>
        <w:tc>
          <w:tcPr>
            <w:tcW w:w="1040" w:type="pct"/>
            <w:tcBorders>
              <w:top w:val="nil"/>
              <w:left w:val="nil"/>
              <w:bottom w:val="single" w:sz="4" w:space="0" w:color="7F7F7F"/>
              <w:right w:val="nil"/>
            </w:tcBorders>
            <w:vAlign w:val="center"/>
          </w:tcPr>
          <w:p w14:paraId="1DDC4C2D" w14:textId="77777777" w:rsidR="00FD3DE5" w:rsidRPr="00123B86" w:rsidRDefault="00FD3DE5"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2.5</w:t>
            </w:r>
          </w:p>
        </w:tc>
        <w:tc>
          <w:tcPr>
            <w:tcW w:w="808" w:type="pct"/>
            <w:tcBorders>
              <w:top w:val="nil"/>
              <w:left w:val="nil"/>
              <w:bottom w:val="single" w:sz="4" w:space="0" w:color="7F7F7F"/>
              <w:right w:val="nil"/>
            </w:tcBorders>
            <w:vAlign w:val="center"/>
          </w:tcPr>
          <w:p w14:paraId="27631279" w14:textId="7DD0CDB1" w:rsidR="00FD3DE5" w:rsidRPr="009B4A51" w:rsidRDefault="000B2B4D"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25.9</w:t>
            </w:r>
          </w:p>
        </w:tc>
        <w:tc>
          <w:tcPr>
            <w:tcW w:w="631" w:type="pct"/>
            <w:tcBorders>
              <w:top w:val="nil"/>
              <w:left w:val="nil"/>
              <w:bottom w:val="single" w:sz="4" w:space="0" w:color="7F7F7F"/>
              <w:right w:val="nil"/>
            </w:tcBorders>
            <w:vAlign w:val="center"/>
          </w:tcPr>
          <w:p w14:paraId="0849D3C4" w14:textId="717DABF8" w:rsidR="00FD3DE5" w:rsidRPr="009C1CEE" w:rsidRDefault="00FD3DE5"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{"citationItems":[{"id":"ITEM-1","itemData":{"DOI":"10.1016/j.electacta.2017.10.124","ISSN":"00134686","author":[{"dropping-particle":"","family":"Pereira","given":"Neuma das M.","non-dropping-particle":"","parse-names":false,"suffix":""},{"dropping-particle":"","family":"Trigueiro","given":"João Paulo C.","non-dropping-particle":"","parse-names":false,"suffix":""},{"dropping-particle":"","family":"Monteiro","given":"Izabella de F.","non-dropping-particle":"","parse-names":false,"suffix":""},{"dropping-particle":"","family":"Montoro","given":"Luciano A.","non-dropping-particle":"","parse-names":false,"suffix":""},{"dropping-particle":"","family":"Silva","given":"Glaura G.","non-dropping-particle":"","parse-names":false,"suffix":""}],"container-title":"Electrochimica Acta","id":"ITEM-1","issued":{"date-parts":[["2018","1"]]},"page":"783-792","title":"Graphene oxide – Ionic liquid composite electrolytes for safe and high-performance supercapacitors","type":"article-journal","volume":"259"},"uris":["http://www.mendeley.com/documents/?uuid=27cc61f7-fa64-4751-a5fe-843143f48a6d"]}],"mendeley":{"formattedCitation":"[7]","plainTextFormattedCitation":"[7]","previouslyFormattedCitation":"[7]"},"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[7]</w:t>
            </w:r>
            <w:r>
              <w:rPr>
                <w:rFonts w:ascii="Times New Roman" w:hAnsi="Times New Roman"/>
                <w:sz w:val="24"/>
              </w:rPr>
              <w:fldChar w:fldCharType="end"/>
            </w:r>
          </w:p>
        </w:tc>
      </w:tr>
      <w:tr w:rsidR="008500D3" w:rsidRPr="009C1CEE" w14:paraId="4078456D" w14:textId="77777777" w:rsidTr="000B2B4D">
        <w:trPr>
          <w:trHeight w:val="669"/>
          <w:jc w:val="center"/>
        </w:trPr>
        <w:tc>
          <w:tcPr>
            <w:tcW w:w="551" w:type="pct"/>
            <w:tcBorders>
              <w:top w:val="nil"/>
              <w:left w:val="nil"/>
              <w:bottom w:val="single" w:sz="4" w:space="0" w:color="7F7F7F"/>
              <w:right w:val="nil"/>
            </w:tcBorders>
            <w:vAlign w:val="center"/>
          </w:tcPr>
          <w:p w14:paraId="0D225F43" w14:textId="66A5CA07" w:rsidR="008500D3" w:rsidRPr="009C1CEE" w:rsidRDefault="008500D3" w:rsidP="001A329F">
            <w:pPr>
              <w:spacing w:after="0" w:line="360" w:lineRule="auto"/>
              <w:contextualSpacing/>
              <w:jc w:val="center"/>
              <w:rPr>
                <w:rFonts w:ascii="Times New Roman" w:hAnsi="Times New Roman"/>
                <w:sz w:val="24"/>
              </w:rPr>
            </w:pPr>
            <w:r>
              <w:rPr>
                <w:rFonts w:ascii="Times New Roman" w:hAnsi="Times New Roman"/>
                <w:sz w:val="24"/>
              </w:rPr>
              <w:t>R6</w:t>
            </w:r>
          </w:p>
        </w:tc>
        <w:tc>
          <w:tcPr>
            <w:tcW w:w="926" w:type="pct"/>
            <w:tcBorders>
              <w:top w:val="nil"/>
              <w:left w:val="nil"/>
              <w:bottom w:val="single" w:sz="4" w:space="0" w:color="7F7F7F"/>
              <w:right w:val="nil"/>
            </w:tcBorders>
            <w:vAlign w:val="center"/>
          </w:tcPr>
          <w:p w14:paraId="7AAD45D5" w14:textId="1E150BB4"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MoSe</w:t>
            </w:r>
            <w:r w:rsidRPr="001E3029">
              <w:rPr>
                <w:rFonts w:ascii="Times New Roman" w:hAnsi="Times New Roman"/>
                <w:sz w:val="24"/>
                <w:vertAlign w:val="subscript"/>
                <w:lang w:val="en-GB"/>
              </w:rPr>
              <w:t>2</w:t>
            </w:r>
          </w:p>
        </w:tc>
        <w:tc>
          <w:tcPr>
            <w:tcW w:w="1044" w:type="pct"/>
            <w:tcBorders>
              <w:top w:val="nil"/>
              <w:left w:val="nil"/>
              <w:bottom w:val="single" w:sz="4" w:space="0" w:color="7F7F7F"/>
              <w:right w:val="nil"/>
            </w:tcBorders>
            <w:vAlign w:val="center"/>
          </w:tcPr>
          <w:p w14:paraId="645CFAEE" w14:textId="5602D997" w:rsidR="008500D3" w:rsidRPr="00123B86" w:rsidRDefault="001E3029" w:rsidP="001A329F">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1040" w:type="pct"/>
            <w:tcBorders>
              <w:top w:val="nil"/>
              <w:left w:val="nil"/>
              <w:bottom w:val="single" w:sz="4" w:space="0" w:color="7F7F7F"/>
              <w:right w:val="nil"/>
            </w:tcBorders>
            <w:vAlign w:val="center"/>
          </w:tcPr>
          <w:p w14:paraId="5E1374B8" w14:textId="536F7F75"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3.0</w:t>
            </w:r>
          </w:p>
        </w:tc>
        <w:tc>
          <w:tcPr>
            <w:tcW w:w="808" w:type="pct"/>
            <w:tcBorders>
              <w:top w:val="nil"/>
              <w:left w:val="nil"/>
              <w:bottom w:val="single" w:sz="4" w:space="0" w:color="7F7F7F"/>
              <w:right w:val="nil"/>
            </w:tcBorders>
            <w:vAlign w:val="center"/>
          </w:tcPr>
          <w:p w14:paraId="2B71A524" w14:textId="4B462BE5"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25.31</w:t>
            </w:r>
          </w:p>
        </w:tc>
        <w:tc>
          <w:tcPr>
            <w:tcW w:w="631" w:type="pct"/>
            <w:tcBorders>
              <w:top w:val="nil"/>
              <w:left w:val="nil"/>
              <w:bottom w:val="single" w:sz="4" w:space="0" w:color="7F7F7F"/>
              <w:right w:val="nil"/>
            </w:tcBorders>
            <w:vAlign w:val="center"/>
          </w:tcPr>
          <w:p w14:paraId="41D917F1" w14:textId="3864E1DC" w:rsidR="008500D3" w:rsidRDefault="002067F4"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electacta.2018.10.191","ISSN":"00134686","author":[{"dropping-particle":"","family":"Pazhamalai","given":"Parthiban","non-dropping-particle":"","parse-names":false,"suffix":""},{"dropping-particle":"","family":"Krishnamoorthy","given":"Karthikeyan","non-dropping-particle":"","parse-names":false,"suffix":""},{"dropping-particle":"","family":"Sahoo","given":"Surjit","non-dropping-particle":"","parse-names":false,"suffix":""},{"dropping-particle":"","family":"Kim","given":"Sang -Jae","non-dropping-particle":"","parse-names":false,"suffix":""}],"container-title":"Electrochimica Acta","id":"ITEM-1","issued":{"date-parts":[["2019","2"]]},"page":"591-598","title":"Two-dimensional molybdenum diselenide nanosheets as a novel electrode material for symmetric supercapacitors using organic electrolyte","type":"article-journal","volume":"295"},"uris":["http://www.mendeley.com/documents/?uuid=6ffe0fd4-4fd7-43a6-b305-eb0ec717ddae"]}],"mendeley":{"formattedCitation":"[8]","plainTextFormattedCitation":"[8]","previouslyFormattedCitation":"[8]"},"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[8]</w:t>
            </w:r>
            <w:r>
              <w:rPr>
                <w:rFonts w:ascii="Times New Roman" w:hAnsi="Times New Roman"/>
                <w:sz w:val="24"/>
              </w:rPr>
              <w:fldChar w:fldCharType="end"/>
            </w:r>
          </w:p>
        </w:tc>
      </w:tr>
      <w:tr w:rsidR="008500D3" w:rsidRPr="009C1CEE" w14:paraId="185A87CA" w14:textId="77777777" w:rsidTr="000B2B4D">
        <w:trPr>
          <w:trHeight w:val="669"/>
          <w:jc w:val="center"/>
        </w:trPr>
        <w:tc>
          <w:tcPr>
            <w:tcW w:w="551" w:type="pct"/>
            <w:tcBorders>
              <w:top w:val="nil"/>
              <w:left w:val="nil"/>
              <w:bottom w:val="single" w:sz="4" w:space="0" w:color="7F7F7F"/>
              <w:right w:val="nil"/>
            </w:tcBorders>
            <w:vAlign w:val="center"/>
          </w:tcPr>
          <w:p w14:paraId="1E30C3B2" w14:textId="343AA208" w:rsidR="008500D3" w:rsidRPr="009C1CEE" w:rsidRDefault="008500D3" w:rsidP="001A329F">
            <w:pPr>
              <w:spacing w:after="0" w:line="360" w:lineRule="auto"/>
              <w:contextualSpacing/>
              <w:jc w:val="center"/>
              <w:rPr>
                <w:rFonts w:ascii="Times New Roman" w:hAnsi="Times New Roman"/>
                <w:sz w:val="24"/>
              </w:rPr>
            </w:pPr>
            <w:r>
              <w:rPr>
                <w:rFonts w:ascii="Times New Roman" w:hAnsi="Times New Roman"/>
                <w:sz w:val="24"/>
              </w:rPr>
              <w:t>R7</w:t>
            </w:r>
          </w:p>
        </w:tc>
        <w:tc>
          <w:tcPr>
            <w:tcW w:w="926" w:type="pct"/>
            <w:tcBorders>
              <w:top w:val="nil"/>
              <w:left w:val="nil"/>
              <w:bottom w:val="single" w:sz="4" w:space="0" w:color="7F7F7F"/>
              <w:right w:val="nil"/>
            </w:tcBorders>
            <w:vAlign w:val="center"/>
          </w:tcPr>
          <w:p w14:paraId="4FD04AB2" w14:textId="49A4AF7E"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MoS</w:t>
            </w:r>
            <w:r w:rsidRPr="001E3029">
              <w:rPr>
                <w:rFonts w:ascii="Times New Roman" w:hAnsi="Times New Roman"/>
                <w:sz w:val="24"/>
                <w:vertAlign w:val="subscript"/>
                <w:lang w:val="en-GB"/>
              </w:rPr>
              <w:t>3</w:t>
            </w:r>
          </w:p>
        </w:tc>
        <w:tc>
          <w:tcPr>
            <w:tcW w:w="1044" w:type="pct"/>
            <w:tcBorders>
              <w:top w:val="nil"/>
              <w:left w:val="nil"/>
              <w:bottom w:val="single" w:sz="4" w:space="0" w:color="7F7F7F"/>
              <w:right w:val="nil"/>
            </w:tcBorders>
            <w:vAlign w:val="center"/>
          </w:tcPr>
          <w:p w14:paraId="04CE7000" w14:textId="56C0CE90" w:rsidR="008500D3" w:rsidRPr="00123B86" w:rsidRDefault="001E3029" w:rsidP="001A329F">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1040" w:type="pct"/>
            <w:tcBorders>
              <w:top w:val="nil"/>
              <w:left w:val="nil"/>
              <w:bottom w:val="single" w:sz="4" w:space="0" w:color="7F7F7F"/>
              <w:right w:val="nil"/>
            </w:tcBorders>
            <w:vAlign w:val="center"/>
          </w:tcPr>
          <w:p w14:paraId="7EAB6199" w14:textId="664DA291"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3.0</w:t>
            </w:r>
          </w:p>
        </w:tc>
        <w:tc>
          <w:tcPr>
            <w:tcW w:w="808" w:type="pct"/>
            <w:tcBorders>
              <w:top w:val="nil"/>
              <w:left w:val="nil"/>
              <w:bottom w:val="single" w:sz="4" w:space="0" w:color="7F7F7F"/>
              <w:right w:val="nil"/>
            </w:tcBorders>
            <w:vAlign w:val="center"/>
          </w:tcPr>
          <w:p w14:paraId="0FCC343B" w14:textId="457B01CA"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6.3</w:t>
            </w:r>
          </w:p>
        </w:tc>
        <w:tc>
          <w:tcPr>
            <w:tcW w:w="631" w:type="pct"/>
            <w:tcBorders>
              <w:top w:val="nil"/>
              <w:left w:val="nil"/>
              <w:bottom w:val="single" w:sz="4" w:space="0" w:color="7F7F7F"/>
              <w:right w:val="nil"/>
            </w:tcBorders>
            <w:vAlign w:val="center"/>
          </w:tcPr>
          <w:p w14:paraId="27FC6279" w14:textId="316B61A3" w:rsidR="008500D3" w:rsidRDefault="002067F4"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{"citationItems":[{"id":"ITEM-1","itemData":{"DOI":"10.1039/C9QI00623K","ISSN":"2052-1553","abstract":"Amorphous-MoS 3 and crystalline-MoS 2 prepared via thermal decomposition of ammonium tetrathiomolybdate and their electrochemical energy-storage properties reveals better capacitive and charge-transfer nature for MoS 2 SSC over amorphous-MoS 3 SSC.","author":[{"dropping-particle":"","family":"Pazhamalai","given":"Parthiban","non-dropping-particle":"","parse-names":false,"suffix":""},{"dropping-particle":"","family":"Krishnamoorthy","given":"Karthikeyan","non-dropping-particle":"","parse-names":false,"suffix":""},{"dropping-particle":"","family":"Sahoo","given":"Surjit","non-dropping-particle":"","parse-names":false,"suffix":""},{"dropping-particle":"","family":"Mariappan","given":"Vimal Kumar","non-dropping-particle":"","parse-names":false,"suffix":""},{"dropping-particle":"","family":"Kim","given":"Sang-Jae","non-dropping-particle":"","parse-names":false,"suffix":""}],"container-title":"Inorganic Chemistry Frontiers","id":"ITEM-1","issue":"9","issued":{"date-parts":[["2019"]]},"page":"2387-2395","title":"Supercapacitive properties of amorphous MoS 3 and crystalline MoS 2 nanosheets in an organic electrolyte","type":"article-journal","volume":"6"},"uris":["http://www.mendeley.com/documents/?uuid=962118d6-4d54-4423-8e86-db04ec87b616"]}],"mendeley":{"formattedCitation":"[9]","plainTextFormattedCitation":"[9]","previouslyFormattedCitation":"[9]"},"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[9]</w:t>
            </w:r>
            <w:r>
              <w:rPr>
                <w:rFonts w:ascii="Times New Roman" w:hAnsi="Times New Roman"/>
                <w:sz w:val="24"/>
              </w:rPr>
              <w:fldChar w:fldCharType="end"/>
            </w:r>
          </w:p>
        </w:tc>
      </w:tr>
      <w:tr w:rsidR="008500D3" w:rsidRPr="009C1CEE" w14:paraId="389ECEB2" w14:textId="77777777" w:rsidTr="000B2B4D">
        <w:trPr>
          <w:trHeight w:val="669"/>
          <w:jc w:val="center"/>
        </w:trPr>
        <w:tc>
          <w:tcPr>
            <w:tcW w:w="551" w:type="pct"/>
            <w:tcBorders>
              <w:top w:val="nil"/>
              <w:left w:val="nil"/>
              <w:bottom w:val="single" w:sz="4" w:space="0" w:color="7F7F7F"/>
              <w:right w:val="nil"/>
            </w:tcBorders>
            <w:vAlign w:val="center"/>
          </w:tcPr>
          <w:p w14:paraId="0B251A86" w14:textId="2E86CC5F" w:rsidR="008500D3" w:rsidRPr="009C1CEE" w:rsidRDefault="008500D3" w:rsidP="001A329F">
            <w:pPr>
              <w:spacing w:after="0" w:line="360" w:lineRule="auto"/>
              <w:contextualSpacing/>
              <w:jc w:val="center"/>
              <w:rPr>
                <w:rFonts w:ascii="Times New Roman" w:hAnsi="Times New Roman"/>
                <w:sz w:val="24"/>
              </w:rPr>
            </w:pPr>
            <w:r>
              <w:rPr>
                <w:rFonts w:ascii="Times New Roman" w:hAnsi="Times New Roman"/>
                <w:sz w:val="24"/>
              </w:rPr>
              <w:t>R8</w:t>
            </w:r>
          </w:p>
        </w:tc>
        <w:tc>
          <w:tcPr>
            <w:tcW w:w="926" w:type="pct"/>
            <w:tcBorders>
              <w:top w:val="nil"/>
              <w:left w:val="nil"/>
              <w:bottom w:val="single" w:sz="4" w:space="0" w:color="7F7F7F"/>
              <w:right w:val="nil"/>
            </w:tcBorders>
            <w:vAlign w:val="center"/>
          </w:tcPr>
          <w:p w14:paraId="29773D87" w14:textId="3695FE9D"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ReS</w:t>
            </w:r>
            <w:r w:rsidRPr="001E3029">
              <w:rPr>
                <w:rFonts w:ascii="Times New Roman" w:hAnsi="Times New Roman"/>
                <w:sz w:val="24"/>
                <w:vertAlign w:val="subscript"/>
                <w:lang w:val="en-GB"/>
              </w:rPr>
              <w:t>2</w:t>
            </w:r>
          </w:p>
        </w:tc>
        <w:tc>
          <w:tcPr>
            <w:tcW w:w="1044" w:type="pct"/>
            <w:tcBorders>
              <w:top w:val="nil"/>
              <w:left w:val="nil"/>
              <w:bottom w:val="single" w:sz="4" w:space="0" w:color="7F7F7F"/>
              <w:right w:val="nil"/>
            </w:tcBorders>
            <w:vAlign w:val="center"/>
          </w:tcPr>
          <w:p w14:paraId="5E803C62" w14:textId="55086CEC" w:rsidR="008500D3" w:rsidRPr="00123B86" w:rsidRDefault="001E3029" w:rsidP="001A329F">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1040" w:type="pct"/>
            <w:tcBorders>
              <w:top w:val="nil"/>
              <w:left w:val="nil"/>
              <w:bottom w:val="single" w:sz="4" w:space="0" w:color="7F7F7F"/>
              <w:right w:val="nil"/>
            </w:tcBorders>
            <w:vAlign w:val="center"/>
          </w:tcPr>
          <w:p w14:paraId="78995B5B" w14:textId="7C6F181A"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2.0</w:t>
            </w:r>
          </w:p>
        </w:tc>
        <w:tc>
          <w:tcPr>
            <w:tcW w:w="808" w:type="pct"/>
            <w:tcBorders>
              <w:top w:val="nil"/>
              <w:left w:val="nil"/>
              <w:bottom w:val="single" w:sz="4" w:space="0" w:color="7F7F7F"/>
              <w:right w:val="nil"/>
            </w:tcBorders>
            <w:vAlign w:val="center"/>
          </w:tcPr>
          <w:p w14:paraId="2E52B782" w14:textId="34B2C4B1"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51.4</w:t>
            </w:r>
          </w:p>
        </w:tc>
        <w:tc>
          <w:tcPr>
            <w:tcW w:w="631" w:type="pct"/>
            <w:tcBorders>
              <w:top w:val="nil"/>
              <w:left w:val="nil"/>
              <w:bottom w:val="single" w:sz="4" w:space="0" w:color="7F7F7F"/>
              <w:right w:val="nil"/>
            </w:tcBorders>
            <w:vAlign w:val="center"/>
          </w:tcPr>
          <w:p w14:paraId="3656BD09" w14:textId="63FFACAC" w:rsidR="008500D3" w:rsidRDefault="002067F4"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{"citationItems":[{"id":"ITEM-1","itemData":{"DOI":"10.1039/D0QM00421A","ISSN":"2052-1537","abstract":"Two-dimensional ReS 2 nanostructures as an electrode for energy storage devices can be charged using solar cells which can efficiently power electronic devices for a long time, improving its effectiveness for the development of backup energy systems.","author":[{"dropping-particle":"","family":"Pazhamalai","given":"Parthiban","non-dropping-particle":"","parse-names":false,"suffix":""},{"dropping-particle":"","family":"Krishnamoorthy","given":"Karthikeyan","non-dropping-particle":"","parse-names":false,"suffix":""},{"dropping-particle":"","family":"Mariappan","given":"Vimal Kumar","non-dropping-particle":"","parse-names":false,"suffix":""},{"dropping-particle":"","family":"Sathyaseelan","given":"Arunprasath","non-dropping-particle":"","parse-names":false,"suffix":""},{"dropping-particle":"","family":"Kim","given":"Sang-Jae","non-dropping-particle":"","parse-names":false,"suffix":""}],"container-title":"Materials Chemistry Frontiers","id":"ITEM-1","issue":"11","issued":{"date-parts":[["2020"]]},"page":"3290-3301","title":"Solar driven renewable energy storage using rhenium disulfide nanostructure based rechargeable supercapacitors","type":"article-journal","volume":"4"},"uris":["http://www.mendeley.com/documents/?uuid=fd079e9f-ea7c-4e77-95ac-1075bf09385e"]}],"mendeley":{"formattedCitation":"[10]","plainTextFormattedCitation":"[10]","previouslyFormattedCitation":"[10]"},"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[10]</w:t>
            </w:r>
            <w:r>
              <w:rPr>
                <w:rFonts w:ascii="Times New Roman" w:hAnsi="Times New Roman"/>
                <w:sz w:val="24"/>
              </w:rPr>
              <w:fldChar w:fldCharType="end"/>
            </w:r>
          </w:p>
        </w:tc>
      </w:tr>
      <w:tr w:rsidR="008500D3" w:rsidRPr="009C1CEE" w14:paraId="478258F6" w14:textId="77777777" w:rsidTr="000B2B4D">
        <w:trPr>
          <w:trHeight w:val="669"/>
          <w:jc w:val="center"/>
        </w:trPr>
        <w:tc>
          <w:tcPr>
            <w:tcW w:w="551" w:type="pct"/>
            <w:tcBorders>
              <w:top w:val="nil"/>
              <w:left w:val="nil"/>
              <w:bottom w:val="single" w:sz="4" w:space="0" w:color="7F7F7F"/>
              <w:right w:val="nil"/>
            </w:tcBorders>
            <w:vAlign w:val="center"/>
          </w:tcPr>
          <w:p w14:paraId="12EEF678" w14:textId="0D192A2E" w:rsidR="008500D3" w:rsidRPr="009C1CEE" w:rsidRDefault="008500D3" w:rsidP="001A329F">
            <w:pPr>
              <w:spacing w:after="0" w:line="360" w:lineRule="auto"/>
              <w:contextualSpacing/>
              <w:jc w:val="center"/>
              <w:rPr>
                <w:rFonts w:ascii="Times New Roman" w:hAnsi="Times New Roman"/>
                <w:sz w:val="24"/>
              </w:rPr>
            </w:pPr>
            <w:r>
              <w:rPr>
                <w:rFonts w:ascii="Times New Roman" w:hAnsi="Times New Roman"/>
                <w:sz w:val="24"/>
              </w:rPr>
              <w:t>R9</w:t>
            </w:r>
          </w:p>
        </w:tc>
        <w:tc>
          <w:tcPr>
            <w:tcW w:w="926" w:type="pct"/>
            <w:tcBorders>
              <w:top w:val="nil"/>
              <w:left w:val="nil"/>
              <w:bottom w:val="single" w:sz="4" w:space="0" w:color="7F7F7F"/>
              <w:right w:val="nil"/>
            </w:tcBorders>
            <w:vAlign w:val="center"/>
          </w:tcPr>
          <w:p w14:paraId="74722438" w14:textId="6B3D7F74"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MoS</w:t>
            </w:r>
            <w:r w:rsidRPr="001E3029">
              <w:rPr>
                <w:rFonts w:ascii="Times New Roman" w:hAnsi="Times New Roman"/>
                <w:sz w:val="24"/>
                <w:vertAlign w:val="subscript"/>
                <w:lang w:val="en-GB"/>
              </w:rPr>
              <w:t>2</w:t>
            </w:r>
          </w:p>
        </w:tc>
        <w:tc>
          <w:tcPr>
            <w:tcW w:w="1044" w:type="pct"/>
            <w:tcBorders>
              <w:top w:val="nil"/>
              <w:left w:val="nil"/>
              <w:bottom w:val="single" w:sz="4" w:space="0" w:color="7F7F7F"/>
              <w:right w:val="nil"/>
            </w:tcBorders>
            <w:vAlign w:val="center"/>
          </w:tcPr>
          <w:p w14:paraId="59E4753F" w14:textId="0D84069D" w:rsidR="008500D3" w:rsidRPr="00123B86" w:rsidRDefault="001E3029" w:rsidP="001A329F">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1040" w:type="pct"/>
            <w:tcBorders>
              <w:top w:val="nil"/>
              <w:left w:val="nil"/>
              <w:bottom w:val="single" w:sz="4" w:space="0" w:color="7F7F7F"/>
              <w:right w:val="nil"/>
            </w:tcBorders>
            <w:vAlign w:val="center"/>
          </w:tcPr>
          <w:p w14:paraId="2C72EA4C" w14:textId="14E17C9C"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3.0</w:t>
            </w:r>
          </w:p>
        </w:tc>
        <w:tc>
          <w:tcPr>
            <w:tcW w:w="808" w:type="pct"/>
            <w:tcBorders>
              <w:top w:val="nil"/>
              <w:left w:val="nil"/>
              <w:bottom w:val="single" w:sz="4" w:space="0" w:color="7F7F7F"/>
              <w:right w:val="nil"/>
            </w:tcBorders>
            <w:vAlign w:val="center"/>
          </w:tcPr>
          <w:p w14:paraId="4F933B7A" w14:textId="64FD00D8" w:rsidR="008500D3" w:rsidRDefault="001E3029" w:rsidP="001A329F">
            <w:pPr>
              <w:spacing w:after="0" w:line="360" w:lineRule="auto"/>
              <w:contextualSpacing/>
              <w:jc w:val="center"/>
              <w:rPr>
                <w:rFonts w:ascii="Times New Roman" w:hAnsi="Times New Roman"/>
                <w:sz w:val="24"/>
                <w:lang w:val="en-GB"/>
              </w:rPr>
            </w:pPr>
            <w:r>
              <w:rPr>
                <w:rFonts w:ascii="Times New Roman" w:hAnsi="Times New Roman"/>
                <w:sz w:val="24"/>
                <w:lang w:val="en-GB"/>
              </w:rPr>
              <w:t>24.98</w:t>
            </w:r>
          </w:p>
        </w:tc>
        <w:tc>
          <w:tcPr>
            <w:tcW w:w="631" w:type="pct"/>
            <w:tcBorders>
              <w:top w:val="nil"/>
              <w:left w:val="nil"/>
              <w:bottom w:val="single" w:sz="4" w:space="0" w:color="7F7F7F"/>
              <w:right w:val="nil"/>
            </w:tcBorders>
            <w:vAlign w:val="center"/>
          </w:tcPr>
          <w:p w14:paraId="5E5D974D" w14:textId="1A8D7D39" w:rsidR="008500D3" w:rsidRDefault="002067F4" w:rsidP="001A329F">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{"citationItems":[{"id":"ITEM-1","itemData":{"DOI":"10.1039/C9QI00623K","ISSN":"2052-1553","abstract":"Amorphous-MoS 3 and crystalline-MoS 2 prepared via thermal decomposition of ammonium tetrathiomolybdate and their electrochemical energy-storage properties reveals better capacitive and charge-transfer nature for MoS 2 SSC over amorphous-MoS 3 SSC.","author":[{"dropping-particle":"","family":"Pazhamalai","given":"Parthiban","non-dropping-particle":"","parse-names":false,"suffix":""},{"dropping-particle":"","family":"Krishnamoorthy","given":"Karthikeyan","non-dropping-particle":"","parse-names":false,"suffix":""},{"dropping-particle":"","family":"Sahoo","given":"Surjit","non-dropping-particle":"","parse-names":false,"suffix":""},{"dropping-particle":"","family":"Mariappan","given":"Vimal Kumar","non-dropping-particle":"","parse-names":false,"suffix":""},{"dropping-particle":"","family":"Kim","given":"Sang-Jae","non-dropping-particle":"","parse-names":false,"suffix":""}],"container-title":"Inorganic Chemistry Frontiers","id":"ITEM-1","issue":"9","issued":{"date-parts":[["2019"]]},"page":"2387-2395","title":"Supercapacitive properties of amorphous MoS 3 and crystalline MoS 2 nanosheets in an organic electrolyte","type":"article-journal","volume":"6"},"uris":["http://www.mendeley.com/documents/?uuid=962118d6-4d54-4423-8e86-db04ec87b616"]}],"mendeley":{"formattedCitation":"[9]","plainTextFormattedCitation":"[9]","previouslyFormattedCitation":"[9]"},"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[9]</w:t>
            </w:r>
            <w:r>
              <w:rPr>
                <w:rFonts w:ascii="Times New Roman" w:hAnsi="Times New Roman"/>
                <w:sz w:val="24"/>
              </w:rPr>
              <w:fldChar w:fldCharType="end"/>
            </w:r>
          </w:p>
        </w:tc>
      </w:tr>
      <w:tr w:rsidR="000B2B4D" w:rsidRPr="009C1CEE" w14:paraId="06547D85" w14:textId="77777777" w:rsidTr="000B2B4D">
        <w:trPr>
          <w:trHeight w:val="669"/>
          <w:jc w:val="center"/>
        </w:trPr>
        <w:tc>
          <w:tcPr>
            <w:tcW w:w="551" w:type="pct"/>
            <w:tcBorders>
              <w:top w:val="nil"/>
              <w:left w:val="nil"/>
              <w:bottom w:val="single" w:sz="4" w:space="0" w:color="7F7F7F"/>
              <w:right w:val="nil"/>
            </w:tcBorders>
            <w:vAlign w:val="center"/>
          </w:tcPr>
          <w:p w14:paraId="2996A5D7" w14:textId="72F1C925" w:rsidR="000B2B4D" w:rsidRPr="008500D3" w:rsidRDefault="008500D3" w:rsidP="001A329F">
            <w:pPr>
              <w:spacing w:after="0" w:line="360" w:lineRule="auto"/>
              <w:contextualSpacing/>
              <w:jc w:val="center"/>
              <w:rPr>
                <w:rFonts w:ascii="Times New Roman" w:hAnsi="Times New Roman"/>
                <w:b/>
                <w:bCs/>
                <w:sz w:val="24"/>
              </w:rPr>
            </w:pPr>
            <w:r w:rsidRPr="008500D3">
              <w:rPr>
                <w:rFonts w:ascii="Times New Roman" w:hAnsi="Times New Roman"/>
                <w:b/>
                <w:bCs/>
                <w:sz w:val="24"/>
              </w:rPr>
              <w:t>R</w:t>
            </w:r>
            <w:r w:rsidRPr="008500D3">
              <w:rPr>
                <w:rFonts w:ascii="Times New Roman" w:hAnsi="Times New Roman"/>
                <w:b/>
                <w:bCs/>
                <w:sz w:val="24"/>
                <w:vertAlign w:val="subscript"/>
              </w:rPr>
              <w:t>T</w:t>
            </w:r>
          </w:p>
        </w:tc>
        <w:tc>
          <w:tcPr>
            <w:tcW w:w="926" w:type="pct"/>
            <w:tcBorders>
              <w:top w:val="nil"/>
              <w:left w:val="nil"/>
              <w:bottom w:val="single" w:sz="4" w:space="0" w:color="7F7F7F"/>
              <w:right w:val="nil"/>
            </w:tcBorders>
            <w:vAlign w:val="center"/>
          </w:tcPr>
          <w:p w14:paraId="1364E98C" w14:textId="0CF8AB07" w:rsidR="000B2B4D" w:rsidRPr="003C1B8C" w:rsidRDefault="000B2B4D" w:rsidP="001A329F">
            <w:pPr>
              <w:spacing w:after="0" w:line="360" w:lineRule="auto"/>
              <w:contextualSpacing/>
              <w:jc w:val="center"/>
              <w:rPr>
                <w:rFonts w:ascii="Times New Roman" w:hAnsi="Times New Roman"/>
                <w:sz w:val="24"/>
                <w:lang w:val="en-GB"/>
              </w:rPr>
            </w:pPr>
            <w:r w:rsidRPr="003A65C6">
              <w:rPr>
                <w:rFonts w:ascii="Times New Roman" w:hAnsi="Times New Roman"/>
                <w:b/>
                <w:bCs/>
                <w:sz w:val="24"/>
                <w:lang w:val="en-GB"/>
              </w:rPr>
              <w:t>F-Gr</w:t>
            </w:r>
          </w:p>
        </w:tc>
        <w:tc>
          <w:tcPr>
            <w:tcW w:w="1044" w:type="pct"/>
            <w:tcBorders>
              <w:top w:val="nil"/>
              <w:left w:val="nil"/>
              <w:bottom w:val="single" w:sz="4" w:space="0" w:color="7F7F7F"/>
              <w:right w:val="nil"/>
            </w:tcBorders>
            <w:vAlign w:val="center"/>
          </w:tcPr>
          <w:p w14:paraId="21605B6E" w14:textId="3AC5E35D" w:rsidR="000B2B4D" w:rsidRPr="009C1CEE" w:rsidRDefault="000B2B4D" w:rsidP="001A329F">
            <w:pPr>
              <w:spacing w:after="0" w:line="360" w:lineRule="auto"/>
              <w:contextualSpacing/>
              <w:jc w:val="center"/>
              <w:rPr>
                <w:rFonts w:ascii="Times New Roman" w:hAnsi="Times New Roman"/>
                <w:sz w:val="24"/>
              </w:rPr>
            </w:pPr>
            <w:r w:rsidRPr="003A65C6">
              <w:rPr>
                <w:rFonts w:ascii="Times New Roman" w:hAnsi="Times New Roman"/>
                <w:b/>
                <w:bCs/>
                <w:sz w:val="24"/>
                <w:lang w:val="en-GB"/>
              </w:rPr>
              <w:t>TEABF</w:t>
            </w:r>
            <w:r w:rsidRPr="003A65C6">
              <w:rPr>
                <w:rFonts w:ascii="Times New Roman" w:hAnsi="Times New Roman"/>
                <w:b/>
                <w:bCs/>
                <w:sz w:val="24"/>
                <w:vertAlign w:val="subscript"/>
                <w:lang w:val="en-GB"/>
              </w:rPr>
              <w:t>4</w:t>
            </w:r>
          </w:p>
        </w:tc>
        <w:tc>
          <w:tcPr>
            <w:tcW w:w="1040" w:type="pct"/>
            <w:tcBorders>
              <w:top w:val="nil"/>
              <w:left w:val="nil"/>
              <w:bottom w:val="single" w:sz="4" w:space="0" w:color="7F7F7F"/>
              <w:right w:val="nil"/>
            </w:tcBorders>
            <w:vAlign w:val="center"/>
          </w:tcPr>
          <w:p w14:paraId="08A04DF3" w14:textId="48866CB1" w:rsidR="000B2B4D" w:rsidRPr="000B2B4D" w:rsidRDefault="000B2B4D" w:rsidP="001A329F">
            <w:pPr>
              <w:spacing w:after="0" w:line="360" w:lineRule="auto"/>
              <w:contextualSpacing/>
              <w:jc w:val="center"/>
              <w:rPr>
                <w:rFonts w:ascii="Times New Roman" w:hAnsi="Times New Roman"/>
                <w:b/>
                <w:bCs/>
                <w:sz w:val="24"/>
                <w:lang w:val="en-GB"/>
              </w:rPr>
            </w:pPr>
            <w:r w:rsidRPr="000B2B4D">
              <w:rPr>
                <w:rFonts w:ascii="Times New Roman" w:hAnsi="Times New Roman"/>
                <w:b/>
                <w:bCs/>
                <w:sz w:val="24"/>
                <w:lang w:val="en-GB"/>
              </w:rPr>
              <w:t>3.0</w:t>
            </w:r>
          </w:p>
        </w:tc>
        <w:tc>
          <w:tcPr>
            <w:tcW w:w="808" w:type="pct"/>
            <w:tcBorders>
              <w:top w:val="nil"/>
              <w:left w:val="nil"/>
              <w:bottom w:val="single" w:sz="4" w:space="0" w:color="7F7F7F"/>
              <w:right w:val="nil"/>
            </w:tcBorders>
            <w:vAlign w:val="center"/>
          </w:tcPr>
          <w:p w14:paraId="08DB2598" w14:textId="7AED4EA4" w:rsidR="000B2B4D" w:rsidRPr="000B2B4D" w:rsidRDefault="000B2B4D" w:rsidP="001A329F">
            <w:pPr>
              <w:spacing w:after="0" w:line="360" w:lineRule="auto"/>
              <w:contextualSpacing/>
              <w:jc w:val="center"/>
              <w:rPr>
                <w:rFonts w:ascii="Times New Roman" w:hAnsi="Times New Roman"/>
                <w:b/>
                <w:bCs/>
                <w:sz w:val="24"/>
              </w:rPr>
            </w:pPr>
            <w:r w:rsidRPr="000B2B4D">
              <w:rPr>
                <w:rFonts w:ascii="Times New Roman" w:hAnsi="Times New Roman"/>
                <w:b/>
                <w:bCs/>
                <w:sz w:val="24"/>
                <w:lang w:val="en-GB"/>
              </w:rPr>
              <w:t>50.1</w:t>
            </w:r>
          </w:p>
        </w:tc>
        <w:tc>
          <w:tcPr>
            <w:tcW w:w="631" w:type="pct"/>
            <w:tcBorders>
              <w:top w:val="nil"/>
              <w:left w:val="nil"/>
              <w:bottom w:val="single" w:sz="4" w:space="0" w:color="7F7F7F"/>
              <w:right w:val="nil"/>
            </w:tcBorders>
            <w:vAlign w:val="center"/>
          </w:tcPr>
          <w:p w14:paraId="131ACDC3" w14:textId="5EAFAA75" w:rsidR="000B2B4D" w:rsidRPr="009C1CEE" w:rsidRDefault="000B2B4D" w:rsidP="001A329F">
            <w:pPr>
              <w:spacing w:after="0" w:line="360" w:lineRule="auto"/>
              <w:contextualSpacing/>
              <w:jc w:val="center"/>
              <w:rPr>
                <w:rFonts w:ascii="Times New Roman" w:hAnsi="Times New Roman"/>
                <w:sz w:val="24"/>
              </w:rPr>
            </w:pPr>
            <w:r>
              <w:rPr>
                <w:rFonts w:ascii="Times New Roman" w:hAnsi="Times New Roman"/>
                <w:b/>
                <w:bCs/>
                <w:sz w:val="24"/>
                <w:lang w:val="en-GB"/>
              </w:rPr>
              <w:t>This work</w:t>
            </w:r>
          </w:p>
        </w:tc>
      </w:tr>
    </w:tbl>
    <w:p w14:paraId="0AF883D9" w14:textId="77777777" w:rsidR="00BA6AC8" w:rsidRDefault="00BA6AC8" w:rsidP="00456E2A">
      <w:pPr>
        <w:spacing w:line="480" w:lineRule="auto"/>
        <w:rPr>
          <w:lang w:val="en-GB"/>
        </w:rPr>
      </w:pPr>
    </w:p>
    <w:p w14:paraId="2C312AD4" w14:textId="77777777" w:rsidR="001A329F" w:rsidRDefault="001A329F" w:rsidP="00456E2A">
      <w:pPr>
        <w:spacing w:line="480" w:lineRule="auto"/>
        <w:rPr>
          <w:lang w:val="en-GB"/>
        </w:rPr>
      </w:pPr>
    </w:p>
    <w:p w14:paraId="6A0C35ED" w14:textId="77777777" w:rsidR="001A329F" w:rsidRPr="001A329F" w:rsidRDefault="001A329F" w:rsidP="00456E2A">
      <w:pPr>
        <w:spacing w:line="480" w:lineRule="auto"/>
        <w:rPr>
          <w:lang w:val="en-GB"/>
        </w:rPr>
      </w:pPr>
    </w:p>
    <w:p w14:paraId="7AE6DA8B" w14:textId="77777777" w:rsidR="00BA6AC8" w:rsidRDefault="00BA6AC8" w:rsidP="00456E2A">
      <w:pPr>
        <w:tabs>
          <w:tab w:val="left" w:pos="3233"/>
        </w:tabs>
        <w:spacing w:line="480" w:lineRule="auto"/>
        <w:rPr>
          <w:rFonts w:ascii="Times New Roman" w:hAnsi="Times New Roman" w:cs="Times New Roman"/>
          <w:sz w:val="24"/>
          <w:lang w:val="en-GB"/>
        </w:rPr>
      </w:pPr>
    </w:p>
    <w:p w14:paraId="3E02E40D" w14:textId="433613C5" w:rsidR="004F56DE" w:rsidRPr="009C1CEE" w:rsidRDefault="004F56DE" w:rsidP="00456E2A">
      <w:pPr>
        <w:spacing w:line="480" w:lineRule="auto"/>
        <w:jc w:val="both"/>
        <w:rPr>
          <w:rFonts w:ascii="Times New Roman" w:hAnsi="Times New Roman"/>
          <w:sz w:val="24"/>
        </w:rPr>
      </w:pPr>
      <w:r w:rsidRPr="00C83100">
        <w:rPr>
          <w:rFonts w:ascii="Times New Roman" w:hAnsi="Times New Roman"/>
          <w:b/>
          <w:bCs/>
          <w:sz w:val="24"/>
        </w:rPr>
        <w:lastRenderedPageBreak/>
        <w:t>Table S</w:t>
      </w:r>
      <w:r w:rsidR="00BA6AC8">
        <w:rPr>
          <w:rFonts w:ascii="Times New Roman" w:hAnsi="Times New Roman"/>
          <w:b/>
          <w:bCs/>
          <w:sz w:val="24"/>
        </w:rPr>
        <w:t>2</w:t>
      </w:r>
      <w:r w:rsidR="00195D46">
        <w:rPr>
          <w:rFonts w:ascii="Times New Roman" w:hAnsi="Times New Roman"/>
          <w:sz w:val="24"/>
        </w:rPr>
        <w:t>: Comparison of energy density and power density of F-Gr IL-SSC device with reported SSC devices in ionic/</w:t>
      </w:r>
      <w:r>
        <w:rPr>
          <w:rFonts w:ascii="Times New Roman" w:hAnsi="Times New Roman"/>
          <w:sz w:val="24"/>
        </w:rPr>
        <w:t xml:space="preserve">organic </w:t>
      </w:r>
      <w:r w:rsidRPr="008D1EFF">
        <w:rPr>
          <w:rFonts w:ascii="Times New Roman" w:hAnsi="Times New Roman"/>
          <w:sz w:val="24"/>
        </w:rPr>
        <w:t>electrolyte.</w:t>
      </w:r>
    </w:p>
    <w:tbl>
      <w:tblPr>
        <w:tblW w:w="4824" w:type="pct"/>
        <w:jc w:val="center"/>
        <w:tblBorders>
          <w:top w:val="single" w:sz="4" w:space="0" w:color="7F7F7F"/>
          <w:bottom w:val="single" w:sz="4" w:space="0" w:color="7F7F7F"/>
        </w:tblBorders>
        <w:tblLayout w:type="fixed"/>
        <w:tblLook w:val="04A0" w:firstRow="1" w:lastRow="0" w:firstColumn="1" w:lastColumn="0" w:noHBand="0" w:noVBand="1"/>
      </w:tblPr>
      <w:tblGrid>
        <w:gridCol w:w="815"/>
        <w:gridCol w:w="1371"/>
        <w:gridCol w:w="1545"/>
        <w:gridCol w:w="1540"/>
        <w:gridCol w:w="1196"/>
        <w:gridCol w:w="1306"/>
        <w:gridCol w:w="935"/>
      </w:tblGrid>
      <w:tr w:rsidR="004F56DE" w:rsidRPr="009C1CEE" w14:paraId="788C597D" w14:textId="77777777" w:rsidTr="00EA619E">
        <w:trPr>
          <w:trHeight w:val="645"/>
          <w:jc w:val="center"/>
        </w:trPr>
        <w:tc>
          <w:tcPr>
            <w:tcW w:w="468" w:type="pct"/>
            <w:tcBorders>
              <w:top w:val="single" w:sz="4" w:space="0" w:color="7F7F7F"/>
              <w:left w:val="nil"/>
              <w:bottom w:val="single" w:sz="4" w:space="0" w:color="7F7F7F"/>
              <w:right w:val="nil"/>
            </w:tcBorders>
            <w:vAlign w:val="center"/>
            <w:hideMark/>
          </w:tcPr>
          <w:p w14:paraId="0FF3A55C" w14:textId="77777777" w:rsidR="004F56DE" w:rsidRPr="009C1CE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S. No</w:t>
            </w:r>
          </w:p>
        </w:tc>
        <w:tc>
          <w:tcPr>
            <w:tcW w:w="787" w:type="pct"/>
            <w:tcBorders>
              <w:top w:val="single" w:sz="4" w:space="0" w:color="7F7F7F"/>
              <w:left w:val="nil"/>
              <w:bottom w:val="single" w:sz="4" w:space="0" w:color="7F7F7F"/>
              <w:right w:val="nil"/>
            </w:tcBorders>
            <w:vAlign w:val="center"/>
            <w:hideMark/>
          </w:tcPr>
          <w:p w14:paraId="111B7DB6" w14:textId="77777777" w:rsidR="004F56D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Electrode</w:t>
            </w:r>
          </w:p>
          <w:p w14:paraId="66B266F0" w14:textId="77777777" w:rsidR="004F56DE" w:rsidRPr="009C1CEE" w:rsidRDefault="004F56DE" w:rsidP="00BF0A3D">
            <w:pPr>
              <w:spacing w:after="0" w:line="360" w:lineRule="auto"/>
              <w:contextualSpacing/>
              <w:jc w:val="center"/>
              <w:rPr>
                <w:rFonts w:ascii="Times New Roman" w:hAnsi="Times New Roman"/>
                <w:b/>
                <w:bCs/>
                <w:sz w:val="24"/>
              </w:rPr>
            </w:pPr>
            <w:r>
              <w:rPr>
                <w:rFonts w:ascii="Times New Roman" w:hAnsi="Times New Roman"/>
                <w:b/>
                <w:bCs/>
                <w:sz w:val="24"/>
              </w:rPr>
              <w:t>materials</w:t>
            </w:r>
          </w:p>
        </w:tc>
        <w:tc>
          <w:tcPr>
            <w:tcW w:w="887" w:type="pct"/>
            <w:tcBorders>
              <w:top w:val="single" w:sz="4" w:space="0" w:color="7F7F7F"/>
              <w:left w:val="nil"/>
              <w:bottom w:val="single" w:sz="4" w:space="0" w:color="7F7F7F"/>
              <w:right w:val="nil"/>
            </w:tcBorders>
            <w:vAlign w:val="center"/>
          </w:tcPr>
          <w:p w14:paraId="6523EB63" w14:textId="77777777" w:rsidR="004F56DE" w:rsidRPr="009C1CE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Electrolyte</w:t>
            </w:r>
          </w:p>
        </w:tc>
        <w:tc>
          <w:tcPr>
            <w:tcW w:w="884" w:type="pct"/>
            <w:tcBorders>
              <w:top w:val="single" w:sz="4" w:space="0" w:color="7F7F7F"/>
              <w:left w:val="nil"/>
              <w:bottom w:val="single" w:sz="4" w:space="0" w:color="7F7F7F"/>
              <w:right w:val="nil"/>
            </w:tcBorders>
            <w:vAlign w:val="center"/>
            <w:hideMark/>
          </w:tcPr>
          <w:p w14:paraId="2E0A2BE1" w14:textId="77777777" w:rsidR="004F56DE" w:rsidRPr="009C1CE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Potential window (V)</w:t>
            </w:r>
          </w:p>
        </w:tc>
        <w:tc>
          <w:tcPr>
            <w:tcW w:w="687" w:type="pct"/>
            <w:tcBorders>
              <w:top w:val="single" w:sz="4" w:space="0" w:color="7F7F7F"/>
              <w:left w:val="nil"/>
              <w:bottom w:val="single" w:sz="4" w:space="0" w:color="7F7F7F"/>
              <w:right w:val="nil"/>
            </w:tcBorders>
            <w:vAlign w:val="center"/>
            <w:hideMark/>
          </w:tcPr>
          <w:p w14:paraId="57421454" w14:textId="77777777" w:rsidR="004F56DE" w:rsidRPr="009C1CE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Energy density (Wh g</w:t>
            </w:r>
            <w:r w:rsidRPr="009C1CEE">
              <w:rPr>
                <w:rFonts w:ascii="Times New Roman" w:hAnsi="Times New Roman"/>
                <w:b/>
                <w:bCs/>
                <w:sz w:val="24"/>
                <w:vertAlign w:val="superscript"/>
              </w:rPr>
              <w:t>-1</w:t>
            </w:r>
            <w:r w:rsidRPr="009C1CEE">
              <w:rPr>
                <w:rFonts w:ascii="Times New Roman" w:hAnsi="Times New Roman"/>
                <w:b/>
                <w:bCs/>
                <w:sz w:val="24"/>
              </w:rPr>
              <w:t>)</w:t>
            </w:r>
          </w:p>
        </w:tc>
        <w:tc>
          <w:tcPr>
            <w:tcW w:w="750" w:type="pct"/>
            <w:tcBorders>
              <w:top w:val="single" w:sz="4" w:space="0" w:color="7F7F7F"/>
              <w:left w:val="nil"/>
              <w:bottom w:val="single" w:sz="4" w:space="0" w:color="7F7F7F"/>
              <w:right w:val="nil"/>
            </w:tcBorders>
            <w:vAlign w:val="center"/>
          </w:tcPr>
          <w:p w14:paraId="1D12C032" w14:textId="77777777" w:rsidR="004F56DE" w:rsidRPr="009C1CE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Power density</w:t>
            </w:r>
          </w:p>
          <w:p w14:paraId="7364044B" w14:textId="77777777" w:rsidR="004F56DE" w:rsidRPr="009C1CE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(W Kg</w:t>
            </w:r>
            <w:r w:rsidRPr="009C1CEE">
              <w:rPr>
                <w:rFonts w:ascii="Times New Roman" w:hAnsi="Times New Roman"/>
                <w:b/>
                <w:bCs/>
                <w:sz w:val="24"/>
                <w:vertAlign w:val="superscript"/>
              </w:rPr>
              <w:t>-1</w:t>
            </w:r>
            <w:r w:rsidRPr="009C1CEE">
              <w:rPr>
                <w:rFonts w:ascii="Times New Roman" w:hAnsi="Times New Roman"/>
                <w:b/>
                <w:bCs/>
                <w:sz w:val="24"/>
              </w:rPr>
              <w:t>)</w:t>
            </w:r>
          </w:p>
        </w:tc>
        <w:tc>
          <w:tcPr>
            <w:tcW w:w="537" w:type="pct"/>
            <w:tcBorders>
              <w:top w:val="single" w:sz="4" w:space="0" w:color="7F7F7F"/>
              <w:left w:val="nil"/>
              <w:bottom w:val="single" w:sz="4" w:space="0" w:color="7F7F7F"/>
              <w:right w:val="nil"/>
            </w:tcBorders>
            <w:vAlign w:val="center"/>
          </w:tcPr>
          <w:p w14:paraId="5F05B20C" w14:textId="77777777" w:rsidR="004F56DE" w:rsidRPr="009C1CEE" w:rsidRDefault="004F56DE" w:rsidP="00BF0A3D">
            <w:pPr>
              <w:spacing w:after="0" w:line="360" w:lineRule="auto"/>
              <w:contextualSpacing/>
              <w:jc w:val="center"/>
              <w:rPr>
                <w:rFonts w:ascii="Times New Roman" w:hAnsi="Times New Roman"/>
                <w:b/>
                <w:bCs/>
                <w:sz w:val="24"/>
              </w:rPr>
            </w:pPr>
            <w:r w:rsidRPr="009C1CEE">
              <w:rPr>
                <w:rFonts w:ascii="Times New Roman" w:hAnsi="Times New Roman"/>
                <w:b/>
                <w:bCs/>
                <w:sz w:val="24"/>
              </w:rPr>
              <w:t>Ref</w:t>
            </w:r>
          </w:p>
        </w:tc>
      </w:tr>
      <w:tr w:rsidR="004F56DE" w:rsidRPr="009C1CEE" w14:paraId="424CEA1E" w14:textId="77777777" w:rsidTr="00EA619E">
        <w:trPr>
          <w:trHeight w:val="645"/>
          <w:jc w:val="center"/>
        </w:trPr>
        <w:tc>
          <w:tcPr>
            <w:tcW w:w="468" w:type="pct"/>
            <w:tcBorders>
              <w:top w:val="nil"/>
              <w:left w:val="nil"/>
              <w:bottom w:val="single" w:sz="4" w:space="0" w:color="7F7F7F"/>
              <w:right w:val="nil"/>
            </w:tcBorders>
            <w:vAlign w:val="center"/>
          </w:tcPr>
          <w:p w14:paraId="3B51F62A"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1</w:t>
            </w:r>
          </w:p>
        </w:tc>
        <w:tc>
          <w:tcPr>
            <w:tcW w:w="787" w:type="pct"/>
            <w:tcBorders>
              <w:top w:val="nil"/>
              <w:left w:val="nil"/>
              <w:bottom w:val="single" w:sz="4" w:space="0" w:color="7F7F7F"/>
              <w:right w:val="nil"/>
            </w:tcBorders>
            <w:vAlign w:val="center"/>
          </w:tcPr>
          <w:p w14:paraId="525D7682"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t>Activated carbon (AC)</w:t>
            </w:r>
            <w:r w:rsidRPr="009C1CEE">
              <w:rPr>
                <w:rFonts w:ascii="Times New Roman" w:hAnsi="Times New Roman"/>
                <w:sz w:val="24"/>
              </w:rPr>
              <w:t xml:space="preserve"> </w:t>
            </w:r>
          </w:p>
        </w:tc>
        <w:tc>
          <w:tcPr>
            <w:tcW w:w="887" w:type="pct"/>
            <w:tcBorders>
              <w:top w:val="nil"/>
              <w:left w:val="nil"/>
              <w:bottom w:val="single" w:sz="4" w:space="0" w:color="7F7F7F"/>
              <w:right w:val="nil"/>
            </w:tcBorders>
            <w:vAlign w:val="center"/>
          </w:tcPr>
          <w:p w14:paraId="66983D7B" w14:textId="77777777" w:rsidR="004F56DE"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BMPY-</w:t>
            </w:r>
          </w:p>
          <w:p w14:paraId="797B72DE" w14:textId="77777777" w:rsidR="004F56DE" w:rsidRPr="003E7EDF"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TFSI</w:t>
            </w:r>
          </w:p>
        </w:tc>
        <w:tc>
          <w:tcPr>
            <w:tcW w:w="884" w:type="pct"/>
            <w:tcBorders>
              <w:top w:val="nil"/>
              <w:left w:val="nil"/>
              <w:bottom w:val="single" w:sz="4" w:space="0" w:color="7F7F7F"/>
              <w:right w:val="nil"/>
            </w:tcBorders>
            <w:vAlign w:val="center"/>
          </w:tcPr>
          <w:p w14:paraId="0FF2B107" w14:textId="77777777" w:rsidR="004F56DE" w:rsidRPr="007D6E50" w:rsidRDefault="004F56DE" w:rsidP="00BF0A3D">
            <w:pPr>
              <w:spacing w:after="0" w:line="360" w:lineRule="auto"/>
              <w:contextualSpacing/>
              <w:rPr>
                <w:rFonts w:ascii="Times New Roman" w:hAnsi="Times New Roman"/>
                <w:sz w:val="24"/>
                <w:lang w:val="en-GB"/>
              </w:rPr>
            </w:pPr>
            <w:r>
              <w:rPr>
                <w:rFonts w:ascii="Times New Roman" w:hAnsi="Times New Roman"/>
                <w:sz w:val="24"/>
                <w:lang w:val="en-GB"/>
              </w:rPr>
              <w:t xml:space="preserve">    3.0</w:t>
            </w:r>
          </w:p>
        </w:tc>
        <w:tc>
          <w:tcPr>
            <w:tcW w:w="687" w:type="pct"/>
            <w:tcBorders>
              <w:top w:val="nil"/>
              <w:left w:val="nil"/>
              <w:bottom w:val="single" w:sz="4" w:space="0" w:color="7F7F7F"/>
              <w:right w:val="nil"/>
            </w:tcBorders>
            <w:vAlign w:val="center"/>
          </w:tcPr>
          <w:p w14:paraId="6C7E0F1D"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t>25</w:t>
            </w:r>
          </w:p>
        </w:tc>
        <w:tc>
          <w:tcPr>
            <w:tcW w:w="750" w:type="pct"/>
            <w:tcBorders>
              <w:top w:val="nil"/>
              <w:left w:val="nil"/>
              <w:bottom w:val="single" w:sz="4" w:space="0" w:color="7F7F7F"/>
              <w:right w:val="nil"/>
            </w:tcBorders>
            <w:vAlign w:val="center"/>
          </w:tcPr>
          <w:p w14:paraId="3B16C6DE"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t>5000</w:t>
            </w:r>
          </w:p>
        </w:tc>
        <w:tc>
          <w:tcPr>
            <w:tcW w:w="537" w:type="pct"/>
            <w:tcBorders>
              <w:top w:val="nil"/>
              <w:left w:val="nil"/>
              <w:bottom w:val="single" w:sz="4" w:space="0" w:color="7F7F7F"/>
              <w:right w:val="nil"/>
            </w:tcBorders>
            <w:vAlign w:val="center"/>
          </w:tcPr>
          <w:p w14:paraId="73D80BE3" w14:textId="4FD4EE23"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nanoen.2016.04.036","ISSN":"22112855","author":[{"dropping-particle":"","family":"Li","given":"Zhi","non-dropping-particle":"","parse-names":false,"suffix":""},{"dropping-particle":"","family":"Liu","given":"Jun","non-dropping-particle":"","parse-names":false,"suffix":""},{"dropping-particle":"","family":"Jiang","given":"Keren","non-dropping-particle":"","parse-names":false,"suffix":""},{"dropping-particle":"","family":"Thundat","given":"Thomas","non-dropping-particle":"","parse-names":false,"suffix":""}],"container-title":"Nano Energy","id":"ITEM-1","issued":{"date-parts":[["2016","7"]]},"page":"161-169","title":"Carbonized nanocellulose sustainably boosts the performance of activated carbon in ionic liquid supercapacitors","type":"article-journal","volume":"25"},"uris":["http://www.mendeley.com/documents/?uuid=131ea343-0261-4531-b7c1-d1517420387e"]}],"mendeley":{"formattedCitation":"[4]","plainTextFormattedCitation":"[4]","previouslyFormattedCitation":"[4]"},"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[4]</w:t>
            </w:r>
            <w:r>
              <w:rPr>
                <w:rFonts w:ascii="Times New Roman" w:hAnsi="Times New Roman"/>
                <w:sz w:val="24"/>
              </w:rPr>
              <w:fldChar w:fldCharType="end"/>
            </w:r>
          </w:p>
        </w:tc>
      </w:tr>
      <w:tr w:rsidR="004F56DE" w:rsidRPr="009C1CEE" w14:paraId="40077346" w14:textId="77777777" w:rsidTr="00EA619E">
        <w:trPr>
          <w:trHeight w:val="645"/>
          <w:jc w:val="center"/>
        </w:trPr>
        <w:tc>
          <w:tcPr>
            <w:tcW w:w="468" w:type="pct"/>
            <w:tcBorders>
              <w:top w:val="nil"/>
              <w:left w:val="nil"/>
              <w:bottom w:val="single" w:sz="4" w:space="0" w:color="7F7F7F"/>
              <w:right w:val="nil"/>
            </w:tcBorders>
            <w:vAlign w:val="center"/>
          </w:tcPr>
          <w:p w14:paraId="1BBE550C"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2</w:t>
            </w:r>
          </w:p>
        </w:tc>
        <w:tc>
          <w:tcPr>
            <w:tcW w:w="787" w:type="pct"/>
            <w:tcBorders>
              <w:top w:val="nil"/>
              <w:left w:val="nil"/>
              <w:bottom w:val="single" w:sz="4" w:space="0" w:color="7F7F7F"/>
              <w:right w:val="nil"/>
            </w:tcBorders>
            <w:vAlign w:val="center"/>
          </w:tcPr>
          <w:p w14:paraId="6FD16028" w14:textId="77777777" w:rsidR="004F56DE" w:rsidRPr="009C1CEE" w:rsidRDefault="004F56DE" w:rsidP="00BF0A3D">
            <w:pPr>
              <w:spacing w:after="0" w:line="360" w:lineRule="auto"/>
              <w:contextualSpacing/>
              <w:jc w:val="center"/>
              <w:rPr>
                <w:rFonts w:ascii="Times New Roman" w:hAnsi="Times New Roman"/>
                <w:sz w:val="24"/>
              </w:rPr>
            </w:pPr>
            <w:r w:rsidRPr="00813C37">
              <w:rPr>
                <w:rFonts w:ascii="Times New Roman" w:hAnsi="Times New Roman"/>
                <w:sz w:val="24"/>
              </w:rPr>
              <w:t>Graphene / V</w:t>
            </w:r>
            <w:r w:rsidRPr="00624F00">
              <w:rPr>
                <w:rFonts w:ascii="Times New Roman" w:hAnsi="Times New Roman"/>
                <w:sz w:val="24"/>
                <w:vertAlign w:val="subscript"/>
              </w:rPr>
              <w:t>2</w:t>
            </w:r>
            <w:r w:rsidRPr="00813C37">
              <w:rPr>
                <w:rFonts w:ascii="Times New Roman" w:hAnsi="Times New Roman"/>
                <w:sz w:val="24"/>
              </w:rPr>
              <w:t>O</w:t>
            </w:r>
            <w:r w:rsidRPr="00624F00">
              <w:rPr>
                <w:rFonts w:ascii="Times New Roman" w:hAnsi="Times New Roman"/>
                <w:sz w:val="24"/>
                <w:vertAlign w:val="subscript"/>
              </w:rPr>
              <w:t>5</w:t>
            </w:r>
          </w:p>
        </w:tc>
        <w:tc>
          <w:tcPr>
            <w:tcW w:w="887" w:type="pct"/>
            <w:tcBorders>
              <w:top w:val="nil"/>
              <w:left w:val="nil"/>
              <w:bottom w:val="single" w:sz="4" w:space="0" w:color="7F7F7F"/>
              <w:right w:val="nil"/>
            </w:tcBorders>
            <w:vAlign w:val="center"/>
          </w:tcPr>
          <w:p w14:paraId="4E62E494" w14:textId="77777777" w:rsidR="004F56DE" w:rsidRPr="00813C37"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LiClO</w:t>
            </w:r>
            <w:r w:rsidRPr="00813C37">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42E7D9F5" w14:textId="77777777" w:rsidR="004F56DE" w:rsidRPr="00123C03"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2.5</w:t>
            </w:r>
          </w:p>
        </w:tc>
        <w:tc>
          <w:tcPr>
            <w:tcW w:w="687" w:type="pct"/>
            <w:tcBorders>
              <w:top w:val="nil"/>
              <w:left w:val="nil"/>
              <w:bottom w:val="single" w:sz="4" w:space="0" w:color="7F7F7F"/>
              <w:right w:val="nil"/>
            </w:tcBorders>
            <w:vAlign w:val="center"/>
          </w:tcPr>
          <w:p w14:paraId="53A15DD3" w14:textId="77777777" w:rsidR="004F56DE" w:rsidRPr="00123C03"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10.92</w:t>
            </w:r>
          </w:p>
        </w:tc>
        <w:tc>
          <w:tcPr>
            <w:tcW w:w="750" w:type="pct"/>
            <w:tcBorders>
              <w:top w:val="nil"/>
              <w:left w:val="nil"/>
              <w:bottom w:val="single" w:sz="4" w:space="0" w:color="7F7F7F"/>
              <w:right w:val="nil"/>
            </w:tcBorders>
            <w:vAlign w:val="center"/>
          </w:tcPr>
          <w:p w14:paraId="70994EFA" w14:textId="77777777" w:rsidR="004F56DE" w:rsidRPr="00123C03" w:rsidRDefault="004F56DE" w:rsidP="00BF0A3D">
            <w:pPr>
              <w:spacing w:after="0" w:line="360" w:lineRule="auto"/>
              <w:ind w:firstLineChars="150" w:firstLine="360"/>
              <w:contextualSpacing/>
              <w:rPr>
                <w:rFonts w:ascii="Times New Roman" w:hAnsi="Times New Roman"/>
                <w:sz w:val="24"/>
                <w:lang w:val="en-GB"/>
              </w:rPr>
            </w:pPr>
            <w:r>
              <w:rPr>
                <w:rFonts w:ascii="Times New Roman" w:hAnsi="Times New Roman"/>
                <w:sz w:val="24"/>
                <w:lang w:val="en-GB"/>
              </w:rPr>
              <w:t>1034</w:t>
            </w:r>
          </w:p>
        </w:tc>
        <w:tc>
          <w:tcPr>
            <w:tcW w:w="537" w:type="pct"/>
            <w:tcBorders>
              <w:top w:val="nil"/>
              <w:left w:val="nil"/>
              <w:bottom w:val="single" w:sz="4" w:space="0" w:color="7F7F7F"/>
              <w:right w:val="nil"/>
            </w:tcBorders>
            <w:vAlign w:val="center"/>
          </w:tcPr>
          <w:p w14:paraId="4477B92B" w14:textId="7E9BC59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{"citationItems":[{"id":"ITEM-1","itemData":{"DOI":"10.1039/C7RA13357J","ISSN":"2046-2069","abstract":"Herein, carbon nanosphere-decorated vanadium pentoxide (C@V 2 O 5 ) hybrid nanobelts were grown via a single step hydrothermal route with improved electronic conductivity as compared to that of pristine oxide.","author":[{"dropping-particle":"","family":"Narayanan","given":"Remya","non-dropping-particle":"","parse-names":false,"suffix":""},{"dropping-particle":"","family":"Dewan","given":"Anweshi","non-dropping-particle":"","parse-names":false,"suffix":""},{"dropping-particle":"","family":"Chakraborty","given":"Debanjan","non-dropping-particle":"","parse-names":false,"suffix":""}],"container-title":"RSC Advances","id":"ITEM-1","issue":"16","issued":{"date-parts":[["2018"]]},"page":"8596-8606","title":"Complimentary effects of annealing temperature on optimal tuning of functionalized carbon–V 2 O 5 hybrid nanobelts for targeted dual applications in electrochromic and supercapacitor devices","type":"article-journal","volume":"8"},"uris":["http://www.mendeley.com/documents/?uuid=aa776579-c997-449c-a073-d06ee6fd2caa"]}],"mendeley":{"formattedCitation":"[5]","plainTextFormattedCitation":"[5]","previouslyFormattedCitation":"[5]"},"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[5]</w:t>
            </w:r>
            <w:r>
              <w:rPr>
                <w:rFonts w:ascii="Times New Roman" w:hAnsi="Times New Roman"/>
                <w:sz w:val="24"/>
              </w:rPr>
              <w:fldChar w:fldCharType="end"/>
            </w:r>
          </w:p>
        </w:tc>
      </w:tr>
      <w:tr w:rsidR="004F56DE" w:rsidRPr="009C1CEE" w14:paraId="09553C7F" w14:textId="77777777" w:rsidTr="00EA619E">
        <w:trPr>
          <w:trHeight w:val="645"/>
          <w:jc w:val="center"/>
        </w:trPr>
        <w:tc>
          <w:tcPr>
            <w:tcW w:w="468" w:type="pct"/>
            <w:tcBorders>
              <w:top w:val="nil"/>
              <w:left w:val="nil"/>
              <w:bottom w:val="single" w:sz="4" w:space="0" w:color="7F7F7F"/>
              <w:right w:val="nil"/>
            </w:tcBorders>
            <w:vAlign w:val="center"/>
          </w:tcPr>
          <w:p w14:paraId="78DE174C"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3</w:t>
            </w:r>
          </w:p>
        </w:tc>
        <w:tc>
          <w:tcPr>
            <w:tcW w:w="787" w:type="pct"/>
            <w:tcBorders>
              <w:top w:val="nil"/>
              <w:left w:val="nil"/>
              <w:bottom w:val="single" w:sz="4" w:space="0" w:color="7F7F7F"/>
              <w:right w:val="nil"/>
            </w:tcBorders>
            <w:vAlign w:val="center"/>
          </w:tcPr>
          <w:p w14:paraId="7B30BAC3" w14:textId="77777777" w:rsidR="004F56DE" w:rsidRPr="009C1CEE" w:rsidRDefault="004F56DE" w:rsidP="00BF0A3D">
            <w:pPr>
              <w:spacing w:after="0" w:line="360" w:lineRule="auto"/>
              <w:contextualSpacing/>
              <w:jc w:val="center"/>
              <w:rPr>
                <w:rFonts w:ascii="Times New Roman" w:hAnsi="Times New Roman"/>
                <w:sz w:val="24"/>
              </w:rPr>
            </w:pPr>
            <w:r w:rsidRPr="00191D74">
              <w:rPr>
                <w:rFonts w:ascii="Times New Roman" w:hAnsi="Times New Roman"/>
                <w:sz w:val="24"/>
              </w:rPr>
              <w:t>BDA/rGO</w:t>
            </w:r>
          </w:p>
        </w:tc>
        <w:tc>
          <w:tcPr>
            <w:tcW w:w="887" w:type="pct"/>
            <w:tcBorders>
              <w:top w:val="nil"/>
              <w:left w:val="nil"/>
              <w:bottom w:val="single" w:sz="4" w:space="0" w:color="7F7F7F"/>
              <w:right w:val="nil"/>
            </w:tcBorders>
            <w:vAlign w:val="center"/>
          </w:tcPr>
          <w:p w14:paraId="1779CA4C" w14:textId="77777777" w:rsidR="004F56DE" w:rsidRPr="00191D74"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36527809" w14:textId="77777777" w:rsidR="004F56DE" w:rsidRPr="00191D74"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2.5</w:t>
            </w:r>
          </w:p>
        </w:tc>
        <w:tc>
          <w:tcPr>
            <w:tcW w:w="687" w:type="pct"/>
            <w:tcBorders>
              <w:top w:val="nil"/>
              <w:left w:val="nil"/>
              <w:bottom w:val="single" w:sz="4" w:space="0" w:color="7F7F7F"/>
              <w:right w:val="nil"/>
            </w:tcBorders>
            <w:vAlign w:val="center"/>
          </w:tcPr>
          <w:p w14:paraId="14D3D47A" w14:textId="77777777" w:rsidR="004F56DE" w:rsidRPr="00D37F6A"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34</w:t>
            </w:r>
          </w:p>
        </w:tc>
        <w:tc>
          <w:tcPr>
            <w:tcW w:w="750" w:type="pct"/>
            <w:tcBorders>
              <w:top w:val="nil"/>
              <w:left w:val="nil"/>
              <w:bottom w:val="single" w:sz="4" w:space="0" w:color="7F7F7F"/>
              <w:right w:val="nil"/>
            </w:tcBorders>
            <w:vAlign w:val="center"/>
          </w:tcPr>
          <w:p w14:paraId="1D8B12AE" w14:textId="77777777" w:rsidR="004F56DE" w:rsidRPr="00D37F6A"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 xml:space="preserve"> 10000</w:t>
            </w:r>
          </w:p>
        </w:tc>
        <w:tc>
          <w:tcPr>
            <w:tcW w:w="537" w:type="pct"/>
            <w:tcBorders>
              <w:top w:val="nil"/>
              <w:left w:val="nil"/>
              <w:bottom w:val="single" w:sz="4" w:space="0" w:color="7F7F7F"/>
              <w:right w:val="nil"/>
            </w:tcBorders>
            <w:vAlign w:val="center"/>
          </w:tcPr>
          <w:p w14:paraId="7B586630" w14:textId="0239DF0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nanoen.2016.10.057","ISSN":"22112855","author":[{"dropping-particle":"","family":"Song","given":"Bo","non-dropping-particle":"","parse-names":false,"suffix":""},{"dropping-particle":"","family":"Zhao","given":"Jingxiang","non-dropping-particle":"","parse-names":false,"suffix":""},{"dropping-particle":"","family":"Wang","given":"Mingjun","non-dropping-particle":"","parse-names":false,"suffix":""},{"dropping-particle":"","family":"Mullavey","given":"Jeffrey","non-dropping-particle":"","parse-names":false,"suffix":""},{"dropping-particle":"","family":"Zhu","given":"Yuntong","non-dropping-particle":"","parse-names":false,"suffix":""},{"dropping-particle":"","family":"Geng","given":"Zhishuai","non-dropping-particle":"","parse-names":false,"suffix":""},{"dropping-particle":"","family":"Chen","given":"Dongchang","non-dropping-particle":"","parse-names":false,"suffix":""},{"dropping-particle":"","family":"Ding","given":"Yong","non-dropping-particle":"","parse-names":false,"suffix":""},{"dropping-particle":"","family":"Moon","given":"Kyoung-sik","non-dropping-particle":"","parse-names":false,"suffix":""},{"dropping-particle":"","family":"Liu","given":"Meilin","non-dropping-particle":"","parse-names":false,"suffix":""},{"dropping-particle":"","family":"Wong","given":"Ching-Ping","non-dropping-particle":"","parse-names":false,"suffix":""}],"container-title":"Nano Energy","id":"ITEM-1","issued":{"date-parts":[["2017","1"]]},"page":"183-193","title":"Systematic study on structural and electronic properties of diamine/triamine functionalized graphene networks for supercapacitor application","type":"article-journal","volume":"31"},"uris":["http://www.mendeley.com/documents/?uuid=a04ec44a-022b-4f0d-945d-4fe2263f29fc"]}],"mendeley":{"formattedCitation":"[6]","plainTextFormattedCitation":"[6]","previouslyFormattedCitation":"[6]"},"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[6]</w:t>
            </w:r>
            <w:r>
              <w:rPr>
                <w:rFonts w:ascii="Times New Roman" w:hAnsi="Times New Roman"/>
                <w:sz w:val="24"/>
              </w:rPr>
              <w:fldChar w:fldCharType="end"/>
            </w:r>
          </w:p>
        </w:tc>
      </w:tr>
      <w:tr w:rsidR="004F56DE" w:rsidRPr="009C1CEE" w14:paraId="023023FC" w14:textId="77777777" w:rsidTr="00EA619E">
        <w:trPr>
          <w:trHeight w:val="645"/>
          <w:jc w:val="center"/>
        </w:trPr>
        <w:tc>
          <w:tcPr>
            <w:tcW w:w="468" w:type="pct"/>
            <w:tcBorders>
              <w:top w:val="nil"/>
              <w:left w:val="nil"/>
              <w:bottom w:val="single" w:sz="4" w:space="0" w:color="7F7F7F"/>
              <w:right w:val="nil"/>
            </w:tcBorders>
            <w:vAlign w:val="center"/>
          </w:tcPr>
          <w:p w14:paraId="25FE8DC2"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4</w:t>
            </w:r>
          </w:p>
        </w:tc>
        <w:tc>
          <w:tcPr>
            <w:tcW w:w="787" w:type="pct"/>
            <w:tcBorders>
              <w:top w:val="nil"/>
              <w:left w:val="nil"/>
              <w:bottom w:val="single" w:sz="4" w:space="0" w:color="7F7F7F"/>
              <w:right w:val="nil"/>
            </w:tcBorders>
            <w:vAlign w:val="center"/>
          </w:tcPr>
          <w:p w14:paraId="3191191A" w14:textId="77777777" w:rsidR="004F56DE" w:rsidRPr="009C1CEE" w:rsidRDefault="004F56DE" w:rsidP="00BF0A3D">
            <w:pPr>
              <w:spacing w:after="0" w:line="360" w:lineRule="auto"/>
              <w:contextualSpacing/>
              <w:jc w:val="center"/>
              <w:rPr>
                <w:rFonts w:ascii="Times New Roman" w:hAnsi="Times New Roman"/>
                <w:sz w:val="24"/>
              </w:rPr>
            </w:pPr>
            <w:r w:rsidRPr="0089678B">
              <w:rPr>
                <w:rFonts w:ascii="Times New Roman" w:hAnsi="Times New Roman"/>
                <w:sz w:val="24"/>
              </w:rPr>
              <w:t>Tris-rGO</w:t>
            </w:r>
          </w:p>
        </w:tc>
        <w:tc>
          <w:tcPr>
            <w:tcW w:w="887" w:type="pct"/>
            <w:tcBorders>
              <w:top w:val="nil"/>
              <w:left w:val="nil"/>
              <w:bottom w:val="single" w:sz="4" w:space="0" w:color="7F7F7F"/>
              <w:right w:val="nil"/>
            </w:tcBorders>
            <w:vAlign w:val="center"/>
          </w:tcPr>
          <w:p w14:paraId="267CDB2E"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1EF13A4C" w14:textId="77777777" w:rsidR="004F56DE" w:rsidRPr="0089678B"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3.5</w:t>
            </w:r>
          </w:p>
        </w:tc>
        <w:tc>
          <w:tcPr>
            <w:tcW w:w="687" w:type="pct"/>
            <w:tcBorders>
              <w:top w:val="nil"/>
              <w:left w:val="nil"/>
              <w:bottom w:val="single" w:sz="4" w:space="0" w:color="7F7F7F"/>
              <w:right w:val="nil"/>
            </w:tcBorders>
            <w:vAlign w:val="center"/>
          </w:tcPr>
          <w:p w14:paraId="27562D22" w14:textId="77777777" w:rsidR="004F56DE" w:rsidRPr="0089678B"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32</w:t>
            </w:r>
          </w:p>
        </w:tc>
        <w:tc>
          <w:tcPr>
            <w:tcW w:w="750" w:type="pct"/>
            <w:tcBorders>
              <w:top w:val="nil"/>
              <w:left w:val="nil"/>
              <w:bottom w:val="single" w:sz="4" w:space="0" w:color="7F7F7F"/>
              <w:right w:val="nil"/>
            </w:tcBorders>
            <w:vAlign w:val="center"/>
          </w:tcPr>
          <w:p w14:paraId="300E3BAF"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1</w:t>
            </w:r>
            <w:r>
              <w:rPr>
                <w:rFonts w:ascii="Times New Roman" w:hAnsi="Times New Roman"/>
                <w:sz w:val="24"/>
              </w:rPr>
              <w:t>000</w:t>
            </w:r>
          </w:p>
        </w:tc>
        <w:tc>
          <w:tcPr>
            <w:tcW w:w="537" w:type="pct"/>
            <w:tcBorders>
              <w:top w:val="nil"/>
              <w:left w:val="nil"/>
              <w:bottom w:val="single" w:sz="4" w:space="0" w:color="7F7F7F"/>
              <w:right w:val="nil"/>
            </w:tcBorders>
            <w:vAlign w:val="center"/>
          </w:tcPr>
          <w:p w14:paraId="2D14633F" w14:textId="3CC9D1CF"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nanoen.2016.10.057","ISSN":"22112855","author":[{"dropping-particle":"","family":"Song","given":"Bo","non-dropping-particle":"","parse-names":false,"suffix":""},{"dropping-particle":"","family":"Zhao","given":"Jingxiang","non-dropping-particle":"","parse-names":false,"suffix":""},{"dropping-particle":"","family":"Wang","given":"Mingjun","non-dropping-particle":"","parse-names":false,"suffix":""},{"dropping-particle":"","family":"Mullavey","given":"Jeffrey","non-dropping-particle":"","parse-names":false,"suffix":""},{"dropping-particle":"","family":"Zhu","given":"Yuntong","non-dropping-particle":"","parse-names":false,"suffix":""},{"dropping-particle":"","family":"Geng","given":"Zhishuai","non-dropping-particle":"","parse-names":false,"suffix":""},{"dropping-particle":"","family":"Chen","given":"Dongchang","non-dropping-particle":"","parse-names":false,"suffix":""},{"dropping-particle":"","family":"Ding","given":"Yong","non-dropping-particle":"","parse-names":false,"suffix":""},{"dropping-particle":"","family":"Moon","given":"Kyoung-sik","non-dropping-particle":"","parse-names":false,"suffix":""},{"dropping-particle":"","family":"Liu","given":"Meilin","non-dropping-particle":"","parse-names":false,"suffix":""},{"dropping-particle":"","family":"Wong","given":"Ching-Ping","non-dropping-particle":"","parse-names":false,"suffix":""}],"container-title":"Nano Energy","id":"ITEM-1","issued":{"date-parts":[["2017","1"]]},"page":"183-193","title":"Systematic study on structural and electronic properties of diamine/triamine functionalized graphene networks for supercapacitor application","type":"article-journal","volume":"31"},"uris":["http://www.mendeley.com/documents/?uuid=a04ec44a-022b-4f0d-945d-4fe2263f29fc"]}],"mendeley":{"formattedCitation":"[6]","plainTextFormattedCitation":"[6]","previouslyFormattedCitation":"[6]"},"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[6]</w:t>
            </w:r>
            <w:r>
              <w:rPr>
                <w:rFonts w:ascii="Times New Roman" w:hAnsi="Times New Roman"/>
                <w:sz w:val="24"/>
              </w:rPr>
              <w:fldChar w:fldCharType="end"/>
            </w:r>
          </w:p>
        </w:tc>
      </w:tr>
      <w:tr w:rsidR="004F56DE" w:rsidRPr="009C1CEE" w14:paraId="248BCFD1" w14:textId="77777777" w:rsidTr="00EA619E">
        <w:trPr>
          <w:trHeight w:val="645"/>
          <w:jc w:val="center"/>
        </w:trPr>
        <w:tc>
          <w:tcPr>
            <w:tcW w:w="468" w:type="pct"/>
            <w:tcBorders>
              <w:top w:val="nil"/>
              <w:left w:val="nil"/>
              <w:bottom w:val="single" w:sz="4" w:space="0" w:color="7F7F7F"/>
              <w:right w:val="nil"/>
            </w:tcBorders>
            <w:vAlign w:val="center"/>
          </w:tcPr>
          <w:p w14:paraId="0BE12197"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5</w:t>
            </w:r>
          </w:p>
        </w:tc>
        <w:tc>
          <w:tcPr>
            <w:tcW w:w="787" w:type="pct"/>
            <w:tcBorders>
              <w:top w:val="nil"/>
              <w:left w:val="nil"/>
              <w:bottom w:val="single" w:sz="4" w:space="0" w:color="7F7F7F"/>
              <w:right w:val="nil"/>
            </w:tcBorders>
            <w:vAlign w:val="center"/>
          </w:tcPr>
          <w:p w14:paraId="56D24352" w14:textId="77777777" w:rsidR="004F56DE" w:rsidRPr="00123B86"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rGO</w:t>
            </w:r>
          </w:p>
        </w:tc>
        <w:tc>
          <w:tcPr>
            <w:tcW w:w="887" w:type="pct"/>
            <w:tcBorders>
              <w:top w:val="nil"/>
              <w:left w:val="nil"/>
              <w:bottom w:val="single" w:sz="4" w:space="0" w:color="7F7F7F"/>
              <w:right w:val="nil"/>
            </w:tcBorders>
            <w:vAlign w:val="center"/>
          </w:tcPr>
          <w:p w14:paraId="5B6D8ABA" w14:textId="77777777" w:rsidR="004F56DE" w:rsidRPr="009C1CEE" w:rsidRDefault="004F56DE" w:rsidP="00BF0A3D">
            <w:pPr>
              <w:spacing w:after="0" w:line="360" w:lineRule="auto"/>
              <w:contextualSpacing/>
              <w:jc w:val="center"/>
              <w:rPr>
                <w:rFonts w:ascii="Times New Roman" w:hAnsi="Times New Roman"/>
                <w:sz w:val="24"/>
              </w:rPr>
            </w:pPr>
            <w:r w:rsidRPr="00123B86">
              <w:rPr>
                <w:rFonts w:ascii="Times New Roman" w:hAnsi="Times New Roman"/>
                <w:sz w:val="24"/>
              </w:rPr>
              <w:t>[SET</w:t>
            </w:r>
            <w:r w:rsidRPr="00123B86">
              <w:rPr>
                <w:rFonts w:ascii="Times New Roman" w:hAnsi="Times New Roman"/>
                <w:sz w:val="24"/>
                <w:vertAlign w:val="subscript"/>
              </w:rPr>
              <w:t>3</w:t>
            </w:r>
            <w:r w:rsidRPr="00123B86">
              <w:rPr>
                <w:rFonts w:ascii="Times New Roman" w:hAnsi="Times New Roman"/>
                <w:sz w:val="24"/>
              </w:rPr>
              <w:t xml:space="preserve">] [TFSI] / GO </w:t>
            </w:r>
          </w:p>
        </w:tc>
        <w:tc>
          <w:tcPr>
            <w:tcW w:w="884" w:type="pct"/>
            <w:tcBorders>
              <w:top w:val="nil"/>
              <w:left w:val="nil"/>
              <w:bottom w:val="single" w:sz="4" w:space="0" w:color="7F7F7F"/>
              <w:right w:val="nil"/>
            </w:tcBorders>
            <w:vAlign w:val="center"/>
          </w:tcPr>
          <w:p w14:paraId="146FEC59" w14:textId="77777777" w:rsidR="004F56DE" w:rsidRPr="00123B86"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2.5</w:t>
            </w:r>
          </w:p>
        </w:tc>
        <w:tc>
          <w:tcPr>
            <w:tcW w:w="687" w:type="pct"/>
            <w:tcBorders>
              <w:top w:val="nil"/>
              <w:left w:val="nil"/>
              <w:bottom w:val="single" w:sz="4" w:space="0" w:color="7F7F7F"/>
              <w:right w:val="nil"/>
            </w:tcBorders>
            <w:vAlign w:val="center"/>
          </w:tcPr>
          <w:p w14:paraId="24CABF97" w14:textId="77777777" w:rsidR="004F56DE" w:rsidRPr="009B4A51"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17.7</w:t>
            </w:r>
          </w:p>
        </w:tc>
        <w:tc>
          <w:tcPr>
            <w:tcW w:w="750" w:type="pct"/>
            <w:tcBorders>
              <w:top w:val="nil"/>
              <w:left w:val="nil"/>
              <w:bottom w:val="single" w:sz="4" w:space="0" w:color="7F7F7F"/>
              <w:right w:val="nil"/>
            </w:tcBorders>
            <w:vAlign w:val="center"/>
          </w:tcPr>
          <w:p w14:paraId="1124D29C" w14:textId="77777777" w:rsidR="004F56DE" w:rsidRPr="009B4A51"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875</w:t>
            </w:r>
          </w:p>
        </w:tc>
        <w:tc>
          <w:tcPr>
            <w:tcW w:w="537" w:type="pct"/>
            <w:tcBorders>
              <w:top w:val="nil"/>
              <w:left w:val="nil"/>
              <w:bottom w:val="single" w:sz="4" w:space="0" w:color="7F7F7F"/>
              <w:right w:val="nil"/>
            </w:tcBorders>
            <w:vAlign w:val="center"/>
          </w:tcPr>
          <w:p w14:paraId="4CB05A7A" w14:textId="6CE96A4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{"citationItems":[{"id":"ITEM-1","itemData":{"DOI":"10.1016/j.electacta.2017.10.124","ISSN":"00134686","author":[{"dropping-particle":"","family":"Pereira","given":"Neuma das M.","non-dropping-particle":"","parse-names":false,"suffix":""},{"dropping-particle":"","family":"Trigueiro","given":"João Paulo C.","non-dropping-particle":"","parse-names":false,"suffix":""},{"dropping-particle":"","family":"Monteiro","given":"Izabella de F.","non-dropping-particle":"","parse-names":false,"suffix":""},{"dropping-particle":"","family":"Montoro","given":"Luciano A.","non-dropping-particle":"","parse-names":false,"suffix":""},{"dropping-particle":"","family":"Silva","given":"Glaura G.","non-dropping-particle":"","parse-names":false,"suffix":""}],"container-title":"Electrochimica Acta","id":"ITEM-1","issued":{"date-parts":[["2018","1"]]},"page":"783-792","title":"Graphene oxide – Ionic liquid composite electrolytes for safe and high-performance supercapacitors","type":"article-journal","volume":"259"},"uris":["http://www.mendeley.com/documents/?uuid=27cc61f7-fa64-4751-a5fe-843143f48a6d"]}],"mendeley":{"formattedCitation":"[7]","plainTextFormattedCitation":"[7]","previouslyFormattedCitation":"[7]"},"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[7]</w:t>
            </w:r>
            <w:r>
              <w:rPr>
                <w:rFonts w:ascii="Times New Roman" w:hAnsi="Times New Roman"/>
                <w:sz w:val="24"/>
              </w:rPr>
              <w:fldChar w:fldCharType="end"/>
            </w:r>
          </w:p>
        </w:tc>
      </w:tr>
      <w:tr w:rsidR="004F56DE" w:rsidRPr="009C1CEE" w14:paraId="1932B9F0" w14:textId="77777777" w:rsidTr="00EA619E">
        <w:trPr>
          <w:trHeight w:val="645"/>
          <w:jc w:val="center"/>
        </w:trPr>
        <w:tc>
          <w:tcPr>
            <w:tcW w:w="468" w:type="pct"/>
            <w:tcBorders>
              <w:top w:val="nil"/>
              <w:left w:val="nil"/>
              <w:bottom w:val="single" w:sz="4" w:space="0" w:color="7F7F7F"/>
              <w:right w:val="nil"/>
            </w:tcBorders>
            <w:vAlign w:val="center"/>
            <w:hideMark/>
          </w:tcPr>
          <w:p w14:paraId="22B04212"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6</w:t>
            </w:r>
          </w:p>
        </w:tc>
        <w:tc>
          <w:tcPr>
            <w:tcW w:w="787" w:type="pct"/>
            <w:tcBorders>
              <w:top w:val="nil"/>
              <w:left w:val="nil"/>
              <w:bottom w:val="single" w:sz="4" w:space="0" w:color="7F7F7F"/>
              <w:right w:val="nil"/>
            </w:tcBorders>
            <w:vAlign w:val="center"/>
            <w:hideMark/>
          </w:tcPr>
          <w:p w14:paraId="5EE36868" w14:textId="77777777" w:rsidR="004F56DE" w:rsidRPr="003C1B8C"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Graphene</w:t>
            </w:r>
          </w:p>
        </w:tc>
        <w:tc>
          <w:tcPr>
            <w:tcW w:w="887" w:type="pct"/>
            <w:tcBorders>
              <w:top w:val="nil"/>
              <w:left w:val="nil"/>
              <w:bottom w:val="single" w:sz="4" w:space="0" w:color="7F7F7F"/>
              <w:right w:val="nil"/>
            </w:tcBorders>
            <w:vAlign w:val="center"/>
          </w:tcPr>
          <w:p w14:paraId="55293CA4" w14:textId="77777777" w:rsidR="004F56DE" w:rsidRPr="009C1CEE" w:rsidRDefault="004F56DE" w:rsidP="00BF0A3D">
            <w:pPr>
              <w:spacing w:after="0" w:line="360" w:lineRule="auto"/>
              <w:contextualSpacing/>
              <w:jc w:val="center"/>
              <w:rPr>
                <w:rFonts w:ascii="Times New Roman" w:hAnsi="Times New Roman"/>
                <w:sz w:val="24"/>
              </w:rPr>
            </w:pPr>
            <w:r w:rsidRPr="00871211">
              <w:rPr>
                <w:rFonts w:ascii="Times New Roman" w:hAnsi="Times New Roman"/>
                <w:sz w:val="24"/>
              </w:rPr>
              <w:t>BMIMBF</w:t>
            </w:r>
            <w:r w:rsidRPr="00871211">
              <w:rPr>
                <w:rFonts w:ascii="Times New Roman" w:hAnsi="Times New Roman"/>
                <w:sz w:val="24"/>
                <w:vertAlign w:val="subscript"/>
              </w:rPr>
              <w:t>4</w:t>
            </w:r>
          </w:p>
        </w:tc>
        <w:tc>
          <w:tcPr>
            <w:tcW w:w="884" w:type="pct"/>
            <w:tcBorders>
              <w:top w:val="nil"/>
              <w:left w:val="nil"/>
              <w:bottom w:val="single" w:sz="4" w:space="0" w:color="7F7F7F"/>
              <w:right w:val="nil"/>
            </w:tcBorders>
            <w:vAlign w:val="center"/>
            <w:hideMark/>
          </w:tcPr>
          <w:p w14:paraId="2A0837C5" w14:textId="77777777" w:rsidR="004F56DE" w:rsidRPr="00871211"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4.0</w:t>
            </w:r>
          </w:p>
        </w:tc>
        <w:tc>
          <w:tcPr>
            <w:tcW w:w="687" w:type="pct"/>
            <w:tcBorders>
              <w:top w:val="nil"/>
              <w:left w:val="nil"/>
              <w:bottom w:val="single" w:sz="4" w:space="0" w:color="7F7F7F"/>
              <w:right w:val="nil"/>
            </w:tcBorders>
            <w:vAlign w:val="center"/>
            <w:hideMark/>
          </w:tcPr>
          <w:p w14:paraId="18505264"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t>16.5</w:t>
            </w:r>
          </w:p>
        </w:tc>
        <w:tc>
          <w:tcPr>
            <w:tcW w:w="750" w:type="pct"/>
            <w:tcBorders>
              <w:top w:val="nil"/>
              <w:left w:val="nil"/>
              <w:bottom w:val="single" w:sz="4" w:space="0" w:color="7F7F7F"/>
              <w:right w:val="nil"/>
            </w:tcBorders>
            <w:vAlign w:val="center"/>
          </w:tcPr>
          <w:p w14:paraId="5C75874A"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t>1600</w:t>
            </w:r>
          </w:p>
        </w:tc>
        <w:tc>
          <w:tcPr>
            <w:tcW w:w="537" w:type="pct"/>
            <w:tcBorders>
              <w:top w:val="nil"/>
              <w:left w:val="nil"/>
              <w:bottom w:val="single" w:sz="4" w:space="0" w:color="7F7F7F"/>
              <w:right w:val="nil"/>
            </w:tcBorders>
            <w:vAlign w:val="center"/>
          </w:tcPr>
          <w:p w14:paraId="23D40E3B" w14:textId="6E948F0F"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matlet.2011.11.008","ISSN":"0167577X","author":[{"dropping-particle":"","family":"Chen","given":"Yao","non-dropping-particle":"","parse-names":false,"suffix":""},{"dropping-particle":"","family":"Zhang","given":"Xiong","non-dropping-particle":"","parse-names":false,"suffix":""},{"dropping-particle":"","family":"Zhang","given":"Dacheng","non-dropping-particle":"","parse-names":false,"suffix":""},{"dropping-particle":"","family":"Ma","given":"Yanwei","non-dropping-particle":"","parse-names":false,"suffix":""}],"container-title":"Materials Letters","id":"ITEM-1","issued":{"date-parts":[["2012","2"]]},"page":"475-477","title":"High power density of graphene-based supercapacitors in ionic liquid electrolytes","type":"article-journal","volume":"68"},"uris":["http://www.mendeley.com/documents/?uuid=941f5a71-2c3a-45f8-af5f-cfb963b0a0d3"]}],"mendeley":{"formattedCitation":"[11]","plainTextFormattedCitation":"[11]","previouslyFormattedCitation":"[11]"},"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[11]</w:t>
            </w:r>
            <w:r>
              <w:rPr>
                <w:rFonts w:ascii="Times New Roman" w:hAnsi="Times New Roman"/>
                <w:sz w:val="24"/>
              </w:rPr>
              <w:fldChar w:fldCharType="end"/>
            </w:r>
          </w:p>
        </w:tc>
      </w:tr>
      <w:tr w:rsidR="004F56DE" w:rsidRPr="009C1CEE" w14:paraId="7D1D0E2B" w14:textId="77777777" w:rsidTr="00EA619E">
        <w:trPr>
          <w:trHeight w:val="645"/>
          <w:jc w:val="center"/>
        </w:trPr>
        <w:tc>
          <w:tcPr>
            <w:tcW w:w="468" w:type="pct"/>
            <w:tcBorders>
              <w:top w:val="nil"/>
              <w:left w:val="nil"/>
              <w:bottom w:val="single" w:sz="4" w:space="0" w:color="7F7F7F"/>
              <w:right w:val="nil"/>
            </w:tcBorders>
            <w:vAlign w:val="center"/>
          </w:tcPr>
          <w:p w14:paraId="4A13F11F"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7</w:t>
            </w:r>
          </w:p>
        </w:tc>
        <w:tc>
          <w:tcPr>
            <w:tcW w:w="787" w:type="pct"/>
            <w:tcBorders>
              <w:top w:val="nil"/>
              <w:left w:val="nil"/>
              <w:bottom w:val="single" w:sz="4" w:space="0" w:color="7F7F7F"/>
              <w:right w:val="nil"/>
            </w:tcBorders>
            <w:vAlign w:val="center"/>
          </w:tcPr>
          <w:p w14:paraId="7A16104B" w14:textId="77777777" w:rsidR="004F56DE" w:rsidRPr="009C1CEE" w:rsidRDefault="004F56DE" w:rsidP="00BF0A3D">
            <w:pPr>
              <w:spacing w:after="0" w:line="360" w:lineRule="auto"/>
              <w:contextualSpacing/>
              <w:jc w:val="center"/>
              <w:rPr>
                <w:rFonts w:ascii="Times New Roman" w:hAnsi="Times New Roman"/>
                <w:sz w:val="24"/>
              </w:rPr>
            </w:pPr>
            <w:r w:rsidRPr="00761351">
              <w:rPr>
                <w:rFonts w:ascii="Times New Roman" w:hAnsi="Times New Roman"/>
                <w:sz w:val="24"/>
              </w:rPr>
              <w:t>Silicon oxy carbide</w:t>
            </w:r>
          </w:p>
        </w:tc>
        <w:tc>
          <w:tcPr>
            <w:tcW w:w="887" w:type="pct"/>
            <w:tcBorders>
              <w:top w:val="nil"/>
              <w:left w:val="nil"/>
              <w:bottom w:val="single" w:sz="4" w:space="0" w:color="7F7F7F"/>
              <w:right w:val="nil"/>
            </w:tcBorders>
            <w:vAlign w:val="center"/>
          </w:tcPr>
          <w:p w14:paraId="3B7C0BE0"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20E06951" w14:textId="77777777" w:rsidR="004F56DE" w:rsidRPr="00761351"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3.0</w:t>
            </w:r>
          </w:p>
        </w:tc>
        <w:tc>
          <w:tcPr>
            <w:tcW w:w="687" w:type="pct"/>
            <w:tcBorders>
              <w:top w:val="nil"/>
              <w:left w:val="nil"/>
              <w:bottom w:val="single" w:sz="4" w:space="0" w:color="7F7F7F"/>
              <w:right w:val="nil"/>
            </w:tcBorders>
            <w:vAlign w:val="center"/>
          </w:tcPr>
          <w:p w14:paraId="5C351334" w14:textId="77777777" w:rsidR="004F56DE" w:rsidRPr="005B5E33"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20.89</w:t>
            </w:r>
          </w:p>
        </w:tc>
        <w:tc>
          <w:tcPr>
            <w:tcW w:w="750" w:type="pct"/>
            <w:tcBorders>
              <w:top w:val="nil"/>
              <w:left w:val="nil"/>
              <w:bottom w:val="single" w:sz="4" w:space="0" w:color="7F7F7F"/>
              <w:right w:val="nil"/>
            </w:tcBorders>
            <w:vAlign w:val="center"/>
          </w:tcPr>
          <w:p w14:paraId="7B2E965E" w14:textId="77777777" w:rsidR="004F56DE" w:rsidRPr="00B94154"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750</w:t>
            </w:r>
          </w:p>
        </w:tc>
        <w:tc>
          <w:tcPr>
            <w:tcW w:w="537" w:type="pct"/>
            <w:tcBorders>
              <w:top w:val="nil"/>
              <w:left w:val="nil"/>
              <w:bottom w:val="single" w:sz="4" w:space="0" w:color="7F7F7F"/>
              <w:right w:val="nil"/>
            </w:tcBorders>
            <w:vAlign w:val="center"/>
          </w:tcPr>
          <w:p w14:paraId="454B843E" w14:textId="1E2759F9"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10.1016/j.cej.2019.123886","ISSN":"13858947","author":[{"dropping-particle":"","family":"Pazhamalai","given":"Parthiban","non-dropping-particle":"","parse-names":false,"suffix":""},{"dropping-particle":"","family":"Krishnamoorthy","given":"Karthikeyan","non-dropping-particle":"","parse-names":false,"suffix":""},{"dropping-particle":"","family":"Sahoo","given":"Surjit","non-dropping-particle":"","parse-names":false,"suffix":""},{"dropping-particle":"","family":"Mariappan","given":"Vimal Kumar","non-dropping-particle":"","parse-names":false,"suffix":""},{"dropping-particle":"","family":"Kim","given":"Sang-Jae","non-dropping-particle":"","parse-names":false,"suffix":""}],"container-title":"Chemical Engineering Journal","id":"ITEM-1","issued":{"date-parts":[["2020","5"]]},"page":"123886","title":"Carbothermal conversion of siloxene sheets into silicon-oxy-carbide lamellae for high-performance supercapacitors","type":"article-journal","volume":"387"},"uris":["http://www.mendeley.com/documents/?uuid=d0f9e7b6-9b16-4136-9004-158766ddff28"]}],"mendeley":{"formattedCitation":"[12]","plainTextFormattedCitation":"[12]","previouslyFormattedCitation":"[12]"},"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[12]</w:t>
            </w:r>
            <w:r>
              <w:rPr>
                <w:rFonts w:ascii="Times New Roman" w:hAnsi="Times New Roman"/>
                <w:sz w:val="24"/>
              </w:rPr>
              <w:fldChar w:fldCharType="end"/>
            </w:r>
          </w:p>
        </w:tc>
      </w:tr>
      <w:tr w:rsidR="004F56DE" w:rsidRPr="009C1CEE" w14:paraId="774BA974" w14:textId="77777777" w:rsidTr="00EA619E">
        <w:trPr>
          <w:trHeight w:val="645"/>
          <w:jc w:val="center"/>
        </w:trPr>
        <w:tc>
          <w:tcPr>
            <w:tcW w:w="468" w:type="pct"/>
            <w:tcBorders>
              <w:top w:val="nil"/>
              <w:left w:val="nil"/>
              <w:bottom w:val="single" w:sz="4" w:space="0" w:color="7F7F7F"/>
              <w:right w:val="nil"/>
            </w:tcBorders>
            <w:vAlign w:val="center"/>
          </w:tcPr>
          <w:p w14:paraId="5EB58B0B" w14:textId="77777777"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Pr>
                <w:rFonts w:ascii="Times New Roman" w:hAnsi="Times New Roman"/>
                <w:sz w:val="24"/>
              </w:rPr>
              <w:t>8</w:t>
            </w:r>
          </w:p>
        </w:tc>
        <w:tc>
          <w:tcPr>
            <w:tcW w:w="787" w:type="pct"/>
            <w:tcBorders>
              <w:top w:val="nil"/>
              <w:left w:val="nil"/>
              <w:bottom w:val="single" w:sz="4" w:space="0" w:color="7F7F7F"/>
              <w:right w:val="nil"/>
            </w:tcBorders>
            <w:vAlign w:val="center"/>
          </w:tcPr>
          <w:p w14:paraId="75A415E9" w14:textId="77777777" w:rsidR="004F56DE" w:rsidRPr="009C1CEE" w:rsidRDefault="004F56DE" w:rsidP="00BF0A3D">
            <w:pPr>
              <w:spacing w:after="0" w:line="360" w:lineRule="auto"/>
              <w:contextualSpacing/>
              <w:jc w:val="center"/>
              <w:rPr>
                <w:rFonts w:ascii="Times New Roman" w:hAnsi="Times New Roman"/>
                <w:sz w:val="24"/>
              </w:rPr>
            </w:pPr>
            <w:r w:rsidRPr="00E76B4E">
              <w:rPr>
                <w:rFonts w:ascii="Times New Roman" w:hAnsi="Times New Roman"/>
                <w:sz w:val="24"/>
              </w:rPr>
              <w:t>Siloxene</w:t>
            </w:r>
          </w:p>
        </w:tc>
        <w:tc>
          <w:tcPr>
            <w:tcW w:w="887" w:type="pct"/>
            <w:tcBorders>
              <w:top w:val="nil"/>
              <w:left w:val="nil"/>
              <w:bottom w:val="single" w:sz="4" w:space="0" w:color="7F7F7F"/>
              <w:right w:val="nil"/>
            </w:tcBorders>
            <w:vAlign w:val="center"/>
          </w:tcPr>
          <w:p w14:paraId="32E98195"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431D075F" w14:textId="77777777" w:rsidR="004F56DE" w:rsidRPr="00FA0F61"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3.0</w:t>
            </w:r>
          </w:p>
        </w:tc>
        <w:tc>
          <w:tcPr>
            <w:tcW w:w="687" w:type="pct"/>
            <w:tcBorders>
              <w:top w:val="nil"/>
              <w:left w:val="nil"/>
              <w:bottom w:val="single" w:sz="4" w:space="0" w:color="7F7F7F"/>
              <w:right w:val="nil"/>
            </w:tcBorders>
            <w:vAlign w:val="center"/>
          </w:tcPr>
          <w:p w14:paraId="4BB0A3F9"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t>20.89</w:t>
            </w:r>
          </w:p>
        </w:tc>
        <w:tc>
          <w:tcPr>
            <w:tcW w:w="750" w:type="pct"/>
            <w:tcBorders>
              <w:top w:val="nil"/>
              <w:left w:val="nil"/>
              <w:bottom w:val="single" w:sz="4" w:space="0" w:color="7F7F7F"/>
              <w:right w:val="nil"/>
            </w:tcBorders>
            <w:vAlign w:val="center"/>
          </w:tcPr>
          <w:p w14:paraId="528F66D7" w14:textId="77777777" w:rsidR="004F56DE" w:rsidRPr="00B94154"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8000</w:t>
            </w:r>
          </w:p>
        </w:tc>
        <w:tc>
          <w:tcPr>
            <w:tcW w:w="537" w:type="pct"/>
            <w:tcBorders>
              <w:top w:val="nil"/>
              <w:left w:val="nil"/>
              <w:bottom w:val="single" w:sz="4" w:space="0" w:color="7F7F7F"/>
              <w:right w:val="nil"/>
            </w:tcBorders>
            <w:vAlign w:val="center"/>
          </w:tcPr>
          <w:p w14:paraId="626928B6" w14:textId="60CF47C1"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0220B5">
              <w:rPr>
                <w:rFonts w:ascii="Times New Roman" w:hAnsi="Times New Roman"/>
                <w:sz w:val="24"/>
              </w:rPr>
              <w:instrText>ADDIN CSL_CITATION {"citationItems":[{"id":"ITEM-1","itemData":{"DOI":"10.1039/C8EE00160J","ISSN":"1754-5692","abstract":"A symmetric supercapacitor constructed using two dimensional siloxene sheets in an ionic liquid electrolyte exhibits high areal capacitance and energy density.","author":[{"dropping-particle":"","family":"Krishnamoorthy","given":"Karthikeyan","non-dropping-particle":"","parse-names":false,"suffix":""},{"dropping-particle":"","family":"Pazhamalai","given":"Parthiban","non-dropping-particle":"","parse-names":false,"suffix":""},{"dropping-particle":"","family":"Kim","given":"Sang-Jae","non-dropping-particle":"","parse-names":false,"suffix":""}],"container-title":"Energy &amp; Environmental Science","id":"ITEM-1","issue":"6","issued":{"date-parts":[["2018"]]},"page":"1595-1602","title":"Two-dimensional siloxene nanosheets: novel high-performance supercapacitor electrode materials","type":"article-journal","volume":"11"},"uris":["http://www.mendeley.com/documents/?uuid=3208924e-2eb9-4c0d-bf6d-66c716494c36"]}],"mendeley":{"formattedCitation":"[13]","plainTextFormattedCitation":"[13]","previouslyFormattedCitation":"[13]"},"properties":{"noteIndex":0},"schema":"https://github.com/citation-style-language/schema/raw/master/csl-citation.json"}</w:instrText>
            </w:r>
            <w:r>
              <w:rPr>
                <w:rFonts w:ascii="Times New Roman" w:hAnsi="Times New Roman"/>
                <w:sz w:val="24"/>
              </w:rPr>
              <w:fldChar w:fldCharType="separate"/>
            </w:r>
            <w:r w:rsidR="009D2408" w:rsidRPr="009D2408">
              <w:rPr>
                <w:rFonts w:ascii="Times New Roman" w:hAnsi="Times New Roman"/>
                <w:noProof/>
                <w:sz w:val="24"/>
              </w:rPr>
              <w:t>[13]</w:t>
            </w:r>
            <w:r>
              <w:rPr>
                <w:rFonts w:ascii="Times New Roman" w:hAnsi="Times New Roman"/>
                <w:sz w:val="24"/>
              </w:rPr>
              <w:fldChar w:fldCharType="end"/>
            </w:r>
          </w:p>
        </w:tc>
      </w:tr>
      <w:tr w:rsidR="00821A2D" w:rsidRPr="009C1CEE" w14:paraId="32304364" w14:textId="77777777" w:rsidTr="00EA619E">
        <w:trPr>
          <w:trHeight w:val="645"/>
          <w:jc w:val="center"/>
        </w:trPr>
        <w:tc>
          <w:tcPr>
            <w:tcW w:w="468" w:type="pct"/>
            <w:tcBorders>
              <w:top w:val="nil"/>
              <w:left w:val="nil"/>
              <w:bottom w:val="single" w:sz="4" w:space="0" w:color="7F7F7F"/>
              <w:right w:val="nil"/>
            </w:tcBorders>
            <w:vAlign w:val="center"/>
          </w:tcPr>
          <w:p w14:paraId="251B5798" w14:textId="273053AE" w:rsidR="00821A2D" w:rsidRPr="00821A2D" w:rsidRDefault="00821A2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R</w:t>
            </w:r>
            <w:r w:rsidR="000220B5">
              <w:rPr>
                <w:rFonts w:ascii="Times New Roman" w:hAnsi="Times New Roman"/>
                <w:sz w:val="24"/>
                <w:lang w:val="en-GB"/>
              </w:rPr>
              <w:t>9</w:t>
            </w:r>
          </w:p>
        </w:tc>
        <w:tc>
          <w:tcPr>
            <w:tcW w:w="787" w:type="pct"/>
            <w:tcBorders>
              <w:top w:val="nil"/>
              <w:left w:val="nil"/>
              <w:bottom w:val="single" w:sz="4" w:space="0" w:color="7F7F7F"/>
              <w:right w:val="nil"/>
            </w:tcBorders>
            <w:vAlign w:val="center"/>
          </w:tcPr>
          <w:p w14:paraId="24FC2B47" w14:textId="10322B87" w:rsidR="00821A2D" w:rsidRPr="00821A2D" w:rsidRDefault="00821A2D" w:rsidP="00BF0A3D">
            <w:pPr>
              <w:spacing w:after="0" w:line="360" w:lineRule="auto"/>
              <w:contextualSpacing/>
              <w:jc w:val="center"/>
              <w:rPr>
                <w:rFonts w:ascii="Times New Roman" w:hAnsi="Times New Roman"/>
                <w:sz w:val="24"/>
                <w:lang w:val="en-GB"/>
              </w:rPr>
            </w:pPr>
            <w:proofErr w:type="spellStart"/>
            <w:r>
              <w:rPr>
                <w:rFonts w:ascii="Times New Roman" w:hAnsi="Times New Roman"/>
                <w:sz w:val="24"/>
                <w:lang w:val="en-GB"/>
              </w:rPr>
              <w:t>NiHCC</w:t>
            </w:r>
            <w:proofErr w:type="spellEnd"/>
            <w:r>
              <w:rPr>
                <w:rFonts w:ascii="Times New Roman" w:hAnsi="Times New Roman"/>
                <w:sz w:val="24"/>
                <w:lang w:val="en-GB"/>
              </w:rPr>
              <w:t>-rGO</w:t>
            </w:r>
          </w:p>
        </w:tc>
        <w:tc>
          <w:tcPr>
            <w:tcW w:w="887" w:type="pct"/>
            <w:tcBorders>
              <w:top w:val="nil"/>
              <w:left w:val="nil"/>
              <w:bottom w:val="single" w:sz="4" w:space="0" w:color="7F7F7F"/>
              <w:right w:val="nil"/>
            </w:tcBorders>
            <w:vAlign w:val="center"/>
          </w:tcPr>
          <w:p w14:paraId="7914FA16" w14:textId="61D39D5F" w:rsidR="00821A2D" w:rsidRDefault="000220B5" w:rsidP="00BF0A3D">
            <w:pPr>
              <w:spacing w:after="0" w:line="360" w:lineRule="auto"/>
              <w:contextualSpacing/>
              <w:jc w:val="center"/>
              <w:rPr>
                <w:rFonts w:ascii="Times New Roman" w:hAnsi="Times New Roman"/>
                <w:sz w:val="24"/>
                <w:lang w:val="en-GB"/>
              </w:rPr>
            </w:pPr>
            <w:r w:rsidRPr="000220B5">
              <w:rPr>
                <w:rFonts w:ascii="Times New Roman" w:hAnsi="Times New Roman"/>
                <w:sz w:val="24"/>
              </w:rPr>
              <w:t> H</w:t>
            </w:r>
            <w:r w:rsidRPr="000220B5">
              <w:rPr>
                <w:rFonts w:ascii="Times New Roman" w:hAnsi="Times New Roman"/>
                <w:sz w:val="24"/>
                <w:vertAlign w:val="subscript"/>
              </w:rPr>
              <w:t>2</w:t>
            </w:r>
            <w:r w:rsidRPr="000220B5">
              <w:rPr>
                <w:rFonts w:ascii="Times New Roman" w:hAnsi="Times New Roman"/>
                <w:sz w:val="24"/>
              </w:rPr>
              <w:t>SO</w:t>
            </w:r>
            <w:r w:rsidRPr="000220B5">
              <w:rPr>
                <w:rFonts w:ascii="Times New Roman" w:hAnsi="Times New Roman"/>
                <w:sz w:val="24"/>
                <w:vertAlign w:val="subscript"/>
              </w:rPr>
              <w:t>4</w:t>
            </w:r>
          </w:p>
        </w:tc>
        <w:tc>
          <w:tcPr>
            <w:tcW w:w="884" w:type="pct"/>
            <w:tcBorders>
              <w:top w:val="nil"/>
              <w:left w:val="nil"/>
              <w:bottom w:val="single" w:sz="4" w:space="0" w:color="7F7F7F"/>
              <w:right w:val="nil"/>
            </w:tcBorders>
            <w:vAlign w:val="center"/>
          </w:tcPr>
          <w:p w14:paraId="34CB2025" w14:textId="7EBFDB65" w:rsidR="00821A2D" w:rsidRDefault="000220B5"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1.55</w:t>
            </w:r>
          </w:p>
        </w:tc>
        <w:tc>
          <w:tcPr>
            <w:tcW w:w="687" w:type="pct"/>
            <w:tcBorders>
              <w:top w:val="nil"/>
              <w:left w:val="nil"/>
              <w:bottom w:val="single" w:sz="4" w:space="0" w:color="7F7F7F"/>
              <w:right w:val="nil"/>
            </w:tcBorders>
            <w:vAlign w:val="center"/>
          </w:tcPr>
          <w:p w14:paraId="6F9CF28C" w14:textId="46EE6524" w:rsidR="00821A2D" w:rsidRPr="00821A2D" w:rsidRDefault="00821A2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38.03</w:t>
            </w:r>
          </w:p>
        </w:tc>
        <w:tc>
          <w:tcPr>
            <w:tcW w:w="750" w:type="pct"/>
            <w:tcBorders>
              <w:top w:val="nil"/>
              <w:left w:val="nil"/>
              <w:bottom w:val="single" w:sz="4" w:space="0" w:color="7F7F7F"/>
              <w:right w:val="nil"/>
            </w:tcBorders>
            <w:vAlign w:val="center"/>
          </w:tcPr>
          <w:p w14:paraId="7311CD28" w14:textId="71AD531C" w:rsidR="00821A2D" w:rsidRDefault="00821A2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20666</w:t>
            </w:r>
          </w:p>
        </w:tc>
        <w:tc>
          <w:tcPr>
            <w:tcW w:w="537" w:type="pct"/>
            <w:tcBorders>
              <w:top w:val="nil"/>
              <w:left w:val="nil"/>
              <w:bottom w:val="single" w:sz="4" w:space="0" w:color="7F7F7F"/>
              <w:right w:val="nil"/>
            </w:tcBorders>
            <w:vAlign w:val="center"/>
          </w:tcPr>
          <w:p w14:paraId="0CF871BE" w14:textId="13BF3E8D" w:rsidR="00821A2D" w:rsidRDefault="000220B5"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BF0A3D">
              <w:rPr>
                <w:rFonts w:ascii="Times New Roman" w:hAnsi="Times New Roman"/>
                <w:sz w:val="24"/>
              </w:rPr>
              <w:instrText>ADDIN CSL_CITATION {"citationItems":[{"id":"ITEM-1","itemData":{"DOI":"10.1002/smll.202406369","ISSN":"1613-6810","abstract":"MXenes exhibit a unique combination of properties—2D structure, high conductivity, exceptional capacity, and chemical resistance—making them promising candidates for hybrid supercapacitors (HSCs). However, the development of MXene‐based HSCs is often hindered by the limited availability of cathode materials that deliver comparable electrochemical performance, especially in protic electrolytes. In this study, this challenge is addressed by introducing a durable protic HSC utilizing a bimetallic Prussian Blue Analogue (PBA) decorated on reduced graphene oxide (rGO) as a nanocomposite cathode paired with a single‐layered Ti 3 C 2 T x MXene (SL‐MXene) anode. The bimetallic PBA, specifically nickel hexacyanocobaltate (NiHCC), is utilized by virtue of its open and stable structure that facilitates efficient charge storage, leading to enhanced stability and energy storage capabilities. The resulting NiHCC/rGO//SL‐MXene cell demonstrates impressive performance, achieving a maximum specific energy of 38.03 Wh kg −1 and a power density of 20 666.67 W kg −1 . Remarkably, the NiHCC/rGO//SL‐MXene HSC cell also exhibits excellent cycling stability without any loss even after 15 000 cycles while retaining ≈100% coulombic efficiency. This work underscores the potential of bimetallic PBA materials with conductive rGO backbone for overcoming the limitations of current MXene‐based protic HSCs, highlighting the significance of this work.","author":[{"dropping-particle":"","family":"Stephanie","given":"Ruth","non-dropping-particle":"","parse-names":false,"suffix":""},{"dropping-particle":"","family":"Park","given":"Chan Yeong","non-dropping-particle":"","parse-names":false,"suffix":""},{"dropping-particle":"","family":"Hyun","given":"Moon Seop","non-dropping-particle":"","parse-names":false,"suffix":""},{"dropping-particle":"Al","family":"Ghaferi","given":"Amal","non-dropping-particle":"","parse-names":false,"suffix":""},{"dropping-particle":"","family":"Han","given":"Hee","non-dropping-particle":"","parse-names":false,"suffix":""},{"dropping-particle":"","family":"Alhajri","given":"Ebrahim","non-dropping-particle":"","parse-names":false,"suffix":""},{"dropping-particle":"","family":"Chodankar","given":"Nilesh R","non-dropping-particle":"","parse-names":false,"suffix":""},{"dropping-particle":"","family":"Park","given":"Tae Jung","non-dropping-particle":"","parse-names":false,"suffix":""}],"container-title":"Small","id":"ITEM-1","issue":"14","issued":{"date-parts":[["2025","4","25"]]},"title":"Longevous Protic Hybrid Supercapacitors Using Bimetallic Prussian Blue Analogue/rGO‐Based Nanocomposite Against MXene Anode","type":"article-journal","volume":"21"},"uris":["http://www.mendeley.com/documents/?uuid=13c6b583-f219-4973-aa74-ceaacc0025f4"]}],"mendeley":{"formattedCitation":"[14]","plainTextFormattedCitation":"[14]","previouslyFormattedCitation":"[14]"},"properties":{"noteIndex":0},"schema":"https://github.com/citation-style-language/schema/raw/master/csl-citation.json"}</w:instrText>
            </w:r>
            <w:r>
              <w:rPr>
                <w:rFonts w:ascii="Times New Roman" w:hAnsi="Times New Roman"/>
                <w:sz w:val="24"/>
              </w:rPr>
              <w:fldChar w:fldCharType="separate"/>
            </w:r>
            <w:r w:rsidRPr="000220B5">
              <w:rPr>
                <w:rFonts w:ascii="Times New Roman" w:hAnsi="Times New Roman"/>
                <w:noProof/>
                <w:sz w:val="24"/>
              </w:rPr>
              <w:t>[14]</w:t>
            </w:r>
            <w:r>
              <w:rPr>
                <w:rFonts w:ascii="Times New Roman" w:hAnsi="Times New Roman"/>
                <w:sz w:val="24"/>
              </w:rPr>
              <w:fldChar w:fldCharType="end"/>
            </w:r>
          </w:p>
        </w:tc>
      </w:tr>
      <w:tr w:rsidR="000220B5" w:rsidRPr="009C1CEE" w14:paraId="503D8E98" w14:textId="77777777" w:rsidTr="00EA619E">
        <w:trPr>
          <w:trHeight w:val="645"/>
          <w:jc w:val="center"/>
        </w:trPr>
        <w:tc>
          <w:tcPr>
            <w:tcW w:w="468" w:type="pct"/>
            <w:tcBorders>
              <w:top w:val="nil"/>
              <w:left w:val="nil"/>
              <w:bottom w:val="single" w:sz="4" w:space="0" w:color="7F7F7F"/>
              <w:right w:val="nil"/>
            </w:tcBorders>
            <w:vAlign w:val="center"/>
          </w:tcPr>
          <w:p w14:paraId="5028FEA1" w14:textId="159B4BB0" w:rsidR="000220B5" w:rsidRDefault="000220B5"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R10</w:t>
            </w:r>
          </w:p>
        </w:tc>
        <w:tc>
          <w:tcPr>
            <w:tcW w:w="787" w:type="pct"/>
            <w:tcBorders>
              <w:top w:val="nil"/>
              <w:left w:val="nil"/>
              <w:bottom w:val="single" w:sz="4" w:space="0" w:color="7F7F7F"/>
              <w:right w:val="nil"/>
            </w:tcBorders>
            <w:vAlign w:val="center"/>
          </w:tcPr>
          <w:p w14:paraId="4FBD3F6D" w14:textId="04AD07B9" w:rsidR="000220B5" w:rsidRDefault="00BF0A3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MnO</w:t>
            </w:r>
            <w:r w:rsidRPr="00BF0A3D">
              <w:rPr>
                <w:rFonts w:ascii="Times New Roman" w:hAnsi="Times New Roman"/>
                <w:sz w:val="24"/>
                <w:vertAlign w:val="subscript"/>
                <w:lang w:val="en-GB"/>
              </w:rPr>
              <w:t>2</w:t>
            </w:r>
          </w:p>
        </w:tc>
        <w:tc>
          <w:tcPr>
            <w:tcW w:w="887" w:type="pct"/>
            <w:tcBorders>
              <w:top w:val="nil"/>
              <w:left w:val="nil"/>
              <w:bottom w:val="single" w:sz="4" w:space="0" w:color="7F7F7F"/>
              <w:right w:val="nil"/>
            </w:tcBorders>
            <w:vAlign w:val="center"/>
          </w:tcPr>
          <w:p w14:paraId="2A3729BE" w14:textId="65CE4B5A" w:rsidR="000220B5" w:rsidRPr="000220B5" w:rsidRDefault="000220B5"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ZnSO</w:t>
            </w:r>
            <w:r w:rsidRPr="000220B5">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21491C24" w14:textId="1E16C5FA" w:rsidR="000220B5" w:rsidRDefault="000220B5"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1.2</w:t>
            </w:r>
          </w:p>
        </w:tc>
        <w:tc>
          <w:tcPr>
            <w:tcW w:w="687" w:type="pct"/>
            <w:tcBorders>
              <w:top w:val="nil"/>
              <w:left w:val="nil"/>
              <w:bottom w:val="single" w:sz="4" w:space="0" w:color="7F7F7F"/>
              <w:right w:val="nil"/>
            </w:tcBorders>
            <w:vAlign w:val="center"/>
          </w:tcPr>
          <w:p w14:paraId="0CC95AD0" w14:textId="4BFD5619" w:rsidR="000220B5" w:rsidRDefault="000220B5"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40.42</w:t>
            </w:r>
          </w:p>
        </w:tc>
        <w:tc>
          <w:tcPr>
            <w:tcW w:w="750" w:type="pct"/>
            <w:tcBorders>
              <w:top w:val="nil"/>
              <w:left w:val="nil"/>
              <w:bottom w:val="single" w:sz="4" w:space="0" w:color="7F7F7F"/>
              <w:right w:val="nil"/>
            </w:tcBorders>
            <w:vAlign w:val="center"/>
          </w:tcPr>
          <w:p w14:paraId="23AD86DA" w14:textId="41B382E4" w:rsidR="000220B5" w:rsidRDefault="000220B5"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385</w:t>
            </w:r>
          </w:p>
        </w:tc>
        <w:tc>
          <w:tcPr>
            <w:tcW w:w="537" w:type="pct"/>
            <w:tcBorders>
              <w:top w:val="nil"/>
              <w:left w:val="nil"/>
              <w:bottom w:val="single" w:sz="4" w:space="0" w:color="7F7F7F"/>
              <w:right w:val="nil"/>
            </w:tcBorders>
            <w:vAlign w:val="center"/>
          </w:tcPr>
          <w:p w14:paraId="531B0FE4" w14:textId="272F7854" w:rsidR="000220B5" w:rsidRDefault="00BF0A3D"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486681">
              <w:rPr>
                <w:rFonts w:ascii="Times New Roman" w:hAnsi="Times New Roman"/>
                <w:sz w:val="24"/>
              </w:rPr>
              <w:instrText>ADDIN CSL_CITATION {"citationItems":[{"id":"ITEM-1","itemData":{"DOI":"10.1002/advs.202506467","ISSN":"2198-3844","abstract":"Zinc‐ion hybrid capacitors (ZIHCs) offer a promising solution for large‐scale energy storage, combining battery‐like energy density with superior power performance. However, their development is challenged by the scarcity of suitable cathode materials, as well as poor reversibility and sluggish Zn 2+ diffusion due to its large hydrated ion size and limited efficiency. To address this, a one‐step, tunable synthesis approach is developed for growing MoS 2 on carbon cloth via an ethylene glycol (EG) intercalation strategy, effectively transforming inactive interlayer cavities into highly active sites. Density functional theory calculations reveal that EG intercalation substantially lowers the energy barrier for hydrated Zn 2+ intercalation, significantly improving Zn 2+ storage capability. Experimentally, EG molecules expand the MoS 2 interlayer spacing from 0.617 to 0.948 nm, creating wider diffusion channels for Zn 2+ transport. The optimized EG‐MoS 2 exhibits a high specific capacitance of 240.5 F/g at 0.7 A/g, which is three orders of magnitude higher than that of pristine MoS 2 , along with exceptional rate capability. Notably, the assembled ZIHC exhibited a high energy density of 40.42 Wh kg −1 at a power density of 385 W kg −1 while demonstrating outstanding cycling stability over 5000 cycles. This work unveils a powerful strategy for engineering high‐performance MoS 2 ‐based cathodes, advancing next‐generation ZIHCs development.","author":[{"dropping-particle":"","family":"Tyagaraj","given":"Harshitha B.","non-dropping-particle":"","parse-names":false,"suffix":""},{"dropping-particle":"","family":"Mahamiya","given":"Vikram","non-dropping-particle":"","parse-names":false,"suffix":""},{"dropping-particle":"","family":"Marje","given":"Supriya J.","non-dropping-particle":"","parse-names":false,"suffix":""},{"dropping-particle":"","family":"Kumar","given":"Gagankumar Sakleshpur","non-dropping-particle":"","parse-names":false,"suffix":""},{"dropping-particle":"","family":"Burse","given":"Shalmali R.","non-dropping-particle":"","parse-names":false,"suffix":""},{"dropping-particle":"","family":"Patil","given":"Swapnil R","non-dropping-particle":"","parse-names":false,"suffix":""},{"dropping-particle":"Al","family":"Hajri","given":"Ebrahim","non-dropping-particle":"","parse-names":false,"suffix":""},{"dropping-particle":"","family":"Chodankar","given":"Nilesh R.","non-dropping-particle":"","parse-names":false,"suffix":""},{"dropping-particle":"","family":"Huh","given":"Yun Suk","non-dropping-particle":"","parse-names":false,"suffix":""},{"dropping-particle":"","family":"Han","given":"Young Kyu","non-dropping-particle":"","parse-names":false,"suffix":""}],"container-title":"Advanced Science","id":"ITEM-1","issued":{"date-parts":[["2025","9","23"]]},"title":"One‐Step Tunable MoS 2 with Enhanced Zn 2+ Diffusion for High‐Energy Zinc‐Ion Hybrid Capacitors","type":"article-journal"},"uris":["http://www.mendeley.com/documents/?uuid=82a79f9f-c56a-4eed-8aba-a0125524d944"]}],"mendeley":{"formattedCitation":"[15]","plainTextFormattedCitation":"[15]","previouslyFormattedCitation":"[15]"},"properties":{"noteIndex":0},"schema":"https://github.com/citation-style-language/schema/raw/master/csl-citation.json"}</w:instrText>
            </w:r>
            <w:r>
              <w:rPr>
                <w:rFonts w:ascii="Times New Roman" w:hAnsi="Times New Roman"/>
                <w:sz w:val="24"/>
              </w:rPr>
              <w:fldChar w:fldCharType="separate"/>
            </w:r>
            <w:r w:rsidRPr="00BF0A3D">
              <w:rPr>
                <w:rFonts w:ascii="Times New Roman" w:hAnsi="Times New Roman"/>
                <w:noProof/>
                <w:sz w:val="24"/>
              </w:rPr>
              <w:t>[15]</w:t>
            </w:r>
            <w:r>
              <w:rPr>
                <w:rFonts w:ascii="Times New Roman" w:hAnsi="Times New Roman"/>
                <w:sz w:val="24"/>
              </w:rPr>
              <w:fldChar w:fldCharType="end"/>
            </w:r>
          </w:p>
        </w:tc>
      </w:tr>
      <w:tr w:rsidR="000220B5" w:rsidRPr="009C1CEE" w14:paraId="6283D808" w14:textId="77777777" w:rsidTr="00EA619E">
        <w:trPr>
          <w:trHeight w:val="645"/>
          <w:jc w:val="center"/>
        </w:trPr>
        <w:tc>
          <w:tcPr>
            <w:tcW w:w="468" w:type="pct"/>
            <w:tcBorders>
              <w:top w:val="nil"/>
              <w:left w:val="nil"/>
              <w:bottom w:val="single" w:sz="4" w:space="0" w:color="7F7F7F"/>
              <w:right w:val="nil"/>
            </w:tcBorders>
            <w:vAlign w:val="center"/>
          </w:tcPr>
          <w:p w14:paraId="5D2DDBC1" w14:textId="44624EB1" w:rsidR="000220B5" w:rsidRDefault="000220B5"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R11</w:t>
            </w:r>
          </w:p>
        </w:tc>
        <w:tc>
          <w:tcPr>
            <w:tcW w:w="787" w:type="pct"/>
            <w:tcBorders>
              <w:top w:val="nil"/>
              <w:left w:val="nil"/>
              <w:bottom w:val="single" w:sz="4" w:space="0" w:color="7F7F7F"/>
              <w:right w:val="nil"/>
            </w:tcBorders>
            <w:vAlign w:val="center"/>
          </w:tcPr>
          <w:p w14:paraId="435475EC" w14:textId="317B60C7" w:rsidR="000220B5" w:rsidRDefault="00BF0A3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Gr</w:t>
            </w:r>
          </w:p>
        </w:tc>
        <w:tc>
          <w:tcPr>
            <w:tcW w:w="887" w:type="pct"/>
            <w:tcBorders>
              <w:top w:val="nil"/>
              <w:left w:val="nil"/>
              <w:bottom w:val="single" w:sz="4" w:space="0" w:color="7F7F7F"/>
              <w:right w:val="nil"/>
            </w:tcBorders>
            <w:vAlign w:val="center"/>
          </w:tcPr>
          <w:p w14:paraId="1A3CAD69" w14:textId="6E29E169" w:rsidR="000220B5" w:rsidRPr="000220B5" w:rsidRDefault="00BF0A3D" w:rsidP="00BF0A3D">
            <w:pPr>
              <w:spacing w:after="0" w:line="360" w:lineRule="auto"/>
              <w:contextualSpacing/>
              <w:jc w:val="center"/>
              <w:rPr>
                <w:rFonts w:ascii="Times New Roman" w:hAnsi="Times New Roman"/>
                <w:sz w:val="24"/>
              </w:rPr>
            </w:pPr>
            <w:r>
              <w:rPr>
                <w:rFonts w:ascii="Times New Roman" w:hAnsi="Times New Roman"/>
                <w:sz w:val="24"/>
                <w:lang w:val="en-GB"/>
              </w:rPr>
              <w:t>ZnSO</w:t>
            </w:r>
            <w:r w:rsidRPr="000220B5">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24D56459" w14:textId="64957FD6" w:rsidR="000220B5" w:rsidRDefault="00BF0A3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2.0</w:t>
            </w:r>
          </w:p>
        </w:tc>
        <w:tc>
          <w:tcPr>
            <w:tcW w:w="687" w:type="pct"/>
            <w:tcBorders>
              <w:top w:val="nil"/>
              <w:left w:val="nil"/>
              <w:bottom w:val="single" w:sz="4" w:space="0" w:color="7F7F7F"/>
              <w:right w:val="nil"/>
            </w:tcBorders>
            <w:vAlign w:val="center"/>
          </w:tcPr>
          <w:p w14:paraId="29775D96" w14:textId="31E7724B" w:rsidR="000220B5" w:rsidRDefault="00BF0A3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203</w:t>
            </w:r>
          </w:p>
        </w:tc>
        <w:tc>
          <w:tcPr>
            <w:tcW w:w="750" w:type="pct"/>
            <w:tcBorders>
              <w:top w:val="nil"/>
              <w:left w:val="nil"/>
              <w:bottom w:val="single" w:sz="4" w:space="0" w:color="7F7F7F"/>
              <w:right w:val="nil"/>
            </w:tcBorders>
            <w:vAlign w:val="center"/>
          </w:tcPr>
          <w:p w14:paraId="634E0042" w14:textId="0C7B6C2B" w:rsidR="000220B5" w:rsidRDefault="00BF0A3D"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4900</w:t>
            </w:r>
          </w:p>
        </w:tc>
        <w:tc>
          <w:tcPr>
            <w:tcW w:w="537" w:type="pct"/>
            <w:tcBorders>
              <w:top w:val="nil"/>
              <w:left w:val="nil"/>
              <w:bottom w:val="single" w:sz="4" w:space="0" w:color="7F7F7F"/>
              <w:right w:val="nil"/>
            </w:tcBorders>
            <w:vAlign w:val="center"/>
          </w:tcPr>
          <w:p w14:paraId="426CC9BB" w14:textId="6ADDE5CD" w:rsidR="000220B5" w:rsidRDefault="00486681"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ADDIN CSL_CITATION {"citationItems":[{"id":"ITEM-1","itemData":{"DOI":"10.1002/inf2.12344","ISSN":"2567-3165","abstract":"Rechargeable aqueous zinc ion hybrid capacitors (ZIHCs), as an up‐and‐comer aqueous electrochemical energy storage system, endure in their infancy because of the substandard reversibility of Zn anodes, structural deterioration of cathode materials, and narrow electrochemical stability window. Herein, a scalable approach is described that addresses Zn‐anode/electrolyte interface and cathode materials associated deficiencies and boosts the electrochemical properties of ZIHCs. The Zn‐anode/electrolyte interface is self‐regulated by alteration of the traditional Zn 2+ electrolyte with Na‐based supporting salt without surrendering the cost, safety, and green features of the Zn‐based system which further validates the excellent reversibility over 1100 h with suppressed hydrogen evolution. The deficits of cathode materials were overcome by using a high‐mass loaded, oxygen‐rich, 3D, multiscaled graphene‐like carbon (3D MGC) cathode. Due to the multiscaled texture, high electronic conductivity, and oxygen‐rich functional groups of 3D MGC, reversible redox capacitance was obtained with a traditional adsorption/desorption mechanism. Prototype ZIHCs containing the modified electrolyte and an oxygen‐rich 3D MGC cathode resulted in battery‐like specific energy (203 Wh kg −1 at 1.6 A g −1 ) and supercapacitor‐type power capability (4.9 kW kg −1 at 8 A g −1 ) with outstanding cycling durability (96.75% retention over 30 000 cycles at 10 A g −1 ). These findings pave the way toward the utilization of highly efficient ZIHCs for practical applications.","author":[{"dropping-particle":"","family":"Chodankar","given":"Nilesh R.","non-dropping-particle":"","parse-names":false,"suffix":""},{"dropping-particle":"","family":"Patil","given":"Swati J.","non-dropping-particle":"","parse-names":false,"suffix":""},{"dropping-particle":"","family":"Lee","given":"Sangjin","non-dropping-particle":"","parse-names":false,"suffix":""},{"dropping-particle":"","family":"Lee","given":"Jaeho","non-dropping-particle":"","parse-names":false,"suffix":""},{"dropping-particle":"","family":"Hwang","given":"Seung‐Kyu","non-dropping-particle":"","parse-names":false,"suffix":""},{"dropping-particle":"","family":"Shinde","given":"Pragati A.","non-dropping-particle":"","parse-names":false,"suffix":""},{"dropping-particle":"V.","family":"Bagal","given":"Indrajit","non-dropping-particle":"","parse-names":false,"suffix":""},{"dropping-particle":"V.","family":"Karekar","given":"Smita","non-dropping-particle":"","parse-names":false,"suffix":""},{"dropping-particle":"","family":"Seeta Rama Raju","given":"Ganji","non-dropping-particle":"","parse-names":false,"suffix":""},{"dropping-particle":"","family":"Shanmugam Ranjith","given":"Kugalur","non-dropping-particle":"","parse-names":false,"suffix":""},{"dropping-particle":"","family":"Dubal","given":"Deepak P.","non-dropping-particle":"","parse-names":false,"suffix":""},{"dropping-particle":"","family":"Huh","given":"Yun‐Suk","non-dropping-particle":"","parse-names":false,"suffix":""},{"dropping-particle":"","family":"Han","given":"Young‐Kyu","non-dropping-particle":"","parse-names":false,"suffix":""}],"container-title":"InfoMat","id":"ITEM-1","issue":"10","issued":{"date-parts":[["2022","10","24"]]},"title":"High energy superstable hybrid capacitor with a &lt;scp&gt;self‐regulated&lt;/scp&gt; Zn/electrolyte interface and &lt;scp&gt;3D&lt;/scp&gt; graphene‐like carbon cathode","type":"article-journal","volume":"4"},"uris":["http://www.mendeley.com/documents/?uuid=2a958b7e-22ad-494e-808a-a0da61b76a91"]}],"mendeley":{"formattedCitation":"[16]","plainTextFormattedCitation":"[16]"},"properties":{"noteIndex":0},"schema":"https://github.com/citation-style-language/schema/raw/master/csl-citation.json"}</w:instrText>
            </w:r>
            <w:r>
              <w:rPr>
                <w:rFonts w:ascii="Times New Roman" w:hAnsi="Times New Roman"/>
                <w:sz w:val="24"/>
              </w:rPr>
              <w:fldChar w:fldCharType="separate"/>
            </w:r>
            <w:r w:rsidRPr="00486681">
              <w:rPr>
                <w:rFonts w:ascii="Times New Roman" w:hAnsi="Times New Roman"/>
                <w:noProof/>
                <w:sz w:val="24"/>
              </w:rPr>
              <w:t>[16]</w:t>
            </w:r>
            <w:r>
              <w:rPr>
                <w:rFonts w:ascii="Times New Roman" w:hAnsi="Times New Roman"/>
                <w:sz w:val="24"/>
              </w:rPr>
              <w:fldChar w:fldCharType="end"/>
            </w:r>
          </w:p>
        </w:tc>
      </w:tr>
      <w:tr w:rsidR="004F56DE" w:rsidRPr="009C1CEE" w14:paraId="3A3AE20D" w14:textId="77777777" w:rsidTr="00EA619E">
        <w:trPr>
          <w:trHeight w:val="645"/>
          <w:jc w:val="center"/>
        </w:trPr>
        <w:tc>
          <w:tcPr>
            <w:tcW w:w="468" w:type="pct"/>
            <w:tcBorders>
              <w:top w:val="nil"/>
              <w:left w:val="nil"/>
              <w:bottom w:val="single" w:sz="4" w:space="0" w:color="7F7F7F"/>
              <w:right w:val="nil"/>
            </w:tcBorders>
            <w:vAlign w:val="center"/>
          </w:tcPr>
          <w:p w14:paraId="2CB0B117" w14:textId="193EEB45" w:rsidR="004F56DE" w:rsidRPr="009C1CEE" w:rsidRDefault="004F56DE" w:rsidP="00BF0A3D">
            <w:pPr>
              <w:spacing w:after="0" w:line="360" w:lineRule="auto"/>
              <w:contextualSpacing/>
              <w:jc w:val="center"/>
              <w:rPr>
                <w:rFonts w:ascii="Times New Roman" w:hAnsi="Times New Roman"/>
                <w:sz w:val="24"/>
              </w:rPr>
            </w:pPr>
            <w:r w:rsidRPr="009C1CEE">
              <w:rPr>
                <w:rFonts w:ascii="Times New Roman" w:hAnsi="Times New Roman"/>
                <w:sz w:val="24"/>
              </w:rPr>
              <w:t>R</w:t>
            </w:r>
            <w:r w:rsidR="000220B5">
              <w:rPr>
                <w:rFonts w:ascii="Times New Roman" w:hAnsi="Times New Roman"/>
                <w:sz w:val="24"/>
              </w:rPr>
              <w:t>12</w:t>
            </w:r>
          </w:p>
        </w:tc>
        <w:tc>
          <w:tcPr>
            <w:tcW w:w="787" w:type="pct"/>
            <w:tcBorders>
              <w:top w:val="nil"/>
              <w:left w:val="nil"/>
              <w:bottom w:val="single" w:sz="4" w:space="0" w:color="7F7F7F"/>
              <w:right w:val="nil"/>
            </w:tcBorders>
            <w:vAlign w:val="center"/>
          </w:tcPr>
          <w:p w14:paraId="11869334" w14:textId="77777777" w:rsidR="004F56DE" w:rsidRPr="00A03907"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rGO</w:t>
            </w:r>
          </w:p>
        </w:tc>
        <w:tc>
          <w:tcPr>
            <w:tcW w:w="887" w:type="pct"/>
            <w:tcBorders>
              <w:top w:val="nil"/>
              <w:left w:val="nil"/>
              <w:bottom w:val="single" w:sz="4" w:space="0" w:color="7F7F7F"/>
              <w:right w:val="nil"/>
            </w:tcBorders>
            <w:vAlign w:val="center"/>
          </w:tcPr>
          <w:p w14:paraId="72C9EF2E" w14:textId="77777777"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lang w:val="en-GB"/>
              </w:rPr>
              <w:t>TEABF</w:t>
            </w:r>
            <w:r w:rsidRPr="00191D74">
              <w:rPr>
                <w:rFonts w:ascii="Times New Roman" w:hAnsi="Times New Roman"/>
                <w:sz w:val="24"/>
                <w:vertAlign w:val="subscript"/>
                <w:lang w:val="en-GB"/>
              </w:rPr>
              <w:t>4</w:t>
            </w:r>
          </w:p>
        </w:tc>
        <w:tc>
          <w:tcPr>
            <w:tcW w:w="884" w:type="pct"/>
            <w:tcBorders>
              <w:top w:val="nil"/>
              <w:left w:val="nil"/>
              <w:bottom w:val="single" w:sz="4" w:space="0" w:color="7F7F7F"/>
              <w:right w:val="nil"/>
            </w:tcBorders>
            <w:vAlign w:val="center"/>
          </w:tcPr>
          <w:p w14:paraId="47E9A7E1" w14:textId="77777777" w:rsidR="004F56DE" w:rsidRPr="00A03907"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3.0</w:t>
            </w:r>
          </w:p>
        </w:tc>
        <w:tc>
          <w:tcPr>
            <w:tcW w:w="687" w:type="pct"/>
            <w:tcBorders>
              <w:top w:val="nil"/>
              <w:left w:val="nil"/>
              <w:bottom w:val="single" w:sz="4" w:space="0" w:color="7F7F7F"/>
              <w:right w:val="nil"/>
            </w:tcBorders>
            <w:vAlign w:val="center"/>
          </w:tcPr>
          <w:p w14:paraId="69DA396E" w14:textId="77777777" w:rsidR="004F56DE" w:rsidRPr="00A03907"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38.07</w:t>
            </w:r>
          </w:p>
        </w:tc>
        <w:tc>
          <w:tcPr>
            <w:tcW w:w="750" w:type="pct"/>
            <w:tcBorders>
              <w:top w:val="nil"/>
              <w:left w:val="nil"/>
              <w:bottom w:val="single" w:sz="4" w:space="0" w:color="7F7F7F"/>
              <w:right w:val="nil"/>
            </w:tcBorders>
            <w:vAlign w:val="center"/>
          </w:tcPr>
          <w:p w14:paraId="73DA10DE" w14:textId="77777777" w:rsidR="004F56DE" w:rsidRPr="00A03907" w:rsidRDefault="004F56DE" w:rsidP="00BF0A3D">
            <w:pPr>
              <w:spacing w:after="0" w:line="360" w:lineRule="auto"/>
              <w:contextualSpacing/>
              <w:jc w:val="center"/>
              <w:rPr>
                <w:rFonts w:ascii="Times New Roman" w:hAnsi="Times New Roman"/>
                <w:sz w:val="24"/>
                <w:lang w:val="en-GB"/>
              </w:rPr>
            </w:pPr>
            <w:r>
              <w:rPr>
                <w:rFonts w:ascii="Times New Roman" w:hAnsi="Times New Roman"/>
                <w:sz w:val="24"/>
                <w:lang w:val="en-GB"/>
              </w:rPr>
              <w:t>15000</w:t>
            </w:r>
          </w:p>
        </w:tc>
        <w:tc>
          <w:tcPr>
            <w:tcW w:w="537" w:type="pct"/>
            <w:tcBorders>
              <w:top w:val="nil"/>
              <w:left w:val="nil"/>
              <w:bottom w:val="single" w:sz="4" w:space="0" w:color="7F7F7F"/>
              <w:right w:val="nil"/>
            </w:tcBorders>
            <w:vAlign w:val="center"/>
          </w:tcPr>
          <w:p w14:paraId="0FC601AC" w14:textId="0AEDDB45" w:rsidR="004F56DE" w:rsidRPr="009C1CEE" w:rsidRDefault="004F56DE" w:rsidP="00BF0A3D">
            <w:pPr>
              <w:spacing w:after="0" w:line="360" w:lineRule="auto"/>
              <w:contextualSpacing/>
              <w:jc w:val="center"/>
              <w:rPr>
                <w:rFonts w:ascii="Times New Roman" w:hAnsi="Times New Roman"/>
                <w:sz w:val="24"/>
              </w:rPr>
            </w:pPr>
            <w:r>
              <w:rPr>
                <w:rFonts w:ascii="Times New Roman" w:hAnsi="Times New Roman"/>
                <w:sz w:val="24"/>
              </w:rPr>
              <w:fldChar w:fldCharType="begin" w:fldLock="1"/>
            </w:r>
            <w:r w:rsidR="00486681">
              <w:rPr>
                <w:rFonts w:ascii="Times New Roman" w:hAnsi="Times New Roman"/>
                <w:sz w:val="24"/>
              </w:rPr>
              <w:instrText>ADDIN CSL_CITATION {"citationItems":[{"id":"ITEM-1","itemData":{"DOI":"10.1002/adfm.202008422","ISSN":"1616-301X","abstract":"The development of high‐performance electrodes that increase the energy density of supercapacitors (SCs) (without compromising their power density) and have a wide temperature tolerance is crucial for the application of SCs in electric vehicles. Recent research has focused on the preparation of multicomponent materials to form electrodes with enhanced electrochemical properties. Herein, a siloxene–graphene (rGO) heterostructure electrode‐based symmetric SC (SSC) is designed that delivers a high energy density (55.79 Wh kg −1 ) and maximum power density of 15 000 W kg −1 . The fabricated siloxene–rGO SSC can operate over a wide temperature range from –15 to 80 °C, which makes them suitable for applications in automobiles. This study shows the practical applicability of siloxene–rGO SSC to drive an electric car as well as to capture the braking energy in a regenerative brake‐electric vehicle prototype. This work opens new directions for evaluating the use of siloxene–rGO SSC as suitable energy devices in electric vehicles.","author":[{"dropping-particle":"","family":"Krishnamoorthy","given":"Karthikeyan","non-dropping-particle":"","parse-names":false,"suffix":""},{"dropping-particle":"","family":"Pazhamalai","given":"Parthiban","non-dropping-particle":"","parse-names":false,"suffix":""},{"dropping-particle":"","family":"Mariappan","given":"Vimal Kumar","non-dropping-particle":"","parse-names":false,"suffix":""},{"dropping-particle":"","family":"Manoharan","given":"Sindhuja","non-dropping-particle":"","parse-names":false,"suffix":""},{"dropping-particle":"","family":"Kesavan","given":"Dhanasekar","non-dropping-particle":"","parse-names":false,"suffix":""},{"dropping-particle":"","family":"Kim","given":"Sang‐Jae","non-dropping-particle":"","parse-names":false,"suffix":""}],"container-title":"Advanced Functional Materials","id":"ITEM-1","issue":"10","issued":{"date-parts":[["2021","3","16"]]},"title":"Two‐Dimensional Siloxene–Graphene Heterostructure‐Based High‐Performance Supercapacitor for Capturing Regenerative Braking Energy in Electric Vehicles","type":"article-journal","volume":"31"},"uris":["http://www.mendeley.com/documents/?uuid=5c65a40b-e6dc-4dfe-b03c-5695d564b4ad"]}],"mendeley":{"formattedCitation":"[17]","plainTextFormattedCitation":"[17]","previouslyFormattedCitation":"[16]"},"properties":{"noteIndex":0},"schema":"https://github.com/citation-style-language/schema/raw/master/csl-citation.json"}</w:instrText>
            </w:r>
            <w:r>
              <w:rPr>
                <w:rFonts w:ascii="Times New Roman" w:hAnsi="Times New Roman"/>
                <w:sz w:val="24"/>
              </w:rPr>
              <w:fldChar w:fldCharType="separate"/>
            </w:r>
            <w:r w:rsidR="00486681" w:rsidRPr="00486681">
              <w:rPr>
                <w:rFonts w:ascii="Times New Roman" w:hAnsi="Times New Roman"/>
                <w:noProof/>
                <w:sz w:val="24"/>
              </w:rPr>
              <w:t>[17]</w:t>
            </w:r>
            <w:r>
              <w:rPr>
                <w:rFonts w:ascii="Times New Roman" w:hAnsi="Times New Roman"/>
                <w:sz w:val="24"/>
              </w:rPr>
              <w:fldChar w:fldCharType="end"/>
            </w:r>
          </w:p>
        </w:tc>
      </w:tr>
      <w:tr w:rsidR="004F56DE" w:rsidRPr="009C1CEE" w14:paraId="1CAD79A4" w14:textId="77777777" w:rsidTr="00EA619E">
        <w:trPr>
          <w:trHeight w:val="645"/>
          <w:jc w:val="center"/>
        </w:trPr>
        <w:tc>
          <w:tcPr>
            <w:tcW w:w="468" w:type="pct"/>
            <w:tcBorders>
              <w:top w:val="nil"/>
              <w:left w:val="nil"/>
              <w:bottom w:val="single" w:sz="4" w:space="0" w:color="7F7F7F"/>
              <w:right w:val="nil"/>
            </w:tcBorders>
            <w:vAlign w:val="center"/>
          </w:tcPr>
          <w:p w14:paraId="7FFED9E5" w14:textId="159A2C5A" w:rsidR="004F56DE" w:rsidRPr="008500D3" w:rsidRDefault="008500D3" w:rsidP="00BF0A3D">
            <w:pPr>
              <w:spacing w:after="0" w:line="360" w:lineRule="auto"/>
              <w:contextualSpacing/>
              <w:jc w:val="center"/>
              <w:rPr>
                <w:rFonts w:ascii="Times New Roman" w:hAnsi="Times New Roman"/>
                <w:b/>
                <w:bCs/>
                <w:sz w:val="24"/>
              </w:rPr>
            </w:pPr>
            <w:r w:rsidRPr="008500D3">
              <w:rPr>
                <w:rFonts w:ascii="Times New Roman" w:hAnsi="Times New Roman"/>
                <w:b/>
                <w:bCs/>
                <w:sz w:val="24"/>
              </w:rPr>
              <w:t>R</w:t>
            </w:r>
            <w:r w:rsidRPr="008500D3">
              <w:rPr>
                <w:rFonts w:ascii="Times New Roman" w:hAnsi="Times New Roman"/>
                <w:b/>
                <w:bCs/>
                <w:sz w:val="24"/>
                <w:vertAlign w:val="subscript"/>
              </w:rPr>
              <w:t>T</w:t>
            </w:r>
          </w:p>
        </w:tc>
        <w:tc>
          <w:tcPr>
            <w:tcW w:w="787" w:type="pct"/>
            <w:tcBorders>
              <w:top w:val="nil"/>
              <w:left w:val="nil"/>
              <w:bottom w:val="single" w:sz="4" w:space="0" w:color="7F7F7F"/>
              <w:right w:val="nil"/>
            </w:tcBorders>
            <w:vAlign w:val="center"/>
          </w:tcPr>
          <w:p w14:paraId="6EFA29D6" w14:textId="77777777" w:rsidR="004F56DE" w:rsidRPr="003A65C6" w:rsidRDefault="004F56DE" w:rsidP="00BF0A3D">
            <w:pPr>
              <w:spacing w:after="0" w:line="360" w:lineRule="auto"/>
              <w:contextualSpacing/>
              <w:jc w:val="center"/>
              <w:rPr>
                <w:rFonts w:ascii="Times New Roman" w:hAnsi="Times New Roman"/>
                <w:b/>
                <w:bCs/>
                <w:sz w:val="24"/>
                <w:lang w:val="en-GB"/>
              </w:rPr>
            </w:pPr>
            <w:r w:rsidRPr="003A65C6">
              <w:rPr>
                <w:rFonts w:ascii="Times New Roman" w:hAnsi="Times New Roman"/>
                <w:b/>
                <w:bCs/>
                <w:sz w:val="24"/>
                <w:lang w:val="en-GB"/>
              </w:rPr>
              <w:t>F-Gr</w:t>
            </w:r>
          </w:p>
        </w:tc>
        <w:tc>
          <w:tcPr>
            <w:tcW w:w="887" w:type="pct"/>
            <w:tcBorders>
              <w:top w:val="nil"/>
              <w:left w:val="nil"/>
              <w:bottom w:val="single" w:sz="4" w:space="0" w:color="7F7F7F"/>
              <w:right w:val="nil"/>
            </w:tcBorders>
            <w:vAlign w:val="center"/>
          </w:tcPr>
          <w:p w14:paraId="0E23FC7E" w14:textId="77777777" w:rsidR="004F56DE" w:rsidRPr="004B732A" w:rsidRDefault="004F56DE" w:rsidP="00BF0A3D">
            <w:pPr>
              <w:spacing w:after="0" w:line="360" w:lineRule="auto"/>
              <w:contextualSpacing/>
              <w:jc w:val="center"/>
              <w:rPr>
                <w:rFonts w:ascii="Times New Roman" w:hAnsi="Times New Roman"/>
                <w:b/>
                <w:bCs/>
                <w:sz w:val="24"/>
                <w:vertAlign w:val="subscript"/>
                <w:lang w:val="en-GB"/>
              </w:rPr>
            </w:pPr>
            <w:r w:rsidRPr="003A65C6">
              <w:rPr>
                <w:rFonts w:ascii="Times New Roman" w:hAnsi="Times New Roman"/>
                <w:b/>
                <w:bCs/>
                <w:sz w:val="24"/>
                <w:lang w:val="en-GB"/>
              </w:rPr>
              <w:t>TEABF</w:t>
            </w:r>
            <w:r w:rsidRPr="003A65C6">
              <w:rPr>
                <w:rFonts w:ascii="Times New Roman" w:hAnsi="Times New Roman"/>
                <w:b/>
                <w:bCs/>
                <w:sz w:val="24"/>
                <w:vertAlign w:val="subscript"/>
                <w:lang w:val="en-GB"/>
              </w:rPr>
              <w:t>4</w:t>
            </w:r>
          </w:p>
        </w:tc>
        <w:tc>
          <w:tcPr>
            <w:tcW w:w="884" w:type="pct"/>
            <w:tcBorders>
              <w:top w:val="nil"/>
              <w:left w:val="nil"/>
              <w:bottom w:val="single" w:sz="4" w:space="0" w:color="7F7F7F"/>
              <w:right w:val="nil"/>
            </w:tcBorders>
            <w:vAlign w:val="center"/>
          </w:tcPr>
          <w:p w14:paraId="159A2A18" w14:textId="2795B55C" w:rsidR="004F56DE" w:rsidRPr="000B2B4D" w:rsidRDefault="000B2B4D" w:rsidP="00BF0A3D">
            <w:pPr>
              <w:spacing w:after="0" w:line="360" w:lineRule="auto"/>
              <w:contextualSpacing/>
              <w:jc w:val="center"/>
              <w:rPr>
                <w:rFonts w:ascii="Times New Roman" w:hAnsi="Times New Roman"/>
                <w:b/>
                <w:bCs/>
                <w:sz w:val="24"/>
                <w:lang w:val="en-GB"/>
              </w:rPr>
            </w:pPr>
            <w:r>
              <w:rPr>
                <w:rFonts w:ascii="Times New Roman" w:hAnsi="Times New Roman"/>
                <w:b/>
                <w:bCs/>
                <w:sz w:val="24"/>
                <w:lang w:val="en-GB"/>
              </w:rPr>
              <w:t>3.0</w:t>
            </w:r>
          </w:p>
        </w:tc>
        <w:tc>
          <w:tcPr>
            <w:tcW w:w="687" w:type="pct"/>
            <w:tcBorders>
              <w:top w:val="nil"/>
              <w:left w:val="nil"/>
              <w:bottom w:val="single" w:sz="4" w:space="0" w:color="7F7F7F"/>
              <w:right w:val="nil"/>
            </w:tcBorders>
            <w:vAlign w:val="center"/>
          </w:tcPr>
          <w:p w14:paraId="564D96A9" w14:textId="77777777" w:rsidR="004F56DE" w:rsidRPr="004F2645" w:rsidRDefault="004F56DE" w:rsidP="00BF0A3D">
            <w:pPr>
              <w:spacing w:after="0" w:line="360" w:lineRule="auto"/>
              <w:contextualSpacing/>
              <w:jc w:val="center"/>
              <w:rPr>
                <w:rFonts w:ascii="Times New Roman" w:hAnsi="Times New Roman"/>
                <w:b/>
                <w:bCs/>
                <w:sz w:val="24"/>
                <w:lang w:val="en-GB"/>
              </w:rPr>
            </w:pPr>
            <w:r>
              <w:rPr>
                <w:rFonts w:ascii="Times New Roman" w:hAnsi="Times New Roman"/>
                <w:b/>
                <w:bCs/>
                <w:sz w:val="24"/>
                <w:lang w:val="en-GB"/>
              </w:rPr>
              <w:t>50.73</w:t>
            </w:r>
          </w:p>
        </w:tc>
        <w:tc>
          <w:tcPr>
            <w:tcW w:w="750" w:type="pct"/>
            <w:tcBorders>
              <w:top w:val="nil"/>
              <w:left w:val="nil"/>
              <w:bottom w:val="single" w:sz="4" w:space="0" w:color="7F7F7F"/>
              <w:right w:val="nil"/>
            </w:tcBorders>
            <w:vAlign w:val="center"/>
          </w:tcPr>
          <w:p w14:paraId="7999B738" w14:textId="215A5960" w:rsidR="004F56DE" w:rsidRPr="00F2330F" w:rsidRDefault="004F56DE" w:rsidP="00BF0A3D">
            <w:pPr>
              <w:spacing w:after="0" w:line="360" w:lineRule="auto"/>
              <w:contextualSpacing/>
              <w:jc w:val="center"/>
              <w:rPr>
                <w:rFonts w:ascii="Times New Roman" w:hAnsi="Times New Roman"/>
                <w:b/>
                <w:bCs/>
                <w:sz w:val="24"/>
                <w:lang w:val="en-GB"/>
              </w:rPr>
            </w:pPr>
            <w:r w:rsidRPr="00F2330F">
              <w:rPr>
                <w:rFonts w:ascii="Times New Roman" w:hAnsi="Times New Roman"/>
                <w:b/>
                <w:bCs/>
                <w:sz w:val="24"/>
              </w:rPr>
              <w:t>1875</w:t>
            </w:r>
            <w:r w:rsidR="00821A2D">
              <w:rPr>
                <w:rFonts w:ascii="Times New Roman" w:hAnsi="Times New Roman"/>
                <w:b/>
                <w:bCs/>
                <w:sz w:val="24"/>
              </w:rPr>
              <w:t>0</w:t>
            </w:r>
          </w:p>
        </w:tc>
        <w:tc>
          <w:tcPr>
            <w:tcW w:w="537" w:type="pct"/>
            <w:tcBorders>
              <w:top w:val="nil"/>
              <w:left w:val="nil"/>
              <w:bottom w:val="single" w:sz="4" w:space="0" w:color="7F7F7F"/>
              <w:right w:val="nil"/>
            </w:tcBorders>
            <w:vAlign w:val="center"/>
          </w:tcPr>
          <w:p w14:paraId="1916D9C7" w14:textId="77777777" w:rsidR="004F56DE" w:rsidRPr="00DB7566" w:rsidRDefault="004F56DE" w:rsidP="00BF0A3D">
            <w:pPr>
              <w:spacing w:after="0" w:line="360" w:lineRule="auto"/>
              <w:contextualSpacing/>
              <w:jc w:val="center"/>
              <w:rPr>
                <w:rFonts w:ascii="Times New Roman" w:hAnsi="Times New Roman"/>
                <w:b/>
                <w:bCs/>
                <w:sz w:val="24"/>
                <w:lang w:val="en-GB"/>
              </w:rPr>
            </w:pPr>
            <w:r>
              <w:rPr>
                <w:rFonts w:ascii="Times New Roman" w:hAnsi="Times New Roman"/>
                <w:b/>
                <w:bCs/>
                <w:sz w:val="24"/>
                <w:lang w:val="en-GB"/>
              </w:rPr>
              <w:t>This work</w:t>
            </w:r>
          </w:p>
        </w:tc>
      </w:tr>
    </w:tbl>
    <w:p w14:paraId="462053F5" w14:textId="77777777" w:rsidR="004F56DE" w:rsidRDefault="004F56DE" w:rsidP="00456E2A">
      <w:pPr>
        <w:spacing w:line="480" w:lineRule="auto"/>
        <w:rPr>
          <w:lang w:val="en-GB"/>
        </w:rPr>
      </w:pPr>
    </w:p>
    <w:p w14:paraId="02AC9C00" w14:textId="44CAB918" w:rsidR="00D8634E" w:rsidRDefault="00E73DEA" w:rsidP="00456E2A">
      <w:pPr>
        <w:tabs>
          <w:tab w:val="left" w:pos="3233"/>
        </w:tabs>
        <w:spacing w:line="480" w:lineRule="auto"/>
        <w:jc w:val="both"/>
        <w:rPr>
          <w:rFonts w:ascii="Times New Roman" w:hAnsi="Times New Roman" w:cs="Times New Roman"/>
          <w:b/>
          <w:bCs/>
          <w:sz w:val="24"/>
          <w:lang w:val="en-GB"/>
        </w:rPr>
      </w:pPr>
      <w:r w:rsidRPr="00E73DEA">
        <w:rPr>
          <w:rFonts w:ascii="Times New Roman" w:hAnsi="Times New Roman" w:cs="Times New Roman"/>
          <w:b/>
          <w:bCs/>
          <w:sz w:val="24"/>
          <w:lang w:val="en-GB"/>
        </w:rPr>
        <w:lastRenderedPageBreak/>
        <w:t>References</w:t>
      </w:r>
    </w:p>
    <w:p w14:paraId="4299AEC4" w14:textId="597A27AA" w:rsidR="00486681" w:rsidRPr="00486681" w:rsidRDefault="00E73DEA" w:rsidP="00BB09C0">
      <w:pPr>
        <w:wordWrap/>
        <w:adjustRightInd w:val="0"/>
        <w:spacing w:line="480" w:lineRule="auto"/>
        <w:ind w:left="640" w:hanging="640"/>
        <w:jc w:val="both"/>
        <w:rPr>
          <w:rFonts w:ascii="Times New Roman" w:hAnsi="Times New Roman" w:cs="Times New Roman"/>
          <w:noProof/>
          <w:kern w:val="0"/>
          <w:sz w:val="24"/>
        </w:rPr>
      </w:pPr>
      <w:r>
        <w:rPr>
          <w:rFonts w:ascii="Times New Roman" w:hAnsi="Times New Roman" w:cs="Times New Roman"/>
          <w:b/>
          <w:bCs/>
          <w:sz w:val="24"/>
          <w:lang w:val="en-GB"/>
        </w:rPr>
        <w:fldChar w:fldCharType="begin" w:fldLock="1"/>
      </w:r>
      <w:r>
        <w:rPr>
          <w:rFonts w:ascii="Times New Roman" w:hAnsi="Times New Roman" w:cs="Times New Roman"/>
          <w:b/>
          <w:bCs/>
          <w:sz w:val="24"/>
          <w:lang w:val="en-GB"/>
        </w:rPr>
        <w:instrText xml:space="preserve">ADDIN Mendeley Bibliography CSL_BIBLIOGRAPHY </w:instrText>
      </w:r>
      <w:r>
        <w:rPr>
          <w:rFonts w:ascii="Times New Roman" w:hAnsi="Times New Roman" w:cs="Times New Roman"/>
          <w:b/>
          <w:bCs/>
          <w:sz w:val="24"/>
          <w:lang w:val="en-GB"/>
        </w:rPr>
        <w:fldChar w:fldCharType="separate"/>
      </w:r>
      <w:r w:rsidR="00486681" w:rsidRPr="00486681">
        <w:rPr>
          <w:rFonts w:ascii="Times New Roman" w:hAnsi="Times New Roman" w:cs="Times New Roman"/>
          <w:noProof/>
          <w:kern w:val="0"/>
          <w:sz w:val="24"/>
        </w:rPr>
        <w:t>[1]</w:t>
      </w:r>
      <w:r w:rsidR="00486681" w:rsidRPr="00486681">
        <w:rPr>
          <w:rFonts w:ascii="Times New Roman" w:hAnsi="Times New Roman" w:cs="Times New Roman"/>
          <w:noProof/>
          <w:kern w:val="0"/>
          <w:sz w:val="24"/>
        </w:rPr>
        <w:tab/>
        <w:t>P. Pazhamalai, K. Krishnamoorthy, V.K. Mariappan, A. Sathyaseelan, S.J. Kim, Solar driven renewable energy storage using rhenium disulfide nanostructure based rechargeable supercapacitors, Mater. Chem. Front. 4 (2020) 3290–3301. https://doi.org/10.1039/d0qm00421a.</w:t>
      </w:r>
    </w:p>
    <w:p w14:paraId="1CD27304"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[2]</w:t>
      </w:r>
      <w:r w:rsidRPr="00486681">
        <w:rPr>
          <w:rFonts w:ascii="Times New Roman" w:hAnsi="Times New Roman" w:cs="Times New Roman"/>
          <w:noProof/>
          <w:kern w:val="0"/>
          <w:sz w:val="24"/>
        </w:rPr>
        <w:tab/>
        <w:t>P.E. Blöchl, Projector augmented-wave method, Phys. Rev. B 50 (1994) 17953–17979. https://doi.org/10.1103/PhysRevB.50.17953.</w:t>
      </w:r>
    </w:p>
    <w:p w14:paraId="509323D0"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[3]</w:t>
      </w:r>
      <w:r w:rsidRPr="00486681">
        <w:rPr>
          <w:rFonts w:ascii="Times New Roman" w:hAnsi="Times New Roman" w:cs="Times New Roman"/>
          <w:noProof/>
          <w:kern w:val="0"/>
          <w:sz w:val="24"/>
        </w:rPr>
        <w:tab/>
        <w:t>J.P. Perdew, K. Burke, M. Ernzerhof, Generalized Gradient Approximation Made Simple, Phys. Rev. Lett. 77 (1996) 3865–3868. https://doi.org/10.1103/PhysRevLett.77.3865.</w:t>
      </w:r>
    </w:p>
    <w:p w14:paraId="37D1C7B7"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[4]</w:t>
      </w:r>
      <w:r w:rsidRPr="00486681">
        <w:rPr>
          <w:rFonts w:ascii="Times New Roman" w:hAnsi="Times New Roman" w:cs="Times New Roman"/>
          <w:noProof/>
          <w:kern w:val="0"/>
          <w:sz w:val="24"/>
        </w:rPr>
        <w:tab/>
        <w:t>Z. Li, J. Liu, K. Jiang, T. Thundat, Carbonized nanocellulose sustainably boosts the performance of activated carbon in ionic liquid supercapacitors, Nano Energy 25 (2016) 161–169. https://doi.org/10.1016/j.nanoen.2016.04.036.</w:t>
      </w:r>
    </w:p>
    <w:p w14:paraId="05E79991"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[5]</w:t>
      </w:r>
      <w:r w:rsidRPr="00486681">
        <w:rPr>
          <w:rFonts w:ascii="Times New Roman" w:hAnsi="Times New Roman" w:cs="Times New Roman"/>
          <w:noProof/>
          <w:kern w:val="0"/>
          <w:sz w:val="24"/>
        </w:rPr>
        <w:tab/>
        <w:t>R. Narayanan, A. Dewan, D. Chakraborty, Complimentary effects of annealing temperature on optimal tuning of functionalized carbon–V 2 O 5 hybrid nanobelts for targeted dual applications in electrochromic and supercapacitor devices, RSC Adv. 8 (2018) 8596–8606. https://doi.org/10.1039/C7RA13357J.</w:t>
      </w:r>
    </w:p>
    <w:p w14:paraId="20FAFA3D"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[6]</w:t>
      </w:r>
      <w:r w:rsidRPr="00486681">
        <w:rPr>
          <w:rFonts w:ascii="Times New Roman" w:hAnsi="Times New Roman" w:cs="Times New Roman"/>
          <w:noProof/>
          <w:kern w:val="0"/>
          <w:sz w:val="24"/>
        </w:rPr>
        <w:tab/>
        <w:t>B. Song, J. Zhao, M. Wang, J. Mullavey, Y. Zhu, Z. Geng, D. Chen, Y. Ding, K. Moon, M. Liu, C.-P. Wong, Systematic study on structural and electronic properties of diamine/triamine functionalized graphene networks for supercapacitor application, Nano Energy 31 (2017) 183–193. https://doi.org/10.1016/j.nanoen.2016.10.057.</w:t>
      </w:r>
    </w:p>
    <w:p w14:paraId="575EB03A"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[7]</w:t>
      </w:r>
      <w:r w:rsidRPr="00486681">
        <w:rPr>
          <w:rFonts w:ascii="Times New Roman" w:hAnsi="Times New Roman" w:cs="Times New Roman"/>
          <w:noProof/>
          <w:kern w:val="0"/>
          <w:sz w:val="24"/>
        </w:rPr>
        <w:tab/>
        <w:t xml:space="preserve">N. das M. Pereira, J.P.C. Trigueiro, I. de F. Monteiro, L.A. Montoro, G.G. Silva, Graphene oxide – Ionic liquid composite electrolytes for safe and high-performance </w:t>
      </w:r>
      <w:r w:rsidRPr="00486681">
        <w:rPr>
          <w:rFonts w:ascii="Times New Roman" w:hAnsi="Times New Roman" w:cs="Times New Roman"/>
          <w:noProof/>
          <w:kern w:val="0"/>
          <w:sz w:val="24"/>
        </w:rPr>
        <w:lastRenderedPageBreak/>
        <w:t>supercapacitors, Electrochim. Acta 259 (2018) 783–792. https://doi.org/10.1016/j.electacta.2017.10.124.</w:t>
      </w:r>
    </w:p>
    <w:p w14:paraId="669B9881"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[8]</w:t>
      </w:r>
      <w:r w:rsidRPr="00486681">
        <w:rPr>
          <w:rFonts w:ascii="Times New Roman" w:hAnsi="Times New Roman" w:cs="Times New Roman"/>
          <w:noProof/>
          <w:kern w:val="0"/>
          <w:sz w:val="24"/>
        </w:rPr>
        <w:tab/>
        <w:t>P. Pazhamalai, K. Krishnamoorthy, S. Sahoo, S.-J. Kim, Two-dimensional molybdenum diselenide nanosheets as a novel electrode material for symmetric supercapacitors using organic electrolyte, Electrochim. Acta 295 (2019) 591–598. https://doi.org/10.1016/j.electacta.2018.10.191.</w:t>
      </w:r>
    </w:p>
    <w:p w14:paraId="7A367B3B"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[9]</w:t>
      </w:r>
      <w:r w:rsidRPr="00486681">
        <w:rPr>
          <w:rFonts w:ascii="Times New Roman" w:hAnsi="Times New Roman" w:cs="Times New Roman"/>
          <w:noProof/>
          <w:kern w:val="0"/>
          <w:sz w:val="24"/>
        </w:rPr>
        <w:tab/>
        <w:t>P. Pazhamalai, K. Krishnamoorthy, S. Sahoo, V.K. Mariappan, S.-J. Kim, Supercapacitive properties of amorphous MoS 3 and crystalline MoS 2 nanosheets in an organic electrolyte, Inorg. Chem. Front. 6 (2019) 2387–2395. https://doi.org/10.1039/C9QI00623K.</w:t>
      </w:r>
    </w:p>
    <w:p w14:paraId="172275A1"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[10]</w:t>
      </w:r>
      <w:r w:rsidRPr="00486681">
        <w:rPr>
          <w:rFonts w:ascii="Times New Roman" w:hAnsi="Times New Roman" w:cs="Times New Roman"/>
          <w:noProof/>
          <w:kern w:val="0"/>
          <w:sz w:val="24"/>
        </w:rPr>
        <w:tab/>
        <w:t>P. Pazhamalai, K. Krishnamoorthy, V.K. Mariappan, A. Sathyaseelan, S.-J. Kim, Solar driven renewable energy storage using rhenium disulfide nanostructure based rechargeable supercapacitors, Mater. Chem. Front. 4 (2020) 3290–3301. https://doi.org/10.1039/D0QM00421A.</w:t>
      </w:r>
    </w:p>
    <w:p w14:paraId="20076A3F"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[11]</w:t>
      </w:r>
      <w:r w:rsidRPr="00486681">
        <w:rPr>
          <w:rFonts w:ascii="Times New Roman" w:hAnsi="Times New Roman" w:cs="Times New Roman"/>
          <w:noProof/>
          <w:kern w:val="0"/>
          <w:sz w:val="24"/>
        </w:rPr>
        <w:tab/>
        <w:t>Y. Chen, X. Zhang, D. Zhang, Y. Ma, High power density of graphene-based supercapacitors in ionic liquid electrolytes, Mater. Lett. 68 (2012) 475–477. https://doi.org/10.1016/j.matlet.2011.11.008.</w:t>
      </w:r>
    </w:p>
    <w:p w14:paraId="5783B4AC"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[12]</w:t>
      </w:r>
      <w:r w:rsidRPr="00486681">
        <w:rPr>
          <w:rFonts w:ascii="Times New Roman" w:hAnsi="Times New Roman" w:cs="Times New Roman"/>
          <w:noProof/>
          <w:kern w:val="0"/>
          <w:sz w:val="24"/>
        </w:rPr>
        <w:tab/>
        <w:t>P. Pazhamalai, K. Krishnamoorthy, S. Sahoo, V.K. Mariappan, S.-J. Kim, Carbothermal conversion of siloxene sheets into silicon-oxy-carbide lamellae for high-performance supercapacitors, Chem. Eng. J. 387 (2020) 123886. https://doi.org/10.1016/j.cej.2019.123886.</w:t>
      </w:r>
    </w:p>
    <w:p w14:paraId="72B716C1"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[13]</w:t>
      </w:r>
      <w:r w:rsidRPr="00486681">
        <w:rPr>
          <w:rFonts w:ascii="Times New Roman" w:hAnsi="Times New Roman" w:cs="Times New Roman"/>
          <w:noProof/>
          <w:kern w:val="0"/>
          <w:sz w:val="24"/>
        </w:rPr>
        <w:tab/>
        <w:t xml:space="preserve">K. Krishnamoorthy, P. Pazhamalai, S.-J. Kim, Two-dimensional siloxene nanosheets: novel high-performance supercapacitor electrode materials, Energy Environ. Sci. 11 </w:t>
      </w:r>
      <w:r w:rsidRPr="00486681">
        <w:rPr>
          <w:rFonts w:ascii="Times New Roman" w:hAnsi="Times New Roman" w:cs="Times New Roman"/>
          <w:noProof/>
          <w:kern w:val="0"/>
          <w:sz w:val="24"/>
        </w:rPr>
        <w:lastRenderedPageBreak/>
        <w:t>(2018) 1595–1602. https://doi.org/10.1039/C8EE00160J.</w:t>
      </w:r>
    </w:p>
    <w:p w14:paraId="74F0D602"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[14]</w:t>
      </w:r>
      <w:r w:rsidRPr="00486681">
        <w:rPr>
          <w:rFonts w:ascii="Times New Roman" w:hAnsi="Times New Roman" w:cs="Times New Roman"/>
          <w:noProof/>
          <w:kern w:val="0"/>
          <w:sz w:val="24"/>
        </w:rPr>
        <w:tab/>
        <w:t>R. Stephanie, C.Y. Park, M.S. Hyun, A. Al Ghaferi, H. Han, E. Alhajri, N.R. Chodankar, T.J. Park, Longevous Protic Hybrid Supercapacitors Using Bimetallic Prussian Blue Analogue/rGO‐Based Nanocomposite Against MXene Anode, Small 21 (2025). https://doi.org/10.1002/smll.202406369.</w:t>
      </w:r>
    </w:p>
    <w:p w14:paraId="564EFA25"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[15]</w:t>
      </w:r>
      <w:r w:rsidRPr="00486681">
        <w:rPr>
          <w:rFonts w:ascii="Times New Roman" w:hAnsi="Times New Roman" w:cs="Times New Roman"/>
          <w:noProof/>
          <w:kern w:val="0"/>
          <w:sz w:val="24"/>
        </w:rPr>
        <w:tab/>
        <w:t>H.B. Tyagaraj, V. Mahamiya, S.J. Marje, G.S. Kumar, S.R. Burse, S.R. Patil, E. Al Hajri, N.R. Chodankar, Y.S. Huh, Y.K. Han, One‐Step Tunable MoS 2 with Enhanced Zn 2+ Diffusion for High‐Energy Zinc‐Ion Hybrid Capacitors, Adv. Sci. (2025). https://doi.org/10.1002/advs.202506467.</w:t>
      </w:r>
    </w:p>
    <w:p w14:paraId="2EDF3B2E"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kern w:val="0"/>
          <w:sz w:val="24"/>
        </w:rPr>
      </w:pPr>
      <w:r w:rsidRPr="00486681">
        <w:rPr>
          <w:rFonts w:ascii="Times New Roman" w:hAnsi="Times New Roman" w:cs="Times New Roman"/>
          <w:noProof/>
          <w:kern w:val="0"/>
          <w:sz w:val="24"/>
        </w:rPr>
        <w:t>[16]</w:t>
      </w:r>
      <w:r w:rsidRPr="00486681">
        <w:rPr>
          <w:rFonts w:ascii="Times New Roman" w:hAnsi="Times New Roman" w:cs="Times New Roman"/>
          <w:noProof/>
          <w:kern w:val="0"/>
          <w:sz w:val="24"/>
        </w:rPr>
        <w:tab/>
        <w:t>N.R. Chodankar, S.J. Patil, S. Lee, J. Lee, S. Hwang, P.A. Shinde, I. V. Bagal, S. V. Karekar, G. Seeta Rama Raju, K. Shanmugam Ranjith, D.P. Dubal, Y. Huh, Y. Han, High energy superstable hybrid capacitor with a &lt;scp&gt;self‐regulated&lt;/scp&gt; Zn/electrolyte interface and &lt;scp&gt;3D&lt;/scp&gt; graphene‐like carbon cathode, InfoMat 4 (2022). https://doi.org/10.1002/inf2.12344.</w:t>
      </w:r>
    </w:p>
    <w:p w14:paraId="44EE101A" w14:textId="77777777" w:rsidR="00486681" w:rsidRPr="00486681" w:rsidRDefault="00486681" w:rsidP="00BB09C0">
      <w:pPr>
        <w:wordWrap/>
        <w:adjustRightInd w:val="0"/>
        <w:spacing w:line="480" w:lineRule="auto"/>
        <w:ind w:left="640" w:hanging="640"/>
        <w:jc w:val="both"/>
        <w:rPr>
          <w:rFonts w:ascii="Times New Roman" w:hAnsi="Times New Roman" w:cs="Times New Roman"/>
          <w:noProof/>
          <w:sz w:val="24"/>
        </w:rPr>
      </w:pPr>
      <w:r w:rsidRPr="00486681">
        <w:rPr>
          <w:rFonts w:ascii="Times New Roman" w:hAnsi="Times New Roman" w:cs="Times New Roman"/>
          <w:noProof/>
          <w:kern w:val="0"/>
          <w:sz w:val="24"/>
        </w:rPr>
        <w:t>[17]</w:t>
      </w:r>
      <w:r w:rsidRPr="00486681">
        <w:rPr>
          <w:rFonts w:ascii="Times New Roman" w:hAnsi="Times New Roman" w:cs="Times New Roman"/>
          <w:noProof/>
          <w:kern w:val="0"/>
          <w:sz w:val="24"/>
        </w:rPr>
        <w:tab/>
        <w:t>K. Krishnamoorthy, P. Pazhamalai, V.K. Mariappan, S. Manoharan, D. Kesavan, S. Kim, Two‐Dimensional Siloxene–Graphene Heterostructure‐Based High‐Performance Supercapacitor for Capturing Regenerative Braking Energy in Electric Vehicles, Adv. Funct. Mater. 31 (2021). https://doi.org/10.1002/adfm.202008422.</w:t>
      </w:r>
    </w:p>
    <w:p w14:paraId="1854E48C" w14:textId="3CD0DD6F" w:rsidR="00E73DEA" w:rsidRPr="00E73DEA" w:rsidRDefault="00E73DEA" w:rsidP="00BB09C0">
      <w:pPr>
        <w:tabs>
          <w:tab w:val="left" w:pos="3233"/>
        </w:tabs>
        <w:spacing w:line="480" w:lineRule="auto"/>
        <w:jc w:val="both"/>
        <w:rPr>
          <w:rFonts w:ascii="Times New Roman" w:hAnsi="Times New Roman" w:cs="Times New Roman"/>
          <w:b/>
          <w:bCs/>
          <w:sz w:val="24"/>
          <w:lang w:val="en-GB"/>
        </w:rPr>
      </w:pPr>
      <w:r>
        <w:rPr>
          <w:rFonts w:ascii="Times New Roman" w:hAnsi="Times New Roman" w:cs="Times New Roman"/>
          <w:b/>
          <w:bCs/>
          <w:sz w:val="24"/>
          <w:lang w:val="en-GB"/>
        </w:rPr>
        <w:fldChar w:fldCharType="end"/>
      </w:r>
    </w:p>
    <w:p w14:paraId="52F44A2A" w14:textId="77777777" w:rsidR="00072C73" w:rsidRPr="005531DA" w:rsidRDefault="00072C73" w:rsidP="00456E2A">
      <w:pPr>
        <w:tabs>
          <w:tab w:val="left" w:pos="3233"/>
        </w:tabs>
        <w:spacing w:line="480" w:lineRule="auto"/>
        <w:rPr>
          <w:rFonts w:ascii="Times New Roman" w:hAnsi="Times New Roman" w:cs="Times New Roman"/>
          <w:sz w:val="24"/>
          <w:lang w:val="en-GB"/>
        </w:rPr>
      </w:pPr>
    </w:p>
    <w:p w14:paraId="7E0C780E" w14:textId="77777777" w:rsidR="00072C73" w:rsidRPr="005531DA" w:rsidRDefault="00072C73" w:rsidP="00456E2A">
      <w:pPr>
        <w:tabs>
          <w:tab w:val="left" w:pos="3233"/>
        </w:tabs>
        <w:spacing w:line="480" w:lineRule="auto"/>
        <w:rPr>
          <w:rFonts w:ascii="Times New Roman" w:hAnsi="Times New Roman" w:cs="Times New Roman"/>
          <w:sz w:val="24"/>
          <w:lang w:val="en-GB"/>
        </w:rPr>
      </w:pPr>
    </w:p>
    <w:p w14:paraId="54A63DC4" w14:textId="34021912" w:rsidR="00072C73" w:rsidRPr="005531DA" w:rsidRDefault="00072C73" w:rsidP="00456E2A">
      <w:pPr>
        <w:tabs>
          <w:tab w:val="left" w:pos="3233"/>
        </w:tabs>
        <w:spacing w:line="480" w:lineRule="auto"/>
        <w:rPr>
          <w:rFonts w:ascii="Times New Roman" w:hAnsi="Times New Roman" w:cs="Times New Roman"/>
          <w:sz w:val="24"/>
        </w:rPr>
      </w:pPr>
    </w:p>
    <w:sectPr w:rsidR="00072C73" w:rsidRPr="005531DA">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59417" w14:textId="77777777" w:rsidR="00331186" w:rsidRDefault="00331186" w:rsidP="00B714E0">
      <w:pPr>
        <w:spacing w:after="0"/>
      </w:pPr>
      <w:r>
        <w:separator/>
      </w:r>
    </w:p>
  </w:endnote>
  <w:endnote w:type="continuationSeparator" w:id="0">
    <w:p w14:paraId="7CA96229" w14:textId="77777777" w:rsidR="00331186" w:rsidRDefault="00331186" w:rsidP="00B714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06800" w14:textId="77777777" w:rsidR="00331186" w:rsidRDefault="00331186" w:rsidP="00B714E0">
      <w:pPr>
        <w:spacing w:after="0"/>
      </w:pPr>
      <w:r>
        <w:separator/>
      </w:r>
    </w:p>
  </w:footnote>
  <w:footnote w:type="continuationSeparator" w:id="0">
    <w:p w14:paraId="3D9FD145" w14:textId="77777777" w:rsidR="00331186" w:rsidRDefault="00331186" w:rsidP="00B714E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5B0"/>
    <w:rsid w:val="00000EBF"/>
    <w:rsid w:val="00001C78"/>
    <w:rsid w:val="0000267E"/>
    <w:rsid w:val="00002E61"/>
    <w:rsid w:val="00003BFD"/>
    <w:rsid w:val="00003D6D"/>
    <w:rsid w:val="00003FBE"/>
    <w:rsid w:val="0000422D"/>
    <w:rsid w:val="00005299"/>
    <w:rsid w:val="000063E9"/>
    <w:rsid w:val="00010B11"/>
    <w:rsid w:val="00010E3A"/>
    <w:rsid w:val="0001468C"/>
    <w:rsid w:val="00015B97"/>
    <w:rsid w:val="000220B5"/>
    <w:rsid w:val="000226B1"/>
    <w:rsid w:val="000237DF"/>
    <w:rsid w:val="0002386E"/>
    <w:rsid w:val="000241DF"/>
    <w:rsid w:val="00024549"/>
    <w:rsid w:val="000321B9"/>
    <w:rsid w:val="000322F4"/>
    <w:rsid w:val="00043600"/>
    <w:rsid w:val="0004429D"/>
    <w:rsid w:val="00044379"/>
    <w:rsid w:val="00045196"/>
    <w:rsid w:val="00045E45"/>
    <w:rsid w:val="00047C3C"/>
    <w:rsid w:val="000500AA"/>
    <w:rsid w:val="000501B0"/>
    <w:rsid w:val="0005084E"/>
    <w:rsid w:val="00052BD8"/>
    <w:rsid w:val="00054BCD"/>
    <w:rsid w:val="000560F8"/>
    <w:rsid w:val="00057F58"/>
    <w:rsid w:val="0006022C"/>
    <w:rsid w:val="000609B4"/>
    <w:rsid w:val="00065D98"/>
    <w:rsid w:val="0006630F"/>
    <w:rsid w:val="00070FBD"/>
    <w:rsid w:val="0007101E"/>
    <w:rsid w:val="00071044"/>
    <w:rsid w:val="00072C73"/>
    <w:rsid w:val="00074FFC"/>
    <w:rsid w:val="00075A5C"/>
    <w:rsid w:val="000774A1"/>
    <w:rsid w:val="00080CC4"/>
    <w:rsid w:val="000810AA"/>
    <w:rsid w:val="0008352E"/>
    <w:rsid w:val="000839AA"/>
    <w:rsid w:val="000852AC"/>
    <w:rsid w:val="00086B00"/>
    <w:rsid w:val="00087457"/>
    <w:rsid w:val="00090D61"/>
    <w:rsid w:val="0009331B"/>
    <w:rsid w:val="00093466"/>
    <w:rsid w:val="000954C9"/>
    <w:rsid w:val="00096597"/>
    <w:rsid w:val="00096F00"/>
    <w:rsid w:val="00096FDE"/>
    <w:rsid w:val="000975BE"/>
    <w:rsid w:val="00097A1B"/>
    <w:rsid w:val="000A24E5"/>
    <w:rsid w:val="000A3317"/>
    <w:rsid w:val="000A3C86"/>
    <w:rsid w:val="000A57C2"/>
    <w:rsid w:val="000A6941"/>
    <w:rsid w:val="000A7C33"/>
    <w:rsid w:val="000B2B4D"/>
    <w:rsid w:val="000B3464"/>
    <w:rsid w:val="000B415B"/>
    <w:rsid w:val="000B4D8E"/>
    <w:rsid w:val="000B51B5"/>
    <w:rsid w:val="000B615E"/>
    <w:rsid w:val="000B67B5"/>
    <w:rsid w:val="000B6DDE"/>
    <w:rsid w:val="000B74E9"/>
    <w:rsid w:val="000B7606"/>
    <w:rsid w:val="000C18F5"/>
    <w:rsid w:val="000C2FDB"/>
    <w:rsid w:val="000C3C55"/>
    <w:rsid w:val="000C55BD"/>
    <w:rsid w:val="000C5790"/>
    <w:rsid w:val="000C6883"/>
    <w:rsid w:val="000C6FAB"/>
    <w:rsid w:val="000D45C8"/>
    <w:rsid w:val="000D516F"/>
    <w:rsid w:val="000D6751"/>
    <w:rsid w:val="000D6AD4"/>
    <w:rsid w:val="000D7D4A"/>
    <w:rsid w:val="000E38FF"/>
    <w:rsid w:val="000F091D"/>
    <w:rsid w:val="000F3611"/>
    <w:rsid w:val="000F6904"/>
    <w:rsid w:val="000F7902"/>
    <w:rsid w:val="00101450"/>
    <w:rsid w:val="00102C5F"/>
    <w:rsid w:val="00102FB5"/>
    <w:rsid w:val="00104EF3"/>
    <w:rsid w:val="00105AFD"/>
    <w:rsid w:val="001061EC"/>
    <w:rsid w:val="00106AEC"/>
    <w:rsid w:val="00106B91"/>
    <w:rsid w:val="00115560"/>
    <w:rsid w:val="00116E8F"/>
    <w:rsid w:val="00117AB2"/>
    <w:rsid w:val="0012134E"/>
    <w:rsid w:val="00124AC0"/>
    <w:rsid w:val="00125B9B"/>
    <w:rsid w:val="00125D5E"/>
    <w:rsid w:val="00125F39"/>
    <w:rsid w:val="001261F0"/>
    <w:rsid w:val="00126915"/>
    <w:rsid w:val="00130334"/>
    <w:rsid w:val="001307FA"/>
    <w:rsid w:val="001314BA"/>
    <w:rsid w:val="00132A0A"/>
    <w:rsid w:val="00132B2C"/>
    <w:rsid w:val="0013695C"/>
    <w:rsid w:val="00140729"/>
    <w:rsid w:val="001412F5"/>
    <w:rsid w:val="00144E99"/>
    <w:rsid w:val="00146CAD"/>
    <w:rsid w:val="00147346"/>
    <w:rsid w:val="0015079A"/>
    <w:rsid w:val="00152C1A"/>
    <w:rsid w:val="001534DC"/>
    <w:rsid w:val="00153D44"/>
    <w:rsid w:val="00153E8C"/>
    <w:rsid w:val="00162F52"/>
    <w:rsid w:val="001636DF"/>
    <w:rsid w:val="0016398D"/>
    <w:rsid w:val="0016480C"/>
    <w:rsid w:val="00167A5B"/>
    <w:rsid w:val="00170FB4"/>
    <w:rsid w:val="00171631"/>
    <w:rsid w:val="0017291E"/>
    <w:rsid w:val="0018118C"/>
    <w:rsid w:val="001833A2"/>
    <w:rsid w:val="001848A2"/>
    <w:rsid w:val="00185724"/>
    <w:rsid w:val="00185A25"/>
    <w:rsid w:val="0019079E"/>
    <w:rsid w:val="001918C9"/>
    <w:rsid w:val="0019257C"/>
    <w:rsid w:val="001944E2"/>
    <w:rsid w:val="001948B3"/>
    <w:rsid w:val="00195142"/>
    <w:rsid w:val="00195D46"/>
    <w:rsid w:val="00196391"/>
    <w:rsid w:val="00196888"/>
    <w:rsid w:val="001A271F"/>
    <w:rsid w:val="001A2D4B"/>
    <w:rsid w:val="001A329F"/>
    <w:rsid w:val="001A67FD"/>
    <w:rsid w:val="001A7E6B"/>
    <w:rsid w:val="001B1820"/>
    <w:rsid w:val="001B18F4"/>
    <w:rsid w:val="001B1E1B"/>
    <w:rsid w:val="001B2037"/>
    <w:rsid w:val="001B455F"/>
    <w:rsid w:val="001B56EB"/>
    <w:rsid w:val="001B7C3E"/>
    <w:rsid w:val="001C06EE"/>
    <w:rsid w:val="001C0BB8"/>
    <w:rsid w:val="001C10E2"/>
    <w:rsid w:val="001C2FE4"/>
    <w:rsid w:val="001C7F28"/>
    <w:rsid w:val="001D0EAE"/>
    <w:rsid w:val="001D2AAD"/>
    <w:rsid w:val="001D34AD"/>
    <w:rsid w:val="001D43E4"/>
    <w:rsid w:val="001D4494"/>
    <w:rsid w:val="001D4872"/>
    <w:rsid w:val="001D6066"/>
    <w:rsid w:val="001E1055"/>
    <w:rsid w:val="001E26D7"/>
    <w:rsid w:val="001E3029"/>
    <w:rsid w:val="001E3D5C"/>
    <w:rsid w:val="001F33B6"/>
    <w:rsid w:val="001F5492"/>
    <w:rsid w:val="001F6242"/>
    <w:rsid w:val="001F6AB5"/>
    <w:rsid w:val="001F7A45"/>
    <w:rsid w:val="001F7B01"/>
    <w:rsid w:val="001F7E48"/>
    <w:rsid w:val="00200223"/>
    <w:rsid w:val="002004BB"/>
    <w:rsid w:val="002026A3"/>
    <w:rsid w:val="002026BD"/>
    <w:rsid w:val="0020334B"/>
    <w:rsid w:val="00203B28"/>
    <w:rsid w:val="0020404C"/>
    <w:rsid w:val="00204137"/>
    <w:rsid w:val="00204976"/>
    <w:rsid w:val="00205EB8"/>
    <w:rsid w:val="002067F4"/>
    <w:rsid w:val="00211C78"/>
    <w:rsid w:val="00212183"/>
    <w:rsid w:val="00212DF9"/>
    <w:rsid w:val="00215704"/>
    <w:rsid w:val="00215AC1"/>
    <w:rsid w:val="00216CED"/>
    <w:rsid w:val="00220858"/>
    <w:rsid w:val="0022308D"/>
    <w:rsid w:val="00223663"/>
    <w:rsid w:val="00227460"/>
    <w:rsid w:val="002277F2"/>
    <w:rsid w:val="002279A8"/>
    <w:rsid w:val="00227A7A"/>
    <w:rsid w:val="00232932"/>
    <w:rsid w:val="00237656"/>
    <w:rsid w:val="00237956"/>
    <w:rsid w:val="00240567"/>
    <w:rsid w:val="002407B0"/>
    <w:rsid w:val="00245DB2"/>
    <w:rsid w:val="0024717C"/>
    <w:rsid w:val="00247842"/>
    <w:rsid w:val="0025192A"/>
    <w:rsid w:val="00252351"/>
    <w:rsid w:val="00253863"/>
    <w:rsid w:val="002561F5"/>
    <w:rsid w:val="00256B8A"/>
    <w:rsid w:val="00256BCE"/>
    <w:rsid w:val="002576E0"/>
    <w:rsid w:val="00257C9A"/>
    <w:rsid w:val="0026048E"/>
    <w:rsid w:val="00264125"/>
    <w:rsid w:val="002663B4"/>
    <w:rsid w:val="002664BB"/>
    <w:rsid w:val="002667BB"/>
    <w:rsid w:val="00266C00"/>
    <w:rsid w:val="00266F66"/>
    <w:rsid w:val="00267D03"/>
    <w:rsid w:val="00267DA8"/>
    <w:rsid w:val="00271A57"/>
    <w:rsid w:val="00271D3B"/>
    <w:rsid w:val="00272385"/>
    <w:rsid w:val="00273B1E"/>
    <w:rsid w:val="00274943"/>
    <w:rsid w:val="002769A9"/>
    <w:rsid w:val="00277F89"/>
    <w:rsid w:val="00283BB7"/>
    <w:rsid w:val="00287269"/>
    <w:rsid w:val="002876AF"/>
    <w:rsid w:val="00296846"/>
    <w:rsid w:val="00297171"/>
    <w:rsid w:val="002976A8"/>
    <w:rsid w:val="002A28EE"/>
    <w:rsid w:val="002A5196"/>
    <w:rsid w:val="002A6B4D"/>
    <w:rsid w:val="002A751E"/>
    <w:rsid w:val="002A7656"/>
    <w:rsid w:val="002B36B1"/>
    <w:rsid w:val="002B58F9"/>
    <w:rsid w:val="002B7087"/>
    <w:rsid w:val="002C0444"/>
    <w:rsid w:val="002C090F"/>
    <w:rsid w:val="002C0D03"/>
    <w:rsid w:val="002C316C"/>
    <w:rsid w:val="002C5584"/>
    <w:rsid w:val="002C6112"/>
    <w:rsid w:val="002C6F62"/>
    <w:rsid w:val="002D02D8"/>
    <w:rsid w:val="002D03AE"/>
    <w:rsid w:val="002D077E"/>
    <w:rsid w:val="002D3410"/>
    <w:rsid w:val="002D34C0"/>
    <w:rsid w:val="002D55E0"/>
    <w:rsid w:val="002E0465"/>
    <w:rsid w:val="002E5618"/>
    <w:rsid w:val="002F0E76"/>
    <w:rsid w:val="002F178C"/>
    <w:rsid w:val="002F1EF2"/>
    <w:rsid w:val="00300CA0"/>
    <w:rsid w:val="003012E8"/>
    <w:rsid w:val="00302E68"/>
    <w:rsid w:val="0030324E"/>
    <w:rsid w:val="0030357E"/>
    <w:rsid w:val="0030418F"/>
    <w:rsid w:val="00305054"/>
    <w:rsid w:val="003059FB"/>
    <w:rsid w:val="00307364"/>
    <w:rsid w:val="00310D35"/>
    <w:rsid w:val="003137AE"/>
    <w:rsid w:val="00313992"/>
    <w:rsid w:val="003142D4"/>
    <w:rsid w:val="00314C34"/>
    <w:rsid w:val="00314C85"/>
    <w:rsid w:val="003151D1"/>
    <w:rsid w:val="003155DF"/>
    <w:rsid w:val="003158C8"/>
    <w:rsid w:val="00315E61"/>
    <w:rsid w:val="00316268"/>
    <w:rsid w:val="0031633A"/>
    <w:rsid w:val="0031671C"/>
    <w:rsid w:val="00324447"/>
    <w:rsid w:val="00327528"/>
    <w:rsid w:val="00327786"/>
    <w:rsid w:val="00331186"/>
    <w:rsid w:val="00332420"/>
    <w:rsid w:val="00332F20"/>
    <w:rsid w:val="00333378"/>
    <w:rsid w:val="00334C3E"/>
    <w:rsid w:val="003359CB"/>
    <w:rsid w:val="003361FD"/>
    <w:rsid w:val="00336572"/>
    <w:rsid w:val="00340268"/>
    <w:rsid w:val="00340AC3"/>
    <w:rsid w:val="00341E60"/>
    <w:rsid w:val="00342972"/>
    <w:rsid w:val="003434E0"/>
    <w:rsid w:val="00345038"/>
    <w:rsid w:val="003529DD"/>
    <w:rsid w:val="003535A0"/>
    <w:rsid w:val="0035489A"/>
    <w:rsid w:val="00354FFA"/>
    <w:rsid w:val="003550B1"/>
    <w:rsid w:val="003550C0"/>
    <w:rsid w:val="00355E1C"/>
    <w:rsid w:val="00357A33"/>
    <w:rsid w:val="00360940"/>
    <w:rsid w:val="003622D0"/>
    <w:rsid w:val="0036280D"/>
    <w:rsid w:val="00366FAB"/>
    <w:rsid w:val="003672E9"/>
    <w:rsid w:val="00367496"/>
    <w:rsid w:val="003721E1"/>
    <w:rsid w:val="00373331"/>
    <w:rsid w:val="00373CEF"/>
    <w:rsid w:val="0038127D"/>
    <w:rsid w:val="00381755"/>
    <w:rsid w:val="00382E9D"/>
    <w:rsid w:val="003849C9"/>
    <w:rsid w:val="0038510B"/>
    <w:rsid w:val="003870A6"/>
    <w:rsid w:val="00391183"/>
    <w:rsid w:val="0039229E"/>
    <w:rsid w:val="00393500"/>
    <w:rsid w:val="003948E5"/>
    <w:rsid w:val="003975BD"/>
    <w:rsid w:val="003A0F1B"/>
    <w:rsid w:val="003A1101"/>
    <w:rsid w:val="003A17B2"/>
    <w:rsid w:val="003A1D3C"/>
    <w:rsid w:val="003A269F"/>
    <w:rsid w:val="003A27C5"/>
    <w:rsid w:val="003A3028"/>
    <w:rsid w:val="003A49BD"/>
    <w:rsid w:val="003A5606"/>
    <w:rsid w:val="003A61C9"/>
    <w:rsid w:val="003A69A1"/>
    <w:rsid w:val="003A77C9"/>
    <w:rsid w:val="003B2B3B"/>
    <w:rsid w:val="003B5921"/>
    <w:rsid w:val="003B60B8"/>
    <w:rsid w:val="003B67EF"/>
    <w:rsid w:val="003B68F9"/>
    <w:rsid w:val="003B6FE4"/>
    <w:rsid w:val="003B76E6"/>
    <w:rsid w:val="003C0DB2"/>
    <w:rsid w:val="003C35E1"/>
    <w:rsid w:val="003C43E1"/>
    <w:rsid w:val="003C4F98"/>
    <w:rsid w:val="003C7BA5"/>
    <w:rsid w:val="003D1FB4"/>
    <w:rsid w:val="003D5B88"/>
    <w:rsid w:val="003E20BD"/>
    <w:rsid w:val="003E2517"/>
    <w:rsid w:val="003E3713"/>
    <w:rsid w:val="003E3ABD"/>
    <w:rsid w:val="003F22E5"/>
    <w:rsid w:val="003F4D4B"/>
    <w:rsid w:val="003F5E9A"/>
    <w:rsid w:val="003F7EBE"/>
    <w:rsid w:val="00400D5E"/>
    <w:rsid w:val="004025B0"/>
    <w:rsid w:val="00403DC2"/>
    <w:rsid w:val="00404259"/>
    <w:rsid w:val="00404A86"/>
    <w:rsid w:val="00406C42"/>
    <w:rsid w:val="004128E0"/>
    <w:rsid w:val="00414B6F"/>
    <w:rsid w:val="00416657"/>
    <w:rsid w:val="00416B49"/>
    <w:rsid w:val="004220C2"/>
    <w:rsid w:val="00424E7A"/>
    <w:rsid w:val="0042634A"/>
    <w:rsid w:val="00426C74"/>
    <w:rsid w:val="004301EF"/>
    <w:rsid w:val="004307D6"/>
    <w:rsid w:val="00431ED6"/>
    <w:rsid w:val="00432129"/>
    <w:rsid w:val="004328E7"/>
    <w:rsid w:val="00432F2F"/>
    <w:rsid w:val="004353CB"/>
    <w:rsid w:val="00440900"/>
    <w:rsid w:val="00441B83"/>
    <w:rsid w:val="00442AE4"/>
    <w:rsid w:val="004434E6"/>
    <w:rsid w:val="00443641"/>
    <w:rsid w:val="00445947"/>
    <w:rsid w:val="00446C74"/>
    <w:rsid w:val="00451DE6"/>
    <w:rsid w:val="00452844"/>
    <w:rsid w:val="00456238"/>
    <w:rsid w:val="0045694B"/>
    <w:rsid w:val="00456E2A"/>
    <w:rsid w:val="00464B6C"/>
    <w:rsid w:val="00465D24"/>
    <w:rsid w:val="00466DF0"/>
    <w:rsid w:val="00466FC6"/>
    <w:rsid w:val="00467A3E"/>
    <w:rsid w:val="00470A7D"/>
    <w:rsid w:val="00470EC5"/>
    <w:rsid w:val="004714E4"/>
    <w:rsid w:val="004725AE"/>
    <w:rsid w:val="00473F11"/>
    <w:rsid w:val="004756EE"/>
    <w:rsid w:val="00476E1D"/>
    <w:rsid w:val="00477A35"/>
    <w:rsid w:val="00484563"/>
    <w:rsid w:val="00486681"/>
    <w:rsid w:val="00487A7D"/>
    <w:rsid w:val="0049158C"/>
    <w:rsid w:val="004934C9"/>
    <w:rsid w:val="00493C92"/>
    <w:rsid w:val="00494131"/>
    <w:rsid w:val="00494FF7"/>
    <w:rsid w:val="004959D1"/>
    <w:rsid w:val="00495F3A"/>
    <w:rsid w:val="00497960"/>
    <w:rsid w:val="00497994"/>
    <w:rsid w:val="00497A27"/>
    <w:rsid w:val="004A0B70"/>
    <w:rsid w:val="004A0F5D"/>
    <w:rsid w:val="004A299B"/>
    <w:rsid w:val="004A6D4B"/>
    <w:rsid w:val="004A6E89"/>
    <w:rsid w:val="004A7E6F"/>
    <w:rsid w:val="004B6E8B"/>
    <w:rsid w:val="004C1759"/>
    <w:rsid w:val="004C1F2D"/>
    <w:rsid w:val="004C388C"/>
    <w:rsid w:val="004C7331"/>
    <w:rsid w:val="004D051E"/>
    <w:rsid w:val="004D0B43"/>
    <w:rsid w:val="004D174A"/>
    <w:rsid w:val="004D3166"/>
    <w:rsid w:val="004D4FEB"/>
    <w:rsid w:val="004E0D17"/>
    <w:rsid w:val="004E13A8"/>
    <w:rsid w:val="004E2CBA"/>
    <w:rsid w:val="004E3753"/>
    <w:rsid w:val="004E79F7"/>
    <w:rsid w:val="004F0783"/>
    <w:rsid w:val="004F0798"/>
    <w:rsid w:val="004F17B2"/>
    <w:rsid w:val="004F2C88"/>
    <w:rsid w:val="004F56DE"/>
    <w:rsid w:val="004F5F4F"/>
    <w:rsid w:val="0050254F"/>
    <w:rsid w:val="005026C6"/>
    <w:rsid w:val="00504070"/>
    <w:rsid w:val="00505F86"/>
    <w:rsid w:val="0050658F"/>
    <w:rsid w:val="00507C77"/>
    <w:rsid w:val="00512CA1"/>
    <w:rsid w:val="00513645"/>
    <w:rsid w:val="00513F66"/>
    <w:rsid w:val="00514146"/>
    <w:rsid w:val="00517B83"/>
    <w:rsid w:val="00517C4B"/>
    <w:rsid w:val="00520183"/>
    <w:rsid w:val="005206D2"/>
    <w:rsid w:val="005225E4"/>
    <w:rsid w:val="00522F12"/>
    <w:rsid w:val="00523953"/>
    <w:rsid w:val="00524E0A"/>
    <w:rsid w:val="00525E06"/>
    <w:rsid w:val="00525EEA"/>
    <w:rsid w:val="005266F6"/>
    <w:rsid w:val="00527C0E"/>
    <w:rsid w:val="0053289E"/>
    <w:rsid w:val="005332ED"/>
    <w:rsid w:val="005333AA"/>
    <w:rsid w:val="0053456C"/>
    <w:rsid w:val="005354FE"/>
    <w:rsid w:val="005361C2"/>
    <w:rsid w:val="0053762A"/>
    <w:rsid w:val="00537A82"/>
    <w:rsid w:val="0054210B"/>
    <w:rsid w:val="00542C43"/>
    <w:rsid w:val="0054341C"/>
    <w:rsid w:val="00545259"/>
    <w:rsid w:val="005469C7"/>
    <w:rsid w:val="00546C21"/>
    <w:rsid w:val="00547156"/>
    <w:rsid w:val="00547CB1"/>
    <w:rsid w:val="00547F17"/>
    <w:rsid w:val="00551653"/>
    <w:rsid w:val="00552A3E"/>
    <w:rsid w:val="005531DA"/>
    <w:rsid w:val="00553CFE"/>
    <w:rsid w:val="00554EFF"/>
    <w:rsid w:val="005555A1"/>
    <w:rsid w:val="00555E2B"/>
    <w:rsid w:val="0056176B"/>
    <w:rsid w:val="0056278E"/>
    <w:rsid w:val="005635E7"/>
    <w:rsid w:val="00563EEE"/>
    <w:rsid w:val="00567EFB"/>
    <w:rsid w:val="005709E2"/>
    <w:rsid w:val="0057191A"/>
    <w:rsid w:val="005721FC"/>
    <w:rsid w:val="00573817"/>
    <w:rsid w:val="005739DD"/>
    <w:rsid w:val="00575F61"/>
    <w:rsid w:val="00580048"/>
    <w:rsid w:val="0058032E"/>
    <w:rsid w:val="00580D27"/>
    <w:rsid w:val="00583045"/>
    <w:rsid w:val="00586427"/>
    <w:rsid w:val="00590091"/>
    <w:rsid w:val="00590748"/>
    <w:rsid w:val="0059262D"/>
    <w:rsid w:val="00592647"/>
    <w:rsid w:val="005934FE"/>
    <w:rsid w:val="005A1855"/>
    <w:rsid w:val="005A21EE"/>
    <w:rsid w:val="005A339A"/>
    <w:rsid w:val="005A5B3A"/>
    <w:rsid w:val="005B1D90"/>
    <w:rsid w:val="005B2020"/>
    <w:rsid w:val="005B2BAB"/>
    <w:rsid w:val="005B388B"/>
    <w:rsid w:val="005B4D32"/>
    <w:rsid w:val="005B5026"/>
    <w:rsid w:val="005B52AE"/>
    <w:rsid w:val="005C06E1"/>
    <w:rsid w:val="005C29CB"/>
    <w:rsid w:val="005C3C60"/>
    <w:rsid w:val="005C518C"/>
    <w:rsid w:val="005C64AD"/>
    <w:rsid w:val="005D047F"/>
    <w:rsid w:val="005D1A09"/>
    <w:rsid w:val="005D2F31"/>
    <w:rsid w:val="005D2F9B"/>
    <w:rsid w:val="005D3FB8"/>
    <w:rsid w:val="005D6B75"/>
    <w:rsid w:val="005D6BA5"/>
    <w:rsid w:val="005D75AC"/>
    <w:rsid w:val="005E1935"/>
    <w:rsid w:val="005E4CB0"/>
    <w:rsid w:val="005E6DE0"/>
    <w:rsid w:val="005E7B06"/>
    <w:rsid w:val="005F3E08"/>
    <w:rsid w:val="005F765B"/>
    <w:rsid w:val="00605F40"/>
    <w:rsid w:val="00610544"/>
    <w:rsid w:val="00611177"/>
    <w:rsid w:val="006111F9"/>
    <w:rsid w:val="00612F55"/>
    <w:rsid w:val="00613688"/>
    <w:rsid w:val="00614651"/>
    <w:rsid w:val="00615926"/>
    <w:rsid w:val="006160B0"/>
    <w:rsid w:val="00620229"/>
    <w:rsid w:val="006209A2"/>
    <w:rsid w:val="00621A05"/>
    <w:rsid w:val="006223E5"/>
    <w:rsid w:val="00624F00"/>
    <w:rsid w:val="006269F4"/>
    <w:rsid w:val="006310F4"/>
    <w:rsid w:val="0063263C"/>
    <w:rsid w:val="00633CAC"/>
    <w:rsid w:val="00633D5B"/>
    <w:rsid w:val="006340BB"/>
    <w:rsid w:val="006342C3"/>
    <w:rsid w:val="00636131"/>
    <w:rsid w:val="0063689F"/>
    <w:rsid w:val="00637A82"/>
    <w:rsid w:val="006402BF"/>
    <w:rsid w:val="006430A6"/>
    <w:rsid w:val="00645359"/>
    <w:rsid w:val="00650716"/>
    <w:rsid w:val="006610B9"/>
    <w:rsid w:val="0066110E"/>
    <w:rsid w:val="00662F6F"/>
    <w:rsid w:val="00663E2B"/>
    <w:rsid w:val="00665391"/>
    <w:rsid w:val="006654DC"/>
    <w:rsid w:val="00666075"/>
    <w:rsid w:val="00666995"/>
    <w:rsid w:val="00672634"/>
    <w:rsid w:val="00672932"/>
    <w:rsid w:val="0067321A"/>
    <w:rsid w:val="00675EB0"/>
    <w:rsid w:val="006810CA"/>
    <w:rsid w:val="00681512"/>
    <w:rsid w:val="00681AA3"/>
    <w:rsid w:val="00684092"/>
    <w:rsid w:val="00684D72"/>
    <w:rsid w:val="00690062"/>
    <w:rsid w:val="00691F44"/>
    <w:rsid w:val="006931A4"/>
    <w:rsid w:val="0069389D"/>
    <w:rsid w:val="006938A9"/>
    <w:rsid w:val="0069550F"/>
    <w:rsid w:val="00696881"/>
    <w:rsid w:val="006A0451"/>
    <w:rsid w:val="006A080D"/>
    <w:rsid w:val="006A1507"/>
    <w:rsid w:val="006A49F0"/>
    <w:rsid w:val="006A4B35"/>
    <w:rsid w:val="006A66E7"/>
    <w:rsid w:val="006A7A31"/>
    <w:rsid w:val="006B092D"/>
    <w:rsid w:val="006B0DDB"/>
    <w:rsid w:val="006B3789"/>
    <w:rsid w:val="006B4181"/>
    <w:rsid w:val="006C2356"/>
    <w:rsid w:val="006C3112"/>
    <w:rsid w:val="006C6C52"/>
    <w:rsid w:val="006C72D2"/>
    <w:rsid w:val="006D00C9"/>
    <w:rsid w:val="006D17A2"/>
    <w:rsid w:val="006D1E44"/>
    <w:rsid w:val="006D31BE"/>
    <w:rsid w:val="006E0A81"/>
    <w:rsid w:val="006E20D1"/>
    <w:rsid w:val="006E238B"/>
    <w:rsid w:val="006E2E5C"/>
    <w:rsid w:val="006E447B"/>
    <w:rsid w:val="006E4F1E"/>
    <w:rsid w:val="006F0958"/>
    <w:rsid w:val="006F149C"/>
    <w:rsid w:val="006F30FD"/>
    <w:rsid w:val="006F54E2"/>
    <w:rsid w:val="006F6030"/>
    <w:rsid w:val="007000A5"/>
    <w:rsid w:val="007009CE"/>
    <w:rsid w:val="00701216"/>
    <w:rsid w:val="007015F7"/>
    <w:rsid w:val="00702BD3"/>
    <w:rsid w:val="00703A1A"/>
    <w:rsid w:val="00704F1D"/>
    <w:rsid w:val="0070667D"/>
    <w:rsid w:val="007067B2"/>
    <w:rsid w:val="0071021F"/>
    <w:rsid w:val="007115A0"/>
    <w:rsid w:val="0071236C"/>
    <w:rsid w:val="00712BB6"/>
    <w:rsid w:val="0071395B"/>
    <w:rsid w:val="00714082"/>
    <w:rsid w:val="0071597E"/>
    <w:rsid w:val="007216ED"/>
    <w:rsid w:val="00722317"/>
    <w:rsid w:val="00722867"/>
    <w:rsid w:val="00723D23"/>
    <w:rsid w:val="00724907"/>
    <w:rsid w:val="00725955"/>
    <w:rsid w:val="007262A5"/>
    <w:rsid w:val="00727293"/>
    <w:rsid w:val="00727620"/>
    <w:rsid w:val="007312B1"/>
    <w:rsid w:val="00731B6D"/>
    <w:rsid w:val="00731DC8"/>
    <w:rsid w:val="007331FF"/>
    <w:rsid w:val="0073661B"/>
    <w:rsid w:val="00737021"/>
    <w:rsid w:val="00737953"/>
    <w:rsid w:val="00737A54"/>
    <w:rsid w:val="00741A44"/>
    <w:rsid w:val="007427FA"/>
    <w:rsid w:val="007432C5"/>
    <w:rsid w:val="00744A6B"/>
    <w:rsid w:val="007500BE"/>
    <w:rsid w:val="00750A1E"/>
    <w:rsid w:val="007527FD"/>
    <w:rsid w:val="007552F4"/>
    <w:rsid w:val="0076005A"/>
    <w:rsid w:val="00761043"/>
    <w:rsid w:val="00762D37"/>
    <w:rsid w:val="00763BAF"/>
    <w:rsid w:val="007655F4"/>
    <w:rsid w:val="007675DB"/>
    <w:rsid w:val="007700BF"/>
    <w:rsid w:val="00770B53"/>
    <w:rsid w:val="007715A2"/>
    <w:rsid w:val="00771988"/>
    <w:rsid w:val="00773685"/>
    <w:rsid w:val="007763D4"/>
    <w:rsid w:val="0078282A"/>
    <w:rsid w:val="00783A54"/>
    <w:rsid w:val="00783C98"/>
    <w:rsid w:val="00783E54"/>
    <w:rsid w:val="00784146"/>
    <w:rsid w:val="00784555"/>
    <w:rsid w:val="00784B1B"/>
    <w:rsid w:val="00786C31"/>
    <w:rsid w:val="00790E33"/>
    <w:rsid w:val="007945A2"/>
    <w:rsid w:val="00794E9A"/>
    <w:rsid w:val="007970D0"/>
    <w:rsid w:val="007A2FFD"/>
    <w:rsid w:val="007A3092"/>
    <w:rsid w:val="007A410A"/>
    <w:rsid w:val="007A491D"/>
    <w:rsid w:val="007A5265"/>
    <w:rsid w:val="007A7585"/>
    <w:rsid w:val="007A7F0B"/>
    <w:rsid w:val="007B4A79"/>
    <w:rsid w:val="007B52D5"/>
    <w:rsid w:val="007B6432"/>
    <w:rsid w:val="007B6704"/>
    <w:rsid w:val="007B6832"/>
    <w:rsid w:val="007B6D93"/>
    <w:rsid w:val="007D0477"/>
    <w:rsid w:val="007D2930"/>
    <w:rsid w:val="007D5F67"/>
    <w:rsid w:val="007D7481"/>
    <w:rsid w:val="007E0268"/>
    <w:rsid w:val="007E3ECB"/>
    <w:rsid w:val="007E7417"/>
    <w:rsid w:val="007F0537"/>
    <w:rsid w:val="007F184A"/>
    <w:rsid w:val="007F5A87"/>
    <w:rsid w:val="007F6860"/>
    <w:rsid w:val="007F6C0B"/>
    <w:rsid w:val="007F7445"/>
    <w:rsid w:val="008023C7"/>
    <w:rsid w:val="00802490"/>
    <w:rsid w:val="00803E7D"/>
    <w:rsid w:val="008042C5"/>
    <w:rsid w:val="00805301"/>
    <w:rsid w:val="008068EF"/>
    <w:rsid w:val="00810916"/>
    <w:rsid w:val="00812E6D"/>
    <w:rsid w:val="00813E76"/>
    <w:rsid w:val="00816241"/>
    <w:rsid w:val="00817F77"/>
    <w:rsid w:val="008209FD"/>
    <w:rsid w:val="00821A2D"/>
    <w:rsid w:val="00823168"/>
    <w:rsid w:val="00824E36"/>
    <w:rsid w:val="0083079C"/>
    <w:rsid w:val="00832268"/>
    <w:rsid w:val="008329F3"/>
    <w:rsid w:val="008335DE"/>
    <w:rsid w:val="008354C3"/>
    <w:rsid w:val="00844DCF"/>
    <w:rsid w:val="00846710"/>
    <w:rsid w:val="00846B46"/>
    <w:rsid w:val="008478D7"/>
    <w:rsid w:val="008500D3"/>
    <w:rsid w:val="00852D65"/>
    <w:rsid w:val="00853562"/>
    <w:rsid w:val="00854EDA"/>
    <w:rsid w:val="00856F9D"/>
    <w:rsid w:val="008610E7"/>
    <w:rsid w:val="0086162C"/>
    <w:rsid w:val="008626BB"/>
    <w:rsid w:val="008638D3"/>
    <w:rsid w:val="00863B55"/>
    <w:rsid w:val="008653E7"/>
    <w:rsid w:val="008673DB"/>
    <w:rsid w:val="0086798E"/>
    <w:rsid w:val="008701A2"/>
    <w:rsid w:val="008709B4"/>
    <w:rsid w:val="00872176"/>
    <w:rsid w:val="00872395"/>
    <w:rsid w:val="00872D6E"/>
    <w:rsid w:val="00874488"/>
    <w:rsid w:val="00874C2D"/>
    <w:rsid w:val="00876F05"/>
    <w:rsid w:val="00877009"/>
    <w:rsid w:val="00880498"/>
    <w:rsid w:val="00880905"/>
    <w:rsid w:val="00880A03"/>
    <w:rsid w:val="00881CC8"/>
    <w:rsid w:val="00883272"/>
    <w:rsid w:val="008841E6"/>
    <w:rsid w:val="0088707B"/>
    <w:rsid w:val="00887537"/>
    <w:rsid w:val="0089189E"/>
    <w:rsid w:val="0089624F"/>
    <w:rsid w:val="008A052E"/>
    <w:rsid w:val="008A133B"/>
    <w:rsid w:val="008A2CD0"/>
    <w:rsid w:val="008A3599"/>
    <w:rsid w:val="008A401F"/>
    <w:rsid w:val="008A4939"/>
    <w:rsid w:val="008A4F21"/>
    <w:rsid w:val="008A4F33"/>
    <w:rsid w:val="008A71FC"/>
    <w:rsid w:val="008B0F7C"/>
    <w:rsid w:val="008B2EA0"/>
    <w:rsid w:val="008B3747"/>
    <w:rsid w:val="008B3C1C"/>
    <w:rsid w:val="008B6435"/>
    <w:rsid w:val="008B6549"/>
    <w:rsid w:val="008C2BBA"/>
    <w:rsid w:val="008C36E3"/>
    <w:rsid w:val="008C414E"/>
    <w:rsid w:val="008C4477"/>
    <w:rsid w:val="008C67CE"/>
    <w:rsid w:val="008C6CAA"/>
    <w:rsid w:val="008C7B35"/>
    <w:rsid w:val="008D1A33"/>
    <w:rsid w:val="008D6A28"/>
    <w:rsid w:val="008D6EC3"/>
    <w:rsid w:val="008D7F32"/>
    <w:rsid w:val="008E1C0D"/>
    <w:rsid w:val="008E22C5"/>
    <w:rsid w:val="008E264A"/>
    <w:rsid w:val="008E3254"/>
    <w:rsid w:val="008E5F6F"/>
    <w:rsid w:val="008E713D"/>
    <w:rsid w:val="008E7885"/>
    <w:rsid w:val="008E7A22"/>
    <w:rsid w:val="008F0C6A"/>
    <w:rsid w:val="008F1948"/>
    <w:rsid w:val="008F3D3B"/>
    <w:rsid w:val="008F45ED"/>
    <w:rsid w:val="008F4C2A"/>
    <w:rsid w:val="008F6B84"/>
    <w:rsid w:val="008F722F"/>
    <w:rsid w:val="00903965"/>
    <w:rsid w:val="00904055"/>
    <w:rsid w:val="00905AE0"/>
    <w:rsid w:val="00906D87"/>
    <w:rsid w:val="00906E53"/>
    <w:rsid w:val="00911A87"/>
    <w:rsid w:val="00913CC0"/>
    <w:rsid w:val="00914137"/>
    <w:rsid w:val="009212C8"/>
    <w:rsid w:val="00922A62"/>
    <w:rsid w:val="009231FD"/>
    <w:rsid w:val="00925641"/>
    <w:rsid w:val="009267DC"/>
    <w:rsid w:val="00930387"/>
    <w:rsid w:val="009312A7"/>
    <w:rsid w:val="009314D6"/>
    <w:rsid w:val="0093293C"/>
    <w:rsid w:val="00933311"/>
    <w:rsid w:val="00937061"/>
    <w:rsid w:val="00940209"/>
    <w:rsid w:val="00946ACF"/>
    <w:rsid w:val="009509C0"/>
    <w:rsid w:val="00950C96"/>
    <w:rsid w:val="0095234A"/>
    <w:rsid w:val="009562F0"/>
    <w:rsid w:val="00960AA7"/>
    <w:rsid w:val="0096140B"/>
    <w:rsid w:val="00962266"/>
    <w:rsid w:val="00963849"/>
    <w:rsid w:val="00963C3E"/>
    <w:rsid w:val="009640CE"/>
    <w:rsid w:val="0096584A"/>
    <w:rsid w:val="00966C8E"/>
    <w:rsid w:val="00974FFF"/>
    <w:rsid w:val="0097768D"/>
    <w:rsid w:val="009777DC"/>
    <w:rsid w:val="00981765"/>
    <w:rsid w:val="00984D26"/>
    <w:rsid w:val="00985B90"/>
    <w:rsid w:val="00987E29"/>
    <w:rsid w:val="00991499"/>
    <w:rsid w:val="00991DB5"/>
    <w:rsid w:val="0099203F"/>
    <w:rsid w:val="00992AC6"/>
    <w:rsid w:val="009942F6"/>
    <w:rsid w:val="00995F5F"/>
    <w:rsid w:val="009966F8"/>
    <w:rsid w:val="00996A07"/>
    <w:rsid w:val="00997618"/>
    <w:rsid w:val="009A29B5"/>
    <w:rsid w:val="009A3AE1"/>
    <w:rsid w:val="009A3E15"/>
    <w:rsid w:val="009A4F29"/>
    <w:rsid w:val="009A632D"/>
    <w:rsid w:val="009A723A"/>
    <w:rsid w:val="009B0277"/>
    <w:rsid w:val="009B500C"/>
    <w:rsid w:val="009B6B50"/>
    <w:rsid w:val="009C1535"/>
    <w:rsid w:val="009C1909"/>
    <w:rsid w:val="009C1B17"/>
    <w:rsid w:val="009C3D05"/>
    <w:rsid w:val="009C4126"/>
    <w:rsid w:val="009C66DD"/>
    <w:rsid w:val="009C7083"/>
    <w:rsid w:val="009D079B"/>
    <w:rsid w:val="009D087C"/>
    <w:rsid w:val="009D0CE6"/>
    <w:rsid w:val="009D2408"/>
    <w:rsid w:val="009D524B"/>
    <w:rsid w:val="009D5D1F"/>
    <w:rsid w:val="009E4321"/>
    <w:rsid w:val="009E56DF"/>
    <w:rsid w:val="009E5BEB"/>
    <w:rsid w:val="009E64C3"/>
    <w:rsid w:val="009F0A5B"/>
    <w:rsid w:val="009F20C6"/>
    <w:rsid w:val="009F263C"/>
    <w:rsid w:val="009F2694"/>
    <w:rsid w:val="009F48D0"/>
    <w:rsid w:val="009F4946"/>
    <w:rsid w:val="009F4CCF"/>
    <w:rsid w:val="00A00F10"/>
    <w:rsid w:val="00A02729"/>
    <w:rsid w:val="00A03050"/>
    <w:rsid w:val="00A043F2"/>
    <w:rsid w:val="00A04690"/>
    <w:rsid w:val="00A07102"/>
    <w:rsid w:val="00A11748"/>
    <w:rsid w:val="00A1181C"/>
    <w:rsid w:val="00A13100"/>
    <w:rsid w:val="00A14782"/>
    <w:rsid w:val="00A23B05"/>
    <w:rsid w:val="00A259DE"/>
    <w:rsid w:val="00A27E0F"/>
    <w:rsid w:val="00A3036D"/>
    <w:rsid w:val="00A33EAA"/>
    <w:rsid w:val="00A34FA0"/>
    <w:rsid w:val="00A355A9"/>
    <w:rsid w:val="00A366AD"/>
    <w:rsid w:val="00A37D6E"/>
    <w:rsid w:val="00A40ACE"/>
    <w:rsid w:val="00A412F7"/>
    <w:rsid w:val="00A4211A"/>
    <w:rsid w:val="00A43D06"/>
    <w:rsid w:val="00A44829"/>
    <w:rsid w:val="00A45455"/>
    <w:rsid w:val="00A52D3B"/>
    <w:rsid w:val="00A5624A"/>
    <w:rsid w:val="00A636BD"/>
    <w:rsid w:val="00A65F89"/>
    <w:rsid w:val="00A66CD3"/>
    <w:rsid w:val="00A677C4"/>
    <w:rsid w:val="00A70B3B"/>
    <w:rsid w:val="00A72CC5"/>
    <w:rsid w:val="00A7332E"/>
    <w:rsid w:val="00A82C96"/>
    <w:rsid w:val="00A83000"/>
    <w:rsid w:val="00A87850"/>
    <w:rsid w:val="00A902FC"/>
    <w:rsid w:val="00A90C8D"/>
    <w:rsid w:val="00A90D5C"/>
    <w:rsid w:val="00A91749"/>
    <w:rsid w:val="00A91AEB"/>
    <w:rsid w:val="00A92619"/>
    <w:rsid w:val="00A928BD"/>
    <w:rsid w:val="00A93029"/>
    <w:rsid w:val="00A96C73"/>
    <w:rsid w:val="00AA19A6"/>
    <w:rsid w:val="00AA2B01"/>
    <w:rsid w:val="00AA3F22"/>
    <w:rsid w:val="00AA6D24"/>
    <w:rsid w:val="00AB0CB8"/>
    <w:rsid w:val="00AB63DE"/>
    <w:rsid w:val="00AB67FD"/>
    <w:rsid w:val="00AC089B"/>
    <w:rsid w:val="00AC31EE"/>
    <w:rsid w:val="00AC3307"/>
    <w:rsid w:val="00AC55F5"/>
    <w:rsid w:val="00AC629C"/>
    <w:rsid w:val="00AD0A1C"/>
    <w:rsid w:val="00AD3215"/>
    <w:rsid w:val="00AD3E22"/>
    <w:rsid w:val="00AD47AF"/>
    <w:rsid w:val="00AD48FE"/>
    <w:rsid w:val="00AD6129"/>
    <w:rsid w:val="00AD6D23"/>
    <w:rsid w:val="00AD7B57"/>
    <w:rsid w:val="00AE05AD"/>
    <w:rsid w:val="00AE1225"/>
    <w:rsid w:val="00AE137B"/>
    <w:rsid w:val="00AE2B55"/>
    <w:rsid w:val="00AE4ABB"/>
    <w:rsid w:val="00AF274C"/>
    <w:rsid w:val="00AF2BE6"/>
    <w:rsid w:val="00AF50FC"/>
    <w:rsid w:val="00AF5885"/>
    <w:rsid w:val="00AF72AF"/>
    <w:rsid w:val="00B01ACF"/>
    <w:rsid w:val="00B05524"/>
    <w:rsid w:val="00B057CB"/>
    <w:rsid w:val="00B0786F"/>
    <w:rsid w:val="00B11007"/>
    <w:rsid w:val="00B11909"/>
    <w:rsid w:val="00B14D62"/>
    <w:rsid w:val="00B15BB3"/>
    <w:rsid w:val="00B1732F"/>
    <w:rsid w:val="00B2143F"/>
    <w:rsid w:val="00B22A3B"/>
    <w:rsid w:val="00B22C1E"/>
    <w:rsid w:val="00B235E3"/>
    <w:rsid w:val="00B24EC3"/>
    <w:rsid w:val="00B275DF"/>
    <w:rsid w:val="00B27DBB"/>
    <w:rsid w:val="00B30CB9"/>
    <w:rsid w:val="00B32E7C"/>
    <w:rsid w:val="00B33594"/>
    <w:rsid w:val="00B359FB"/>
    <w:rsid w:val="00B60777"/>
    <w:rsid w:val="00B623F2"/>
    <w:rsid w:val="00B70E8F"/>
    <w:rsid w:val="00B714E0"/>
    <w:rsid w:val="00B742E3"/>
    <w:rsid w:val="00B746AC"/>
    <w:rsid w:val="00B74FA0"/>
    <w:rsid w:val="00B82758"/>
    <w:rsid w:val="00B82B10"/>
    <w:rsid w:val="00B85752"/>
    <w:rsid w:val="00B90686"/>
    <w:rsid w:val="00B90B95"/>
    <w:rsid w:val="00B965C1"/>
    <w:rsid w:val="00B96CC8"/>
    <w:rsid w:val="00BA044F"/>
    <w:rsid w:val="00BA0DA2"/>
    <w:rsid w:val="00BA5406"/>
    <w:rsid w:val="00BA6AC8"/>
    <w:rsid w:val="00BA6EE0"/>
    <w:rsid w:val="00BB09C0"/>
    <w:rsid w:val="00BB12EE"/>
    <w:rsid w:val="00BB2779"/>
    <w:rsid w:val="00BB4537"/>
    <w:rsid w:val="00BB45CC"/>
    <w:rsid w:val="00BC1A39"/>
    <w:rsid w:val="00BC66D1"/>
    <w:rsid w:val="00BD0F0A"/>
    <w:rsid w:val="00BD2782"/>
    <w:rsid w:val="00BD70E5"/>
    <w:rsid w:val="00BD7385"/>
    <w:rsid w:val="00BD7D04"/>
    <w:rsid w:val="00BE0A3F"/>
    <w:rsid w:val="00BE3171"/>
    <w:rsid w:val="00BE3DEC"/>
    <w:rsid w:val="00BE4E77"/>
    <w:rsid w:val="00BE5CE6"/>
    <w:rsid w:val="00BE6D58"/>
    <w:rsid w:val="00BE7E39"/>
    <w:rsid w:val="00BF0A3D"/>
    <w:rsid w:val="00BF231A"/>
    <w:rsid w:val="00BF4212"/>
    <w:rsid w:val="00BF5483"/>
    <w:rsid w:val="00BF7658"/>
    <w:rsid w:val="00BF7F4F"/>
    <w:rsid w:val="00C003F0"/>
    <w:rsid w:val="00C00C35"/>
    <w:rsid w:val="00C00C99"/>
    <w:rsid w:val="00C0117D"/>
    <w:rsid w:val="00C02F89"/>
    <w:rsid w:val="00C07D78"/>
    <w:rsid w:val="00C1104B"/>
    <w:rsid w:val="00C15CA1"/>
    <w:rsid w:val="00C16097"/>
    <w:rsid w:val="00C16CDC"/>
    <w:rsid w:val="00C177B1"/>
    <w:rsid w:val="00C20999"/>
    <w:rsid w:val="00C21857"/>
    <w:rsid w:val="00C23B84"/>
    <w:rsid w:val="00C26DAD"/>
    <w:rsid w:val="00C341A7"/>
    <w:rsid w:val="00C34824"/>
    <w:rsid w:val="00C34889"/>
    <w:rsid w:val="00C34E9F"/>
    <w:rsid w:val="00C366D1"/>
    <w:rsid w:val="00C404EA"/>
    <w:rsid w:val="00C40A80"/>
    <w:rsid w:val="00C434E1"/>
    <w:rsid w:val="00C47ECF"/>
    <w:rsid w:val="00C52BDD"/>
    <w:rsid w:val="00C54E40"/>
    <w:rsid w:val="00C56177"/>
    <w:rsid w:val="00C5763A"/>
    <w:rsid w:val="00C65679"/>
    <w:rsid w:val="00C656EF"/>
    <w:rsid w:val="00C67F59"/>
    <w:rsid w:val="00C70268"/>
    <w:rsid w:val="00C71274"/>
    <w:rsid w:val="00C74232"/>
    <w:rsid w:val="00C77334"/>
    <w:rsid w:val="00C805ED"/>
    <w:rsid w:val="00C8181A"/>
    <w:rsid w:val="00C81D72"/>
    <w:rsid w:val="00C84011"/>
    <w:rsid w:val="00C854E1"/>
    <w:rsid w:val="00C85F95"/>
    <w:rsid w:val="00C868DC"/>
    <w:rsid w:val="00C877A3"/>
    <w:rsid w:val="00C8780E"/>
    <w:rsid w:val="00C97531"/>
    <w:rsid w:val="00CA0165"/>
    <w:rsid w:val="00CA0233"/>
    <w:rsid w:val="00CA064B"/>
    <w:rsid w:val="00CA0CE5"/>
    <w:rsid w:val="00CA21CD"/>
    <w:rsid w:val="00CA3486"/>
    <w:rsid w:val="00CA5461"/>
    <w:rsid w:val="00CA6292"/>
    <w:rsid w:val="00CA62C0"/>
    <w:rsid w:val="00CA6B19"/>
    <w:rsid w:val="00CA7DAE"/>
    <w:rsid w:val="00CB0DC3"/>
    <w:rsid w:val="00CB0E8C"/>
    <w:rsid w:val="00CB297E"/>
    <w:rsid w:val="00CB5601"/>
    <w:rsid w:val="00CB7FDD"/>
    <w:rsid w:val="00CC2558"/>
    <w:rsid w:val="00CC27F8"/>
    <w:rsid w:val="00CC2A8A"/>
    <w:rsid w:val="00CC4838"/>
    <w:rsid w:val="00CC4DAA"/>
    <w:rsid w:val="00CD20FE"/>
    <w:rsid w:val="00CD2FC3"/>
    <w:rsid w:val="00CD3106"/>
    <w:rsid w:val="00CD3692"/>
    <w:rsid w:val="00CD46E8"/>
    <w:rsid w:val="00CD4F46"/>
    <w:rsid w:val="00CD609B"/>
    <w:rsid w:val="00CE0327"/>
    <w:rsid w:val="00CE07F3"/>
    <w:rsid w:val="00CE292F"/>
    <w:rsid w:val="00CE2CAF"/>
    <w:rsid w:val="00CE4646"/>
    <w:rsid w:val="00CE48B6"/>
    <w:rsid w:val="00CE59A3"/>
    <w:rsid w:val="00CE74DC"/>
    <w:rsid w:val="00CE7704"/>
    <w:rsid w:val="00CE7FA4"/>
    <w:rsid w:val="00CF3885"/>
    <w:rsid w:val="00CF781F"/>
    <w:rsid w:val="00CF7B96"/>
    <w:rsid w:val="00D002F0"/>
    <w:rsid w:val="00D01723"/>
    <w:rsid w:val="00D07596"/>
    <w:rsid w:val="00D0779A"/>
    <w:rsid w:val="00D07867"/>
    <w:rsid w:val="00D124B0"/>
    <w:rsid w:val="00D1391A"/>
    <w:rsid w:val="00D140AB"/>
    <w:rsid w:val="00D2004B"/>
    <w:rsid w:val="00D21717"/>
    <w:rsid w:val="00D26ECE"/>
    <w:rsid w:val="00D32886"/>
    <w:rsid w:val="00D34ADE"/>
    <w:rsid w:val="00D368B7"/>
    <w:rsid w:val="00D403BE"/>
    <w:rsid w:val="00D40D49"/>
    <w:rsid w:val="00D4172E"/>
    <w:rsid w:val="00D47C88"/>
    <w:rsid w:val="00D50A57"/>
    <w:rsid w:val="00D50A58"/>
    <w:rsid w:val="00D60A79"/>
    <w:rsid w:val="00D6167D"/>
    <w:rsid w:val="00D63684"/>
    <w:rsid w:val="00D6421B"/>
    <w:rsid w:val="00D655C8"/>
    <w:rsid w:val="00D671AB"/>
    <w:rsid w:val="00D67610"/>
    <w:rsid w:val="00D676CE"/>
    <w:rsid w:val="00D71A61"/>
    <w:rsid w:val="00D729F0"/>
    <w:rsid w:val="00D7333A"/>
    <w:rsid w:val="00D75917"/>
    <w:rsid w:val="00D75EA4"/>
    <w:rsid w:val="00D778AF"/>
    <w:rsid w:val="00D84CE3"/>
    <w:rsid w:val="00D859D9"/>
    <w:rsid w:val="00D85CEC"/>
    <w:rsid w:val="00D8634E"/>
    <w:rsid w:val="00D87CF5"/>
    <w:rsid w:val="00D87EA6"/>
    <w:rsid w:val="00D90617"/>
    <w:rsid w:val="00D911FE"/>
    <w:rsid w:val="00D9412D"/>
    <w:rsid w:val="00D95D06"/>
    <w:rsid w:val="00D96BB1"/>
    <w:rsid w:val="00DA2EA2"/>
    <w:rsid w:val="00DA3B39"/>
    <w:rsid w:val="00DA3D6B"/>
    <w:rsid w:val="00DA4E8D"/>
    <w:rsid w:val="00DA5800"/>
    <w:rsid w:val="00DB331C"/>
    <w:rsid w:val="00DB4D11"/>
    <w:rsid w:val="00DC0F4C"/>
    <w:rsid w:val="00DC2EE9"/>
    <w:rsid w:val="00DC62B1"/>
    <w:rsid w:val="00DC6417"/>
    <w:rsid w:val="00DC67A5"/>
    <w:rsid w:val="00DD0609"/>
    <w:rsid w:val="00DD0977"/>
    <w:rsid w:val="00DD24A4"/>
    <w:rsid w:val="00DD2D42"/>
    <w:rsid w:val="00DD5C1F"/>
    <w:rsid w:val="00DD70AE"/>
    <w:rsid w:val="00DD77DA"/>
    <w:rsid w:val="00DE1BBD"/>
    <w:rsid w:val="00DE2752"/>
    <w:rsid w:val="00DE3C48"/>
    <w:rsid w:val="00DE41D6"/>
    <w:rsid w:val="00DE4FA0"/>
    <w:rsid w:val="00DE6393"/>
    <w:rsid w:val="00DE772E"/>
    <w:rsid w:val="00DE7805"/>
    <w:rsid w:val="00DE7C1B"/>
    <w:rsid w:val="00DF43C9"/>
    <w:rsid w:val="00DF7135"/>
    <w:rsid w:val="00E00759"/>
    <w:rsid w:val="00E02FF6"/>
    <w:rsid w:val="00E06300"/>
    <w:rsid w:val="00E10A91"/>
    <w:rsid w:val="00E12D08"/>
    <w:rsid w:val="00E12E7E"/>
    <w:rsid w:val="00E15DA4"/>
    <w:rsid w:val="00E164B6"/>
    <w:rsid w:val="00E233E6"/>
    <w:rsid w:val="00E23B44"/>
    <w:rsid w:val="00E25805"/>
    <w:rsid w:val="00E279B0"/>
    <w:rsid w:val="00E27BAE"/>
    <w:rsid w:val="00E27CB3"/>
    <w:rsid w:val="00E328D3"/>
    <w:rsid w:val="00E35E9B"/>
    <w:rsid w:val="00E37818"/>
    <w:rsid w:val="00E4568A"/>
    <w:rsid w:val="00E45911"/>
    <w:rsid w:val="00E46821"/>
    <w:rsid w:val="00E46D28"/>
    <w:rsid w:val="00E520C1"/>
    <w:rsid w:val="00E56AC4"/>
    <w:rsid w:val="00E56F1A"/>
    <w:rsid w:val="00E60864"/>
    <w:rsid w:val="00E61B3B"/>
    <w:rsid w:val="00E62713"/>
    <w:rsid w:val="00E643D6"/>
    <w:rsid w:val="00E64D32"/>
    <w:rsid w:val="00E651B2"/>
    <w:rsid w:val="00E6592A"/>
    <w:rsid w:val="00E71615"/>
    <w:rsid w:val="00E734E7"/>
    <w:rsid w:val="00E73DEA"/>
    <w:rsid w:val="00E75064"/>
    <w:rsid w:val="00E75DF3"/>
    <w:rsid w:val="00E7612C"/>
    <w:rsid w:val="00E761A2"/>
    <w:rsid w:val="00E76ABB"/>
    <w:rsid w:val="00E77927"/>
    <w:rsid w:val="00E80672"/>
    <w:rsid w:val="00E81531"/>
    <w:rsid w:val="00E84600"/>
    <w:rsid w:val="00E84B44"/>
    <w:rsid w:val="00E87291"/>
    <w:rsid w:val="00E90307"/>
    <w:rsid w:val="00E95B38"/>
    <w:rsid w:val="00E95C88"/>
    <w:rsid w:val="00E97C39"/>
    <w:rsid w:val="00EA044D"/>
    <w:rsid w:val="00EA0C7D"/>
    <w:rsid w:val="00EA12DA"/>
    <w:rsid w:val="00EA152B"/>
    <w:rsid w:val="00EA26BE"/>
    <w:rsid w:val="00EA43A7"/>
    <w:rsid w:val="00EA463F"/>
    <w:rsid w:val="00EA59D8"/>
    <w:rsid w:val="00EB05A8"/>
    <w:rsid w:val="00EB4293"/>
    <w:rsid w:val="00EB64B6"/>
    <w:rsid w:val="00EC00C7"/>
    <w:rsid w:val="00EC087B"/>
    <w:rsid w:val="00EC1324"/>
    <w:rsid w:val="00EC158C"/>
    <w:rsid w:val="00EC1D02"/>
    <w:rsid w:val="00EC2770"/>
    <w:rsid w:val="00EC437A"/>
    <w:rsid w:val="00EC4ED3"/>
    <w:rsid w:val="00EC60E8"/>
    <w:rsid w:val="00EC624C"/>
    <w:rsid w:val="00EC6287"/>
    <w:rsid w:val="00EC7F75"/>
    <w:rsid w:val="00ED0A54"/>
    <w:rsid w:val="00ED2FCE"/>
    <w:rsid w:val="00ED38F7"/>
    <w:rsid w:val="00ED448A"/>
    <w:rsid w:val="00ED5B9B"/>
    <w:rsid w:val="00ED70F9"/>
    <w:rsid w:val="00ED744C"/>
    <w:rsid w:val="00EE0082"/>
    <w:rsid w:val="00EE061D"/>
    <w:rsid w:val="00EE714E"/>
    <w:rsid w:val="00EE79FD"/>
    <w:rsid w:val="00EF0881"/>
    <w:rsid w:val="00EF148A"/>
    <w:rsid w:val="00EF3D03"/>
    <w:rsid w:val="00EF5745"/>
    <w:rsid w:val="00F0115C"/>
    <w:rsid w:val="00F01194"/>
    <w:rsid w:val="00F01FF1"/>
    <w:rsid w:val="00F033C8"/>
    <w:rsid w:val="00F035E8"/>
    <w:rsid w:val="00F04E52"/>
    <w:rsid w:val="00F062FC"/>
    <w:rsid w:val="00F13CD0"/>
    <w:rsid w:val="00F14A4C"/>
    <w:rsid w:val="00F2056D"/>
    <w:rsid w:val="00F20785"/>
    <w:rsid w:val="00F21824"/>
    <w:rsid w:val="00F23883"/>
    <w:rsid w:val="00F249AB"/>
    <w:rsid w:val="00F259BE"/>
    <w:rsid w:val="00F25E32"/>
    <w:rsid w:val="00F27C36"/>
    <w:rsid w:val="00F30777"/>
    <w:rsid w:val="00F36116"/>
    <w:rsid w:val="00F376B9"/>
    <w:rsid w:val="00F41D65"/>
    <w:rsid w:val="00F4238C"/>
    <w:rsid w:val="00F4264A"/>
    <w:rsid w:val="00F43703"/>
    <w:rsid w:val="00F4725B"/>
    <w:rsid w:val="00F477F4"/>
    <w:rsid w:val="00F50A9B"/>
    <w:rsid w:val="00F50D03"/>
    <w:rsid w:val="00F513AD"/>
    <w:rsid w:val="00F5282D"/>
    <w:rsid w:val="00F542DC"/>
    <w:rsid w:val="00F54B3B"/>
    <w:rsid w:val="00F55705"/>
    <w:rsid w:val="00F5605C"/>
    <w:rsid w:val="00F56F9C"/>
    <w:rsid w:val="00F578E9"/>
    <w:rsid w:val="00F57BDB"/>
    <w:rsid w:val="00F602F8"/>
    <w:rsid w:val="00F62146"/>
    <w:rsid w:val="00F63FB2"/>
    <w:rsid w:val="00F679B8"/>
    <w:rsid w:val="00F7081F"/>
    <w:rsid w:val="00F70DDD"/>
    <w:rsid w:val="00F71CEE"/>
    <w:rsid w:val="00F7237A"/>
    <w:rsid w:val="00F742C3"/>
    <w:rsid w:val="00F74E9B"/>
    <w:rsid w:val="00F75A73"/>
    <w:rsid w:val="00F76985"/>
    <w:rsid w:val="00F81915"/>
    <w:rsid w:val="00F82A31"/>
    <w:rsid w:val="00F83D88"/>
    <w:rsid w:val="00F85D1B"/>
    <w:rsid w:val="00F861AA"/>
    <w:rsid w:val="00F861B5"/>
    <w:rsid w:val="00F91194"/>
    <w:rsid w:val="00F912F9"/>
    <w:rsid w:val="00F9220D"/>
    <w:rsid w:val="00F92470"/>
    <w:rsid w:val="00F93353"/>
    <w:rsid w:val="00F9687F"/>
    <w:rsid w:val="00F96ECA"/>
    <w:rsid w:val="00F97A2F"/>
    <w:rsid w:val="00FA040A"/>
    <w:rsid w:val="00FA4094"/>
    <w:rsid w:val="00FA53CD"/>
    <w:rsid w:val="00FA595C"/>
    <w:rsid w:val="00FB2122"/>
    <w:rsid w:val="00FB2A48"/>
    <w:rsid w:val="00FB2B3D"/>
    <w:rsid w:val="00FB7527"/>
    <w:rsid w:val="00FC31ED"/>
    <w:rsid w:val="00FC4199"/>
    <w:rsid w:val="00FC4B18"/>
    <w:rsid w:val="00FC5768"/>
    <w:rsid w:val="00FC635C"/>
    <w:rsid w:val="00FD000C"/>
    <w:rsid w:val="00FD03BF"/>
    <w:rsid w:val="00FD3201"/>
    <w:rsid w:val="00FD3DE5"/>
    <w:rsid w:val="00FD4970"/>
    <w:rsid w:val="00FD6147"/>
    <w:rsid w:val="00FD682D"/>
    <w:rsid w:val="00FD6839"/>
    <w:rsid w:val="00FD6887"/>
    <w:rsid w:val="00FE2B28"/>
    <w:rsid w:val="00FE4D71"/>
    <w:rsid w:val="00FE5F23"/>
    <w:rsid w:val="00FF0306"/>
    <w:rsid w:val="00FF20F6"/>
    <w:rsid w:val="00FF2CBF"/>
    <w:rsid w:val="00FF4C49"/>
    <w:rsid w:val="00FF5E25"/>
    <w:rsid w:val="00FF78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41F152"/>
  <w15:chartTrackingRefBased/>
  <w15:docId w15:val="{7D3E5F0D-C9C2-40ED-92CC-76881113F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paragraph" w:styleId="Heading1">
    <w:name w:val="heading 1"/>
    <w:basedOn w:val="Normal"/>
    <w:next w:val="Normal"/>
    <w:link w:val="Heading1Char"/>
    <w:uiPriority w:val="9"/>
    <w:qFormat/>
    <w:rsid w:val="004025B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4025B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4025B0"/>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4025B0"/>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4025B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4025B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4025B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4025B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4025B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5B0"/>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4025B0"/>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4025B0"/>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4025B0"/>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4025B0"/>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4025B0"/>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4025B0"/>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4025B0"/>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4025B0"/>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4025B0"/>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5B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5B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025B0"/>
    <w:pPr>
      <w:spacing w:before="160"/>
      <w:jc w:val="center"/>
    </w:pPr>
    <w:rPr>
      <w:i/>
      <w:iCs/>
      <w:color w:val="404040" w:themeColor="text1" w:themeTint="BF"/>
    </w:rPr>
  </w:style>
  <w:style w:type="character" w:customStyle="1" w:styleId="QuoteChar">
    <w:name w:val="Quote Char"/>
    <w:basedOn w:val="DefaultParagraphFont"/>
    <w:link w:val="Quote"/>
    <w:uiPriority w:val="29"/>
    <w:rsid w:val="004025B0"/>
    <w:rPr>
      <w:i/>
      <w:iCs/>
      <w:color w:val="404040" w:themeColor="text1" w:themeTint="BF"/>
    </w:rPr>
  </w:style>
  <w:style w:type="paragraph" w:styleId="ListParagraph">
    <w:name w:val="List Paragraph"/>
    <w:basedOn w:val="Normal"/>
    <w:uiPriority w:val="34"/>
    <w:qFormat/>
    <w:rsid w:val="004025B0"/>
    <w:pPr>
      <w:ind w:left="720"/>
      <w:contextualSpacing/>
    </w:pPr>
  </w:style>
  <w:style w:type="character" w:styleId="IntenseEmphasis">
    <w:name w:val="Intense Emphasis"/>
    <w:basedOn w:val="DefaultParagraphFont"/>
    <w:uiPriority w:val="21"/>
    <w:qFormat/>
    <w:rsid w:val="004025B0"/>
    <w:rPr>
      <w:i/>
      <w:iCs/>
      <w:color w:val="0F4761" w:themeColor="accent1" w:themeShade="BF"/>
    </w:rPr>
  </w:style>
  <w:style w:type="paragraph" w:styleId="IntenseQuote">
    <w:name w:val="Intense Quote"/>
    <w:basedOn w:val="Normal"/>
    <w:next w:val="Normal"/>
    <w:link w:val="IntenseQuoteChar"/>
    <w:uiPriority w:val="30"/>
    <w:qFormat/>
    <w:rsid w:val="00402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5B0"/>
    <w:rPr>
      <w:i/>
      <w:iCs/>
      <w:color w:val="0F4761" w:themeColor="accent1" w:themeShade="BF"/>
    </w:rPr>
  </w:style>
  <w:style w:type="character" w:styleId="IntenseReference">
    <w:name w:val="Intense Reference"/>
    <w:basedOn w:val="DefaultParagraphFont"/>
    <w:uiPriority w:val="32"/>
    <w:qFormat/>
    <w:rsid w:val="004025B0"/>
    <w:rPr>
      <w:b/>
      <w:bCs/>
      <w:smallCaps/>
      <w:color w:val="0F4761" w:themeColor="accent1" w:themeShade="BF"/>
      <w:spacing w:val="5"/>
    </w:rPr>
  </w:style>
  <w:style w:type="paragraph" w:styleId="Header">
    <w:name w:val="header"/>
    <w:basedOn w:val="Normal"/>
    <w:link w:val="HeaderChar"/>
    <w:uiPriority w:val="99"/>
    <w:unhideWhenUsed/>
    <w:rsid w:val="00B714E0"/>
    <w:pPr>
      <w:tabs>
        <w:tab w:val="center" w:pos="4513"/>
        <w:tab w:val="right" w:pos="9026"/>
      </w:tabs>
      <w:snapToGrid w:val="0"/>
    </w:pPr>
  </w:style>
  <w:style w:type="character" w:customStyle="1" w:styleId="HeaderChar">
    <w:name w:val="Header Char"/>
    <w:basedOn w:val="DefaultParagraphFont"/>
    <w:link w:val="Header"/>
    <w:uiPriority w:val="99"/>
    <w:rsid w:val="00B714E0"/>
  </w:style>
  <w:style w:type="paragraph" w:styleId="Footer">
    <w:name w:val="footer"/>
    <w:basedOn w:val="Normal"/>
    <w:link w:val="FooterChar"/>
    <w:uiPriority w:val="99"/>
    <w:unhideWhenUsed/>
    <w:rsid w:val="00B714E0"/>
    <w:pPr>
      <w:tabs>
        <w:tab w:val="center" w:pos="4513"/>
        <w:tab w:val="right" w:pos="9026"/>
      </w:tabs>
      <w:snapToGrid w:val="0"/>
    </w:pPr>
  </w:style>
  <w:style w:type="character" w:customStyle="1" w:styleId="FooterChar">
    <w:name w:val="Footer Char"/>
    <w:basedOn w:val="DefaultParagraphFont"/>
    <w:link w:val="Footer"/>
    <w:uiPriority w:val="99"/>
    <w:rsid w:val="00B714E0"/>
  </w:style>
  <w:style w:type="paragraph" w:styleId="NormalWeb">
    <w:name w:val="Normal (Web)"/>
    <w:basedOn w:val="Normal"/>
    <w:uiPriority w:val="99"/>
    <w:semiHidden/>
    <w:unhideWhenUsed/>
    <w:rsid w:val="00727293"/>
    <w:rPr>
      <w:rFonts w:ascii="Times New Roman" w:hAnsi="Times New Roman" w:cs="Times New Roman"/>
      <w:sz w:val="24"/>
    </w:rPr>
  </w:style>
  <w:style w:type="character" w:styleId="Hyperlink">
    <w:name w:val="Hyperlink"/>
    <w:basedOn w:val="DefaultParagraphFont"/>
    <w:uiPriority w:val="99"/>
    <w:unhideWhenUsed/>
    <w:rsid w:val="00C77334"/>
    <w:rPr>
      <w:color w:val="467886" w:themeColor="hyperlink"/>
      <w:u w:val="single"/>
    </w:rPr>
  </w:style>
  <w:style w:type="character" w:styleId="UnresolvedMention">
    <w:name w:val="Unresolved Mention"/>
    <w:basedOn w:val="DefaultParagraphFont"/>
    <w:uiPriority w:val="99"/>
    <w:semiHidden/>
    <w:unhideWhenUsed/>
    <w:rsid w:val="00C77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628986">
      <w:bodyDiv w:val="1"/>
      <w:marLeft w:val="0"/>
      <w:marRight w:val="0"/>
      <w:marTop w:val="0"/>
      <w:marBottom w:val="0"/>
      <w:divBdr>
        <w:top w:val="none" w:sz="0" w:space="0" w:color="auto"/>
        <w:left w:val="none" w:sz="0" w:space="0" w:color="auto"/>
        <w:bottom w:val="none" w:sz="0" w:space="0" w:color="auto"/>
        <w:right w:val="none" w:sz="0" w:space="0" w:color="auto"/>
      </w:divBdr>
    </w:div>
    <w:div w:id="164570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DBF8A-A6E0-4F0D-A5D2-328222F86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21</Pages>
  <Words>1781</Words>
  <Characters>10866</Characters>
  <Application>Microsoft Office Word</Application>
  <DocSecurity>0</DocSecurity>
  <Lines>522</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Vignesh</dc:creator>
  <cp:keywords/>
  <dc:description/>
  <cp:lastModifiedBy>Noor Ul Haq</cp:lastModifiedBy>
  <cp:revision>195</cp:revision>
  <dcterms:created xsi:type="dcterms:W3CDTF">2025-09-16T07:51:00Z</dcterms:created>
  <dcterms:modified xsi:type="dcterms:W3CDTF">2025-10-21T04:37:00Z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e0cb2803-927d-42e3-abc7-2a51f32187af</vt:lpwstr>
  </property>
  <property fmtid="{D5CDD505-2E9C-101B-9397-08002B2CF9AE}" pid="3" name="Mendeley Document_1">
    <vt:lpwstr>True</vt:lpwstr>
  </property>
  <property fmtid="{D5CDD505-2E9C-101B-9397-08002B2CF9AE}" pid="4" name="Mendeley Unique User Id_1">
    <vt:lpwstr>85aa7b90-6edc-35f8-9d08-62928242c061</vt:lpwstr>
  </property>
  <property fmtid="{D5CDD505-2E9C-101B-9397-08002B2CF9AE}" pid="5" name="Mendeley Citation Style_1">
    <vt:lpwstr>http://www.zotero.org/styles/journal-of-energy-storage</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6th/7th edition</vt:lpwstr>
  </property>
  <property fmtid="{D5CDD505-2E9C-101B-9397-08002B2CF9AE}" pid="12" name="Mendeley Recent Style Id 3_1">
    <vt:lpwstr>http://www.zotero.org/styles/applied-catalysis-b-environmental</vt:lpwstr>
  </property>
  <property fmtid="{D5CDD505-2E9C-101B-9397-08002B2CF9AE}" pid="13" name="Mendeley Recent Style Name 3_1">
    <vt:lpwstr>Applied Catalysis B: Environmental</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http://www.zotero.org/styles/journal-of-alloys-and-compounds</vt:lpwstr>
  </property>
  <property fmtid="{D5CDD505-2E9C-101B-9397-08002B2CF9AE}" pid="21" name="Mendeley Recent Style Name 7_1">
    <vt:lpwstr>Journal of Alloys and Compounds</vt:lpwstr>
  </property>
  <property fmtid="{D5CDD505-2E9C-101B-9397-08002B2CF9AE}" pid="22" name="Mendeley Recent Style Id 8_1">
    <vt:lpwstr>http://www.zotero.org/styles/journal-of-energy-storage</vt:lpwstr>
  </property>
  <property fmtid="{D5CDD505-2E9C-101B-9397-08002B2CF9AE}" pid="23" name="Mendeley Recent Style Name 8_1">
    <vt:lpwstr>Journal of Energy Storage</vt:lpwstr>
  </property>
  <property fmtid="{D5CDD505-2E9C-101B-9397-08002B2CF9AE}" pid="24" name="Mendeley Recent Style Id 9_1">
    <vt:lpwstr>http://www.zotero.org/styles/nature-communications</vt:lpwstr>
  </property>
  <property fmtid="{D5CDD505-2E9C-101B-9397-08002B2CF9AE}" pid="25" name="Mendeley Recent Style Name 9_1">
    <vt:lpwstr>Nature Communications</vt:lpwstr>
  </property>
</Properties>
</file>