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A2F91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Supporting Information</w:t>
      </w:r>
    </w:p>
    <w:p w14:paraId="580F19F9">
      <w:pPr>
        <w:spacing w:line="480" w:lineRule="auto"/>
        <w:ind w:firstLine="284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hint="eastAsia" w:ascii="Times New Roman" w:hAnsi="Times New Roman" w:eastAsia="MS Mincho" w:cs="Times New Roman"/>
          <w:b/>
          <w:bCs/>
          <w:kern w:val="0"/>
          <w:sz w:val="28"/>
          <w:szCs w:val="28"/>
          <w:lang w:eastAsia="ja-JP"/>
          <w14:ligatures w14:val="none"/>
        </w:rPr>
        <w:t xml:space="preserve">Low-temperature hydrothermal synthesis of ultra-high-strength phenolic aerogel composites based on a physicochemical double-crosslinked network </w:t>
      </w:r>
    </w:p>
    <w:p w14:paraId="2F5763C6">
      <w:pPr>
        <w:jc w:val="center"/>
        <w:rPr>
          <w:rFonts w:ascii="Times New Roman" w:hAnsi="Times New Roman" w:cs="Times New Roman"/>
        </w:rPr>
      </w:pPr>
      <w:bookmarkStart w:id="0" w:name="_Hlk210861407"/>
    </w:p>
    <w:bookmarkEnd w:id="0"/>
    <w:p w14:paraId="12442FC7">
      <w:pPr>
        <w:pStyle w:val="38"/>
        <w:rPr>
          <w:rFonts w:eastAsia="宋体"/>
          <w:color w:val="auto"/>
        </w:rPr>
      </w:pPr>
      <w:r>
        <w:rPr>
          <w:rFonts w:eastAsia="Times New Roman"/>
        </w:rPr>
        <w:t>Xiangyu Jin</w:t>
      </w:r>
      <w:r>
        <w:rPr>
          <w:rFonts w:eastAsia="等线"/>
          <w:vertAlign w:val="superscript"/>
        </w:rPr>
        <w:t xml:space="preserve"> a</w:t>
      </w:r>
      <w:r>
        <w:rPr>
          <w:rFonts w:hint="eastAsia" w:eastAsia="等线"/>
          <w:vertAlign w:val="superscript"/>
        </w:rPr>
        <w:t>#</w:t>
      </w:r>
      <w:r>
        <w:rPr>
          <w:rFonts w:eastAsia="Times New Roman"/>
        </w:rPr>
        <w:t>,</w:t>
      </w:r>
      <w:r>
        <w:rPr>
          <w:rFonts w:hint="eastAsia" w:eastAsia="等线"/>
        </w:rPr>
        <w:t xml:space="preserve"> </w:t>
      </w:r>
      <w:r>
        <w:rPr>
          <w:rFonts w:hint="eastAsia"/>
        </w:rPr>
        <w:t>Shuai</w:t>
      </w:r>
      <w:r>
        <w:t xml:space="preserve"> Y</w:t>
      </w:r>
      <w:r>
        <w:rPr>
          <w:rFonts w:hint="eastAsia"/>
        </w:rPr>
        <w:t>uan</w:t>
      </w:r>
      <w:r>
        <w:rPr>
          <w:vertAlign w:val="superscript"/>
        </w:rPr>
        <w:t>a</w:t>
      </w:r>
      <w:r>
        <w:rPr>
          <w:rFonts w:hint="eastAsia"/>
          <w:vertAlign w:val="superscript"/>
        </w:rPr>
        <w:t>#</w:t>
      </w:r>
      <w:r>
        <w:t>,</w:t>
      </w:r>
      <w:r>
        <w:rPr>
          <w:rFonts w:hint="eastAsia"/>
        </w:rPr>
        <w:t xml:space="preserve"> Can</w:t>
      </w:r>
      <w:r>
        <w:t xml:space="preserve"> W</w:t>
      </w:r>
      <w:r>
        <w:rPr>
          <w:rFonts w:hint="eastAsia"/>
        </w:rPr>
        <w:t>u</w:t>
      </w:r>
      <w:r>
        <w:rPr>
          <w:vertAlign w:val="superscript"/>
        </w:rPr>
        <w:t>b</w:t>
      </w:r>
      <w:r>
        <w:rPr>
          <w:rFonts w:hint="eastAsia"/>
          <w:vertAlign w:val="superscript"/>
        </w:rPr>
        <w:t>#</w:t>
      </w:r>
      <w:bookmarkStart w:id="1" w:name="OLE_LINK32"/>
      <w:r>
        <w:rPr>
          <w:rFonts w:eastAsia="Times New Roman"/>
        </w:rPr>
        <w:t>,</w:t>
      </w:r>
      <w:bookmarkEnd w:id="1"/>
      <w:r>
        <w:rPr>
          <w:rFonts w:eastAsia="Times New Roman"/>
        </w:rPr>
        <w:t xml:space="preserve"> </w:t>
      </w:r>
      <w:r>
        <w:rPr>
          <w:rFonts w:hint="eastAsia" w:eastAsia="等线"/>
          <w:color w:val="auto"/>
        </w:rPr>
        <w:t>Wei Wang</w:t>
      </w:r>
      <w:r>
        <w:rPr>
          <w:rFonts w:eastAsia="等线"/>
          <w:vertAlign w:val="superscript"/>
        </w:rPr>
        <w:t>a</w:t>
      </w:r>
      <w:r>
        <w:rPr>
          <w:rFonts w:hint="eastAsia"/>
        </w:rPr>
        <w:t xml:space="preserve"> ,</w:t>
      </w:r>
      <w:r>
        <w:t xml:space="preserve"> </w:t>
      </w:r>
      <w:r>
        <w:rPr>
          <w:rFonts w:hint="eastAsia"/>
        </w:rPr>
        <w:t>Jiaxin Zheng</w:t>
      </w:r>
      <w:r>
        <w:rPr>
          <w:rFonts w:eastAsia="等线"/>
          <w:vertAlign w:val="superscript"/>
        </w:rPr>
        <w:t>a</w:t>
      </w:r>
      <w:r>
        <w:rPr>
          <w:rFonts w:hint="eastAsia"/>
        </w:rPr>
        <w:t>, Yu Feng</w:t>
      </w:r>
      <w:r>
        <w:rPr>
          <w:vertAlign w:val="superscript"/>
        </w:rPr>
        <w:t>a</w:t>
      </w:r>
      <w:r>
        <w:rPr>
          <w:rFonts w:hint="eastAsia"/>
        </w:rPr>
        <w:t>, Min Liu</w:t>
      </w:r>
      <w:r>
        <w:rPr>
          <w:vertAlign w:val="superscript"/>
        </w:rPr>
        <w:t xml:space="preserve"> a</w:t>
      </w:r>
      <w:r>
        <w:rPr>
          <w:rFonts w:hint="eastAsia"/>
        </w:rPr>
        <w:t xml:space="preserve"> , Yi</w:t>
      </w:r>
      <w:r>
        <w:t>wu Pan</w:t>
      </w:r>
      <w:r>
        <w:rPr>
          <w:vertAlign w:val="superscript"/>
        </w:rPr>
        <w:t>c</w:t>
      </w:r>
      <w:r>
        <w:rPr>
          <w:rFonts w:hint="eastAsia"/>
        </w:rPr>
        <w:t xml:space="preserve">, </w:t>
      </w:r>
      <w:r>
        <w:rPr>
          <w:rFonts w:eastAsia="Times New Roman"/>
        </w:rPr>
        <w:t>Changqing Hong</w:t>
      </w:r>
      <w:r>
        <w:rPr>
          <w:rFonts w:eastAsia="等线"/>
          <w:vertAlign w:val="superscript"/>
        </w:rPr>
        <w:t>a</w:t>
      </w:r>
      <w:r>
        <w:rPr>
          <w:rFonts w:eastAsia="Times New Roman"/>
        </w:rPr>
        <w:t>*, &amp; Xinghong Zhang</w:t>
      </w:r>
      <w:r>
        <w:rPr>
          <w:rFonts w:eastAsia="等线"/>
          <w:vertAlign w:val="superscript"/>
        </w:rPr>
        <w:t>a</w:t>
      </w:r>
      <w:r>
        <w:rPr>
          <w:rFonts w:eastAsia="Times New Roman"/>
        </w:rPr>
        <w:t>*</w:t>
      </w:r>
      <w:r>
        <w:rPr>
          <w:rFonts w:eastAsia="宋体"/>
          <w:color w:val="auto"/>
        </w:rPr>
        <w:t>.</w:t>
      </w:r>
    </w:p>
    <w:p w14:paraId="2C2B19C4">
      <w:pPr>
        <w:pStyle w:val="38"/>
        <w:rPr>
          <w:color w:val="auto"/>
        </w:rPr>
      </w:pPr>
      <w:r>
        <w:rPr>
          <w:rFonts w:eastAsia="宋体"/>
          <w:color w:val="auto"/>
        </w:rPr>
        <w:t xml:space="preserve">a </w:t>
      </w:r>
      <w:r>
        <w:rPr>
          <w:color w:val="auto"/>
        </w:rPr>
        <w:t>National Key Laboratory of Science and Technology on Advanced Composites in Special Environments, Harbin Institute of Technology, Harbin, 150001, P. R. China</w:t>
      </w:r>
    </w:p>
    <w:p w14:paraId="661B5588">
      <w:pPr>
        <w:pStyle w:val="38"/>
        <w:rPr>
          <w:rFonts w:eastAsia="等线"/>
          <w:color w:val="auto"/>
        </w:rPr>
      </w:pPr>
      <w:r>
        <w:rPr>
          <w:rFonts w:eastAsia="等线"/>
          <w:color w:val="auto"/>
        </w:rPr>
        <w:t>b AVIC Composite Corporation Ltd, Beijing, 101300, PR China</w:t>
      </w:r>
    </w:p>
    <w:p w14:paraId="160E212E">
      <w:pPr>
        <w:pStyle w:val="38"/>
        <w:rPr>
          <w:rFonts w:eastAsia="等线"/>
          <w:color w:val="auto"/>
        </w:rPr>
      </w:pPr>
      <w:r>
        <w:rPr>
          <w:rFonts w:hint="eastAsia" w:eastAsia="等线"/>
          <w:color w:val="auto"/>
        </w:rPr>
        <w:t>c</w:t>
      </w:r>
      <w:r>
        <w:rPr>
          <w:rFonts w:eastAsia="等线"/>
          <w:color w:val="auto"/>
        </w:rPr>
        <w:t xml:space="preserve"> Shaanxi Key Laboratory of Fiber Reinforced Light Composite Materials, Science and Technology on Thermostructural Composite Materials Laboratory, Northwestern Polytechnical University, Xi’an 710072, PR China</w:t>
      </w:r>
    </w:p>
    <w:p w14:paraId="38E2F528">
      <w:pPr>
        <w:pStyle w:val="38"/>
        <w:rPr>
          <w:rFonts w:eastAsia="等线"/>
          <w:color w:val="auto"/>
        </w:rPr>
      </w:pPr>
      <w:r>
        <w:rPr>
          <w:rFonts w:hint="eastAsia" w:eastAsia="等线"/>
          <w:color w:val="auto"/>
        </w:rPr>
        <w:t>#These authors contributed equally to this work and should be considered co-first authors.</w:t>
      </w:r>
    </w:p>
    <w:p w14:paraId="31F51E0B">
      <w:pPr>
        <w:pStyle w:val="38"/>
        <w:rPr>
          <w:rFonts w:eastAsia="宋体"/>
          <w:color w:val="auto"/>
        </w:rPr>
      </w:pPr>
      <w:r>
        <w:rPr>
          <w:rFonts w:eastAsia="宋体"/>
          <w:color w:val="auto"/>
        </w:rPr>
        <w:t>*Corresponding autho</w:t>
      </w:r>
      <w:r>
        <w:rPr>
          <w:rFonts w:hint="eastAsia" w:eastAsia="宋体"/>
          <w:color w:val="auto"/>
        </w:rPr>
        <w:t>r</w:t>
      </w:r>
      <w:r>
        <w:rPr>
          <w:rFonts w:eastAsia="宋体"/>
          <w:color w:val="auto"/>
        </w:rPr>
        <w:t>:</w:t>
      </w:r>
      <w:bookmarkStart w:id="2" w:name="OLE_LINK2"/>
      <w:r>
        <w:rPr>
          <w:rFonts w:eastAsia="宋体"/>
          <w:color w:val="auto"/>
        </w:rPr>
        <w:t xml:space="preserve"> </w:t>
      </w:r>
      <w:bookmarkEnd w:id="2"/>
      <w:r>
        <w:rPr>
          <w:rFonts w:eastAsia="宋体"/>
          <w:color w:val="auto"/>
        </w:rPr>
        <w:fldChar w:fldCharType="begin"/>
      </w:r>
      <w:r>
        <w:rPr>
          <w:rFonts w:eastAsia="宋体"/>
          <w:color w:val="auto"/>
        </w:rPr>
        <w:instrText xml:space="preserve">HYPERLINK "mailto:hongcq@hit.edu.cn"</w:instrText>
      </w:r>
      <w:r>
        <w:rPr>
          <w:rFonts w:eastAsia="宋体"/>
          <w:color w:val="auto"/>
        </w:rPr>
        <w:fldChar w:fldCharType="separate"/>
      </w:r>
      <w:r>
        <w:rPr>
          <w:rFonts w:eastAsia="宋体"/>
          <w:color w:val="auto"/>
        </w:rPr>
        <w:t>hongcq@hit.edu.cn</w:t>
      </w:r>
      <w:r>
        <w:rPr>
          <w:rFonts w:eastAsia="宋体"/>
          <w:color w:val="auto"/>
        </w:rPr>
        <w:fldChar w:fldCharType="end"/>
      </w:r>
      <w:r>
        <w:rPr>
          <w:rFonts w:eastAsia="宋体"/>
          <w:color w:val="auto"/>
        </w:rPr>
        <w:t xml:space="preserve"> (C.Q Hong*)</w:t>
      </w:r>
    </w:p>
    <w:p w14:paraId="4F3D78D4">
      <w:pPr>
        <w:pStyle w:val="38"/>
        <w:rPr>
          <w:rFonts w:eastAsia="宋体"/>
          <w:color w:val="auto"/>
        </w:rPr>
      </w:pPr>
      <w:r>
        <w:rPr>
          <w:rFonts w:eastAsia="宋体"/>
          <w:color w:val="auto"/>
        </w:rPr>
        <w:t>*Corresponding autho</w:t>
      </w:r>
      <w:r>
        <w:rPr>
          <w:rFonts w:hint="eastAsia" w:eastAsia="宋体"/>
          <w:color w:val="auto"/>
        </w:rPr>
        <w:t>r</w:t>
      </w:r>
      <w:r>
        <w:rPr>
          <w:rFonts w:eastAsia="宋体"/>
          <w:color w:val="auto"/>
        </w:rPr>
        <w:t xml:space="preserve">: </w:t>
      </w:r>
      <w:r>
        <w:rPr>
          <w:rFonts w:hint="eastAsia" w:eastAsia="宋体"/>
          <w:color w:val="auto"/>
        </w:rPr>
        <w:t>z</w:t>
      </w:r>
      <w:r>
        <w:rPr>
          <w:rFonts w:eastAsia="宋体"/>
          <w:color w:val="auto"/>
        </w:rPr>
        <w:t>hangxh@hit.edu.cn (X.</w:t>
      </w:r>
      <w:r>
        <w:rPr>
          <w:rFonts w:hint="eastAsia" w:eastAsia="宋体"/>
          <w:color w:val="auto"/>
        </w:rPr>
        <w:t>H</w:t>
      </w:r>
      <w:r>
        <w:rPr>
          <w:rFonts w:eastAsia="宋体"/>
          <w:color w:val="auto"/>
        </w:rPr>
        <w:t xml:space="preserve"> </w:t>
      </w:r>
      <w:r>
        <w:rPr>
          <w:rFonts w:hint="eastAsia" w:eastAsia="宋体"/>
          <w:color w:val="auto"/>
        </w:rPr>
        <w:t>Zhang</w:t>
      </w:r>
      <w:r>
        <w:rPr>
          <w:rFonts w:eastAsia="宋体"/>
          <w:color w:val="auto"/>
        </w:rPr>
        <w:t>*)</w:t>
      </w:r>
    </w:p>
    <w:p w14:paraId="028D4819">
      <w:pPr>
        <w:pStyle w:val="38"/>
        <w:rPr>
          <w:rFonts w:eastAsia="宋体"/>
          <w:color w:val="auto"/>
        </w:rPr>
      </w:pPr>
      <w:bookmarkStart w:id="8" w:name="_GoBack"/>
      <w:bookmarkEnd w:id="8"/>
    </w:p>
    <w:p w14:paraId="02F281DF">
      <w:pPr>
        <w:pStyle w:val="38"/>
        <w:ind w:left="0" w:leftChars="0" w:firstLine="0" w:firstLineChars="0"/>
        <w:jc w:val="both"/>
        <w:rPr>
          <w:rFonts w:eastAsia="宋体"/>
          <w:color w:val="auto"/>
        </w:rPr>
      </w:pPr>
    </w:p>
    <w:p w14:paraId="73B63D90">
      <w:pPr>
        <w:spacing w:line="360" w:lineRule="auto"/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48719F53">
      <w:pPr>
        <w:spacing w:line="360" w:lineRule="auto"/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322B8363">
      <w:pPr>
        <w:spacing w:line="360" w:lineRule="auto"/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68996FF3">
      <w:pPr>
        <w:spacing w:line="360" w:lineRule="auto"/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2DFE9E05">
      <w:pPr>
        <w:spacing w:line="360" w:lineRule="auto"/>
        <w:ind w:left="360"/>
        <w:rPr>
          <w:rFonts w:ascii="Times New Roman" w:hAnsi="Times New Roman" w:cs="Times New Roman"/>
          <w:b/>
          <w:bCs/>
          <w:i/>
          <w:iCs/>
        </w:rPr>
      </w:pPr>
    </w:p>
    <w:p w14:paraId="6C1125BA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</w:p>
    <w:p w14:paraId="38A39DC0">
      <w:pPr>
        <w:spacing w:line="360" w:lineRule="auto"/>
        <w:ind w:left="360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Results and Discussion</w:t>
      </w:r>
    </w:p>
    <w:p w14:paraId="626F635D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4977130" cy="1621155"/>
            <wp:effectExtent l="0" t="0" r="0" b="0"/>
            <wp:docPr id="29451561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515613" name="图片 2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3" t="52865" r="1320" b="1535"/>
                    <a:stretch>
                      <a:fillRect/>
                    </a:stretch>
                  </pic:blipFill>
                  <pic:spPr>
                    <a:xfrm>
                      <a:off x="0" y="0"/>
                      <a:ext cx="4980398" cy="162211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7100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S1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Multi-stage energy dissipation strategy of PR aerogels</w:t>
      </w:r>
    </w:p>
    <w:p w14:paraId="7BE3B8A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274310" cy="1367155"/>
            <wp:effectExtent l="0" t="0" r="0" b="0"/>
            <wp:docPr id="11798097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809730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DC1E0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S2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bookmarkStart w:id="3" w:name="OLE_LINK16"/>
      <w:r>
        <w:rPr>
          <w:rFonts w:ascii="Times New Roman" w:hAnsi="Times New Roman" w:cs="Times New Roman"/>
        </w:rPr>
        <w:t>Macroscopic image of phenolic aerogel</w:t>
      </w:r>
      <w:bookmarkEnd w:id="3"/>
    </w:p>
    <w:p w14:paraId="4565291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105400" cy="4309745"/>
            <wp:effectExtent l="0" t="0" r="0" b="0"/>
            <wp:docPr id="15747292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729225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30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291D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S3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</w:rPr>
        <w:t xml:space="preserve">Chemica structure of PR aerogel. (a) FT-IR curves of PR aerogel. (b) </w:t>
      </w:r>
      <w:r>
        <w:rPr>
          <w:rFonts w:ascii="Times New Roman" w:hAnsi="Times New Roman" w:cs="Times New Roman"/>
        </w:rPr>
        <w:t>XPS survey spectrum</w:t>
      </w:r>
      <w:r>
        <w:rPr>
          <w:rFonts w:hint="eastAsia" w:ascii="Times New Roman" w:hAnsi="Times New Roman" w:cs="Times New Roman"/>
        </w:rPr>
        <w:t xml:space="preserve"> of PR aerogel. (c) O 1s XPS spectrum of the PR aerogel. (d) C 1s XPS spectrum of the PR aerogel.</w:t>
      </w:r>
    </w:p>
    <w:p w14:paraId="53C289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274310" cy="2807970"/>
            <wp:effectExtent l="0" t="0" r="0" b="0"/>
            <wp:docPr id="8170241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024170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C781D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S4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Temperature-dependent FT-IR spectra of </w:t>
      </w:r>
      <w:r>
        <w:rPr>
          <w:rFonts w:hint="eastAsia" w:ascii="Times New Roman" w:hAnsi="Times New Roman" w:cs="Times New Roman"/>
        </w:rPr>
        <w:t>PR aerogel</w:t>
      </w:r>
      <w:r>
        <w:rPr>
          <w:rFonts w:ascii="Times New Roman" w:hAnsi="Times New Roman" w:cs="Times New Roman"/>
        </w:rPr>
        <w:t xml:space="preserve"> between 30 </w:t>
      </w:r>
      <w:r>
        <w:rPr>
          <w:rFonts w:hint="eastAsia" w:ascii="Times New Roman" w:hAnsi="Times New Roman" w:cs="Times New Roman"/>
        </w:rPr>
        <w:t xml:space="preserve">°C </w:t>
      </w:r>
      <w:r>
        <w:rPr>
          <w:rFonts w:ascii="Times New Roman" w:hAnsi="Times New Roman" w:cs="Times New Roman"/>
        </w:rPr>
        <w:t>-1</w:t>
      </w:r>
      <w:r>
        <w:rPr>
          <w:rFonts w:hint="eastAsia"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0 </w:t>
      </w:r>
      <w:r>
        <w:rPr>
          <w:rFonts w:hint="eastAsia" w:ascii="Times New Roman" w:hAnsi="Times New Roman" w:cs="Times New Roman"/>
        </w:rPr>
        <w:t>°C</w:t>
      </w:r>
    </w:p>
    <w:p w14:paraId="6C8D391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274310" cy="1444625"/>
            <wp:effectExtent l="0" t="0" r="0" b="0"/>
            <wp:docPr id="152308027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080276" name="图片 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054E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</w:t>
      </w:r>
      <w:r>
        <w:rPr>
          <w:rFonts w:hint="eastAsia" w:ascii="Times New Roman" w:hAnsi="Times New Roman" w:cs="Times New Roman"/>
          <w:b/>
          <w:bCs/>
        </w:rPr>
        <w:t>5</w:t>
      </w:r>
      <w:r>
        <w:rPr>
          <w:rFonts w:hint="eastAsia" w:ascii="Times New Roman" w:hAnsi="Times New Roman" w:cs="Times New Roman"/>
          <w:b/>
          <w:bCs/>
          <w:i/>
          <w:iCs/>
        </w:rPr>
        <w:t xml:space="preserve"> </w:t>
      </w:r>
      <w:r>
        <w:rPr>
          <w:rFonts w:hint="eastAsia" w:ascii="Times New Roman" w:hAnsi="Times New Roman" w:cs="Times New Roman"/>
        </w:rPr>
        <w:t>Pore</w:t>
      </w:r>
      <w:r>
        <w:rPr>
          <w:rFonts w:ascii="Times New Roman" w:hAnsi="Times New Roman" w:cs="Times New Roman"/>
        </w:rPr>
        <w:t xml:space="preserve"> and particle size distribution of </w:t>
      </w:r>
      <w:r>
        <w:rPr>
          <w:rFonts w:hint="eastAsia" w:ascii="Times New Roman" w:hAnsi="Times New Roman" w:cs="Times New Roman"/>
        </w:rPr>
        <w:t>NCF/</w:t>
      </w:r>
      <w:r>
        <w:rPr>
          <w:rFonts w:ascii="Times New Roman" w:hAnsi="Times New Roman" w:cs="Times New Roman"/>
        </w:rPr>
        <w:t>PRA-2</w:t>
      </w:r>
    </w:p>
    <w:p w14:paraId="136A641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274310" cy="1286510"/>
            <wp:effectExtent l="0" t="0" r="0" b="0"/>
            <wp:docPr id="74682324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23247" name="图片 9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D688E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>
        <w:rPr>
          <w:rFonts w:hint="eastAsia" w:ascii="Times New Roman" w:hAnsi="Times New Roman" w:cs="Times New Roman"/>
          <w:b/>
          <w:bCs/>
        </w:rPr>
        <w:t xml:space="preserve">6 </w:t>
      </w:r>
      <w:bookmarkStart w:id="4" w:name="_Hlk210851252"/>
      <w:r>
        <w:rPr>
          <w:rFonts w:ascii="Times New Roman" w:hAnsi="Times New Roman" w:cs="Times New Roman"/>
        </w:rPr>
        <w:t>Thermal insulation performance of the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PRA.</w:t>
      </w:r>
      <w:bookmarkEnd w:id="4"/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(a)</w:t>
      </w:r>
      <w:r>
        <w:rPr>
          <w:rFonts w:ascii="Times New Roman" w:hAnsi="Times New Roman" w:cs="Times New Roman"/>
        </w:rPr>
        <w:t>Surface and bottom temperature curves of 20 mm after 30 min on 200 ℃ plate</w:t>
      </w:r>
      <w:r>
        <w:rPr>
          <w:rFonts w:hint="eastAsia" w:ascii="Times New Roman" w:hAnsi="Times New Roman" w:cs="Times New Roman"/>
        </w:rPr>
        <w:t>. (b) Thermal conductivity. (c)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</w:rPr>
        <w:t xml:space="preserve">The thermal conductivity of LPRA-2 at RT, 100 </w:t>
      </w:r>
      <w:r>
        <w:rPr>
          <w:rFonts w:ascii="Times New Roman" w:hAnsi="Times New Roman" w:cs="Times New Roman"/>
        </w:rPr>
        <w:t>℃</w:t>
      </w:r>
      <w:r>
        <w:rPr>
          <w:rFonts w:hint="eastAsia" w:ascii="Times New Roman" w:hAnsi="Times New Roman" w:cs="Times New Roman"/>
        </w:rPr>
        <w:t xml:space="preserve"> and 200 </w:t>
      </w:r>
      <w:r>
        <w:rPr>
          <w:rFonts w:ascii="Times New Roman" w:hAnsi="Times New Roman" w:cs="Times New Roman"/>
        </w:rPr>
        <w:t>℃</w:t>
      </w:r>
      <w:r>
        <w:rPr>
          <w:rFonts w:hint="eastAsia" w:ascii="Times New Roman" w:hAnsi="Times New Roman" w:cs="Times New Roman"/>
        </w:rPr>
        <w:t>.</w:t>
      </w:r>
    </w:p>
    <w:p w14:paraId="1769DC3F">
      <w:pPr>
        <w:ind w:left="210" w:hanging="210" w:hangingChars="1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4624705" cy="1453515"/>
            <wp:effectExtent l="0" t="0" r="4445" b="0"/>
            <wp:docPr id="66516613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166131" name="图片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4719" cy="145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7B6D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>
        <w:rPr>
          <w:rFonts w:hint="eastAsia" w:ascii="Times New Roman" w:hAnsi="Times New Roman" w:cs="Times New Roman"/>
          <w:b/>
          <w:bCs/>
        </w:rPr>
        <w:t xml:space="preserve">7  </w:t>
      </w:r>
      <w:r>
        <w:rPr>
          <w:rFonts w:ascii="Times New Roman" w:hAnsi="Times New Roman" w:cs="Times New Roman"/>
        </w:rPr>
        <w:t xml:space="preserve">Macroscopic image of </w:t>
      </w:r>
      <w:r>
        <w:rPr>
          <w:rFonts w:hint="eastAsia" w:ascii="Times New Roman" w:hAnsi="Times New Roman" w:cs="Times New Roman"/>
        </w:rPr>
        <w:t xml:space="preserve">NCF/PRA </w:t>
      </w:r>
      <w:r>
        <w:rPr>
          <w:rFonts w:ascii="Times New Roman" w:hAnsi="Times New Roman" w:cs="Times New Roman"/>
        </w:rPr>
        <w:t>composites</w:t>
      </w:r>
    </w:p>
    <w:p w14:paraId="4A7933EB">
      <w:pPr>
        <w:ind w:left="210" w:hanging="210" w:hangingChars="1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4139565" cy="6290945"/>
            <wp:effectExtent l="0" t="0" r="0" b="0"/>
            <wp:docPr id="71574957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749572" name="图片 1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9764" cy="630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20FA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</w:t>
      </w:r>
      <w:r>
        <w:rPr>
          <w:rFonts w:hint="eastAsia" w:ascii="Times New Roman" w:hAnsi="Times New Roman" w:cs="Times New Roman"/>
          <w:b/>
          <w:bCs/>
        </w:rPr>
        <w:t xml:space="preserve">8 </w:t>
      </w:r>
      <w:bookmarkStart w:id="5" w:name="OLE_LINK19"/>
      <w:r>
        <w:rPr>
          <w:rFonts w:hint="eastAsia" w:ascii="Times New Roman" w:hAnsi="Times New Roman" w:cs="Times New Roman"/>
        </w:rPr>
        <w:t xml:space="preserve">Nano-structure micrograph of NCF/PRA </w:t>
      </w:r>
      <w:bookmarkStart w:id="6" w:name="OLE_LINK18"/>
      <w:r>
        <w:rPr>
          <w:rFonts w:ascii="Times New Roman" w:hAnsi="Times New Roman" w:cs="Times New Roman"/>
        </w:rPr>
        <w:t>composites</w:t>
      </w:r>
      <w:bookmarkEnd w:id="6"/>
      <w:r>
        <w:rPr>
          <w:rFonts w:hint="eastAsia" w:ascii="Times New Roman" w:hAnsi="Times New Roman" w:cs="Times New Roman"/>
        </w:rPr>
        <w:t>. (a)(b)NCF/PRA-1. (c)(d) NCF/PRA-2. (e)(f) NCF/PRA-3. (g)(h) NCF/PRA-4.</w:t>
      </w:r>
      <w:bookmarkEnd w:id="5"/>
    </w:p>
    <w:p w14:paraId="5614A482">
      <w:pPr>
        <w:ind w:left="210" w:hanging="210" w:hangingChars="1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062220" cy="1834515"/>
            <wp:effectExtent l="0" t="0" r="0" b="0"/>
            <wp:docPr id="108010508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105089" name="图片 1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2728" cy="183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502D8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</w:t>
      </w:r>
      <w:r>
        <w:rPr>
          <w:rFonts w:hint="eastAsia" w:ascii="Times New Roman" w:hAnsi="Times New Roman" w:cs="Times New Roman"/>
          <w:b/>
          <w:bCs/>
        </w:rPr>
        <w:t>9</w:t>
      </w:r>
      <w:r>
        <w:rPr>
          <w:rFonts w:hint="eastAsia" w:ascii="Times New Roman" w:hAnsi="Times New Roman" w:cs="Times New Roman"/>
        </w:rPr>
        <w:t xml:space="preserve"> (a)The</w:t>
      </w:r>
      <w:r>
        <w:rPr>
          <w:rFonts w:ascii="Arial" w:hAnsi="Arial" w:cs="Arial"/>
          <w:color w:val="111111"/>
          <w:spacing w:val="-3"/>
          <w:sz w:val="27"/>
          <w:szCs w:val="27"/>
          <w:shd w:val="clear" w:color="auto" w:fill="F7F7F7"/>
        </w:rPr>
        <w:t xml:space="preserve"> </w:t>
      </w:r>
      <w:r>
        <w:rPr>
          <w:rFonts w:hint="eastAsia"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tress-strain curve in the XY direction </w:t>
      </w:r>
      <w:r>
        <w:rPr>
          <w:rFonts w:hint="eastAsia"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>compression</w:t>
      </w:r>
      <w:r>
        <w:rPr>
          <w:rFonts w:hint="eastAsia" w:ascii="Times New Roman" w:hAnsi="Times New Roman" w:cs="Times New Roman"/>
        </w:rPr>
        <w:t>(b)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compressive </w:t>
      </w:r>
      <w:r>
        <w:rPr>
          <w:rFonts w:hint="eastAsia" w:ascii="Times New Roman" w:hAnsi="Times New Roman" w:cs="Times New Roman"/>
        </w:rPr>
        <w:t xml:space="preserve">strength and modulus of  </w:t>
      </w:r>
      <w:r>
        <w:rPr>
          <w:rFonts w:ascii="Times New Roman" w:hAnsi="Times New Roman" w:cs="Times New Roman"/>
        </w:rPr>
        <w:t xml:space="preserve">NGF/PRA </w:t>
      </w:r>
      <w:bookmarkStart w:id="7" w:name="OLE_LINK17"/>
      <w:r>
        <w:rPr>
          <w:rFonts w:ascii="Times New Roman" w:hAnsi="Times New Roman" w:cs="Times New Roman"/>
        </w:rPr>
        <w:t>composites</w:t>
      </w:r>
      <w:bookmarkEnd w:id="7"/>
      <w:r>
        <w:rPr>
          <w:rFonts w:hint="eastAsia" w:ascii="Times New Roman" w:hAnsi="Times New Roman" w:cs="Times New Roman"/>
        </w:rPr>
        <w:t>.</w:t>
      </w:r>
    </w:p>
    <w:p w14:paraId="01D0E2A1">
      <w:pPr>
        <w:jc w:val="center"/>
        <w:rPr>
          <w:rFonts w:ascii="Times New Roman" w:hAnsi="Times New Roman" w:cs="Times New Roman"/>
          <w:b/>
          <w:bCs/>
        </w:rPr>
      </w:pPr>
      <w:r>
        <w:drawing>
          <wp:inline distT="0" distB="0" distL="0" distR="0">
            <wp:extent cx="5273675" cy="5039360"/>
            <wp:effectExtent l="0" t="0" r="3175" b="8890"/>
            <wp:docPr id="1899228162" name="图片 2" descr="图片包含 背景图案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228162" name="图片 2" descr="图片包含 背景图案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3" b="1618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3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5B006">
      <w:pPr>
        <w:ind w:left="210" w:hanging="210" w:hangingChars="10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</w:t>
      </w:r>
      <w:r>
        <w:rPr>
          <w:rFonts w:hint="eastAsia" w:ascii="Times New Roman" w:hAnsi="Times New Roman" w:cs="Times New Roman"/>
          <w:b/>
          <w:bCs/>
        </w:rPr>
        <w:t xml:space="preserve">10 </w:t>
      </w:r>
      <w:r>
        <w:rPr>
          <w:rFonts w:hint="eastAsia" w:ascii="Times New Roman" w:hAnsi="Times New Roman" w:cs="Times New Roman"/>
        </w:rPr>
        <w:t>Microstructural images of each layer of NCF/PRA-2 composites</w:t>
      </w:r>
      <w:r>
        <w:rPr>
          <w:rFonts w:ascii="Arial" w:hAnsi="Arial" w:cs="Arial"/>
          <w:color w:val="111111"/>
          <w:spacing w:val="-3"/>
          <w:sz w:val="27"/>
          <w:szCs w:val="27"/>
          <w:shd w:val="clear" w:color="auto" w:fill="F7F7F7"/>
        </w:rPr>
        <w:t xml:space="preserve"> </w:t>
      </w:r>
      <w:r>
        <w:rPr>
          <w:rFonts w:ascii="Times New Roman" w:hAnsi="Times New Roman" w:cs="Times New Roman"/>
        </w:rPr>
        <w:t>after ablation</w:t>
      </w:r>
      <w:r>
        <w:rPr>
          <w:rFonts w:hint="eastAsia" w:ascii="Times New Roman" w:hAnsi="Times New Roman" w:cs="Times New Roman"/>
        </w:rPr>
        <w:t>. (a)(b)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</w:rPr>
        <w:t>Ablative surface. (c)(d)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</w:rPr>
        <w:t>Ablative subsurface .(e)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</w:rPr>
        <w:t>Carbonized layer. (f)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</w:rPr>
        <w:t>Pyrolysis layer.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Kozuka Mincho Pr6N R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Kozuka Mincho Pr6N R">
    <w:panose1 w:val="02020400000000000000"/>
    <w:charset w:val="80"/>
    <w:family w:val="auto"/>
    <w:pitch w:val="default"/>
    <w:sig w:usb0="000002D7" w:usb1="2AC71C11" w:usb2="00000012" w:usb3="00000000" w:csb0="2002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3D8B1">
    <w:pPr>
      <w:pStyle w:val="11"/>
      <w:jc w:val="center"/>
      <w:rPr>
        <w:rFonts w:hint="eastAsia"/>
      </w:rPr>
    </w:pPr>
  </w:p>
  <w:p w14:paraId="6C2CD8A9">
    <w:pPr>
      <w:pStyle w:val="11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Q0MTQ3NTc2MjeyNLFQ0lEKTi0uzszPAykwrgUAT14mNywAAAA="/>
  </w:docVars>
  <w:rsids>
    <w:rsidRoot w:val="00CE52E1"/>
    <w:rsid w:val="00025F46"/>
    <w:rsid w:val="000671B6"/>
    <w:rsid w:val="00082B1D"/>
    <w:rsid w:val="000D4EA9"/>
    <w:rsid w:val="00104B72"/>
    <w:rsid w:val="00113950"/>
    <w:rsid w:val="00141E9E"/>
    <w:rsid w:val="0014596A"/>
    <w:rsid w:val="001712BD"/>
    <w:rsid w:val="00214F90"/>
    <w:rsid w:val="00232F56"/>
    <w:rsid w:val="00267915"/>
    <w:rsid w:val="00272615"/>
    <w:rsid w:val="002F7D78"/>
    <w:rsid w:val="00306DD9"/>
    <w:rsid w:val="003422D0"/>
    <w:rsid w:val="00343652"/>
    <w:rsid w:val="0036767E"/>
    <w:rsid w:val="00373214"/>
    <w:rsid w:val="00387260"/>
    <w:rsid w:val="003A7185"/>
    <w:rsid w:val="003F682A"/>
    <w:rsid w:val="00534DDB"/>
    <w:rsid w:val="005F61C5"/>
    <w:rsid w:val="006339F0"/>
    <w:rsid w:val="00644A26"/>
    <w:rsid w:val="00691D84"/>
    <w:rsid w:val="006A56F3"/>
    <w:rsid w:val="0071155B"/>
    <w:rsid w:val="007372E3"/>
    <w:rsid w:val="00776CC4"/>
    <w:rsid w:val="007D06A1"/>
    <w:rsid w:val="007E30FB"/>
    <w:rsid w:val="007E740B"/>
    <w:rsid w:val="008804B5"/>
    <w:rsid w:val="00890179"/>
    <w:rsid w:val="008D4F13"/>
    <w:rsid w:val="009A5E43"/>
    <w:rsid w:val="00A53110"/>
    <w:rsid w:val="00A5574C"/>
    <w:rsid w:val="00AB7DDA"/>
    <w:rsid w:val="00AC5D65"/>
    <w:rsid w:val="00AE1E72"/>
    <w:rsid w:val="00B424B4"/>
    <w:rsid w:val="00B86967"/>
    <w:rsid w:val="00B86D55"/>
    <w:rsid w:val="00BA5BCA"/>
    <w:rsid w:val="00C23153"/>
    <w:rsid w:val="00C74038"/>
    <w:rsid w:val="00CA3279"/>
    <w:rsid w:val="00CC1AFC"/>
    <w:rsid w:val="00CE52E1"/>
    <w:rsid w:val="00D16AAE"/>
    <w:rsid w:val="00D5647C"/>
    <w:rsid w:val="00DD0B73"/>
    <w:rsid w:val="00E12D6C"/>
    <w:rsid w:val="00E808B0"/>
    <w:rsid w:val="00E84606"/>
    <w:rsid w:val="00EC371C"/>
    <w:rsid w:val="00ED047B"/>
    <w:rsid w:val="00EF0152"/>
    <w:rsid w:val="00F1335E"/>
    <w:rsid w:val="00F433BC"/>
    <w:rsid w:val="14FE7EBA"/>
    <w:rsid w:val="432A7185"/>
    <w:rsid w:val="538D3EEA"/>
    <w:rsid w:val="68A3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unhideWhenUsed/>
    <w:qFormat/>
    <w:uiPriority w:val="99"/>
    <w:rPr>
      <w:color w:val="0563C1"/>
      <w:u w:val="single"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paragraph" w:customStyle="1" w:styleId="38">
    <w:name w:val="作者"/>
    <w:basedOn w:val="39"/>
    <w:link w:val="40"/>
    <w:qFormat/>
    <w:uiPriority w:val="0"/>
    <w:pPr>
      <w:spacing w:line="480" w:lineRule="auto"/>
      <w:ind w:firstLine="284"/>
      <w:jc w:val="center"/>
    </w:pPr>
    <w:rPr>
      <w:rFonts w:ascii="Times New Roman" w:hAnsi="Times New Roman" w:eastAsia="Times New Roman" w:cs="Times New Roman"/>
      <w:color w:val="000000"/>
      <w:sz w:val="24"/>
      <w:szCs w:val="24"/>
      <w14:ligatures w14:val="none"/>
    </w:rPr>
  </w:style>
  <w:style w:type="paragraph" w:customStyle="1" w:styleId="39">
    <w:name w:val="正文-K"/>
    <w:basedOn w:val="1"/>
    <w:qFormat/>
    <w:uiPriority w:val="0"/>
    <w:pPr>
      <w:ind w:firstLine="284"/>
    </w:pPr>
    <w:rPr>
      <w:rFonts w:eastAsia="Times New Roman"/>
    </w:rPr>
  </w:style>
  <w:style w:type="character" w:customStyle="1" w:styleId="40">
    <w:name w:val="作者 字符"/>
    <w:link w:val="38"/>
    <w:qFormat/>
    <w:uiPriority w:val="0"/>
    <w:rPr>
      <w:rFonts w:ascii="Times New Roman" w:hAnsi="Times New Roman" w:eastAsia="Times New Roman" w:cs="Times New Roman"/>
      <w:color w:val="000000"/>
      <w:sz w:val="24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tiff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18BDA-0E95-43B0-B1E6-61C669A3AE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305</Words>
  <Characters>1821</Characters>
  <Lines>48</Lines>
  <Paragraphs>25</Paragraphs>
  <TotalTime>0</TotalTime>
  <ScaleCrop>false</ScaleCrop>
  <LinksUpToDate>false</LinksUpToDate>
  <CharactersWithSpaces>2105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2025-10-06T14:27:00Z</dcterms:created>
  <dc:creator>灿 吴</dc:creator>
  <cp:lastModifiedBy>袁帅</cp:lastModifiedBy>
  <dcterms:modified xsi:type="dcterms:W3CDTF">2025-12-05T03:10:55Z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eyJoZGlkIjoiNjEyZTBiYmMwZWVhZjVhODIyZDFjZDFjNGEyOWVmNDEiLCJ1c2VySWQiOiIzMjQ4NDQ2NzEifQ==</vt:lpwstr>
  </property>
  <property fmtid="{D5CDD505-2E9C-101B-9397-08002B2CF9AE}" pid="3" name="KSOProductBuildVer">
    <vt:lpwstr>2052-12.1.0.23542</vt:lpwstr>
  </property>
  <property fmtid="{D5CDD505-2E9C-101B-9397-08002B2CF9AE}" pid="4" name="ICV">
    <vt:lpwstr>F8CDB7162433496496A0F4BCD3CF628D_12</vt:lpwstr>
  </property>
</Properties>
</file>