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653FB" w14:textId="77777777" w:rsidR="00313CE2" w:rsidRPr="00716689" w:rsidRDefault="00313CE2" w:rsidP="00313CE2">
      <w:pPr>
        <w:pStyle w:val="Title"/>
        <w:spacing w:line="276" w:lineRule="auto"/>
        <w:ind w:left="794" w:right="794" w:firstLine="0"/>
        <w:rPr>
          <w:rFonts w:ascii="Times New Roman" w:hAnsi="Times New Roman" w:cs="Times New Roman"/>
        </w:rPr>
      </w:pPr>
      <w:r w:rsidRPr="00716689">
        <w:rPr>
          <w:rFonts w:ascii="Times New Roman" w:hAnsi="Times New Roman" w:cs="Times New Roman"/>
        </w:rPr>
        <w:t>ENHANCING REPROCESSABILITY OF DYNAMIC POLYMER COMPOSITES WITH THERMALLY</w:t>
      </w:r>
      <w:r w:rsidRPr="00716689">
        <w:rPr>
          <w:rFonts w:ascii="Times New Roman" w:hAnsi="Times New Roman" w:cs="Times New Roman"/>
          <w:spacing w:val="-2"/>
        </w:rPr>
        <w:t xml:space="preserve"> </w:t>
      </w:r>
      <w:r w:rsidRPr="00716689">
        <w:rPr>
          <w:rFonts w:ascii="Times New Roman" w:hAnsi="Times New Roman" w:cs="Times New Roman"/>
        </w:rPr>
        <w:t>SENSITIVE</w:t>
      </w:r>
      <w:r w:rsidRPr="00716689">
        <w:rPr>
          <w:rFonts w:ascii="Times New Roman" w:hAnsi="Times New Roman" w:cs="Times New Roman"/>
          <w:spacing w:val="-2"/>
        </w:rPr>
        <w:t xml:space="preserve"> </w:t>
      </w:r>
      <w:r w:rsidRPr="00716689">
        <w:rPr>
          <w:rFonts w:ascii="Times New Roman" w:hAnsi="Times New Roman" w:cs="Times New Roman"/>
        </w:rPr>
        <w:t>PARTICLES</w:t>
      </w:r>
      <w:r w:rsidRPr="00716689">
        <w:rPr>
          <w:rFonts w:ascii="Times New Roman" w:hAnsi="Times New Roman" w:cs="Times New Roman"/>
          <w:spacing w:val="-2"/>
        </w:rPr>
        <w:t xml:space="preserve"> </w:t>
      </w:r>
      <w:r w:rsidRPr="00716689">
        <w:rPr>
          <w:rFonts w:ascii="Times New Roman" w:hAnsi="Times New Roman" w:cs="Times New Roman"/>
        </w:rPr>
        <w:t xml:space="preserve">AND CONTROLLED PARTICLE-MATRIX </w:t>
      </w:r>
      <w:r w:rsidRPr="00716689">
        <w:rPr>
          <w:rFonts w:ascii="Times New Roman" w:hAnsi="Times New Roman" w:cs="Times New Roman"/>
          <w:spacing w:val="-2"/>
        </w:rPr>
        <w:t>INTERFACES</w:t>
      </w:r>
    </w:p>
    <w:p w14:paraId="5A40B194" w14:textId="77777777" w:rsidR="00313CE2" w:rsidRPr="00716689" w:rsidRDefault="00313CE2" w:rsidP="00313CE2">
      <w:pPr>
        <w:spacing w:before="309" w:line="218" w:lineRule="auto"/>
        <w:ind w:left="794" w:right="794"/>
        <w:jc w:val="center"/>
        <w:rPr>
          <w:rFonts w:ascii="Times New Roman" w:hAnsi="Times New Roman" w:cs="Times New Roman"/>
          <w:position w:val="9"/>
          <w:sz w:val="17"/>
        </w:rPr>
      </w:pPr>
      <w:r w:rsidRPr="00716689">
        <w:rPr>
          <w:rFonts w:ascii="Times New Roman" w:hAnsi="Times New Roman" w:cs="Times New Roman"/>
          <w:w w:val="105"/>
          <w:sz w:val="24"/>
        </w:rPr>
        <w:t>Hoogmartens Anthony</w:t>
      </w:r>
      <w:r w:rsidRPr="00716689">
        <w:rPr>
          <w:rFonts w:ascii="Times New Roman" w:hAnsi="Times New Roman" w:cs="Times New Roman"/>
          <w:w w:val="105"/>
          <w:position w:val="9"/>
          <w:sz w:val="17"/>
        </w:rPr>
        <w:t>1</w:t>
      </w:r>
      <w:r w:rsidRPr="00716689">
        <w:rPr>
          <w:rFonts w:ascii="Times New Roman" w:hAnsi="Times New Roman" w:cs="Times New Roman"/>
          <w:w w:val="105"/>
          <w:sz w:val="24"/>
        </w:rPr>
        <w:t>,</w:t>
      </w:r>
      <w:r w:rsidRPr="00716689">
        <w:rPr>
          <w:rFonts w:ascii="Times New Roman" w:hAnsi="Times New Roman" w:cs="Times New Roman"/>
          <w:spacing w:val="40"/>
          <w:w w:val="105"/>
          <w:sz w:val="24"/>
        </w:rPr>
        <w:t xml:space="preserve"> </w:t>
      </w:r>
      <w:r w:rsidRPr="00716689">
        <w:rPr>
          <w:rFonts w:ascii="Times New Roman" w:hAnsi="Times New Roman" w:cs="Times New Roman"/>
          <w:w w:val="105"/>
          <w:sz w:val="24"/>
        </w:rPr>
        <w:t>Schlögl Sandra</w:t>
      </w:r>
      <w:r w:rsidRPr="00716689">
        <w:rPr>
          <w:rFonts w:ascii="Times New Roman" w:hAnsi="Times New Roman" w:cs="Times New Roman"/>
          <w:w w:val="105"/>
          <w:position w:val="9"/>
          <w:sz w:val="17"/>
        </w:rPr>
        <w:t>2</w:t>
      </w:r>
      <w:r w:rsidRPr="00716689">
        <w:rPr>
          <w:rFonts w:ascii="Times New Roman" w:hAnsi="Times New Roman" w:cs="Times New Roman"/>
          <w:w w:val="105"/>
          <w:sz w:val="24"/>
        </w:rPr>
        <w:t>,</w:t>
      </w:r>
      <w:r w:rsidRPr="00716689">
        <w:rPr>
          <w:rFonts w:ascii="Times New Roman" w:hAnsi="Times New Roman" w:cs="Times New Roman"/>
          <w:spacing w:val="40"/>
          <w:w w:val="105"/>
          <w:sz w:val="24"/>
        </w:rPr>
        <w:t xml:space="preserve"> </w:t>
      </w:r>
      <w:r w:rsidRPr="00716689">
        <w:rPr>
          <w:rFonts w:ascii="Times New Roman" w:hAnsi="Times New Roman" w:cs="Times New Roman"/>
          <w:w w:val="105"/>
          <w:sz w:val="24"/>
        </w:rPr>
        <w:t>Leterrier Yves</w:t>
      </w:r>
      <w:r w:rsidRPr="00716689">
        <w:rPr>
          <w:rFonts w:ascii="Times New Roman" w:hAnsi="Times New Roman" w:cs="Times New Roman"/>
          <w:w w:val="105"/>
          <w:position w:val="9"/>
          <w:sz w:val="17"/>
        </w:rPr>
        <w:t>1</w:t>
      </w:r>
      <w:r w:rsidRPr="00716689">
        <w:rPr>
          <w:rFonts w:ascii="Times New Roman" w:hAnsi="Times New Roman" w:cs="Times New Roman"/>
          <w:w w:val="105"/>
          <w:sz w:val="24"/>
        </w:rPr>
        <w:t>, Michaud Véronique</w:t>
      </w:r>
      <w:r w:rsidRPr="00716689">
        <w:rPr>
          <w:rFonts w:ascii="Times New Roman" w:hAnsi="Times New Roman" w:cs="Times New Roman"/>
          <w:w w:val="105"/>
          <w:position w:val="9"/>
          <w:sz w:val="17"/>
        </w:rPr>
        <w:t>1</w:t>
      </w:r>
    </w:p>
    <w:p w14:paraId="7EE95C18" w14:textId="77777777" w:rsidR="00313CE2" w:rsidRPr="00716689" w:rsidRDefault="00313CE2" w:rsidP="00313CE2">
      <w:pPr>
        <w:spacing w:before="135" w:line="257" w:lineRule="auto"/>
        <w:ind w:left="794" w:right="794"/>
        <w:jc w:val="center"/>
        <w:rPr>
          <w:rFonts w:ascii="Times New Roman" w:hAnsi="Times New Roman" w:cs="Times New Roman"/>
        </w:rPr>
      </w:pPr>
      <w:r w:rsidRPr="00716689">
        <w:rPr>
          <w:rFonts w:ascii="Times New Roman" w:hAnsi="Times New Roman" w:cs="Times New Roman"/>
          <w:w w:val="105"/>
          <w:position w:val="8"/>
          <w:sz w:val="15"/>
        </w:rPr>
        <w:t>1</w:t>
      </w:r>
      <w:r w:rsidRPr="00716689">
        <w:rPr>
          <w:rFonts w:ascii="Times New Roman" w:hAnsi="Times New Roman" w:cs="Times New Roman"/>
          <w:w w:val="105"/>
        </w:rPr>
        <w:t>Laboratory for Processing of Advanced Composites (LPAC), Ecole Polytechnique Fédérale de Lausanne (EPFL), Station 12, Lausanne,</w:t>
      </w:r>
      <w:r w:rsidRPr="00716689">
        <w:rPr>
          <w:rFonts w:ascii="Times New Roman" w:hAnsi="Times New Roman" w:cs="Times New Roman"/>
          <w:spacing w:val="80"/>
          <w:w w:val="105"/>
        </w:rPr>
        <w:t xml:space="preserve"> </w:t>
      </w:r>
      <w:r w:rsidRPr="00716689">
        <w:rPr>
          <w:rFonts w:ascii="Times New Roman" w:hAnsi="Times New Roman" w:cs="Times New Roman"/>
          <w:w w:val="105"/>
        </w:rPr>
        <w:t>1015, Vaud, Switzerland.</w:t>
      </w:r>
    </w:p>
    <w:p w14:paraId="597F030C" w14:textId="77777777" w:rsidR="00313CE2" w:rsidRPr="00716689" w:rsidRDefault="00313CE2" w:rsidP="00313CE2">
      <w:pPr>
        <w:spacing w:line="251" w:lineRule="exact"/>
        <w:ind w:left="794" w:right="794"/>
        <w:jc w:val="center"/>
        <w:rPr>
          <w:rFonts w:ascii="Times New Roman" w:hAnsi="Times New Roman" w:cs="Times New Roman"/>
        </w:rPr>
      </w:pPr>
      <w:r w:rsidRPr="00716689">
        <w:rPr>
          <w:rFonts w:ascii="Times New Roman" w:hAnsi="Times New Roman" w:cs="Times New Roman"/>
          <w:w w:val="105"/>
          <w:position w:val="8"/>
          <w:sz w:val="15"/>
        </w:rPr>
        <w:t>2</w:t>
      </w:r>
      <w:r w:rsidRPr="00716689">
        <w:rPr>
          <w:rFonts w:ascii="Times New Roman" w:hAnsi="Times New Roman" w:cs="Times New Roman"/>
          <w:w w:val="105"/>
        </w:rPr>
        <w:t>Chemistry</w:t>
      </w:r>
      <w:r w:rsidRPr="00716689">
        <w:rPr>
          <w:rFonts w:ascii="Times New Roman" w:hAnsi="Times New Roman" w:cs="Times New Roman"/>
          <w:spacing w:val="24"/>
          <w:w w:val="105"/>
        </w:rPr>
        <w:t xml:space="preserve"> </w:t>
      </w:r>
      <w:r w:rsidRPr="00716689">
        <w:rPr>
          <w:rFonts w:ascii="Times New Roman" w:hAnsi="Times New Roman" w:cs="Times New Roman"/>
          <w:w w:val="105"/>
        </w:rPr>
        <w:t>of</w:t>
      </w:r>
      <w:r w:rsidRPr="00716689">
        <w:rPr>
          <w:rFonts w:ascii="Times New Roman" w:hAnsi="Times New Roman" w:cs="Times New Roman"/>
          <w:spacing w:val="24"/>
          <w:w w:val="105"/>
        </w:rPr>
        <w:t xml:space="preserve"> </w:t>
      </w:r>
      <w:r w:rsidRPr="00716689">
        <w:rPr>
          <w:rFonts w:ascii="Times New Roman" w:hAnsi="Times New Roman" w:cs="Times New Roman"/>
          <w:w w:val="105"/>
        </w:rPr>
        <w:t>Functional</w:t>
      </w:r>
      <w:r w:rsidRPr="00716689">
        <w:rPr>
          <w:rFonts w:ascii="Times New Roman" w:hAnsi="Times New Roman" w:cs="Times New Roman"/>
          <w:spacing w:val="24"/>
          <w:w w:val="105"/>
        </w:rPr>
        <w:t xml:space="preserve"> </w:t>
      </w:r>
      <w:r w:rsidRPr="00716689">
        <w:rPr>
          <w:rFonts w:ascii="Times New Roman" w:hAnsi="Times New Roman" w:cs="Times New Roman"/>
          <w:w w:val="105"/>
        </w:rPr>
        <w:t>Polymers,</w:t>
      </w:r>
      <w:r w:rsidRPr="00716689">
        <w:rPr>
          <w:rFonts w:ascii="Times New Roman" w:hAnsi="Times New Roman" w:cs="Times New Roman"/>
          <w:spacing w:val="25"/>
          <w:w w:val="105"/>
        </w:rPr>
        <w:t xml:space="preserve"> </w:t>
      </w:r>
      <w:r w:rsidRPr="00716689">
        <w:rPr>
          <w:rFonts w:ascii="Times New Roman" w:hAnsi="Times New Roman" w:cs="Times New Roman"/>
          <w:w w:val="105"/>
        </w:rPr>
        <w:t>Polymer</w:t>
      </w:r>
      <w:r w:rsidRPr="00716689">
        <w:rPr>
          <w:rFonts w:ascii="Times New Roman" w:hAnsi="Times New Roman" w:cs="Times New Roman"/>
          <w:spacing w:val="24"/>
          <w:w w:val="105"/>
        </w:rPr>
        <w:t xml:space="preserve"> </w:t>
      </w:r>
      <w:r w:rsidRPr="00716689">
        <w:rPr>
          <w:rFonts w:ascii="Times New Roman" w:hAnsi="Times New Roman" w:cs="Times New Roman"/>
          <w:w w:val="105"/>
        </w:rPr>
        <w:t>Competence</w:t>
      </w:r>
      <w:r w:rsidRPr="00716689">
        <w:rPr>
          <w:rFonts w:ascii="Times New Roman" w:hAnsi="Times New Roman" w:cs="Times New Roman"/>
          <w:spacing w:val="24"/>
          <w:w w:val="105"/>
        </w:rPr>
        <w:t xml:space="preserve"> </w:t>
      </w:r>
      <w:r w:rsidRPr="00716689">
        <w:rPr>
          <w:rFonts w:ascii="Times New Roman" w:hAnsi="Times New Roman" w:cs="Times New Roman"/>
          <w:spacing w:val="-2"/>
          <w:w w:val="105"/>
        </w:rPr>
        <w:t>Center</w:t>
      </w:r>
    </w:p>
    <w:p w14:paraId="78A4C6C9" w14:textId="77777777" w:rsidR="00313CE2" w:rsidRPr="00716689" w:rsidRDefault="00313CE2" w:rsidP="00313CE2">
      <w:pPr>
        <w:spacing w:before="17"/>
        <w:ind w:left="794" w:right="794"/>
        <w:jc w:val="center"/>
        <w:rPr>
          <w:rFonts w:ascii="Times New Roman" w:hAnsi="Times New Roman" w:cs="Times New Roman"/>
        </w:rPr>
      </w:pPr>
      <w:r w:rsidRPr="00716689">
        <w:rPr>
          <w:rFonts w:ascii="Times New Roman" w:hAnsi="Times New Roman" w:cs="Times New Roman"/>
          <w:w w:val="105"/>
        </w:rPr>
        <w:t>Leoben</w:t>
      </w:r>
      <w:r w:rsidRPr="00716689">
        <w:rPr>
          <w:rFonts w:ascii="Times New Roman" w:hAnsi="Times New Roman" w:cs="Times New Roman"/>
          <w:spacing w:val="21"/>
          <w:w w:val="105"/>
        </w:rPr>
        <w:t xml:space="preserve"> </w:t>
      </w:r>
      <w:r w:rsidRPr="00716689">
        <w:rPr>
          <w:rFonts w:ascii="Times New Roman" w:hAnsi="Times New Roman" w:cs="Times New Roman"/>
          <w:w w:val="105"/>
        </w:rPr>
        <w:t>GmbH</w:t>
      </w:r>
      <w:r w:rsidRPr="00716689">
        <w:rPr>
          <w:rFonts w:ascii="Times New Roman" w:hAnsi="Times New Roman" w:cs="Times New Roman"/>
          <w:spacing w:val="21"/>
          <w:w w:val="105"/>
        </w:rPr>
        <w:t xml:space="preserve"> </w:t>
      </w:r>
      <w:r w:rsidRPr="00716689">
        <w:rPr>
          <w:rFonts w:ascii="Times New Roman" w:hAnsi="Times New Roman" w:cs="Times New Roman"/>
          <w:w w:val="105"/>
        </w:rPr>
        <w:t>(PCCL),</w:t>
      </w:r>
      <w:r w:rsidRPr="00716689">
        <w:rPr>
          <w:rFonts w:ascii="Times New Roman" w:hAnsi="Times New Roman" w:cs="Times New Roman"/>
          <w:spacing w:val="21"/>
          <w:w w:val="105"/>
        </w:rPr>
        <w:t xml:space="preserve"> </w:t>
      </w:r>
      <w:proofErr w:type="spellStart"/>
      <w:r w:rsidRPr="00716689">
        <w:rPr>
          <w:rFonts w:ascii="Times New Roman" w:hAnsi="Times New Roman" w:cs="Times New Roman"/>
          <w:w w:val="105"/>
        </w:rPr>
        <w:t>Sauraugasse</w:t>
      </w:r>
      <w:proofErr w:type="spellEnd"/>
      <w:r w:rsidRPr="00716689">
        <w:rPr>
          <w:rFonts w:ascii="Times New Roman" w:hAnsi="Times New Roman" w:cs="Times New Roman"/>
          <w:w w:val="105"/>
        </w:rPr>
        <w:t>,</w:t>
      </w:r>
      <w:r w:rsidRPr="00716689">
        <w:rPr>
          <w:rFonts w:ascii="Times New Roman" w:hAnsi="Times New Roman" w:cs="Times New Roman"/>
          <w:spacing w:val="21"/>
          <w:w w:val="105"/>
        </w:rPr>
        <w:t xml:space="preserve"> </w:t>
      </w:r>
      <w:r w:rsidRPr="00716689">
        <w:rPr>
          <w:rFonts w:ascii="Times New Roman" w:hAnsi="Times New Roman" w:cs="Times New Roman"/>
          <w:w w:val="105"/>
        </w:rPr>
        <w:t>Leoben,</w:t>
      </w:r>
      <w:r w:rsidRPr="00716689">
        <w:rPr>
          <w:rFonts w:ascii="Times New Roman" w:hAnsi="Times New Roman" w:cs="Times New Roman"/>
          <w:spacing w:val="21"/>
          <w:w w:val="105"/>
        </w:rPr>
        <w:t xml:space="preserve"> </w:t>
      </w:r>
      <w:r w:rsidRPr="00716689">
        <w:rPr>
          <w:rFonts w:ascii="Times New Roman" w:hAnsi="Times New Roman" w:cs="Times New Roman"/>
          <w:w w:val="105"/>
        </w:rPr>
        <w:t>8700,</w:t>
      </w:r>
      <w:r w:rsidRPr="00716689">
        <w:rPr>
          <w:rFonts w:ascii="Times New Roman" w:hAnsi="Times New Roman" w:cs="Times New Roman"/>
          <w:spacing w:val="22"/>
          <w:w w:val="105"/>
        </w:rPr>
        <w:t xml:space="preserve"> </w:t>
      </w:r>
      <w:r w:rsidRPr="00716689">
        <w:rPr>
          <w:rFonts w:ascii="Times New Roman" w:hAnsi="Times New Roman" w:cs="Times New Roman"/>
          <w:w w:val="105"/>
        </w:rPr>
        <w:t>Styria,</w:t>
      </w:r>
      <w:r w:rsidRPr="00716689">
        <w:rPr>
          <w:rFonts w:ascii="Times New Roman" w:hAnsi="Times New Roman" w:cs="Times New Roman"/>
          <w:spacing w:val="21"/>
          <w:w w:val="105"/>
        </w:rPr>
        <w:t xml:space="preserve"> </w:t>
      </w:r>
      <w:r w:rsidRPr="00716689">
        <w:rPr>
          <w:rFonts w:ascii="Times New Roman" w:hAnsi="Times New Roman" w:cs="Times New Roman"/>
          <w:spacing w:val="-2"/>
          <w:w w:val="105"/>
        </w:rPr>
        <w:t>Austria.</w:t>
      </w:r>
    </w:p>
    <w:p w14:paraId="646B0EA5" w14:textId="77777777" w:rsidR="00091060" w:rsidRDefault="00091060" w:rsidP="00091060">
      <w:pPr>
        <w:pStyle w:val="BodyText"/>
        <w:spacing w:before="242"/>
        <w:jc w:val="center"/>
        <w:rPr>
          <w:rFonts w:ascii="Times New Roman" w:hAnsi="Times New Roman" w:cs="Times New Roman"/>
          <w:sz w:val="32"/>
          <w:szCs w:val="28"/>
        </w:rPr>
      </w:pPr>
      <w:r w:rsidRPr="00F05E60">
        <w:rPr>
          <w:rFonts w:ascii="Times New Roman" w:hAnsi="Times New Roman" w:cs="Times New Roman"/>
          <w:sz w:val="32"/>
          <w:szCs w:val="28"/>
        </w:rPr>
        <w:t>Advanced Composites and Hybrid Materials</w:t>
      </w:r>
    </w:p>
    <w:p w14:paraId="7A1DB311" w14:textId="77777777" w:rsidR="00FD2697" w:rsidRDefault="00FD2697" w:rsidP="00091060">
      <w:pPr>
        <w:pStyle w:val="BodyText"/>
        <w:spacing w:before="242"/>
        <w:jc w:val="center"/>
        <w:rPr>
          <w:rFonts w:ascii="Times New Roman" w:hAnsi="Times New Roman" w:cs="Times New Roman"/>
          <w:sz w:val="32"/>
          <w:szCs w:val="28"/>
        </w:rPr>
      </w:pPr>
    </w:p>
    <w:p w14:paraId="606B9F4A" w14:textId="69604C7D" w:rsidR="007E4A75" w:rsidRDefault="00FD2697" w:rsidP="00FD2697">
      <w:pPr>
        <w:jc w:val="center"/>
      </w:pPr>
      <w:r>
        <w:t>Corresponding author: Véronique Michaud (</w:t>
      </w:r>
      <w:hyperlink r:id="rId8" w:history="1">
        <w:r w:rsidRPr="0095328E">
          <w:rPr>
            <w:rStyle w:val="Hyperlink"/>
          </w:rPr>
          <w:t>v</w:t>
        </w:r>
        <w:r w:rsidR="00F10748">
          <w:rPr>
            <w:rStyle w:val="Hyperlink"/>
          </w:rPr>
          <w:t>e</w:t>
        </w:r>
        <w:r w:rsidRPr="0095328E">
          <w:rPr>
            <w:rStyle w:val="Hyperlink"/>
          </w:rPr>
          <w:t>ronique.michaud@epfl.ch</w:t>
        </w:r>
      </w:hyperlink>
      <w:r>
        <w:t>)</w:t>
      </w:r>
    </w:p>
    <w:p w14:paraId="1BCACD80" w14:textId="77777777" w:rsidR="00FD2697" w:rsidRPr="00F05E60" w:rsidRDefault="00FD2697" w:rsidP="00FD2697">
      <w:pPr>
        <w:jc w:val="center"/>
      </w:pPr>
    </w:p>
    <w:p w14:paraId="4E3A6564" w14:textId="31FFEC69" w:rsidR="00313CE2" w:rsidRDefault="00313CE2" w:rsidP="00313CE2">
      <w:pPr>
        <w:spacing w:line="257" w:lineRule="auto"/>
        <w:ind w:left="794" w:right="794"/>
        <w:jc w:val="center"/>
      </w:pPr>
      <w:r>
        <w:rPr>
          <w:w w:val="105"/>
        </w:rPr>
        <w:t xml:space="preserve">Contributing authors: </w:t>
      </w:r>
      <w:hyperlink r:id="rId9">
        <w:r>
          <w:rPr>
            <w:color w:val="0000FF"/>
            <w:w w:val="105"/>
          </w:rPr>
          <w:t>anthony.hoogmartens@epfl.ch</w:t>
        </w:r>
        <w:r>
          <w:rPr>
            <w:w w:val="105"/>
          </w:rPr>
          <w:t>;</w:t>
        </w:r>
      </w:hyperlink>
      <w:r>
        <w:rPr>
          <w:w w:val="105"/>
        </w:rPr>
        <w:t xml:space="preserve"> </w:t>
      </w:r>
      <w:hyperlink r:id="rId10">
        <w:r>
          <w:rPr>
            <w:color w:val="0000FF"/>
            <w:w w:val="105"/>
          </w:rPr>
          <w:t>sandra.schloegl@pccl.at</w:t>
        </w:r>
        <w:r>
          <w:rPr>
            <w:w w:val="105"/>
          </w:rPr>
          <w:t>;</w:t>
        </w:r>
      </w:hyperlink>
      <w:r>
        <w:rPr>
          <w:w w:val="105"/>
        </w:rPr>
        <w:t xml:space="preserve"> </w:t>
      </w:r>
      <w:hyperlink r:id="rId11">
        <w:r>
          <w:rPr>
            <w:color w:val="0000FF"/>
            <w:w w:val="105"/>
          </w:rPr>
          <w:t>yves.leterrier@epfl.ch</w:t>
        </w:r>
        <w:r>
          <w:rPr>
            <w:w w:val="105"/>
          </w:rPr>
          <w:t>;</w:t>
        </w:r>
      </w:hyperlink>
      <w:r>
        <w:rPr>
          <w:w w:val="105"/>
        </w:rPr>
        <w:t xml:space="preserve"> </w:t>
      </w:r>
      <w:hyperlink r:id="rId12">
        <w:r>
          <w:rPr>
            <w:color w:val="0000FF"/>
            <w:spacing w:val="-2"/>
            <w:w w:val="105"/>
          </w:rPr>
          <w:t>v</w:t>
        </w:r>
        <w:r w:rsidR="00F10748">
          <w:rPr>
            <w:color w:val="0000FF"/>
            <w:spacing w:val="-2"/>
            <w:w w:val="105"/>
          </w:rPr>
          <w:t>e</w:t>
        </w:r>
        <w:r>
          <w:rPr>
            <w:color w:val="0000FF"/>
            <w:spacing w:val="-2"/>
            <w:w w:val="105"/>
          </w:rPr>
          <w:t>ronique.michaud@epfl.ch</w:t>
        </w:r>
        <w:r>
          <w:rPr>
            <w:spacing w:val="-2"/>
            <w:w w:val="105"/>
          </w:rPr>
          <w:t>;</w:t>
        </w:r>
      </w:hyperlink>
    </w:p>
    <w:p w14:paraId="31508884" w14:textId="77777777" w:rsidR="00FD2697" w:rsidRDefault="00FD2697">
      <w:pPr>
        <w:rPr>
          <w:sz w:val="24"/>
          <w:szCs w:val="20"/>
        </w:rPr>
      </w:pPr>
      <w:r>
        <w:rPr>
          <w:sz w:val="24"/>
        </w:rPr>
        <w:br w:type="page"/>
      </w:r>
    </w:p>
    <w:p w14:paraId="79920BF6" w14:textId="77777777" w:rsidR="006B35AC" w:rsidRDefault="006B35AC">
      <w:pPr>
        <w:pStyle w:val="BodyText"/>
        <w:spacing w:before="234"/>
        <w:rPr>
          <w:sz w:val="24"/>
        </w:rPr>
      </w:pPr>
    </w:p>
    <w:p w14:paraId="72E1DEAA" w14:textId="77777777" w:rsidR="006B35AC" w:rsidRPr="00705A09" w:rsidRDefault="003302D5" w:rsidP="00A60896">
      <w:pPr>
        <w:pStyle w:val="Heading1"/>
        <w:numPr>
          <w:ilvl w:val="0"/>
          <w:numId w:val="3"/>
        </w:numPr>
      </w:pPr>
      <w:bookmarkStart w:id="0" w:name="Structural_characterization_of_cystamine"/>
      <w:bookmarkEnd w:id="0"/>
      <w:r w:rsidRPr="00705A09">
        <w:t xml:space="preserve">Structural characterization of </w:t>
      </w:r>
      <w:proofErr w:type="spellStart"/>
      <w:r w:rsidRPr="00705A09">
        <w:t>cystamine</w:t>
      </w:r>
      <w:proofErr w:type="spellEnd"/>
    </w:p>
    <w:p w14:paraId="5E281B2A" w14:textId="77777777" w:rsidR="006B35AC" w:rsidRDefault="006B35AC">
      <w:pPr>
        <w:pStyle w:val="BodyText"/>
        <w:rPr>
          <w:b/>
        </w:rPr>
      </w:pPr>
    </w:p>
    <w:p w14:paraId="43A6FA64" w14:textId="77777777" w:rsidR="00E956FB" w:rsidRDefault="00E956FB" w:rsidP="00E956FB">
      <w:pPr>
        <w:pStyle w:val="BodyText"/>
        <w:keepNext/>
        <w:jc w:val="center"/>
      </w:pPr>
      <w:r>
        <w:rPr>
          <w:b/>
          <w:noProof/>
        </w:rPr>
        <w:drawing>
          <wp:inline distT="0" distB="0" distL="0" distR="0" wp14:anchorId="4BAAA882" wp14:editId="6D0F55DF">
            <wp:extent cx="5114925" cy="2926874"/>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0596" cy="2930119"/>
                    </a:xfrm>
                    <a:prstGeom prst="rect">
                      <a:avLst/>
                    </a:prstGeom>
                  </pic:spPr>
                </pic:pic>
              </a:graphicData>
            </a:graphic>
          </wp:inline>
        </w:drawing>
      </w:r>
    </w:p>
    <w:p w14:paraId="77E0A9E3" w14:textId="6CD18E59" w:rsidR="006B35AC" w:rsidRPr="00E956FB" w:rsidRDefault="00E956FB" w:rsidP="00E956FB">
      <w:pPr>
        <w:pStyle w:val="Caption"/>
        <w:jc w:val="center"/>
        <w:rPr>
          <w:b/>
        </w:rPr>
      </w:pPr>
      <w:r w:rsidRPr="00D81CBB">
        <w:rPr>
          <w:b/>
          <w:bCs/>
        </w:rPr>
        <w:t>Fig</w:t>
      </w:r>
      <w:r w:rsidR="00D81CBB" w:rsidRPr="00D81CBB">
        <w:rPr>
          <w:b/>
          <w:bCs/>
        </w:rPr>
        <w:t>.</w:t>
      </w:r>
      <w:r w:rsidRPr="00D81CBB">
        <w:rPr>
          <w:b/>
          <w:bCs/>
        </w:rPr>
        <w:t xml:space="preserve"> </w:t>
      </w:r>
      <w:r w:rsidR="00500E94">
        <w:rPr>
          <w:b/>
          <w:bCs/>
        </w:rPr>
        <w:t>S</w:t>
      </w:r>
      <w:r w:rsidR="0083008A" w:rsidRPr="00D81CBB">
        <w:rPr>
          <w:b/>
          <w:bCs/>
        </w:rPr>
        <w:fldChar w:fldCharType="begin"/>
      </w:r>
      <w:r w:rsidR="0083008A" w:rsidRPr="00D81CBB">
        <w:rPr>
          <w:b/>
          <w:bCs/>
        </w:rPr>
        <w:instrText xml:space="preserve"> SEQ Figure \* ARABIC </w:instrText>
      </w:r>
      <w:r w:rsidR="0083008A" w:rsidRPr="00D81CBB">
        <w:rPr>
          <w:b/>
          <w:bCs/>
        </w:rPr>
        <w:fldChar w:fldCharType="separate"/>
      </w:r>
      <w:r w:rsidR="007B2CDF">
        <w:rPr>
          <w:b/>
          <w:bCs/>
          <w:noProof/>
        </w:rPr>
        <w:t>1</w:t>
      </w:r>
      <w:r w:rsidR="0083008A" w:rsidRPr="00D81CBB">
        <w:rPr>
          <w:b/>
          <w:bCs/>
          <w:noProof/>
        </w:rPr>
        <w:fldChar w:fldCharType="end"/>
      </w:r>
      <w:r>
        <w:t xml:space="preserve"> </w:t>
      </w:r>
      <w:r w:rsidR="00D506B4">
        <w:rPr>
          <w:vertAlign w:val="superscript"/>
        </w:rPr>
        <w:t>1</w:t>
      </w:r>
      <w:r w:rsidRPr="00922199">
        <w:t xml:space="preserve">H NMR </w:t>
      </w:r>
      <w:proofErr w:type="spellStart"/>
      <w:r w:rsidRPr="00922199">
        <w:t>cystamine</w:t>
      </w:r>
      <w:proofErr w:type="spellEnd"/>
      <w:r w:rsidRPr="00922199">
        <w:t xml:space="preserve">: </w:t>
      </w:r>
      <w:r w:rsidR="00D506B4">
        <w:rPr>
          <w:vertAlign w:val="superscript"/>
        </w:rPr>
        <w:t>1</w:t>
      </w:r>
      <w:r w:rsidRPr="00922199">
        <w:t>H NMR (400 MHz, d-methanol, δ ppm): 3.20 (t, 4H), 3.03 (t, 4H)</w:t>
      </w:r>
    </w:p>
    <w:p w14:paraId="00E26853" w14:textId="77777777" w:rsidR="006B35AC" w:rsidRPr="00705A09" w:rsidRDefault="003302D5" w:rsidP="00A60896">
      <w:pPr>
        <w:pStyle w:val="Heading1"/>
        <w:numPr>
          <w:ilvl w:val="0"/>
          <w:numId w:val="3"/>
        </w:numPr>
      </w:pPr>
      <w:bookmarkStart w:id="1" w:name="Characterization_of_the_polyester_partic"/>
      <w:bookmarkEnd w:id="1"/>
      <w:r w:rsidRPr="00705A09">
        <w:t>Characterization of the polyester particles</w:t>
      </w:r>
    </w:p>
    <w:p w14:paraId="08C8D933" w14:textId="77777777" w:rsidR="006B35AC" w:rsidRDefault="006B35AC">
      <w:pPr>
        <w:pStyle w:val="BodyText"/>
        <w:rPr>
          <w:b/>
        </w:rPr>
      </w:pPr>
    </w:p>
    <w:p w14:paraId="1C4130FA" w14:textId="77777777" w:rsidR="00A6676C" w:rsidRDefault="0018198E" w:rsidP="00A6676C">
      <w:pPr>
        <w:pStyle w:val="BodyText"/>
        <w:keepNext/>
        <w:spacing w:before="176"/>
        <w:jc w:val="center"/>
      </w:pPr>
      <w:r>
        <w:rPr>
          <w:b/>
          <w:noProof/>
        </w:rPr>
        <w:drawing>
          <wp:inline distT="0" distB="0" distL="0" distR="0" wp14:anchorId="005E3344" wp14:editId="6D90C03F">
            <wp:extent cx="3910087" cy="29927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11163" cy="2993579"/>
                    </a:xfrm>
                    <a:prstGeom prst="rect">
                      <a:avLst/>
                    </a:prstGeom>
                  </pic:spPr>
                </pic:pic>
              </a:graphicData>
            </a:graphic>
          </wp:inline>
        </w:drawing>
      </w:r>
    </w:p>
    <w:p w14:paraId="0C00B5B0" w14:textId="68124339" w:rsidR="006B35AC" w:rsidRDefault="00A6676C" w:rsidP="00A6676C">
      <w:pPr>
        <w:pStyle w:val="Caption"/>
        <w:jc w:val="center"/>
        <w:rPr>
          <w:b/>
        </w:rPr>
      </w:pPr>
      <w:r w:rsidRPr="00D81CBB">
        <w:rPr>
          <w:b/>
          <w:bCs/>
        </w:rPr>
        <w:t>Fig</w:t>
      </w:r>
      <w:r w:rsidR="00D81CBB" w:rsidRPr="00D81CBB">
        <w:rPr>
          <w:b/>
          <w:bCs/>
        </w:rPr>
        <w:t>.</w:t>
      </w:r>
      <w:r w:rsidR="00500E94">
        <w:rPr>
          <w:b/>
          <w:bCs/>
        </w:rPr>
        <w:t>S</w:t>
      </w:r>
      <w:r w:rsidR="00E76864" w:rsidRPr="00D81CBB">
        <w:rPr>
          <w:b/>
          <w:bCs/>
        </w:rPr>
        <w:fldChar w:fldCharType="begin"/>
      </w:r>
      <w:r w:rsidR="00E76864" w:rsidRPr="00D81CBB">
        <w:rPr>
          <w:b/>
          <w:bCs/>
        </w:rPr>
        <w:instrText xml:space="preserve"> SEQ Figure \* ARABIC </w:instrText>
      </w:r>
      <w:r w:rsidR="00E76864" w:rsidRPr="00D81CBB">
        <w:rPr>
          <w:b/>
          <w:bCs/>
        </w:rPr>
        <w:fldChar w:fldCharType="separate"/>
      </w:r>
      <w:r w:rsidR="007B2CDF">
        <w:rPr>
          <w:b/>
          <w:bCs/>
          <w:noProof/>
        </w:rPr>
        <w:t>2</w:t>
      </w:r>
      <w:r w:rsidR="00E76864" w:rsidRPr="00D81CBB">
        <w:rPr>
          <w:b/>
          <w:bCs/>
          <w:noProof/>
        </w:rPr>
        <w:fldChar w:fldCharType="end"/>
      </w:r>
      <w:r>
        <w:t xml:space="preserve"> </w:t>
      </w:r>
      <w:r w:rsidRPr="00756172">
        <w:t>DSC measurement of the polyester particles</w:t>
      </w:r>
    </w:p>
    <w:p w14:paraId="1246C804" w14:textId="77777777" w:rsidR="006B35AC" w:rsidRDefault="006B35AC">
      <w:pPr>
        <w:pStyle w:val="BodyText"/>
        <w:rPr>
          <w:b/>
        </w:rPr>
      </w:pPr>
    </w:p>
    <w:p w14:paraId="4073FD95" w14:textId="77777777" w:rsidR="006B35AC" w:rsidRDefault="006B35AC">
      <w:pPr>
        <w:pStyle w:val="BodyText"/>
        <w:rPr>
          <w:b/>
        </w:rPr>
      </w:pPr>
    </w:p>
    <w:p w14:paraId="3CD42132" w14:textId="77777777" w:rsidR="007C1E7E" w:rsidRDefault="007C1E7E" w:rsidP="007C1E7E">
      <w:pPr>
        <w:pStyle w:val="Caption"/>
        <w:keepNext/>
        <w:jc w:val="center"/>
      </w:pPr>
      <w:r>
        <w:lastRenderedPageBreak/>
        <w:t xml:space="preserve">Table </w:t>
      </w:r>
      <w:fldSimple w:instr=" SEQ Table \* ARABIC ">
        <w:r>
          <w:rPr>
            <w:noProof/>
          </w:rPr>
          <w:t>1</w:t>
        </w:r>
      </w:fldSimple>
      <w:r>
        <w:t xml:space="preserve">: </w:t>
      </w:r>
      <w:r w:rsidRPr="00832B40">
        <w:t>Additional information for the polyester particles</w:t>
      </w:r>
    </w:p>
    <w:tbl>
      <w:tblPr>
        <w:tblStyle w:val="TableGridLight"/>
        <w:tblW w:w="0" w:type="auto"/>
        <w:jc w:val="center"/>
        <w:tblLayout w:type="fixed"/>
        <w:tblLook w:val="01E0" w:firstRow="1" w:lastRow="1" w:firstColumn="1" w:lastColumn="1" w:noHBand="0" w:noVBand="0"/>
      </w:tblPr>
      <w:tblGrid>
        <w:gridCol w:w="1709"/>
        <w:gridCol w:w="1037"/>
        <w:gridCol w:w="1090"/>
      </w:tblGrid>
      <w:tr w:rsidR="006B35AC" w:rsidRPr="00313CE2" w14:paraId="00D58516" w14:textId="77777777" w:rsidTr="00313CE2">
        <w:trPr>
          <w:trHeight w:val="237"/>
          <w:jc w:val="center"/>
        </w:trPr>
        <w:tc>
          <w:tcPr>
            <w:tcW w:w="1709" w:type="dxa"/>
          </w:tcPr>
          <w:p w14:paraId="310A5814" w14:textId="77777777" w:rsidR="006B35AC" w:rsidRPr="00313CE2" w:rsidRDefault="006B35AC">
            <w:pPr>
              <w:pStyle w:val="TableParagraph"/>
              <w:spacing w:line="240" w:lineRule="auto"/>
              <w:ind w:left="0"/>
              <w:rPr>
                <w:rFonts w:ascii="Times New Roman" w:hAnsi="Times New Roman" w:cs="Times New Roman"/>
                <w:sz w:val="16"/>
              </w:rPr>
            </w:pPr>
          </w:p>
        </w:tc>
        <w:tc>
          <w:tcPr>
            <w:tcW w:w="1037" w:type="dxa"/>
          </w:tcPr>
          <w:p w14:paraId="74E1B3BB" w14:textId="77777777" w:rsidR="006B35AC" w:rsidRPr="00313CE2" w:rsidRDefault="003302D5">
            <w:pPr>
              <w:pStyle w:val="TableParagraph"/>
              <w:spacing w:line="210" w:lineRule="exact"/>
              <w:rPr>
                <w:rFonts w:ascii="Times New Roman" w:hAnsi="Times New Roman" w:cs="Times New Roman"/>
                <w:b/>
                <w:sz w:val="20"/>
              </w:rPr>
            </w:pPr>
            <w:r w:rsidRPr="00313CE2">
              <w:rPr>
                <w:rFonts w:ascii="Times New Roman" w:hAnsi="Times New Roman" w:cs="Times New Roman"/>
                <w:b/>
                <w:spacing w:val="-5"/>
                <w:w w:val="110"/>
                <w:sz w:val="20"/>
              </w:rPr>
              <w:t>PLA</w:t>
            </w:r>
          </w:p>
        </w:tc>
        <w:tc>
          <w:tcPr>
            <w:tcW w:w="1090" w:type="dxa"/>
          </w:tcPr>
          <w:p w14:paraId="11B8FD2E" w14:textId="77777777" w:rsidR="006B35AC" w:rsidRPr="00313CE2" w:rsidRDefault="003302D5">
            <w:pPr>
              <w:pStyle w:val="TableParagraph"/>
              <w:spacing w:line="210" w:lineRule="exact"/>
              <w:rPr>
                <w:rFonts w:ascii="Times New Roman" w:hAnsi="Times New Roman" w:cs="Times New Roman"/>
                <w:b/>
                <w:sz w:val="20"/>
              </w:rPr>
            </w:pPr>
            <w:r w:rsidRPr="00313CE2">
              <w:rPr>
                <w:rFonts w:ascii="Times New Roman" w:hAnsi="Times New Roman" w:cs="Times New Roman"/>
                <w:b/>
                <w:spacing w:val="-5"/>
                <w:w w:val="110"/>
                <w:sz w:val="20"/>
              </w:rPr>
              <w:t>PET</w:t>
            </w:r>
          </w:p>
        </w:tc>
      </w:tr>
      <w:tr w:rsidR="006B35AC" w:rsidRPr="00313CE2" w14:paraId="4E02122F" w14:textId="77777777" w:rsidTr="00313CE2">
        <w:trPr>
          <w:trHeight w:val="237"/>
          <w:jc w:val="center"/>
        </w:trPr>
        <w:tc>
          <w:tcPr>
            <w:tcW w:w="1709" w:type="dxa"/>
          </w:tcPr>
          <w:p w14:paraId="1A5F5963" w14:textId="77777777" w:rsidR="006B35AC" w:rsidRPr="00313CE2" w:rsidRDefault="003302D5">
            <w:pPr>
              <w:pStyle w:val="TableParagraph"/>
              <w:rPr>
                <w:rFonts w:ascii="Times New Roman" w:hAnsi="Times New Roman" w:cs="Times New Roman"/>
                <w:sz w:val="20"/>
              </w:rPr>
            </w:pPr>
            <w:r w:rsidRPr="00313CE2">
              <w:rPr>
                <w:rFonts w:ascii="Times New Roman" w:hAnsi="Times New Roman" w:cs="Times New Roman"/>
                <w:i/>
                <w:sz w:val="20"/>
              </w:rPr>
              <w:t>T</w:t>
            </w:r>
            <w:r w:rsidRPr="00313CE2">
              <w:rPr>
                <w:rFonts w:ascii="Times New Roman" w:hAnsi="Times New Roman" w:cs="Times New Roman"/>
                <w:i/>
                <w:sz w:val="20"/>
                <w:vertAlign w:val="subscript"/>
              </w:rPr>
              <w:t>g</w:t>
            </w:r>
            <w:r w:rsidRPr="00313CE2">
              <w:rPr>
                <w:rFonts w:ascii="Times New Roman" w:hAnsi="Times New Roman" w:cs="Times New Roman"/>
                <w:i/>
                <w:spacing w:val="-1"/>
                <w:sz w:val="20"/>
              </w:rPr>
              <w:t xml:space="preserve"> </w:t>
            </w:r>
            <w:r w:rsidRPr="00313CE2">
              <w:rPr>
                <w:rFonts w:ascii="Times New Roman" w:hAnsi="Times New Roman" w:cs="Times New Roman"/>
                <w:spacing w:val="-4"/>
                <w:sz w:val="20"/>
              </w:rPr>
              <w:t>[°C]</w:t>
            </w:r>
          </w:p>
        </w:tc>
        <w:tc>
          <w:tcPr>
            <w:tcW w:w="1037" w:type="dxa"/>
          </w:tcPr>
          <w:p w14:paraId="56F4EDE0" w14:textId="77777777" w:rsidR="006B35AC" w:rsidRPr="00313CE2" w:rsidRDefault="003302D5">
            <w:pPr>
              <w:pStyle w:val="TableParagraph"/>
              <w:rPr>
                <w:rFonts w:ascii="Times New Roman" w:hAnsi="Times New Roman" w:cs="Times New Roman"/>
                <w:sz w:val="20"/>
              </w:rPr>
            </w:pPr>
            <w:r w:rsidRPr="00313CE2">
              <w:rPr>
                <w:rFonts w:ascii="Times New Roman" w:hAnsi="Times New Roman" w:cs="Times New Roman"/>
                <w:spacing w:val="-2"/>
                <w:sz w:val="20"/>
              </w:rPr>
              <w:t>55.68</w:t>
            </w:r>
          </w:p>
        </w:tc>
        <w:tc>
          <w:tcPr>
            <w:tcW w:w="1090" w:type="dxa"/>
          </w:tcPr>
          <w:p w14:paraId="0D569796" w14:textId="77777777" w:rsidR="006B35AC" w:rsidRPr="00313CE2" w:rsidRDefault="003302D5">
            <w:pPr>
              <w:pStyle w:val="TableParagraph"/>
              <w:rPr>
                <w:rFonts w:ascii="Times New Roman" w:hAnsi="Times New Roman" w:cs="Times New Roman"/>
                <w:sz w:val="20"/>
              </w:rPr>
            </w:pPr>
            <w:r w:rsidRPr="00313CE2">
              <w:rPr>
                <w:rFonts w:ascii="Times New Roman" w:hAnsi="Times New Roman" w:cs="Times New Roman"/>
                <w:spacing w:val="-5"/>
                <w:sz w:val="20"/>
              </w:rPr>
              <w:t>80</w:t>
            </w:r>
          </w:p>
        </w:tc>
      </w:tr>
      <w:tr w:rsidR="006B35AC" w:rsidRPr="00313CE2" w14:paraId="2BE0E38E" w14:textId="77777777" w:rsidTr="00313CE2">
        <w:trPr>
          <w:trHeight w:val="237"/>
          <w:jc w:val="center"/>
        </w:trPr>
        <w:tc>
          <w:tcPr>
            <w:tcW w:w="1709" w:type="dxa"/>
          </w:tcPr>
          <w:p w14:paraId="408073DC" w14:textId="77777777" w:rsidR="006B35AC" w:rsidRPr="00313CE2" w:rsidRDefault="000E6790">
            <w:pPr>
              <w:pStyle w:val="TableParagraph"/>
              <w:rPr>
                <w:rFonts w:ascii="Times New Roman" w:hAnsi="Times New Roman" w:cs="Times New Roman"/>
                <w:sz w:val="20"/>
              </w:rPr>
            </w:pPr>
            <w:r>
              <w:rPr>
                <w:rFonts w:ascii="Times New Roman" w:hAnsi="Times New Roman" w:cs="Times New Roman"/>
                <w:i/>
                <w:w w:val="105"/>
                <w:sz w:val="20"/>
              </w:rPr>
              <w:t xml:space="preserve">Melting point </w:t>
            </w:r>
            <w:r w:rsidR="003302D5" w:rsidRPr="00313CE2">
              <w:rPr>
                <w:rFonts w:ascii="Times New Roman" w:hAnsi="Times New Roman" w:cs="Times New Roman"/>
                <w:i/>
                <w:w w:val="105"/>
                <w:sz w:val="20"/>
              </w:rPr>
              <w:t>T</w:t>
            </w:r>
            <w:r w:rsidR="003302D5" w:rsidRPr="00313CE2">
              <w:rPr>
                <w:rFonts w:ascii="Times New Roman" w:hAnsi="Times New Roman" w:cs="Times New Roman"/>
                <w:i/>
                <w:w w:val="105"/>
                <w:sz w:val="20"/>
                <w:vertAlign w:val="subscript"/>
              </w:rPr>
              <w:t>m</w:t>
            </w:r>
            <w:r w:rsidR="003302D5" w:rsidRPr="00313CE2">
              <w:rPr>
                <w:rFonts w:ascii="Times New Roman" w:hAnsi="Times New Roman" w:cs="Times New Roman"/>
                <w:i/>
                <w:spacing w:val="-4"/>
                <w:w w:val="105"/>
                <w:sz w:val="20"/>
              </w:rPr>
              <w:t xml:space="preserve"> </w:t>
            </w:r>
            <w:r w:rsidR="003302D5" w:rsidRPr="00313CE2">
              <w:rPr>
                <w:rFonts w:ascii="Times New Roman" w:hAnsi="Times New Roman" w:cs="Times New Roman"/>
                <w:spacing w:val="-4"/>
                <w:w w:val="105"/>
                <w:sz w:val="20"/>
              </w:rPr>
              <w:t>[°C]</w:t>
            </w:r>
          </w:p>
        </w:tc>
        <w:tc>
          <w:tcPr>
            <w:tcW w:w="1037" w:type="dxa"/>
          </w:tcPr>
          <w:p w14:paraId="1AE99026" w14:textId="77777777" w:rsidR="006B35AC" w:rsidRPr="00313CE2" w:rsidRDefault="003302D5">
            <w:pPr>
              <w:pStyle w:val="TableParagraph"/>
              <w:rPr>
                <w:rFonts w:ascii="Times New Roman" w:hAnsi="Times New Roman" w:cs="Times New Roman"/>
                <w:sz w:val="20"/>
              </w:rPr>
            </w:pPr>
            <w:r w:rsidRPr="00313CE2">
              <w:rPr>
                <w:rFonts w:ascii="Times New Roman" w:hAnsi="Times New Roman" w:cs="Times New Roman"/>
                <w:spacing w:val="-2"/>
                <w:sz w:val="20"/>
              </w:rPr>
              <w:t>150-</w:t>
            </w:r>
            <w:r w:rsidRPr="00313CE2">
              <w:rPr>
                <w:rFonts w:ascii="Times New Roman" w:hAnsi="Times New Roman" w:cs="Times New Roman"/>
                <w:spacing w:val="-5"/>
                <w:sz w:val="20"/>
              </w:rPr>
              <w:t>160</w:t>
            </w:r>
          </w:p>
        </w:tc>
        <w:tc>
          <w:tcPr>
            <w:tcW w:w="1090" w:type="dxa"/>
          </w:tcPr>
          <w:p w14:paraId="0D4BB163" w14:textId="77777777" w:rsidR="006B35AC" w:rsidRPr="00313CE2" w:rsidRDefault="003302D5">
            <w:pPr>
              <w:pStyle w:val="TableParagraph"/>
              <w:rPr>
                <w:rFonts w:ascii="Times New Roman" w:hAnsi="Times New Roman" w:cs="Times New Roman"/>
                <w:sz w:val="20"/>
              </w:rPr>
            </w:pPr>
            <w:r w:rsidRPr="00313CE2">
              <w:rPr>
                <w:rFonts w:ascii="Times New Roman" w:hAnsi="Times New Roman" w:cs="Times New Roman"/>
                <w:spacing w:val="-2"/>
                <w:sz w:val="20"/>
              </w:rPr>
              <w:t>240-</w:t>
            </w:r>
            <w:r w:rsidRPr="00313CE2">
              <w:rPr>
                <w:rFonts w:ascii="Times New Roman" w:hAnsi="Times New Roman" w:cs="Times New Roman"/>
                <w:spacing w:val="-5"/>
                <w:sz w:val="20"/>
              </w:rPr>
              <w:t>250</w:t>
            </w:r>
          </w:p>
        </w:tc>
      </w:tr>
      <w:tr w:rsidR="006B35AC" w:rsidRPr="00313CE2" w14:paraId="09B33440" w14:textId="77777777" w:rsidTr="00313CE2">
        <w:trPr>
          <w:trHeight w:val="476"/>
          <w:jc w:val="center"/>
        </w:trPr>
        <w:tc>
          <w:tcPr>
            <w:tcW w:w="1709" w:type="dxa"/>
          </w:tcPr>
          <w:p w14:paraId="6D868817" w14:textId="77777777" w:rsidR="006B35AC" w:rsidRPr="00313CE2" w:rsidRDefault="003302D5">
            <w:pPr>
              <w:pStyle w:val="TableParagraph"/>
              <w:spacing w:line="218" w:lineRule="exact"/>
              <w:rPr>
                <w:rFonts w:ascii="Times New Roman" w:hAnsi="Times New Roman" w:cs="Times New Roman"/>
                <w:sz w:val="20"/>
              </w:rPr>
            </w:pPr>
            <w:r w:rsidRPr="00313CE2">
              <w:rPr>
                <w:rFonts w:ascii="Times New Roman" w:hAnsi="Times New Roman" w:cs="Times New Roman"/>
                <w:w w:val="110"/>
                <w:sz w:val="20"/>
              </w:rPr>
              <w:t>Enthalpy</w:t>
            </w:r>
            <w:r w:rsidRPr="00313CE2">
              <w:rPr>
                <w:rFonts w:ascii="Times New Roman" w:hAnsi="Times New Roman" w:cs="Times New Roman"/>
                <w:spacing w:val="42"/>
                <w:w w:val="110"/>
                <w:sz w:val="20"/>
              </w:rPr>
              <w:t xml:space="preserve"> </w:t>
            </w:r>
            <w:r w:rsidRPr="00313CE2">
              <w:rPr>
                <w:rFonts w:ascii="Times New Roman" w:hAnsi="Times New Roman" w:cs="Times New Roman"/>
                <w:spacing w:val="-5"/>
                <w:w w:val="110"/>
                <w:sz w:val="20"/>
              </w:rPr>
              <w:t>of</w:t>
            </w:r>
          </w:p>
          <w:p w14:paraId="5D1FBB76" w14:textId="77777777" w:rsidR="006B35AC" w:rsidRPr="00313CE2" w:rsidRDefault="003302D5">
            <w:pPr>
              <w:pStyle w:val="TableParagraph"/>
              <w:spacing w:line="239" w:lineRule="exact"/>
              <w:rPr>
                <w:rFonts w:ascii="Times New Roman" w:hAnsi="Times New Roman" w:cs="Times New Roman"/>
                <w:sz w:val="20"/>
              </w:rPr>
            </w:pPr>
            <w:r w:rsidRPr="00313CE2">
              <w:rPr>
                <w:rFonts w:ascii="Times New Roman" w:hAnsi="Times New Roman" w:cs="Times New Roman"/>
                <w:w w:val="105"/>
                <w:sz w:val="20"/>
              </w:rPr>
              <w:t>mel</w:t>
            </w:r>
            <w:r w:rsidR="004D2B61">
              <w:rPr>
                <w:rFonts w:ascii="Times New Roman" w:hAnsi="Times New Roman" w:cs="Times New Roman"/>
                <w:w w:val="105"/>
                <w:sz w:val="20"/>
              </w:rPr>
              <w:t>t</w:t>
            </w:r>
            <w:r w:rsidRPr="00313CE2">
              <w:rPr>
                <w:rFonts w:ascii="Times New Roman" w:hAnsi="Times New Roman" w:cs="Times New Roman"/>
                <w:w w:val="105"/>
                <w:sz w:val="20"/>
              </w:rPr>
              <w:t>ing</w:t>
            </w:r>
            <w:r w:rsidRPr="00313CE2">
              <w:rPr>
                <w:rFonts w:ascii="Times New Roman" w:hAnsi="Times New Roman" w:cs="Times New Roman"/>
                <w:spacing w:val="16"/>
                <w:w w:val="110"/>
                <w:sz w:val="20"/>
              </w:rPr>
              <w:t xml:space="preserve"> </w:t>
            </w:r>
            <w:r w:rsidRPr="00313CE2">
              <w:rPr>
                <w:rFonts w:ascii="Times New Roman" w:hAnsi="Times New Roman" w:cs="Times New Roman"/>
                <w:spacing w:val="-2"/>
                <w:w w:val="110"/>
                <w:sz w:val="20"/>
              </w:rPr>
              <w:t>[J/g]</w:t>
            </w:r>
          </w:p>
        </w:tc>
        <w:tc>
          <w:tcPr>
            <w:tcW w:w="1037" w:type="dxa"/>
          </w:tcPr>
          <w:p w14:paraId="2567874B" w14:textId="77777777" w:rsidR="006B35AC" w:rsidRPr="00313CE2" w:rsidRDefault="003302D5">
            <w:pPr>
              <w:pStyle w:val="TableParagraph"/>
              <w:spacing w:line="220" w:lineRule="exact"/>
              <w:rPr>
                <w:rFonts w:ascii="Times New Roman" w:hAnsi="Times New Roman" w:cs="Times New Roman"/>
                <w:sz w:val="20"/>
              </w:rPr>
            </w:pPr>
            <w:r w:rsidRPr="00313CE2">
              <w:rPr>
                <w:rFonts w:ascii="Times New Roman" w:hAnsi="Times New Roman" w:cs="Times New Roman"/>
                <w:spacing w:val="-2"/>
                <w:sz w:val="20"/>
              </w:rPr>
              <w:t>38.49</w:t>
            </w:r>
          </w:p>
        </w:tc>
        <w:tc>
          <w:tcPr>
            <w:tcW w:w="1090" w:type="dxa"/>
          </w:tcPr>
          <w:p w14:paraId="0FBE1187" w14:textId="77777777" w:rsidR="006B35AC" w:rsidRPr="00313CE2" w:rsidRDefault="003302D5">
            <w:pPr>
              <w:pStyle w:val="TableParagraph"/>
              <w:spacing w:line="220" w:lineRule="exact"/>
              <w:rPr>
                <w:rFonts w:ascii="Times New Roman" w:hAnsi="Times New Roman" w:cs="Times New Roman"/>
                <w:sz w:val="20"/>
              </w:rPr>
            </w:pPr>
            <w:r w:rsidRPr="00313CE2">
              <w:rPr>
                <w:rFonts w:ascii="Times New Roman" w:hAnsi="Times New Roman" w:cs="Times New Roman"/>
                <w:spacing w:val="-4"/>
                <w:sz w:val="20"/>
              </w:rPr>
              <w:t>55.1</w:t>
            </w:r>
          </w:p>
        </w:tc>
      </w:tr>
      <w:tr w:rsidR="006B35AC" w:rsidRPr="00313CE2" w14:paraId="72124EFC" w14:textId="77777777" w:rsidTr="00313CE2">
        <w:trPr>
          <w:trHeight w:val="715"/>
          <w:jc w:val="center"/>
        </w:trPr>
        <w:tc>
          <w:tcPr>
            <w:tcW w:w="1709" w:type="dxa"/>
          </w:tcPr>
          <w:p w14:paraId="3AE82450" w14:textId="77777777" w:rsidR="006B35AC" w:rsidRPr="00313CE2" w:rsidRDefault="003302D5">
            <w:pPr>
              <w:pStyle w:val="TableParagraph"/>
              <w:tabs>
                <w:tab w:val="left" w:pos="1091"/>
              </w:tabs>
              <w:spacing w:line="218" w:lineRule="exact"/>
              <w:rPr>
                <w:rFonts w:ascii="Times New Roman" w:hAnsi="Times New Roman" w:cs="Times New Roman"/>
                <w:sz w:val="20"/>
              </w:rPr>
            </w:pPr>
            <w:r w:rsidRPr="00313CE2">
              <w:rPr>
                <w:rFonts w:ascii="Times New Roman" w:hAnsi="Times New Roman" w:cs="Times New Roman"/>
                <w:spacing w:val="-2"/>
                <w:sz w:val="20"/>
              </w:rPr>
              <w:t>Degree</w:t>
            </w:r>
            <w:r w:rsidR="000E6790">
              <w:rPr>
                <w:rFonts w:ascii="Times New Roman" w:hAnsi="Times New Roman" w:cs="Times New Roman"/>
                <w:sz w:val="20"/>
              </w:rPr>
              <w:t xml:space="preserve"> </w:t>
            </w:r>
            <w:r w:rsidRPr="00313CE2">
              <w:rPr>
                <w:rFonts w:ascii="Times New Roman" w:hAnsi="Times New Roman" w:cs="Times New Roman"/>
                <w:spacing w:val="-5"/>
                <w:sz w:val="20"/>
              </w:rPr>
              <w:t>of</w:t>
            </w:r>
          </w:p>
          <w:p w14:paraId="76C5D937" w14:textId="77777777" w:rsidR="006B35AC" w:rsidRPr="00313CE2" w:rsidRDefault="003302D5">
            <w:pPr>
              <w:pStyle w:val="TableParagraph"/>
              <w:spacing w:line="234" w:lineRule="exact"/>
              <w:rPr>
                <w:rFonts w:ascii="Times New Roman" w:hAnsi="Times New Roman" w:cs="Times New Roman"/>
                <w:sz w:val="20"/>
              </w:rPr>
            </w:pPr>
            <w:r w:rsidRPr="00313CE2">
              <w:rPr>
                <w:rFonts w:ascii="Times New Roman" w:hAnsi="Times New Roman" w:cs="Times New Roman"/>
                <w:spacing w:val="-2"/>
                <w:w w:val="110"/>
                <w:sz w:val="20"/>
              </w:rPr>
              <w:t>crystallinity</w:t>
            </w:r>
          </w:p>
          <w:p w14:paraId="1F2B101D" w14:textId="77777777" w:rsidR="006B35AC" w:rsidRPr="00313CE2" w:rsidRDefault="003302D5">
            <w:pPr>
              <w:pStyle w:val="TableParagraph"/>
              <w:spacing w:line="244" w:lineRule="exact"/>
              <w:rPr>
                <w:rFonts w:ascii="Times New Roman" w:hAnsi="Times New Roman" w:cs="Times New Roman"/>
                <w:sz w:val="20"/>
              </w:rPr>
            </w:pPr>
            <w:proofErr w:type="spellStart"/>
            <w:r w:rsidRPr="00313CE2">
              <w:rPr>
                <w:rFonts w:ascii="Times New Roman" w:hAnsi="Times New Roman" w:cs="Times New Roman"/>
                <w:i/>
                <w:w w:val="105"/>
                <w:sz w:val="20"/>
              </w:rPr>
              <w:t>X</w:t>
            </w:r>
            <w:r w:rsidRPr="00313CE2">
              <w:rPr>
                <w:rFonts w:ascii="Times New Roman" w:hAnsi="Times New Roman" w:cs="Times New Roman"/>
                <w:i/>
                <w:w w:val="105"/>
                <w:sz w:val="20"/>
                <w:vertAlign w:val="subscript"/>
              </w:rPr>
              <w:t>c</w:t>
            </w:r>
            <w:proofErr w:type="spellEnd"/>
            <w:r w:rsidRPr="00313CE2">
              <w:rPr>
                <w:rFonts w:ascii="Times New Roman" w:hAnsi="Times New Roman" w:cs="Times New Roman"/>
                <w:i/>
                <w:spacing w:val="22"/>
                <w:w w:val="105"/>
                <w:sz w:val="20"/>
              </w:rPr>
              <w:t xml:space="preserve"> </w:t>
            </w:r>
            <w:r w:rsidRPr="00313CE2">
              <w:rPr>
                <w:rFonts w:ascii="Times New Roman" w:hAnsi="Times New Roman" w:cs="Times New Roman"/>
                <w:spacing w:val="-5"/>
                <w:w w:val="105"/>
                <w:sz w:val="20"/>
              </w:rPr>
              <w:t>[%]</w:t>
            </w:r>
          </w:p>
        </w:tc>
        <w:tc>
          <w:tcPr>
            <w:tcW w:w="1037" w:type="dxa"/>
          </w:tcPr>
          <w:p w14:paraId="5215E933" w14:textId="77777777" w:rsidR="006B35AC" w:rsidRPr="00313CE2" w:rsidRDefault="003302D5">
            <w:pPr>
              <w:pStyle w:val="TableParagraph"/>
              <w:spacing w:line="220" w:lineRule="exact"/>
              <w:rPr>
                <w:rFonts w:ascii="Times New Roman" w:hAnsi="Times New Roman" w:cs="Times New Roman"/>
                <w:sz w:val="20"/>
              </w:rPr>
            </w:pPr>
            <w:r w:rsidRPr="00313CE2">
              <w:rPr>
                <w:rFonts w:ascii="Times New Roman" w:hAnsi="Times New Roman" w:cs="Times New Roman"/>
                <w:sz w:val="20"/>
              </w:rPr>
              <w:t>41.4</w:t>
            </w:r>
            <w:r w:rsidRPr="00313CE2">
              <w:rPr>
                <w:rFonts w:ascii="Times New Roman" w:hAnsi="Times New Roman" w:cs="Times New Roman"/>
                <w:spacing w:val="17"/>
                <w:sz w:val="20"/>
              </w:rPr>
              <w:t xml:space="preserve"> </w:t>
            </w:r>
            <w:r w:rsidR="00313CE2">
              <w:rPr>
                <w:rFonts w:ascii="Times New Roman" w:hAnsi="Times New Roman" w:cs="Times New Roman"/>
                <w:spacing w:val="17"/>
                <w:sz w:val="20"/>
              </w:rPr>
              <w:fldChar w:fldCharType="begin"/>
            </w:r>
            <w:r w:rsidR="00313CE2">
              <w:rPr>
                <w:rFonts w:ascii="Times New Roman" w:hAnsi="Times New Roman" w:cs="Times New Roman"/>
                <w:spacing w:val="17"/>
                <w:sz w:val="20"/>
              </w:rPr>
              <w:instrText xml:space="preserve"> ADDIN ZOTERO_ITEM CSL_CITATION {"citationID":"oe5tDMT4","properties":{"formattedCitation":"[1]","plainCitation":"[1]","noteIndex":0},"citationItems":[{"id":1017,"uris":["http://zotero.org/users/11153238/items/ZVN2ZLE6"],"itemData":{"id":1017,"type":"article-journal","abstract":"Lactide-Caprolactone copolymer (LACL) was added to a Polylactide/Poly(ε-caprolactone) (PLA/PCL) blend as a compatibilizer through solution mixing and the casting method. The melt crystallization behavior and crystalline morphology of PLA, PLA/PCL, and PLA/PCL/LACL were investigated using differential scanning calorimeter (DSC) and polarized optical microscopy (POM), respectively. The temperature of the shortest crystallization time for the samples was observed at 105 °C. The overall isothermal melt crystallization kinetics of the three samples were further studied using the Avrami theory. Neat PLA showed a higher half-time of crystallization than that of the PLA/PCL and PLA/PCL/LACL blends, whereas the half-time of crystallization of PLA/PCL and PLA/PCL/LACL showed no significant difference. The addition of PCL decreased the spherulite size of crystallized PLA, and the nuclei density in the PLA/PCL/LACL blend was much higher than that of the PLA and PLA/PCL samples, indicating that LACL had a compatibilization effect on the immiscible PLA/PCL blend, thereby promoting the nucleation of PLA. The spherulites in the PLA/PCL and PLA/PCL/LACL blend exhibited a smeared and rough morphology, which can be attributed to the fact that PCL molecules migrated to the PLA spherulitic surface during the crystallization of PLA.","container-title":"Polymers","DOI":"10.3390/polym10111181","ISSN":"2073-4360","issue":"11","language":"en","license":"http://creativecommons.org/licenses/by/3.0/","note":"publisher: Multidisciplinary Digital Publishing Institute","page":"1181","source":"www.mdpi.com","title":"Melt Crystallization Behavior and Crystalline Morphology of Polylactide/Poly(ε-caprolactone) Blends Compatibilized by Lactide-Caprolactone Copolymer","volume":"10","author":[{"family":"Zhang","given":"Chunmei"},{"family":"Lan","given":"Qiaofeng"},{"family":"Zhai","given":"Tianliang"},{"family":"Nie","given":"Shengqiang"},{"family":"Luo","given":"Jun"},{"family":"Yan","given":"Wei"}],"issued":{"date-parts":[["2018",11]]},"citation-key":"zhangMeltCrystallizationBehavior2018"}}],"schema":"https://github.com/citation-style-language/schema/raw/master/csl-citation.json"} </w:instrText>
            </w:r>
            <w:r w:rsidR="00313CE2">
              <w:rPr>
                <w:rFonts w:ascii="Times New Roman" w:hAnsi="Times New Roman" w:cs="Times New Roman"/>
                <w:spacing w:val="17"/>
                <w:sz w:val="20"/>
              </w:rPr>
              <w:fldChar w:fldCharType="separate"/>
            </w:r>
            <w:r w:rsidR="00313CE2" w:rsidRPr="00313CE2">
              <w:rPr>
                <w:rFonts w:ascii="Times New Roman" w:hAnsi="Times New Roman" w:cs="Times New Roman"/>
                <w:sz w:val="20"/>
              </w:rPr>
              <w:t>[1]</w:t>
            </w:r>
            <w:r w:rsidR="00313CE2">
              <w:rPr>
                <w:rFonts w:ascii="Times New Roman" w:hAnsi="Times New Roman" w:cs="Times New Roman"/>
                <w:spacing w:val="17"/>
                <w:sz w:val="20"/>
              </w:rPr>
              <w:fldChar w:fldCharType="end"/>
            </w:r>
          </w:p>
        </w:tc>
        <w:tc>
          <w:tcPr>
            <w:tcW w:w="1090" w:type="dxa"/>
          </w:tcPr>
          <w:p w14:paraId="2DA01A00" w14:textId="77777777" w:rsidR="006B35AC" w:rsidRPr="00313CE2" w:rsidRDefault="003302D5">
            <w:pPr>
              <w:pStyle w:val="TableParagraph"/>
              <w:spacing w:line="220" w:lineRule="exact"/>
              <w:rPr>
                <w:rFonts w:ascii="Times New Roman" w:hAnsi="Times New Roman" w:cs="Times New Roman"/>
                <w:sz w:val="20"/>
              </w:rPr>
            </w:pPr>
            <w:r w:rsidRPr="00313CE2">
              <w:rPr>
                <w:rFonts w:ascii="Times New Roman" w:hAnsi="Times New Roman" w:cs="Times New Roman"/>
                <w:sz w:val="20"/>
              </w:rPr>
              <w:t>39.3</w:t>
            </w:r>
            <w:r w:rsidRPr="00313CE2">
              <w:rPr>
                <w:rFonts w:ascii="Times New Roman" w:hAnsi="Times New Roman" w:cs="Times New Roman"/>
                <w:spacing w:val="17"/>
                <w:sz w:val="20"/>
              </w:rPr>
              <w:t xml:space="preserve"> </w:t>
            </w:r>
            <w:r w:rsidR="00313CE2">
              <w:rPr>
                <w:rFonts w:ascii="Times New Roman" w:hAnsi="Times New Roman" w:cs="Times New Roman"/>
                <w:spacing w:val="17"/>
                <w:sz w:val="20"/>
              </w:rPr>
              <w:fldChar w:fldCharType="begin"/>
            </w:r>
            <w:r w:rsidR="00313CE2">
              <w:rPr>
                <w:rFonts w:ascii="Times New Roman" w:hAnsi="Times New Roman" w:cs="Times New Roman"/>
                <w:spacing w:val="17"/>
                <w:sz w:val="20"/>
              </w:rPr>
              <w:instrText xml:space="preserve"> ADDIN ZOTERO_ITEM CSL_CITATION {"citationID":"qs2QdVo7","properties":{"formattedCitation":"[2]","plainCitation":"[2]","noteIndex":0},"citationItems":[{"id":1015,"uris":["http://zotero.org/users/11153238/items/EWWERHM3"],"itemData":{"id":1015,"type":"article-journal","abstract":"Poly(ethylene terephthalate) (PET) materials with different molecular weights were isothermally crystallized from melt by systematically varying the temperature and duration of the treatment performed in the differential scanning calorimeter (DSC). Multiple endotherm peaks were observed on the subsequent heating thermograms that were separated from each other on the basis of their melting temperature versus crystallization temperature and melting temperature versus crystallinity function. By this new approach five sub-peak sets were identified and then comprehensively characterised. Wide-Angle X-Ray Diffraction (WAXD) analyses revealed that the identified sub-peak sets do not differ in crystalline forms. By analysing the crystallinity and the melting temperature of the sub-peak sets as a function of crystallization time, crystallization temperature and intrinsic viscosity, it was concluded that below the crystallization temperature of 460 K the sub-peak sets that were formed during primary or secondary crystallization transform partially or completely to a third sub-peak set during the heating run of the measurement, while above this temperature, the sub-peak set formed during primary crystallization gradually transforms to a more stable structure, with higher melting temperature. These formations and transformations are described with mathematically defined parameters as well.","container-title":"Journal of Polymer Research","DOI":"10.1007/s10965-020-02327-7","ISSN":"1572-8935","issue":"12","journalAbbreviation":"J Polym Res","language":"en","page":"372","source":"Springer Link","title":"Melting temperature versus crystallinity: new way for identification and analysis of multiple endotherms of poly(ethylene terephthalate)","title-short":"Melting temperature versus crystallinity","volume":"27","author":[{"family":"Ronkay","given":"Ferenc"},{"family":"Molnár","given":"Béla"},{"family":"Nagy","given":"Dóra"},{"family":"Szarka","given":"Györgyi"},{"family":"Iván","given":"Béla"},{"family":"Kristály","given":"Ferenc"},{"family":"Mertinger","given":"Valéria"},{"family":"Bocz","given":"Katalin"}],"issued":{"date-parts":[["2020",11,17]]},"citation-key":"ronkayMeltingTemperatureCrystallinity2020"}}],"schema":"https://github.com/citation-style-language/schema/raw/master/csl-citation.json"} </w:instrText>
            </w:r>
            <w:r w:rsidR="00313CE2">
              <w:rPr>
                <w:rFonts w:ascii="Times New Roman" w:hAnsi="Times New Roman" w:cs="Times New Roman"/>
                <w:spacing w:val="17"/>
                <w:sz w:val="20"/>
              </w:rPr>
              <w:fldChar w:fldCharType="separate"/>
            </w:r>
            <w:r w:rsidR="00313CE2" w:rsidRPr="00313CE2">
              <w:rPr>
                <w:rFonts w:ascii="Times New Roman" w:hAnsi="Times New Roman" w:cs="Times New Roman"/>
                <w:sz w:val="20"/>
              </w:rPr>
              <w:t>[2]</w:t>
            </w:r>
            <w:r w:rsidR="00313CE2">
              <w:rPr>
                <w:rFonts w:ascii="Times New Roman" w:hAnsi="Times New Roman" w:cs="Times New Roman"/>
                <w:spacing w:val="17"/>
                <w:sz w:val="20"/>
              </w:rPr>
              <w:fldChar w:fldCharType="end"/>
            </w:r>
          </w:p>
        </w:tc>
      </w:tr>
    </w:tbl>
    <w:p w14:paraId="436D0359" w14:textId="77777777" w:rsidR="00E46395" w:rsidRDefault="00E46395" w:rsidP="00E46395">
      <w:pPr>
        <w:pStyle w:val="Heading1"/>
        <w:ind w:left="1235" w:firstLine="0"/>
      </w:pPr>
      <w:bookmarkStart w:id="2" w:name="TGA,_amplitude_sweep-_reference_systems_"/>
      <w:bookmarkEnd w:id="2"/>
    </w:p>
    <w:p w14:paraId="48263317" w14:textId="77777777" w:rsidR="006B35AC" w:rsidRPr="00705A09" w:rsidRDefault="003302D5" w:rsidP="00A60896">
      <w:pPr>
        <w:pStyle w:val="Heading1"/>
        <w:numPr>
          <w:ilvl w:val="0"/>
          <w:numId w:val="3"/>
        </w:numPr>
      </w:pPr>
      <w:r w:rsidRPr="00705A09">
        <w:t>TGA, amplitude sweep</w:t>
      </w:r>
      <w:r w:rsidR="00F36AA1" w:rsidRPr="00705A09">
        <w:t>, glass transition temperature</w:t>
      </w:r>
      <w:r w:rsidR="004559C6" w:rsidRPr="00705A09">
        <w:t xml:space="preserve"> and </w:t>
      </w:r>
      <w:r w:rsidR="00286B95" w:rsidRPr="00705A09">
        <w:t xml:space="preserve">viscosity measurements – </w:t>
      </w:r>
      <w:r w:rsidR="00E80C2A">
        <w:t>m</w:t>
      </w:r>
      <w:r w:rsidR="00286B95" w:rsidRPr="00705A09">
        <w:t>ain and control formulations</w:t>
      </w:r>
    </w:p>
    <w:p w14:paraId="7C82D750" w14:textId="77777777" w:rsidR="006B35AC" w:rsidRDefault="006B35AC">
      <w:pPr>
        <w:pStyle w:val="BodyText"/>
        <w:rPr>
          <w:b/>
        </w:rPr>
      </w:pPr>
    </w:p>
    <w:p w14:paraId="428B0FB9" w14:textId="77777777" w:rsidR="006B35AC" w:rsidRDefault="006B35AC">
      <w:pPr>
        <w:pStyle w:val="BodyText"/>
        <w:rPr>
          <w:b/>
        </w:rPr>
      </w:pPr>
    </w:p>
    <w:p w14:paraId="6BE70931" w14:textId="77777777" w:rsidR="006B79C3" w:rsidRDefault="006B79C3" w:rsidP="006B79C3">
      <w:pPr>
        <w:pStyle w:val="BodyText"/>
        <w:keepNext/>
        <w:spacing w:before="206"/>
        <w:jc w:val="center"/>
      </w:pPr>
      <w:r>
        <w:rPr>
          <w:b/>
          <w:noProof/>
        </w:rPr>
        <w:drawing>
          <wp:inline distT="0" distB="0" distL="0" distR="0" wp14:anchorId="3C9A0136" wp14:editId="4A1DA005">
            <wp:extent cx="4805916" cy="367841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09032" cy="3680802"/>
                    </a:xfrm>
                    <a:prstGeom prst="rect">
                      <a:avLst/>
                    </a:prstGeom>
                  </pic:spPr>
                </pic:pic>
              </a:graphicData>
            </a:graphic>
          </wp:inline>
        </w:drawing>
      </w:r>
    </w:p>
    <w:p w14:paraId="1958869A" w14:textId="1FA9CE95" w:rsidR="006B35AC" w:rsidRPr="00E46395" w:rsidRDefault="006B79C3" w:rsidP="00E46395">
      <w:pPr>
        <w:pStyle w:val="Caption"/>
        <w:jc w:val="center"/>
        <w:rPr>
          <w:b/>
        </w:rPr>
        <w:sectPr w:rsidR="006B35AC" w:rsidRPr="00E46395" w:rsidSect="003273AE">
          <w:footerReference w:type="default" r:id="rId16"/>
          <w:pgSz w:w="12240" w:h="15840"/>
          <w:pgMar w:top="1440" w:right="1080" w:bottom="1440" w:left="1080" w:header="0" w:footer="1737" w:gutter="0"/>
          <w:cols w:space="720"/>
          <w:docGrid w:linePitch="299"/>
        </w:sectPr>
      </w:pPr>
      <w:r w:rsidRPr="00D81CBB">
        <w:rPr>
          <w:b/>
          <w:bCs/>
        </w:rPr>
        <w:t>Fig</w:t>
      </w:r>
      <w:r w:rsidR="00D81CBB" w:rsidRPr="00D81CBB">
        <w:rPr>
          <w:b/>
          <w:bCs/>
        </w:rPr>
        <w:t>.</w:t>
      </w:r>
      <w:r w:rsidR="00500E94">
        <w:rPr>
          <w:b/>
          <w:bCs/>
        </w:rPr>
        <w:t>S</w:t>
      </w:r>
      <w:r w:rsidR="00E76864" w:rsidRPr="00D81CBB">
        <w:rPr>
          <w:b/>
          <w:bCs/>
        </w:rPr>
        <w:fldChar w:fldCharType="begin"/>
      </w:r>
      <w:r w:rsidR="00E76864" w:rsidRPr="00D81CBB">
        <w:rPr>
          <w:b/>
          <w:bCs/>
        </w:rPr>
        <w:instrText xml:space="preserve"> SEQ Figure \* ARABIC </w:instrText>
      </w:r>
      <w:r w:rsidR="00E76864" w:rsidRPr="00D81CBB">
        <w:rPr>
          <w:b/>
          <w:bCs/>
        </w:rPr>
        <w:fldChar w:fldCharType="separate"/>
      </w:r>
      <w:r w:rsidR="007B2CDF">
        <w:rPr>
          <w:b/>
          <w:bCs/>
          <w:noProof/>
        </w:rPr>
        <w:t>3</w:t>
      </w:r>
      <w:r w:rsidR="00E76864" w:rsidRPr="00D81CBB">
        <w:rPr>
          <w:b/>
          <w:bCs/>
          <w:noProof/>
        </w:rPr>
        <w:fldChar w:fldCharType="end"/>
      </w:r>
      <w:r>
        <w:t xml:space="preserve"> </w:t>
      </w:r>
      <w:r w:rsidRPr="00340E38">
        <w:t>TGA measurements for the main formulation and the control formulations</w:t>
      </w:r>
    </w:p>
    <w:p w14:paraId="743087B3" w14:textId="77777777" w:rsidR="006B35AC" w:rsidRDefault="006B35AC">
      <w:pPr>
        <w:pStyle w:val="BodyText"/>
      </w:pPr>
    </w:p>
    <w:p w14:paraId="04D2E25B" w14:textId="77777777" w:rsidR="006B35AC" w:rsidRDefault="006B35AC">
      <w:pPr>
        <w:pStyle w:val="BodyText"/>
        <w:spacing w:before="16"/>
      </w:pPr>
    </w:p>
    <w:p w14:paraId="29426825" w14:textId="77777777" w:rsidR="00D850F4" w:rsidRDefault="00DA4117" w:rsidP="00DA4117">
      <w:pPr>
        <w:pStyle w:val="BodyText"/>
        <w:keepNext/>
        <w:jc w:val="center"/>
      </w:pPr>
      <w:r>
        <w:rPr>
          <w:noProof/>
        </w:rPr>
        <w:drawing>
          <wp:inline distT="0" distB="0" distL="0" distR="0" wp14:anchorId="11E30A4D" wp14:editId="4E0EF9D3">
            <wp:extent cx="3997196" cy="3211174"/>
            <wp:effectExtent l="0" t="0" r="381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99391" cy="3212937"/>
                    </a:xfrm>
                    <a:prstGeom prst="rect">
                      <a:avLst/>
                    </a:prstGeom>
                  </pic:spPr>
                </pic:pic>
              </a:graphicData>
            </a:graphic>
          </wp:inline>
        </w:drawing>
      </w:r>
    </w:p>
    <w:p w14:paraId="73A217EC" w14:textId="5066DAAF" w:rsidR="006B35AC" w:rsidRDefault="00D850F4" w:rsidP="00D850F4">
      <w:pPr>
        <w:pStyle w:val="Caption"/>
        <w:jc w:val="center"/>
      </w:pPr>
      <w:r w:rsidRPr="00D81CBB">
        <w:rPr>
          <w:b/>
          <w:bCs/>
        </w:rPr>
        <w:t>Fig</w:t>
      </w:r>
      <w:r w:rsidR="00D81CBB" w:rsidRPr="00D81CBB">
        <w:rPr>
          <w:b/>
          <w:bCs/>
        </w:rPr>
        <w:t>.</w:t>
      </w:r>
      <w:r w:rsidR="00500E94">
        <w:rPr>
          <w:b/>
          <w:bCs/>
        </w:rPr>
        <w:t>S</w:t>
      </w:r>
      <w:r w:rsidR="00E76864" w:rsidRPr="00D81CBB">
        <w:rPr>
          <w:b/>
          <w:bCs/>
        </w:rPr>
        <w:fldChar w:fldCharType="begin"/>
      </w:r>
      <w:r w:rsidR="00E76864" w:rsidRPr="00D81CBB">
        <w:rPr>
          <w:b/>
          <w:bCs/>
        </w:rPr>
        <w:instrText xml:space="preserve"> SEQ Figure \* ARABIC </w:instrText>
      </w:r>
      <w:r w:rsidR="00E76864" w:rsidRPr="00D81CBB">
        <w:rPr>
          <w:b/>
          <w:bCs/>
        </w:rPr>
        <w:fldChar w:fldCharType="separate"/>
      </w:r>
      <w:r w:rsidR="007B2CDF">
        <w:rPr>
          <w:b/>
          <w:bCs/>
          <w:noProof/>
        </w:rPr>
        <w:t>4</w:t>
      </w:r>
      <w:r w:rsidR="00E76864" w:rsidRPr="00D81CBB">
        <w:rPr>
          <w:b/>
          <w:bCs/>
          <w:noProof/>
        </w:rPr>
        <w:fldChar w:fldCharType="end"/>
      </w:r>
      <w:r>
        <w:t xml:space="preserve"> </w:t>
      </w:r>
      <w:r w:rsidRPr="00B804AF">
        <w:t xml:space="preserve">Amplitude </w:t>
      </w:r>
      <w:proofErr w:type="gramStart"/>
      <w:r w:rsidRPr="00B804AF">
        <w:t>sweep</w:t>
      </w:r>
      <w:proofErr w:type="gramEnd"/>
      <w:r w:rsidRPr="00B804AF">
        <w:t xml:space="preserve"> of the main formulation and the control formulations</w:t>
      </w:r>
    </w:p>
    <w:p w14:paraId="2C7CB9B0" w14:textId="77777777" w:rsidR="006E726E" w:rsidRDefault="006E726E" w:rsidP="00D431B2">
      <w:pPr>
        <w:pStyle w:val="BodyText"/>
        <w:keepNext/>
      </w:pPr>
    </w:p>
    <w:p w14:paraId="47EC5FA4" w14:textId="77777777" w:rsidR="00D431B2" w:rsidRDefault="00D431B2" w:rsidP="00544186">
      <w:pPr>
        <w:pStyle w:val="BodyText"/>
        <w:keepNext/>
        <w:ind w:left="720" w:firstLine="720"/>
        <w:jc w:val="center"/>
      </w:pPr>
      <w:r>
        <w:rPr>
          <w:noProof/>
        </w:rPr>
        <w:drawing>
          <wp:inline distT="0" distB="0" distL="0" distR="0" wp14:anchorId="2F92E2EE" wp14:editId="31187EAE">
            <wp:extent cx="4424426" cy="3276329"/>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466332" cy="3307360"/>
                    </a:xfrm>
                    <a:prstGeom prst="rect">
                      <a:avLst/>
                    </a:prstGeom>
                  </pic:spPr>
                </pic:pic>
              </a:graphicData>
            </a:graphic>
          </wp:inline>
        </w:drawing>
      </w:r>
    </w:p>
    <w:p w14:paraId="521DF416" w14:textId="4AFEEA8F" w:rsidR="006B35AC" w:rsidRDefault="006E726E" w:rsidP="00944B0C">
      <w:pPr>
        <w:pStyle w:val="Caption"/>
        <w:ind w:left="720" w:firstLine="720"/>
        <w:jc w:val="center"/>
      </w:pPr>
      <w:r w:rsidRPr="00D81CBB">
        <w:rPr>
          <w:b/>
          <w:bCs/>
        </w:rPr>
        <w:t>Fig</w:t>
      </w:r>
      <w:r w:rsidR="00D81CBB" w:rsidRPr="00D81CBB">
        <w:rPr>
          <w:b/>
          <w:bCs/>
        </w:rPr>
        <w:t>.</w:t>
      </w:r>
      <w:r w:rsidRPr="00D81CBB">
        <w:rPr>
          <w:b/>
          <w:bCs/>
        </w:rPr>
        <w:t xml:space="preserve"> </w:t>
      </w:r>
      <w:r w:rsidR="00500E94">
        <w:rPr>
          <w:b/>
          <w:bCs/>
        </w:rPr>
        <w:t>S</w:t>
      </w:r>
      <w:r w:rsidR="00E76864" w:rsidRPr="00D81CBB">
        <w:rPr>
          <w:b/>
          <w:bCs/>
        </w:rPr>
        <w:fldChar w:fldCharType="begin"/>
      </w:r>
      <w:r w:rsidR="00E76864" w:rsidRPr="00D81CBB">
        <w:rPr>
          <w:b/>
          <w:bCs/>
        </w:rPr>
        <w:instrText xml:space="preserve"> SEQ Figure \* ARABIC </w:instrText>
      </w:r>
      <w:r w:rsidR="00E76864" w:rsidRPr="00D81CBB">
        <w:rPr>
          <w:b/>
          <w:bCs/>
        </w:rPr>
        <w:fldChar w:fldCharType="separate"/>
      </w:r>
      <w:r w:rsidR="007B2CDF">
        <w:rPr>
          <w:b/>
          <w:bCs/>
          <w:noProof/>
        </w:rPr>
        <w:t>5</w:t>
      </w:r>
      <w:r w:rsidR="00E76864" w:rsidRPr="00D81CBB">
        <w:rPr>
          <w:b/>
          <w:bCs/>
          <w:noProof/>
        </w:rPr>
        <w:fldChar w:fldCharType="end"/>
      </w:r>
      <w:r>
        <w:t xml:space="preserve"> </w:t>
      </w:r>
      <w:r w:rsidRPr="009E30B7">
        <w:t>Glass transition temperature measurements of the main formulation and the control formulations</w:t>
      </w:r>
    </w:p>
    <w:p w14:paraId="6229E434" w14:textId="77777777" w:rsidR="006B35AC" w:rsidRDefault="006B35AC">
      <w:pPr>
        <w:pStyle w:val="BodyText"/>
        <w:spacing w:line="235" w:lineRule="auto"/>
        <w:sectPr w:rsidR="006B35AC" w:rsidSect="003273AE">
          <w:pgSz w:w="12240" w:h="15840"/>
          <w:pgMar w:top="1440" w:right="1080" w:bottom="1440" w:left="1080" w:header="0" w:footer="1737" w:gutter="0"/>
          <w:cols w:space="720"/>
          <w:docGrid w:linePitch="299"/>
        </w:sectPr>
      </w:pPr>
    </w:p>
    <w:p w14:paraId="7C249486" w14:textId="77777777" w:rsidR="006E726E" w:rsidRDefault="006E726E" w:rsidP="006E726E">
      <w:pPr>
        <w:pStyle w:val="BodyText"/>
        <w:keepNext/>
        <w:jc w:val="center"/>
      </w:pPr>
      <w:r>
        <w:rPr>
          <w:noProof/>
        </w:rPr>
        <w:lastRenderedPageBreak/>
        <w:drawing>
          <wp:inline distT="0" distB="0" distL="0" distR="0" wp14:anchorId="13C0B839" wp14:editId="63682278">
            <wp:extent cx="4199860" cy="3215031"/>
            <wp:effectExtent l="0" t="0" r="0" b="444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9">
                      <a:extLst>
                        <a:ext uri="{28A0092B-C50C-407E-A947-70E740481C1C}">
                          <a14:useLocalDpi xmlns:a14="http://schemas.microsoft.com/office/drawing/2010/main" val="0"/>
                        </a:ext>
                      </a:extLst>
                    </a:blip>
                    <a:stretch>
                      <a:fillRect/>
                    </a:stretch>
                  </pic:blipFill>
                  <pic:spPr>
                    <a:xfrm>
                      <a:off x="0" y="0"/>
                      <a:ext cx="4210767" cy="3223380"/>
                    </a:xfrm>
                    <a:prstGeom prst="rect">
                      <a:avLst/>
                    </a:prstGeom>
                  </pic:spPr>
                </pic:pic>
              </a:graphicData>
            </a:graphic>
          </wp:inline>
        </w:drawing>
      </w:r>
    </w:p>
    <w:p w14:paraId="2262DFA1" w14:textId="14E03A07" w:rsidR="006B35AC" w:rsidRDefault="006E726E" w:rsidP="006E726E">
      <w:pPr>
        <w:pStyle w:val="Caption"/>
        <w:jc w:val="center"/>
      </w:pPr>
      <w:r w:rsidRPr="00D81CBB">
        <w:rPr>
          <w:b/>
          <w:bCs/>
        </w:rPr>
        <w:t>Fig</w:t>
      </w:r>
      <w:r w:rsidR="00D81CBB" w:rsidRPr="00D81CBB">
        <w:rPr>
          <w:b/>
          <w:bCs/>
        </w:rPr>
        <w:t>.</w:t>
      </w:r>
      <w:r w:rsidR="00500E94">
        <w:rPr>
          <w:b/>
          <w:bCs/>
        </w:rPr>
        <w:t>S</w:t>
      </w:r>
      <w:r w:rsidR="00E76864" w:rsidRPr="00D81CBB">
        <w:rPr>
          <w:b/>
          <w:bCs/>
        </w:rPr>
        <w:fldChar w:fldCharType="begin"/>
      </w:r>
      <w:r w:rsidR="00E76864" w:rsidRPr="00D81CBB">
        <w:rPr>
          <w:b/>
          <w:bCs/>
        </w:rPr>
        <w:instrText xml:space="preserve"> SEQ Figure \* ARABIC </w:instrText>
      </w:r>
      <w:r w:rsidR="00E76864" w:rsidRPr="00D81CBB">
        <w:rPr>
          <w:b/>
          <w:bCs/>
        </w:rPr>
        <w:fldChar w:fldCharType="separate"/>
      </w:r>
      <w:r w:rsidR="007B2CDF">
        <w:rPr>
          <w:b/>
          <w:bCs/>
          <w:noProof/>
        </w:rPr>
        <w:t>6</w:t>
      </w:r>
      <w:r w:rsidR="00E76864" w:rsidRPr="00D81CBB">
        <w:rPr>
          <w:b/>
          <w:bCs/>
          <w:noProof/>
        </w:rPr>
        <w:fldChar w:fldCharType="end"/>
      </w:r>
      <w:r>
        <w:t xml:space="preserve"> </w:t>
      </w:r>
      <w:r w:rsidRPr="008B4E70">
        <w:t>Flow curves of the matrix and composites</w:t>
      </w:r>
    </w:p>
    <w:p w14:paraId="4629DC35" w14:textId="77777777" w:rsidR="006B35AC" w:rsidRDefault="00705A09" w:rsidP="00A60896">
      <w:pPr>
        <w:pStyle w:val="Heading1"/>
        <w:numPr>
          <w:ilvl w:val="0"/>
          <w:numId w:val="3"/>
        </w:numPr>
      </w:pPr>
      <w:r>
        <w:t>Stress relaxation measurements</w:t>
      </w:r>
      <w:r w:rsidR="004B6503">
        <w:t xml:space="preserve"> of the matrix</w:t>
      </w:r>
    </w:p>
    <w:p w14:paraId="4EF1CA59" w14:textId="77777777" w:rsidR="006E726E" w:rsidRDefault="006E726E" w:rsidP="006E726E">
      <w:pPr>
        <w:pStyle w:val="BodyText"/>
        <w:keepNext/>
        <w:jc w:val="center"/>
      </w:pPr>
      <w:r>
        <w:rPr>
          <w:noProof/>
        </w:rPr>
        <w:drawing>
          <wp:inline distT="0" distB="0" distL="0" distR="0" wp14:anchorId="2CFF458A" wp14:editId="581B80D8">
            <wp:extent cx="3636335" cy="2987770"/>
            <wp:effectExtent l="0" t="0" r="254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51446" cy="3000186"/>
                    </a:xfrm>
                    <a:prstGeom prst="rect">
                      <a:avLst/>
                    </a:prstGeom>
                  </pic:spPr>
                </pic:pic>
              </a:graphicData>
            </a:graphic>
          </wp:inline>
        </w:drawing>
      </w:r>
    </w:p>
    <w:p w14:paraId="2CECA428" w14:textId="791ED8D6" w:rsidR="00B7103A" w:rsidRDefault="006E726E" w:rsidP="006E726E">
      <w:pPr>
        <w:pStyle w:val="Caption"/>
        <w:jc w:val="center"/>
      </w:pPr>
      <w:r w:rsidRPr="002C7604">
        <w:rPr>
          <w:b/>
          <w:bCs/>
        </w:rPr>
        <w:t>Fig</w:t>
      </w:r>
      <w:r w:rsidR="002C7604" w:rsidRPr="002C7604">
        <w:rPr>
          <w:b/>
          <w:bCs/>
        </w:rPr>
        <w:t>.</w:t>
      </w:r>
      <w:r w:rsidR="00500E94">
        <w:rPr>
          <w:b/>
          <w:bCs/>
        </w:rPr>
        <w:t>S</w:t>
      </w:r>
      <w:r w:rsidR="00E76864" w:rsidRPr="002C7604">
        <w:rPr>
          <w:b/>
          <w:bCs/>
        </w:rPr>
        <w:fldChar w:fldCharType="begin"/>
      </w:r>
      <w:r w:rsidR="00E76864" w:rsidRPr="002C7604">
        <w:rPr>
          <w:b/>
          <w:bCs/>
        </w:rPr>
        <w:instrText xml:space="preserve"> SEQ Figure \* ARABIC </w:instrText>
      </w:r>
      <w:r w:rsidR="00E76864" w:rsidRPr="002C7604">
        <w:rPr>
          <w:b/>
          <w:bCs/>
        </w:rPr>
        <w:fldChar w:fldCharType="separate"/>
      </w:r>
      <w:r w:rsidR="007B2CDF">
        <w:rPr>
          <w:b/>
          <w:bCs/>
          <w:noProof/>
        </w:rPr>
        <w:t>7</w:t>
      </w:r>
      <w:r w:rsidR="00E76864" w:rsidRPr="002C7604">
        <w:rPr>
          <w:b/>
          <w:bCs/>
          <w:noProof/>
        </w:rPr>
        <w:fldChar w:fldCharType="end"/>
      </w:r>
      <w:r>
        <w:t xml:space="preserve"> </w:t>
      </w:r>
      <w:proofErr w:type="spellStart"/>
      <w:r w:rsidRPr="00B93D79">
        <w:t>Normali</w:t>
      </w:r>
      <w:r w:rsidR="00E71895">
        <w:t>s</w:t>
      </w:r>
      <w:r w:rsidRPr="00B93D79">
        <w:t>ed</w:t>
      </w:r>
      <w:proofErr w:type="spellEnd"/>
      <w:r w:rsidRPr="00B93D79">
        <w:t xml:space="preserve"> relaxation modulus versus time for different temperatures</w:t>
      </w:r>
      <w:r w:rsidR="007526E2">
        <w:t xml:space="preserve"> of the main formulation</w:t>
      </w:r>
      <w:r w:rsidRPr="00B93D79">
        <w:t>. The relaxation time for the test at 100°C is 32194 seconds which is extrapolated from the given data</w:t>
      </w:r>
    </w:p>
    <w:p w14:paraId="553DD156" w14:textId="4ABB7175" w:rsidR="006B35AC" w:rsidRPr="00B7103A" w:rsidRDefault="00B7103A" w:rsidP="00B7103A">
      <w:pPr>
        <w:rPr>
          <w:i/>
          <w:iCs/>
          <w:color w:val="1F497D" w:themeColor="text2"/>
          <w:sz w:val="18"/>
          <w:szCs w:val="18"/>
        </w:rPr>
      </w:pPr>
      <w:r>
        <w:br w:type="page"/>
      </w:r>
    </w:p>
    <w:p w14:paraId="0D62549F" w14:textId="77777777" w:rsidR="00A60896" w:rsidRDefault="00A60896" w:rsidP="00A60896"/>
    <w:p w14:paraId="1055132F" w14:textId="033919CD" w:rsidR="00A60896" w:rsidRDefault="00817616" w:rsidP="00FE2D59">
      <w:pPr>
        <w:pStyle w:val="Heading1"/>
        <w:numPr>
          <w:ilvl w:val="0"/>
          <w:numId w:val="3"/>
        </w:numPr>
      </w:pPr>
      <w:r>
        <w:t>Topology freezing temperature measurements</w:t>
      </w:r>
    </w:p>
    <w:p w14:paraId="69A1CD7A" w14:textId="77777777" w:rsidR="00B7103A" w:rsidRDefault="00B7103A" w:rsidP="00B7103A">
      <w:pPr>
        <w:pStyle w:val="NoSpacing"/>
        <w:ind w:left="720"/>
      </w:pPr>
    </w:p>
    <w:p w14:paraId="6DF566F4" w14:textId="77777777" w:rsidR="00560A6D" w:rsidRDefault="00B7103A" w:rsidP="00B7103A">
      <w:pPr>
        <w:pStyle w:val="NoSpacing"/>
        <w:ind w:left="875"/>
      </w:pPr>
      <w:r w:rsidRPr="00B7103A">
        <w:t>The topology freezing temperature (T</w:t>
      </w:r>
      <w:r w:rsidRPr="00734560">
        <w:rPr>
          <w:vertAlign w:val="subscript"/>
        </w:rPr>
        <w:t>V</w:t>
      </w:r>
      <w:r w:rsidRPr="00B7103A">
        <w:t xml:space="preserve">) is the temperature at which a </w:t>
      </w:r>
      <w:proofErr w:type="spellStart"/>
      <w:r w:rsidRPr="00B7103A">
        <w:t>vitrimer</w:t>
      </w:r>
      <w:proofErr w:type="spellEnd"/>
      <w:r w:rsidRPr="00B7103A">
        <w:t xml:space="preserve"> network stops flowing on practical timescales. It is defined as the temperature where the stress relaxation time </w:t>
      </w:r>
      <w:r w:rsidRPr="00B7103A">
        <w:rPr>
          <w:rFonts w:ascii="Cambria Math" w:hAnsi="Cambria Math" w:cs="Cambria Math"/>
        </w:rPr>
        <w:t>𝜏</w:t>
      </w:r>
      <w:r w:rsidRPr="00B7103A">
        <w:t>* becomes very long (typically 10</w:t>
      </w:r>
      <w:r w:rsidRPr="00734560">
        <w:rPr>
          <w:vertAlign w:val="superscript"/>
        </w:rPr>
        <w:t>7</w:t>
      </w:r>
      <w:r w:rsidRPr="00B7103A">
        <w:t xml:space="preserve"> seconds), meaning the network behaves like a solid. </w:t>
      </w:r>
    </w:p>
    <w:p w14:paraId="70A9B752" w14:textId="77777777" w:rsidR="00560A6D" w:rsidRDefault="00560A6D" w:rsidP="00B7103A">
      <w:pPr>
        <w:pStyle w:val="NoSpacing"/>
        <w:ind w:left="875"/>
      </w:pPr>
    </w:p>
    <w:p w14:paraId="7CB12BBE" w14:textId="217EC059" w:rsidR="00560A6D" w:rsidRDefault="00B7103A" w:rsidP="00B7103A">
      <w:pPr>
        <w:pStyle w:val="NoSpacing"/>
        <w:ind w:left="875"/>
      </w:pPr>
      <w:r w:rsidRPr="00B7103A">
        <w:t>The T</w:t>
      </w:r>
      <w:r w:rsidRPr="00734560">
        <w:rPr>
          <w:vertAlign w:val="subscript"/>
        </w:rPr>
        <w:t>v</w:t>
      </w:r>
      <w:r w:rsidRPr="00B7103A">
        <w:t xml:space="preserve"> can be extrapolated from the Arrhenius fitted line (blue curve in </w:t>
      </w:r>
      <w:r w:rsidR="00D6194B">
        <w:fldChar w:fldCharType="begin"/>
      </w:r>
      <w:r w:rsidR="00D6194B">
        <w:instrText xml:space="preserve"> REF _Ref219815180 \h </w:instrText>
      </w:r>
      <w:r w:rsidR="00D6194B">
        <w:fldChar w:fldCharType="separate"/>
      </w:r>
      <w:r w:rsidR="00D6194B" w:rsidRPr="00D6194B">
        <w:rPr>
          <w:b/>
          <w:bCs/>
        </w:rPr>
        <w:t xml:space="preserve">Fig. </w:t>
      </w:r>
      <w:r w:rsidR="00D6194B" w:rsidRPr="00D6194B">
        <w:rPr>
          <w:b/>
          <w:bCs/>
          <w:noProof/>
        </w:rPr>
        <w:t>8</w:t>
      </w:r>
      <w:r w:rsidR="00D6194B">
        <w:fldChar w:fldCharType="end"/>
      </w:r>
      <w:r w:rsidRPr="00B7103A">
        <w:t>) to a relaxation time of 10</w:t>
      </w:r>
      <w:r w:rsidRPr="00734560">
        <w:rPr>
          <w:vertAlign w:val="superscript"/>
        </w:rPr>
        <w:t>7</w:t>
      </w:r>
      <w:r w:rsidRPr="00B7103A">
        <w:t xml:space="preserve"> s (τ(T</w:t>
      </w:r>
      <w:r w:rsidRPr="00734560">
        <w:rPr>
          <w:vertAlign w:val="subscript"/>
        </w:rPr>
        <w:t>v</w:t>
      </w:r>
      <w:r w:rsidRPr="00B7103A">
        <w:t>) = 10</w:t>
      </w:r>
      <w:r w:rsidRPr="00734560">
        <w:rPr>
          <w:vertAlign w:val="superscript"/>
        </w:rPr>
        <w:t>7</w:t>
      </w:r>
      <w:r w:rsidRPr="00B7103A">
        <w:t xml:space="preserve">). </w:t>
      </w:r>
    </w:p>
    <w:p w14:paraId="6B354C89" w14:textId="77777777" w:rsidR="00560A6D" w:rsidRDefault="00560A6D" w:rsidP="00B7103A">
      <w:pPr>
        <w:pStyle w:val="NoSpacing"/>
        <w:ind w:left="875"/>
      </w:pPr>
    </w:p>
    <w:p w14:paraId="27149F2C" w14:textId="593C28B8" w:rsidR="00560A6D" w:rsidRPr="001813B3" w:rsidRDefault="001813B3" w:rsidP="00B7103A">
      <w:pPr>
        <w:pStyle w:val="NoSpacing"/>
        <w:ind w:left="875"/>
        <w:rPr>
          <w:color w:val="000000" w:themeColor="text1"/>
        </w:rPr>
      </w:pPr>
      <m:oMathPara>
        <m:oMath>
          <m:r>
            <w:rPr>
              <w:rFonts w:ascii="Cambria Math" w:hAnsi="Cambria Math"/>
              <w:color w:val="000000" w:themeColor="text1"/>
            </w:rPr>
            <m:t>τ</m:t>
          </m:r>
          <m:d>
            <m:dPr>
              <m:ctrlPr>
                <w:rPr>
                  <w:rFonts w:ascii="Cambria Math" w:hAnsi="Cambria Math"/>
                  <w:i/>
                  <w:color w:val="000000" w:themeColor="text1"/>
                </w:rPr>
              </m:ctrlPr>
            </m:dPr>
            <m:e>
              <m:r>
                <w:rPr>
                  <w:rFonts w:ascii="Cambria Math" w:hAnsi="Cambria Math"/>
                  <w:color w:val="000000" w:themeColor="text1"/>
                </w:rPr>
                <m:t>T</m:t>
              </m:r>
            </m:e>
          </m:d>
          <m:r>
            <w:rPr>
              <w:rFonts w:ascii="Cambria Math" w:hAnsi="Cambria Math"/>
              <w:color w:val="000000" w:themeColor="text1"/>
            </w:rPr>
            <m:t xml:space="preserve">= </m:t>
          </m:r>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0</m:t>
              </m:r>
            </m:sub>
          </m:sSub>
          <m:sSup>
            <m:sSupPr>
              <m:ctrlPr>
                <w:rPr>
                  <w:rFonts w:ascii="Cambria Math" w:hAnsi="Cambria Math"/>
                  <w:i/>
                  <w:color w:val="000000" w:themeColor="text1"/>
                </w:rPr>
              </m:ctrlPr>
            </m:sSupPr>
            <m:e>
              <m:r>
                <w:rPr>
                  <w:rFonts w:ascii="Cambria Math" w:hAnsi="Cambria Math"/>
                  <w:color w:val="000000" w:themeColor="text1"/>
                </w:rPr>
                <m:t>e</m:t>
              </m:r>
            </m:e>
            <m:sup>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a</m:t>
                      </m:r>
                    </m:sub>
                  </m:sSub>
                </m:num>
                <m:den>
                  <m:r>
                    <w:rPr>
                      <w:rFonts w:ascii="Cambria Math" w:hAnsi="Cambria Math"/>
                      <w:color w:val="000000" w:themeColor="text1"/>
                    </w:rPr>
                    <m:t>RT</m:t>
                  </m:r>
                </m:den>
              </m:f>
            </m:sup>
          </m:sSup>
          <m:r>
            <w:rPr>
              <w:rFonts w:ascii="Cambria Math" w:hAnsi="Cambria Math"/>
              <w:color w:val="000000" w:themeColor="text1"/>
            </w:rPr>
            <m:t xml:space="preserve"> or</m:t>
          </m:r>
          <m:func>
            <m:funcPr>
              <m:ctrlPr>
                <w:rPr>
                  <w:rFonts w:ascii="Cambria Math" w:hAnsi="Cambria Math"/>
                  <w:i/>
                  <w:color w:val="000000" w:themeColor="text1"/>
                </w:rPr>
              </m:ctrlPr>
            </m:funcPr>
            <m:fName>
              <m:r>
                <m:rPr>
                  <m:sty m:val="p"/>
                </m:rPr>
                <w:rPr>
                  <w:rFonts w:ascii="Cambria Math" w:hAnsi="Cambria Math"/>
                  <w:color w:val="000000" w:themeColor="text1"/>
                </w:rPr>
                <m:t>ln</m:t>
              </m:r>
            </m:fName>
            <m:e>
              <m:d>
                <m:dPr>
                  <m:ctrlPr>
                    <w:rPr>
                      <w:rFonts w:ascii="Cambria Math" w:hAnsi="Cambria Math"/>
                      <w:i/>
                      <w:color w:val="000000" w:themeColor="text1"/>
                    </w:rPr>
                  </m:ctrlPr>
                </m:dPr>
                <m:e>
                  <m:r>
                    <w:rPr>
                      <w:rFonts w:ascii="Cambria Math" w:hAnsi="Cambria Math"/>
                      <w:color w:val="000000" w:themeColor="text1"/>
                    </w:rPr>
                    <m:t>τ</m:t>
                  </m:r>
                </m:e>
              </m:d>
            </m:e>
          </m:func>
          <m:r>
            <w:rPr>
              <w:rFonts w:ascii="Cambria Math" w:hAnsi="Cambria Math"/>
              <w:color w:val="000000" w:themeColor="text1"/>
            </w:rPr>
            <m:t>=</m:t>
          </m:r>
          <m:func>
            <m:funcPr>
              <m:ctrlPr>
                <w:rPr>
                  <w:rFonts w:ascii="Cambria Math" w:hAnsi="Cambria Math"/>
                  <w:i/>
                  <w:color w:val="000000" w:themeColor="text1"/>
                </w:rPr>
              </m:ctrlPr>
            </m:funcPr>
            <m:fName>
              <m:r>
                <m:rPr>
                  <m:sty m:val="p"/>
                </m:rPr>
                <w:rPr>
                  <w:rFonts w:ascii="Cambria Math" w:hAnsi="Cambria Math"/>
                  <w:color w:val="000000" w:themeColor="text1"/>
                </w:rPr>
                <m:t>ln</m:t>
              </m:r>
            </m:fName>
            <m:e>
              <m:d>
                <m:dPr>
                  <m:ctrlPr>
                    <w:rPr>
                      <w:rFonts w:ascii="Cambria Math" w:hAnsi="Cambria Math"/>
                      <w:i/>
                      <w:color w:val="000000" w:themeColor="text1"/>
                    </w:rPr>
                  </m:ctrlPr>
                </m:dPr>
                <m:e>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0</m:t>
                      </m:r>
                    </m:sub>
                  </m:sSub>
                </m:e>
              </m:d>
            </m:e>
          </m:func>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a</m:t>
                  </m:r>
                </m:sub>
              </m:sSub>
            </m:num>
            <m:den>
              <m:r>
                <w:rPr>
                  <w:rFonts w:ascii="Cambria Math" w:hAnsi="Cambria Math"/>
                  <w:color w:val="000000" w:themeColor="text1"/>
                </w:rPr>
                <m:t>R</m:t>
              </m:r>
            </m:den>
          </m:f>
          <m:r>
            <w:rPr>
              <w:rFonts w:ascii="Cambria Math" w:hAnsi="Cambria Math"/>
              <w:color w:val="000000" w:themeColor="text1"/>
            </w:rPr>
            <m:t xml:space="preserve"> . </m:t>
          </m:r>
          <m:f>
            <m:fPr>
              <m:ctrlPr>
                <w:rPr>
                  <w:rFonts w:ascii="Cambria Math" w:hAnsi="Cambria Math"/>
                  <w:i/>
                  <w:color w:val="000000" w:themeColor="text1"/>
                </w:rPr>
              </m:ctrlPr>
            </m:fPr>
            <m:num>
              <m:r>
                <w:rPr>
                  <w:rFonts w:ascii="Cambria Math" w:hAnsi="Cambria Math"/>
                  <w:color w:val="000000" w:themeColor="text1"/>
                </w:rPr>
                <m:t>1</m:t>
              </m:r>
            </m:num>
            <m:den>
              <m:r>
                <w:rPr>
                  <w:rFonts w:ascii="Cambria Math" w:hAnsi="Cambria Math"/>
                  <w:color w:val="000000" w:themeColor="text1"/>
                </w:rPr>
                <m:t>T</m:t>
              </m:r>
            </m:den>
          </m:f>
          <m:r>
            <w:rPr>
              <w:rFonts w:ascii="Cambria Math" w:eastAsiaTheme="minorEastAsia" w:hAnsi="Cambria Math"/>
              <w:color w:val="000000" w:themeColor="text1"/>
            </w:rPr>
            <m:t xml:space="preserve"> ≈</m:t>
          </m:r>
          <m:func>
            <m:funcPr>
              <m:ctrlPr>
                <w:rPr>
                  <w:rFonts w:ascii="Cambria Math" w:eastAsiaTheme="minorEastAsia" w:hAnsi="Cambria Math"/>
                  <w:i/>
                  <w:color w:val="000000" w:themeColor="text1"/>
                </w:rPr>
              </m:ctrlPr>
            </m:funcPr>
            <m:fName>
              <m:r>
                <m:rPr>
                  <m:sty m:val="p"/>
                </m:rPr>
                <w:rPr>
                  <w:rFonts w:ascii="Cambria Math" w:eastAsiaTheme="minorEastAsia" w:hAnsi="Cambria Math"/>
                  <w:color w:val="000000" w:themeColor="text1"/>
                </w:rPr>
                <m:t>ln</m:t>
              </m:r>
            </m:fName>
            <m:e>
              <m:d>
                <m:dPr>
                  <m:ctrlPr>
                    <w:rPr>
                      <w:rFonts w:ascii="Cambria Math" w:eastAsiaTheme="minorEastAsia" w:hAnsi="Cambria Math"/>
                      <w:i/>
                      <w:color w:val="000000" w:themeColor="text1"/>
                    </w:rPr>
                  </m:ctrlPr>
                </m:dPr>
                <m:e>
                  <m:r>
                    <w:rPr>
                      <w:rFonts w:ascii="Cambria Math" w:eastAsiaTheme="minorEastAsia" w:hAnsi="Cambria Math"/>
                      <w:color w:val="000000" w:themeColor="text1"/>
                    </w:rPr>
                    <m:t>τ</m:t>
                  </m:r>
                </m:e>
              </m:d>
            </m:e>
          </m:func>
          <m:r>
            <w:rPr>
              <w:rFonts w:ascii="Cambria Math" w:eastAsiaTheme="minorEastAsia" w:hAnsi="Cambria Math"/>
              <w:color w:val="000000" w:themeColor="text1"/>
            </w:rPr>
            <m:t>=m</m:t>
          </m:r>
          <m:d>
            <m:dPr>
              <m:ctrlPr>
                <w:rPr>
                  <w:rFonts w:ascii="Cambria Math" w:eastAsiaTheme="minorEastAsia" w:hAnsi="Cambria Math"/>
                  <w:i/>
                  <w:color w:val="000000" w:themeColor="text1"/>
                </w:rPr>
              </m:ctrlPr>
            </m:dPr>
            <m:e>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1000</m:t>
                  </m:r>
                </m:num>
                <m:den>
                  <m:r>
                    <w:rPr>
                      <w:rFonts w:ascii="Cambria Math" w:eastAsiaTheme="minorEastAsia" w:hAnsi="Cambria Math"/>
                      <w:color w:val="000000" w:themeColor="text1"/>
                    </w:rPr>
                    <m:t>T</m:t>
                  </m:r>
                </m:den>
              </m:f>
            </m:e>
          </m:d>
          <m:r>
            <w:rPr>
              <w:rFonts w:ascii="Cambria Math" w:eastAsiaTheme="minorEastAsia" w:hAnsi="Cambria Math"/>
              <w:color w:val="000000" w:themeColor="text1"/>
            </w:rPr>
            <m:t>+b</m:t>
          </m:r>
        </m:oMath>
      </m:oMathPara>
    </w:p>
    <w:p w14:paraId="193E182C" w14:textId="77777777" w:rsidR="001813B3" w:rsidRPr="001813B3" w:rsidRDefault="001813B3" w:rsidP="00B7103A">
      <w:pPr>
        <w:pStyle w:val="NoSpacing"/>
        <w:ind w:left="875"/>
        <w:rPr>
          <w:color w:val="000000" w:themeColor="text1"/>
        </w:rPr>
      </w:pPr>
    </w:p>
    <w:p w14:paraId="39005016" w14:textId="77777777" w:rsidR="00DE6E12" w:rsidRDefault="00B7103A" w:rsidP="00B7103A">
      <w:pPr>
        <w:pStyle w:val="NoSpacing"/>
        <w:ind w:left="875"/>
      </w:pPr>
      <w:r w:rsidRPr="00B7103A">
        <w:t xml:space="preserve">where </w:t>
      </w:r>
      <w:proofErr w:type="spellStart"/>
      <w:r w:rsidRPr="00B7103A">
        <w:t>E</w:t>
      </w:r>
      <w:r w:rsidR="001813B3">
        <w:rPr>
          <w:vertAlign w:val="subscript"/>
        </w:rPr>
        <w:t>a</w:t>
      </w:r>
      <w:proofErr w:type="spellEnd"/>
      <w:r w:rsidRPr="00B7103A">
        <w:t xml:space="preserve"> is the activation energy of the bond-exchange process, R is the gas constant, τ</w:t>
      </w:r>
      <w:r w:rsidR="001813B3">
        <w:rPr>
          <w:vertAlign w:val="subscript"/>
        </w:rPr>
        <w:t>0</w:t>
      </w:r>
      <w:r w:rsidRPr="00B7103A">
        <w:t xml:space="preserve"> is the pre-exponential factor, m the slope and b the intercept. </w:t>
      </w:r>
    </w:p>
    <w:p w14:paraId="7FFCC1C6" w14:textId="77777777" w:rsidR="00DE6E12" w:rsidRDefault="00DE6E12" w:rsidP="00B7103A">
      <w:pPr>
        <w:pStyle w:val="NoSpacing"/>
        <w:ind w:left="875"/>
      </w:pPr>
    </w:p>
    <w:p w14:paraId="296005C0" w14:textId="3695BDA4" w:rsidR="00DE6E12" w:rsidRPr="00E83F84" w:rsidRDefault="00B7103A" w:rsidP="00B7103A">
      <w:pPr>
        <w:pStyle w:val="NoSpacing"/>
        <w:ind w:left="875"/>
      </w:pPr>
      <w:r w:rsidRPr="00B7103A">
        <w:t xml:space="preserve">In this case, </w:t>
      </w:r>
      <w:proofErr w:type="spellStart"/>
      <w:r w:rsidRPr="00B7103A">
        <w:t>E</w:t>
      </w:r>
      <w:r w:rsidRPr="00107C0F">
        <w:rPr>
          <w:vertAlign w:val="subscript"/>
        </w:rPr>
        <w:t>a</w:t>
      </w:r>
      <w:proofErr w:type="spellEnd"/>
      <w:r w:rsidRPr="00B7103A">
        <w:t xml:space="preserve"> = 105.1 kJ/mol</w:t>
      </w:r>
      <w:r w:rsidR="00DE6E12">
        <w:rPr>
          <w:vertAlign w:val="superscript"/>
        </w:rPr>
        <w:t>-1</w:t>
      </w:r>
      <w:r w:rsidRPr="00B7103A">
        <w:t xml:space="preserve"> and τ</w:t>
      </w:r>
      <w:r w:rsidR="00DE6E12">
        <w:rPr>
          <w:vertAlign w:val="subscript"/>
        </w:rPr>
        <w:t>0</w:t>
      </w:r>
      <w:r w:rsidRPr="00B7103A">
        <w:t xml:space="preserve"> = e</w:t>
      </w:r>
      <w:r w:rsidR="00DE6E12">
        <w:rPr>
          <w:vertAlign w:val="superscript"/>
        </w:rPr>
        <w:t>b</w:t>
      </w:r>
      <w:r w:rsidRPr="00B7103A">
        <w:t xml:space="preserve"> = e</w:t>
      </w:r>
      <w:r w:rsidRPr="00DE6E12">
        <w:rPr>
          <w:vertAlign w:val="superscript"/>
        </w:rPr>
        <w:t>-23.8</w:t>
      </w:r>
      <w:r w:rsidRPr="00B7103A">
        <w:t xml:space="preserve"> = 4x10</w:t>
      </w:r>
      <w:r w:rsidRPr="00E83F84">
        <w:rPr>
          <w:vertAlign w:val="superscript"/>
        </w:rPr>
        <w:t>-11</w:t>
      </w:r>
      <w:r w:rsidR="00E83F84">
        <w:t>s</w:t>
      </w:r>
    </w:p>
    <w:p w14:paraId="3DA44B10" w14:textId="77777777" w:rsidR="00DE6E12" w:rsidRDefault="00DE6E12" w:rsidP="00B7103A">
      <w:pPr>
        <w:pStyle w:val="NoSpacing"/>
        <w:ind w:left="875"/>
      </w:pPr>
    </w:p>
    <w:p w14:paraId="78CFBBA1" w14:textId="545DFE88" w:rsidR="005E1440" w:rsidRPr="005E1440" w:rsidRDefault="00000000" w:rsidP="00B7103A">
      <w:pPr>
        <w:pStyle w:val="NoSpacing"/>
        <w:ind w:left="875"/>
        <w:rPr>
          <w:color w:val="000000" w:themeColor="text1"/>
        </w:rPr>
      </w:pPr>
      <m:oMathPara>
        <m:oMath>
          <m:sSub>
            <m:sSubPr>
              <m:ctrlPr>
                <w:rPr>
                  <w:rFonts w:ascii="Cambria Math" w:hAnsi="Cambria Math"/>
                  <w:i/>
                  <w:color w:val="000000" w:themeColor="text1"/>
                </w:rPr>
              </m:ctrlPr>
            </m:sSubPr>
            <m:e>
              <m:r>
                <w:rPr>
                  <w:rFonts w:ascii="Cambria Math" w:hAnsi="Cambria Math"/>
                  <w:color w:val="000000" w:themeColor="text1"/>
                </w:rPr>
                <m:t>T</m:t>
              </m:r>
            </m:e>
            <m:sub>
              <m:r>
                <w:rPr>
                  <w:rFonts w:ascii="Cambria Math" w:hAnsi="Cambria Math"/>
                  <w:color w:val="000000" w:themeColor="text1"/>
                </w:rPr>
                <m:t>v</m:t>
              </m:r>
            </m:sub>
          </m:sSub>
          <m:r>
            <w:rPr>
              <w:rFonts w:ascii="Cambria Math" w:hAnsi="Cambria Math"/>
              <w:color w:val="000000" w:themeColor="text1"/>
            </w:rPr>
            <m:t xml:space="preserve">= </m:t>
          </m:r>
          <m:f>
            <m:fPr>
              <m:ctrlPr>
                <w:rPr>
                  <w:rFonts w:ascii="Cambria Math" w:hAnsi="Cambria Math"/>
                  <w:i/>
                  <w:color w:val="000000" w:themeColor="text1"/>
                </w:rPr>
              </m:ctrlPr>
            </m:fPr>
            <m:num>
              <m:sSub>
                <m:sSubPr>
                  <m:ctrlPr>
                    <w:rPr>
                      <w:rFonts w:ascii="Cambria Math" w:hAnsi="Cambria Math"/>
                      <w:i/>
                      <w:color w:val="000000" w:themeColor="text1"/>
                    </w:rPr>
                  </m:ctrlPr>
                </m:sSubPr>
                <m:e>
                  <m:r>
                    <w:rPr>
                      <w:rFonts w:ascii="Cambria Math" w:hAnsi="Cambria Math"/>
                      <w:color w:val="000000" w:themeColor="text1"/>
                    </w:rPr>
                    <m:t>E</m:t>
                  </m:r>
                </m:e>
                <m:sub>
                  <m:r>
                    <w:rPr>
                      <w:rFonts w:ascii="Cambria Math" w:hAnsi="Cambria Math"/>
                      <w:color w:val="000000" w:themeColor="text1"/>
                    </w:rPr>
                    <m:t>a</m:t>
                  </m:r>
                </m:sub>
              </m:sSub>
            </m:num>
            <m:den>
              <m:r>
                <w:rPr>
                  <w:rFonts w:ascii="Cambria Math" w:hAnsi="Cambria Math"/>
                  <w:color w:val="000000" w:themeColor="text1"/>
                </w:rPr>
                <m:t>R(</m:t>
              </m:r>
              <m:func>
                <m:funcPr>
                  <m:ctrlPr>
                    <w:rPr>
                      <w:rFonts w:ascii="Cambria Math" w:hAnsi="Cambria Math"/>
                      <w:i/>
                      <w:color w:val="000000" w:themeColor="text1"/>
                    </w:rPr>
                  </m:ctrlPr>
                </m:funcPr>
                <m:fName>
                  <m:r>
                    <m:rPr>
                      <m:sty m:val="p"/>
                    </m:rPr>
                    <w:rPr>
                      <w:rFonts w:ascii="Cambria Math" w:hAnsi="Cambria Math"/>
                      <w:color w:val="000000" w:themeColor="text1"/>
                    </w:rPr>
                    <m:t>ln</m:t>
                  </m:r>
                </m:fName>
                <m:e>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v</m:t>
                      </m:r>
                    </m:sub>
                  </m:sSub>
                </m:e>
              </m:func>
              <m:r>
                <w:rPr>
                  <w:rFonts w:ascii="Cambria Math" w:hAnsi="Cambria Math"/>
                  <w:color w:val="000000" w:themeColor="text1"/>
                </w:rPr>
                <m:t>-</m:t>
              </m:r>
              <m:func>
                <m:funcPr>
                  <m:ctrlPr>
                    <w:rPr>
                      <w:rFonts w:ascii="Cambria Math" w:hAnsi="Cambria Math"/>
                      <w:i/>
                      <w:color w:val="000000" w:themeColor="text1"/>
                    </w:rPr>
                  </m:ctrlPr>
                </m:funcPr>
                <m:fName>
                  <m:r>
                    <m:rPr>
                      <m:sty m:val="p"/>
                    </m:rPr>
                    <w:rPr>
                      <w:rFonts w:ascii="Cambria Math" w:hAnsi="Cambria Math"/>
                      <w:color w:val="000000" w:themeColor="text1"/>
                    </w:rPr>
                    <m:t>ln</m:t>
                  </m:r>
                </m:fName>
                <m:e>
                  <m:sSub>
                    <m:sSubPr>
                      <m:ctrlPr>
                        <w:rPr>
                          <w:rFonts w:ascii="Cambria Math" w:hAnsi="Cambria Math"/>
                          <w:i/>
                          <w:color w:val="000000" w:themeColor="text1"/>
                        </w:rPr>
                      </m:ctrlPr>
                    </m:sSubPr>
                    <m:e>
                      <m:r>
                        <w:rPr>
                          <w:rFonts w:ascii="Cambria Math" w:hAnsi="Cambria Math"/>
                          <w:color w:val="000000" w:themeColor="text1"/>
                        </w:rPr>
                        <m:t>τ</m:t>
                      </m:r>
                    </m:e>
                    <m:sub>
                      <m:r>
                        <w:rPr>
                          <w:rFonts w:ascii="Cambria Math" w:hAnsi="Cambria Math"/>
                          <w:color w:val="000000" w:themeColor="text1"/>
                        </w:rPr>
                        <m:t>0</m:t>
                      </m:r>
                    </m:sub>
                  </m:sSub>
                  <m:r>
                    <w:rPr>
                      <w:rFonts w:ascii="Cambria Math" w:hAnsi="Cambria Math"/>
                      <w:color w:val="000000" w:themeColor="text1"/>
                    </w:rPr>
                    <m:t>)</m:t>
                  </m:r>
                </m:e>
              </m:func>
            </m:den>
          </m:f>
          <m:r>
            <w:rPr>
              <w:rFonts w:ascii="Cambria Math" w:hAnsi="Cambria Math"/>
              <w:color w:val="000000" w:themeColor="text1"/>
            </w:rPr>
            <m:t>=315.6 K or 42.5°C</m:t>
          </m:r>
        </m:oMath>
      </m:oMathPara>
    </w:p>
    <w:p w14:paraId="4CBBB635" w14:textId="77777777" w:rsidR="005E1440" w:rsidRPr="005E1440" w:rsidRDefault="005E1440" w:rsidP="00B7103A">
      <w:pPr>
        <w:pStyle w:val="NoSpacing"/>
        <w:ind w:left="875"/>
        <w:rPr>
          <w:color w:val="000000" w:themeColor="text1"/>
        </w:rPr>
      </w:pPr>
    </w:p>
    <w:p w14:paraId="5A7D4D1D" w14:textId="4DDF70DB" w:rsidR="004D50E4" w:rsidRDefault="00B7103A" w:rsidP="00B7103A">
      <w:pPr>
        <w:pStyle w:val="NoSpacing"/>
        <w:ind w:left="875"/>
      </w:pPr>
      <w:r w:rsidRPr="00B7103A">
        <w:t xml:space="preserve">This value is comparable to </w:t>
      </w:r>
      <w:r w:rsidR="00500E94">
        <w:t xml:space="preserve">that of </w:t>
      </w:r>
      <w:r w:rsidRPr="00B7103A">
        <w:t>other systems having dynamic ester bonds and exhibiting a rather low T</w:t>
      </w:r>
      <w:r w:rsidR="00880241">
        <w:rPr>
          <w:vertAlign w:val="subscript"/>
        </w:rPr>
        <w:t>g</w:t>
      </w:r>
      <w:r w:rsidRPr="00B7103A">
        <w:t xml:space="preserve"> (for example T</w:t>
      </w:r>
      <w:r w:rsidR="005E1440">
        <w:rPr>
          <w:vertAlign w:val="subscript"/>
        </w:rPr>
        <w:t>g</w:t>
      </w:r>
      <w:r w:rsidRPr="00B7103A">
        <w:t xml:space="preserve"> = 8°C and T</w:t>
      </w:r>
      <w:r w:rsidR="005E1440">
        <w:rPr>
          <w:vertAlign w:val="subscript"/>
        </w:rPr>
        <w:t>v</w:t>
      </w:r>
      <w:r w:rsidRPr="00B7103A">
        <w:t xml:space="preserve"> = 48.7°C [1]). </w:t>
      </w:r>
    </w:p>
    <w:p w14:paraId="62B423F0" w14:textId="77777777" w:rsidR="00FB268F" w:rsidRDefault="00FB268F" w:rsidP="00B7103A">
      <w:pPr>
        <w:pStyle w:val="NoSpacing"/>
        <w:ind w:left="875"/>
      </w:pPr>
    </w:p>
    <w:p w14:paraId="2F4E1AF1" w14:textId="77777777" w:rsidR="00D6194B" w:rsidRDefault="00FB268F" w:rsidP="00D6194B">
      <w:pPr>
        <w:pStyle w:val="NoSpacing"/>
        <w:keepNext/>
        <w:ind w:left="875"/>
        <w:jc w:val="center"/>
      </w:pPr>
      <w:r w:rsidRPr="00133F26">
        <w:rPr>
          <w:noProof/>
        </w:rPr>
        <w:drawing>
          <wp:inline distT="0" distB="0" distL="0" distR="0" wp14:anchorId="1A8A9C8D" wp14:editId="113C935A">
            <wp:extent cx="2777924" cy="212637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786839" cy="2133202"/>
                    </a:xfrm>
                    <a:prstGeom prst="rect">
                      <a:avLst/>
                    </a:prstGeom>
                  </pic:spPr>
                </pic:pic>
              </a:graphicData>
            </a:graphic>
          </wp:inline>
        </w:drawing>
      </w:r>
    </w:p>
    <w:p w14:paraId="5521C5B2" w14:textId="2F716FB9" w:rsidR="00FB268F" w:rsidRDefault="00D6194B" w:rsidP="00D6194B">
      <w:pPr>
        <w:pStyle w:val="Caption"/>
        <w:ind w:left="720" w:firstLine="720"/>
        <w:jc w:val="center"/>
      </w:pPr>
      <w:bookmarkStart w:id="3" w:name="_Ref219815180"/>
      <w:r w:rsidRPr="00D6194B">
        <w:rPr>
          <w:b/>
          <w:bCs/>
        </w:rPr>
        <w:t>Fig.</w:t>
      </w:r>
      <w:r w:rsidR="00500E94">
        <w:rPr>
          <w:b/>
          <w:bCs/>
        </w:rPr>
        <w:t>S</w:t>
      </w:r>
      <w:r w:rsidRPr="00D6194B">
        <w:rPr>
          <w:b/>
          <w:bCs/>
        </w:rPr>
        <w:fldChar w:fldCharType="begin"/>
      </w:r>
      <w:r w:rsidRPr="00D6194B">
        <w:rPr>
          <w:b/>
          <w:bCs/>
        </w:rPr>
        <w:instrText xml:space="preserve"> SEQ Figure \* ARABIC </w:instrText>
      </w:r>
      <w:r w:rsidRPr="00D6194B">
        <w:rPr>
          <w:b/>
          <w:bCs/>
        </w:rPr>
        <w:fldChar w:fldCharType="separate"/>
      </w:r>
      <w:r w:rsidR="007B2CDF">
        <w:rPr>
          <w:b/>
          <w:bCs/>
          <w:noProof/>
        </w:rPr>
        <w:t>8</w:t>
      </w:r>
      <w:r w:rsidRPr="00D6194B">
        <w:rPr>
          <w:b/>
          <w:bCs/>
        </w:rPr>
        <w:fldChar w:fldCharType="end"/>
      </w:r>
      <w:bookmarkEnd w:id="3"/>
      <w:r>
        <w:t xml:space="preserve"> </w:t>
      </w:r>
      <w:r w:rsidRPr="00366189">
        <w:t>Stress relaxation times (Arrhenius diagram) of the main and control formulations</w:t>
      </w:r>
    </w:p>
    <w:p w14:paraId="6AF7F7F3" w14:textId="77777777" w:rsidR="00500E94" w:rsidRDefault="00500E94" w:rsidP="00500E94"/>
    <w:p w14:paraId="27BB3E5D" w14:textId="77777777" w:rsidR="00500E94" w:rsidRDefault="00500E94" w:rsidP="00500E94"/>
    <w:p w14:paraId="1DFE249E" w14:textId="77777777" w:rsidR="00500E94" w:rsidRDefault="00500E94" w:rsidP="00500E94"/>
    <w:p w14:paraId="6B7DB099" w14:textId="77777777" w:rsidR="00500E94" w:rsidRDefault="00500E94" w:rsidP="00500E94"/>
    <w:p w14:paraId="4BA96957" w14:textId="77777777" w:rsidR="00500E94" w:rsidRDefault="00500E94" w:rsidP="00500E94"/>
    <w:p w14:paraId="1CABAFFE" w14:textId="77777777" w:rsidR="00500E94" w:rsidRDefault="00500E94" w:rsidP="00500E94"/>
    <w:p w14:paraId="5DCD4468" w14:textId="77777777" w:rsidR="00500E94" w:rsidRPr="00500E94" w:rsidRDefault="00500E94" w:rsidP="00500E94"/>
    <w:p w14:paraId="2ACDA720" w14:textId="77777777" w:rsidR="003273AE" w:rsidRDefault="003273AE" w:rsidP="00A60896"/>
    <w:p w14:paraId="2E91412E" w14:textId="71F51833" w:rsidR="003273AE" w:rsidRDefault="00165B66" w:rsidP="00165B66">
      <w:pPr>
        <w:pStyle w:val="Heading1"/>
        <w:numPr>
          <w:ilvl w:val="0"/>
          <w:numId w:val="3"/>
        </w:numPr>
      </w:pPr>
      <w:r>
        <w:lastRenderedPageBreak/>
        <w:t xml:space="preserve">The influence of the PLA particles on the curing </w:t>
      </w:r>
      <w:proofErr w:type="spellStart"/>
      <w:r>
        <w:t>behaviour</w:t>
      </w:r>
      <w:proofErr w:type="spellEnd"/>
    </w:p>
    <w:p w14:paraId="157E514A" w14:textId="77777777" w:rsidR="006B35AC" w:rsidRDefault="003302D5" w:rsidP="00165B66">
      <w:pPr>
        <w:pStyle w:val="Heading1"/>
        <w:rPr>
          <w:w w:val="105"/>
        </w:rPr>
      </w:pPr>
      <w:r>
        <w:rPr>
          <w:w w:val="105"/>
        </w:rPr>
        <w:t xml:space="preserve"> </w:t>
      </w:r>
    </w:p>
    <w:p w14:paraId="4A4AB4F0" w14:textId="77777777" w:rsidR="007B2CDF" w:rsidRDefault="00080EF1" w:rsidP="007B2CDF">
      <w:pPr>
        <w:pStyle w:val="Heading1"/>
        <w:keepNext/>
        <w:jc w:val="center"/>
      </w:pPr>
      <w:r w:rsidRPr="00767090">
        <w:rPr>
          <w:noProof/>
        </w:rPr>
        <w:drawing>
          <wp:inline distT="0" distB="0" distL="0" distR="0" wp14:anchorId="338923AA" wp14:editId="7C83D17B">
            <wp:extent cx="4074289" cy="31186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86063" cy="3127700"/>
                    </a:xfrm>
                    <a:prstGeom prst="rect">
                      <a:avLst/>
                    </a:prstGeom>
                  </pic:spPr>
                </pic:pic>
              </a:graphicData>
            </a:graphic>
          </wp:inline>
        </w:drawing>
      </w:r>
    </w:p>
    <w:p w14:paraId="53A460A6" w14:textId="2DD7C7ED" w:rsidR="00165B66" w:rsidRDefault="007B2CDF" w:rsidP="007B2CDF">
      <w:pPr>
        <w:pStyle w:val="Caption"/>
        <w:jc w:val="center"/>
      </w:pPr>
      <w:r w:rsidRPr="007B2CDF">
        <w:rPr>
          <w:b/>
          <w:bCs/>
        </w:rPr>
        <w:t>Fig.</w:t>
      </w:r>
      <w:r w:rsidR="00500E94">
        <w:rPr>
          <w:b/>
          <w:bCs/>
        </w:rPr>
        <w:t>S</w:t>
      </w:r>
      <w:r w:rsidRPr="007B2CDF">
        <w:rPr>
          <w:b/>
          <w:bCs/>
        </w:rPr>
        <w:fldChar w:fldCharType="begin"/>
      </w:r>
      <w:r w:rsidRPr="007B2CDF">
        <w:rPr>
          <w:b/>
          <w:bCs/>
        </w:rPr>
        <w:instrText xml:space="preserve"> SEQ Figure \* ARABIC </w:instrText>
      </w:r>
      <w:r w:rsidRPr="007B2CDF">
        <w:rPr>
          <w:b/>
          <w:bCs/>
        </w:rPr>
        <w:fldChar w:fldCharType="separate"/>
      </w:r>
      <w:r w:rsidRPr="007B2CDF">
        <w:rPr>
          <w:b/>
          <w:bCs/>
          <w:noProof/>
        </w:rPr>
        <w:t>9</w:t>
      </w:r>
      <w:r w:rsidRPr="007B2CDF">
        <w:rPr>
          <w:b/>
          <w:bCs/>
        </w:rPr>
        <w:fldChar w:fldCharType="end"/>
      </w:r>
      <w:r>
        <w:t xml:space="preserve"> </w:t>
      </w:r>
      <w:r w:rsidRPr="00272CE3">
        <w:t>Total heat of reaction and conversion in function of volume percentage of PLA particles</w:t>
      </w:r>
    </w:p>
    <w:p w14:paraId="2A01339D" w14:textId="77777777" w:rsidR="00313CE2" w:rsidRDefault="00313CE2" w:rsidP="00313CE2">
      <w:pPr>
        <w:pStyle w:val="Heading1"/>
        <w:ind w:left="0" w:firstLine="0"/>
      </w:pPr>
      <w:r>
        <w:t>References</w:t>
      </w:r>
    </w:p>
    <w:p w14:paraId="0B25DC90" w14:textId="77777777" w:rsidR="00313CE2" w:rsidRDefault="00313CE2" w:rsidP="00313CE2">
      <w:pPr>
        <w:pStyle w:val="Heading1"/>
        <w:ind w:left="0" w:firstLine="0"/>
      </w:pPr>
    </w:p>
    <w:p w14:paraId="468B4193" w14:textId="77777777" w:rsidR="00313CE2" w:rsidRPr="00313CE2" w:rsidRDefault="00313CE2" w:rsidP="00313CE2">
      <w:pPr>
        <w:pStyle w:val="Bibliography"/>
        <w:rPr>
          <w:sz w:val="28"/>
        </w:rPr>
      </w:pPr>
      <w:r>
        <w:rPr>
          <w:sz w:val="28"/>
        </w:rPr>
        <w:fldChar w:fldCharType="begin"/>
      </w:r>
      <w:r>
        <w:rPr>
          <w:sz w:val="28"/>
        </w:rPr>
        <w:instrText xml:space="preserve"> ADDIN ZOTERO_BIBL {"uncited":[],"omitted":[],"custom":[]} CSL_BIBLIOGRAPHY </w:instrText>
      </w:r>
      <w:r>
        <w:rPr>
          <w:sz w:val="28"/>
        </w:rPr>
        <w:fldChar w:fldCharType="separate"/>
      </w:r>
      <w:r w:rsidRPr="00313CE2">
        <w:rPr>
          <w:sz w:val="28"/>
        </w:rPr>
        <w:t xml:space="preserve">1. </w:t>
      </w:r>
      <w:r w:rsidRPr="00313CE2">
        <w:rPr>
          <w:sz w:val="28"/>
        </w:rPr>
        <w:tab/>
        <w:t>Zhang C, Lan Q, Zhai T, et al (2018) Melt Crystallization Behavior and Crystalline Morphology of Polylactide/Poly(ε-caprolactone) Blends Compatibilized by Lactide-Caprolactone Copolymer. Polymers 10:1181. https://doi.org/10.3390/polym10111181</w:t>
      </w:r>
    </w:p>
    <w:p w14:paraId="675F8642" w14:textId="77777777" w:rsidR="00313CE2" w:rsidRPr="00313CE2" w:rsidRDefault="00313CE2" w:rsidP="00313CE2">
      <w:pPr>
        <w:pStyle w:val="Bibliography"/>
        <w:rPr>
          <w:sz w:val="28"/>
        </w:rPr>
      </w:pPr>
      <w:r w:rsidRPr="00313CE2">
        <w:rPr>
          <w:sz w:val="28"/>
        </w:rPr>
        <w:t xml:space="preserve">2. </w:t>
      </w:r>
      <w:r w:rsidRPr="00313CE2">
        <w:rPr>
          <w:sz w:val="28"/>
        </w:rPr>
        <w:tab/>
        <w:t>Ronkay F, Molnár B, Nagy D, et al (2020) Melting temperature versus crystallinity: new way for identification and analysis of multiple endotherms of poly(ethylene terephthalate). J Polym Res 27:372. https://doi.org/10.1007/s10965-020-02327-7</w:t>
      </w:r>
    </w:p>
    <w:p w14:paraId="56AE745B" w14:textId="77777777" w:rsidR="006B35AC" w:rsidRDefault="00313CE2">
      <w:pPr>
        <w:pStyle w:val="BodyText"/>
        <w:spacing w:before="266"/>
        <w:rPr>
          <w:sz w:val="28"/>
        </w:rPr>
      </w:pPr>
      <w:r>
        <w:rPr>
          <w:sz w:val="28"/>
        </w:rPr>
        <w:fldChar w:fldCharType="end"/>
      </w:r>
    </w:p>
    <w:p w14:paraId="7DB2B3DA" w14:textId="77777777" w:rsidR="006B35AC" w:rsidRPr="00313CE2" w:rsidRDefault="006B35AC" w:rsidP="00313CE2">
      <w:pPr>
        <w:pStyle w:val="Heading1"/>
        <w:ind w:left="875" w:firstLine="0"/>
      </w:pPr>
      <w:bookmarkStart w:id="4" w:name="_bookmark0"/>
      <w:bookmarkEnd w:id="4"/>
    </w:p>
    <w:sectPr w:rsidR="006B35AC" w:rsidRPr="00313CE2" w:rsidSect="003273AE">
      <w:pgSz w:w="12240" w:h="15840"/>
      <w:pgMar w:top="1440" w:right="1080" w:bottom="1440" w:left="1080" w:header="0" w:footer="1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DEEEA" w14:textId="77777777" w:rsidR="001E4A13" w:rsidRDefault="001E4A13">
      <w:r>
        <w:separator/>
      </w:r>
    </w:p>
  </w:endnote>
  <w:endnote w:type="continuationSeparator" w:id="0">
    <w:p w14:paraId="6A04D929" w14:textId="77777777" w:rsidR="001E4A13" w:rsidRDefault="001E4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AD2D" w14:textId="77777777" w:rsidR="006B35AC" w:rsidRDefault="003302D5">
    <w:pPr>
      <w:pStyle w:val="BodyText"/>
      <w:spacing w:line="14" w:lineRule="auto"/>
    </w:pPr>
    <w:r>
      <w:rPr>
        <w:noProof/>
      </w:rPr>
      <mc:AlternateContent>
        <mc:Choice Requires="wps">
          <w:drawing>
            <wp:anchor distT="0" distB="0" distL="0" distR="0" simplePos="0" relativeHeight="487488512" behindDoc="1" locked="0" layoutInCell="1" allowOverlap="1" wp14:anchorId="612A3D4F" wp14:editId="2C7EEE4B">
              <wp:simplePos x="0" y="0"/>
              <wp:positionH relativeFrom="page">
                <wp:posOffset>3811689</wp:posOffset>
              </wp:positionH>
              <wp:positionV relativeFrom="page">
                <wp:posOffset>8815870</wp:posOffset>
              </wp:positionV>
              <wp:extent cx="152400"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52400"/>
                      </a:xfrm>
                      <a:prstGeom prst="rect">
                        <a:avLst/>
                      </a:prstGeom>
                    </wps:spPr>
                    <wps:txbx>
                      <w:txbxContent>
                        <w:p w14:paraId="1C8890FC" w14:textId="77777777" w:rsidR="006B35AC" w:rsidRDefault="003302D5">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12A3D4F" id="_x0000_t202" coordsize="21600,21600" o:spt="202" path="m,l,21600r21600,l21600,xe">
              <v:stroke joinstyle="miter"/>
              <v:path gradientshapeok="t" o:connecttype="rect"/>
            </v:shapetype>
            <v:shape id="Textbox 1" o:spid="_x0000_s1026" type="#_x0000_t202" style="position:absolute;margin-left:300.15pt;margin-top:694.15pt;width:12pt;height:12pt;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" filled="f" stroked="f">
              <v:textbox inset="0,0,0,0">
                <w:txbxContent>
                  <w:p w14:paraId="1C8890FC" w14:textId="77777777" w:rsidR="006B35AC" w:rsidRDefault="003302D5">
                    <w:pPr>
                      <w:pStyle w:val="BodyText"/>
                      <w:spacing w:line="223"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199545" w14:textId="77777777" w:rsidR="001E4A13" w:rsidRDefault="001E4A13">
      <w:r>
        <w:separator/>
      </w:r>
    </w:p>
  </w:footnote>
  <w:footnote w:type="continuationSeparator" w:id="0">
    <w:p w14:paraId="0C3F9014" w14:textId="77777777" w:rsidR="001E4A13" w:rsidRDefault="001E4A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B0F48"/>
    <w:multiLevelType w:val="hybridMultilevel"/>
    <w:tmpl w:val="020CF250"/>
    <w:lvl w:ilvl="0" w:tplc="AFC6E5FE">
      <w:start w:val="1"/>
      <w:numFmt w:val="decimal"/>
      <w:lvlText w:val="%1."/>
      <w:lvlJc w:val="left"/>
      <w:pPr>
        <w:ind w:left="1235" w:hanging="360"/>
      </w:pPr>
      <w:rPr>
        <w:rFonts w:hint="default"/>
      </w:rPr>
    </w:lvl>
    <w:lvl w:ilvl="1" w:tplc="20000019" w:tentative="1">
      <w:start w:val="1"/>
      <w:numFmt w:val="lowerLetter"/>
      <w:lvlText w:val="%2."/>
      <w:lvlJc w:val="left"/>
      <w:pPr>
        <w:ind w:left="1955" w:hanging="360"/>
      </w:pPr>
    </w:lvl>
    <w:lvl w:ilvl="2" w:tplc="2000001B" w:tentative="1">
      <w:start w:val="1"/>
      <w:numFmt w:val="lowerRoman"/>
      <w:lvlText w:val="%3."/>
      <w:lvlJc w:val="right"/>
      <w:pPr>
        <w:ind w:left="2675" w:hanging="180"/>
      </w:pPr>
    </w:lvl>
    <w:lvl w:ilvl="3" w:tplc="2000000F" w:tentative="1">
      <w:start w:val="1"/>
      <w:numFmt w:val="decimal"/>
      <w:lvlText w:val="%4."/>
      <w:lvlJc w:val="left"/>
      <w:pPr>
        <w:ind w:left="3395" w:hanging="360"/>
      </w:pPr>
    </w:lvl>
    <w:lvl w:ilvl="4" w:tplc="20000019" w:tentative="1">
      <w:start w:val="1"/>
      <w:numFmt w:val="lowerLetter"/>
      <w:lvlText w:val="%5."/>
      <w:lvlJc w:val="left"/>
      <w:pPr>
        <w:ind w:left="4115" w:hanging="360"/>
      </w:pPr>
    </w:lvl>
    <w:lvl w:ilvl="5" w:tplc="2000001B" w:tentative="1">
      <w:start w:val="1"/>
      <w:numFmt w:val="lowerRoman"/>
      <w:lvlText w:val="%6."/>
      <w:lvlJc w:val="right"/>
      <w:pPr>
        <w:ind w:left="4835" w:hanging="180"/>
      </w:pPr>
    </w:lvl>
    <w:lvl w:ilvl="6" w:tplc="2000000F" w:tentative="1">
      <w:start w:val="1"/>
      <w:numFmt w:val="decimal"/>
      <w:lvlText w:val="%7."/>
      <w:lvlJc w:val="left"/>
      <w:pPr>
        <w:ind w:left="5555" w:hanging="360"/>
      </w:pPr>
    </w:lvl>
    <w:lvl w:ilvl="7" w:tplc="20000019" w:tentative="1">
      <w:start w:val="1"/>
      <w:numFmt w:val="lowerLetter"/>
      <w:lvlText w:val="%8."/>
      <w:lvlJc w:val="left"/>
      <w:pPr>
        <w:ind w:left="6275" w:hanging="360"/>
      </w:pPr>
    </w:lvl>
    <w:lvl w:ilvl="8" w:tplc="2000001B" w:tentative="1">
      <w:start w:val="1"/>
      <w:numFmt w:val="lowerRoman"/>
      <w:lvlText w:val="%9."/>
      <w:lvlJc w:val="right"/>
      <w:pPr>
        <w:ind w:left="6995" w:hanging="180"/>
      </w:pPr>
    </w:lvl>
  </w:abstractNum>
  <w:abstractNum w:abstractNumId="1" w15:restartNumberingAfterBreak="0">
    <w:nsid w:val="3A660B14"/>
    <w:multiLevelType w:val="hybridMultilevel"/>
    <w:tmpl w:val="642C8254"/>
    <w:lvl w:ilvl="0" w:tplc="395E1906">
      <w:start w:val="1"/>
      <w:numFmt w:val="decimal"/>
      <w:lvlText w:val="[%1]"/>
      <w:lvlJc w:val="left"/>
      <w:pPr>
        <w:ind w:left="1284" w:hanging="410"/>
      </w:pPr>
      <w:rPr>
        <w:rFonts w:ascii="Calibri" w:eastAsia="Calibri" w:hAnsi="Calibri" w:cs="Calibri" w:hint="default"/>
        <w:b w:val="0"/>
        <w:bCs w:val="0"/>
        <w:i w:val="0"/>
        <w:iCs w:val="0"/>
        <w:spacing w:val="0"/>
        <w:w w:val="93"/>
        <w:sz w:val="20"/>
        <w:szCs w:val="20"/>
        <w:lang w:val="en-US" w:eastAsia="en-US" w:bidi="ar-SA"/>
      </w:rPr>
    </w:lvl>
    <w:lvl w:ilvl="1" w:tplc="5898272A">
      <w:numFmt w:val="bullet"/>
      <w:lvlText w:val="•"/>
      <w:lvlJc w:val="left"/>
      <w:pPr>
        <w:ind w:left="2016" w:hanging="410"/>
      </w:pPr>
      <w:rPr>
        <w:rFonts w:hint="default"/>
        <w:lang w:val="en-US" w:eastAsia="en-US" w:bidi="ar-SA"/>
      </w:rPr>
    </w:lvl>
    <w:lvl w:ilvl="2" w:tplc="D540B222">
      <w:numFmt w:val="bullet"/>
      <w:lvlText w:val="•"/>
      <w:lvlJc w:val="left"/>
      <w:pPr>
        <w:ind w:left="2752" w:hanging="410"/>
      </w:pPr>
      <w:rPr>
        <w:rFonts w:hint="default"/>
        <w:lang w:val="en-US" w:eastAsia="en-US" w:bidi="ar-SA"/>
      </w:rPr>
    </w:lvl>
    <w:lvl w:ilvl="3" w:tplc="34F8809A">
      <w:numFmt w:val="bullet"/>
      <w:lvlText w:val="•"/>
      <w:lvlJc w:val="left"/>
      <w:pPr>
        <w:ind w:left="3488" w:hanging="410"/>
      </w:pPr>
      <w:rPr>
        <w:rFonts w:hint="default"/>
        <w:lang w:val="en-US" w:eastAsia="en-US" w:bidi="ar-SA"/>
      </w:rPr>
    </w:lvl>
    <w:lvl w:ilvl="4" w:tplc="38D6F434">
      <w:numFmt w:val="bullet"/>
      <w:lvlText w:val="•"/>
      <w:lvlJc w:val="left"/>
      <w:pPr>
        <w:ind w:left="4224" w:hanging="410"/>
      </w:pPr>
      <w:rPr>
        <w:rFonts w:hint="default"/>
        <w:lang w:val="en-US" w:eastAsia="en-US" w:bidi="ar-SA"/>
      </w:rPr>
    </w:lvl>
    <w:lvl w:ilvl="5" w:tplc="34DEBB1A">
      <w:numFmt w:val="bullet"/>
      <w:lvlText w:val="•"/>
      <w:lvlJc w:val="left"/>
      <w:pPr>
        <w:ind w:left="4960" w:hanging="410"/>
      </w:pPr>
      <w:rPr>
        <w:rFonts w:hint="default"/>
        <w:lang w:val="en-US" w:eastAsia="en-US" w:bidi="ar-SA"/>
      </w:rPr>
    </w:lvl>
    <w:lvl w:ilvl="6" w:tplc="4C34E1AA">
      <w:numFmt w:val="bullet"/>
      <w:lvlText w:val="•"/>
      <w:lvlJc w:val="left"/>
      <w:pPr>
        <w:ind w:left="5696" w:hanging="410"/>
      </w:pPr>
      <w:rPr>
        <w:rFonts w:hint="default"/>
        <w:lang w:val="en-US" w:eastAsia="en-US" w:bidi="ar-SA"/>
      </w:rPr>
    </w:lvl>
    <w:lvl w:ilvl="7" w:tplc="C740919A">
      <w:numFmt w:val="bullet"/>
      <w:lvlText w:val="•"/>
      <w:lvlJc w:val="left"/>
      <w:pPr>
        <w:ind w:left="6432" w:hanging="410"/>
      </w:pPr>
      <w:rPr>
        <w:rFonts w:hint="default"/>
        <w:lang w:val="en-US" w:eastAsia="en-US" w:bidi="ar-SA"/>
      </w:rPr>
    </w:lvl>
    <w:lvl w:ilvl="8" w:tplc="568E09B6">
      <w:numFmt w:val="bullet"/>
      <w:lvlText w:val="•"/>
      <w:lvlJc w:val="left"/>
      <w:pPr>
        <w:ind w:left="7168" w:hanging="410"/>
      </w:pPr>
      <w:rPr>
        <w:rFonts w:hint="default"/>
        <w:lang w:val="en-US" w:eastAsia="en-US" w:bidi="ar-SA"/>
      </w:rPr>
    </w:lvl>
  </w:abstractNum>
  <w:abstractNum w:abstractNumId="2" w15:restartNumberingAfterBreak="0">
    <w:nsid w:val="67E46B2E"/>
    <w:multiLevelType w:val="hybridMultilevel"/>
    <w:tmpl w:val="12A48AC2"/>
    <w:lvl w:ilvl="0" w:tplc="A672E628">
      <w:start w:val="1"/>
      <w:numFmt w:val="decimal"/>
      <w:lvlText w:val="%1"/>
      <w:lvlJc w:val="left"/>
      <w:pPr>
        <w:ind w:left="1359" w:hanging="485"/>
      </w:pPr>
      <w:rPr>
        <w:rFonts w:ascii="Calibri" w:eastAsia="Calibri" w:hAnsi="Calibri" w:cs="Calibri" w:hint="default"/>
        <w:b/>
        <w:bCs/>
        <w:i w:val="0"/>
        <w:iCs w:val="0"/>
        <w:spacing w:val="0"/>
        <w:w w:val="113"/>
        <w:sz w:val="28"/>
        <w:szCs w:val="28"/>
        <w:lang w:val="en-US" w:eastAsia="en-US" w:bidi="ar-SA"/>
      </w:rPr>
    </w:lvl>
    <w:lvl w:ilvl="1" w:tplc="1F96075E">
      <w:numFmt w:val="bullet"/>
      <w:lvlText w:val="•"/>
      <w:lvlJc w:val="left"/>
      <w:pPr>
        <w:ind w:left="2088" w:hanging="485"/>
      </w:pPr>
      <w:rPr>
        <w:rFonts w:hint="default"/>
        <w:lang w:val="en-US" w:eastAsia="en-US" w:bidi="ar-SA"/>
      </w:rPr>
    </w:lvl>
    <w:lvl w:ilvl="2" w:tplc="092C391C">
      <w:numFmt w:val="bullet"/>
      <w:lvlText w:val="•"/>
      <w:lvlJc w:val="left"/>
      <w:pPr>
        <w:ind w:left="2816" w:hanging="485"/>
      </w:pPr>
      <w:rPr>
        <w:rFonts w:hint="default"/>
        <w:lang w:val="en-US" w:eastAsia="en-US" w:bidi="ar-SA"/>
      </w:rPr>
    </w:lvl>
    <w:lvl w:ilvl="3" w:tplc="588697FE">
      <w:numFmt w:val="bullet"/>
      <w:lvlText w:val="•"/>
      <w:lvlJc w:val="left"/>
      <w:pPr>
        <w:ind w:left="3544" w:hanging="485"/>
      </w:pPr>
      <w:rPr>
        <w:rFonts w:hint="default"/>
        <w:lang w:val="en-US" w:eastAsia="en-US" w:bidi="ar-SA"/>
      </w:rPr>
    </w:lvl>
    <w:lvl w:ilvl="4" w:tplc="5120C3B4">
      <w:numFmt w:val="bullet"/>
      <w:lvlText w:val="•"/>
      <w:lvlJc w:val="left"/>
      <w:pPr>
        <w:ind w:left="4272" w:hanging="485"/>
      </w:pPr>
      <w:rPr>
        <w:rFonts w:hint="default"/>
        <w:lang w:val="en-US" w:eastAsia="en-US" w:bidi="ar-SA"/>
      </w:rPr>
    </w:lvl>
    <w:lvl w:ilvl="5" w:tplc="567E9BD8">
      <w:numFmt w:val="bullet"/>
      <w:lvlText w:val="•"/>
      <w:lvlJc w:val="left"/>
      <w:pPr>
        <w:ind w:left="5000" w:hanging="485"/>
      </w:pPr>
      <w:rPr>
        <w:rFonts w:hint="default"/>
        <w:lang w:val="en-US" w:eastAsia="en-US" w:bidi="ar-SA"/>
      </w:rPr>
    </w:lvl>
    <w:lvl w:ilvl="6" w:tplc="414C82AE">
      <w:numFmt w:val="bullet"/>
      <w:lvlText w:val="•"/>
      <w:lvlJc w:val="left"/>
      <w:pPr>
        <w:ind w:left="5728" w:hanging="485"/>
      </w:pPr>
      <w:rPr>
        <w:rFonts w:hint="default"/>
        <w:lang w:val="en-US" w:eastAsia="en-US" w:bidi="ar-SA"/>
      </w:rPr>
    </w:lvl>
    <w:lvl w:ilvl="7" w:tplc="E43429BE">
      <w:numFmt w:val="bullet"/>
      <w:lvlText w:val="•"/>
      <w:lvlJc w:val="left"/>
      <w:pPr>
        <w:ind w:left="6456" w:hanging="485"/>
      </w:pPr>
      <w:rPr>
        <w:rFonts w:hint="default"/>
        <w:lang w:val="en-US" w:eastAsia="en-US" w:bidi="ar-SA"/>
      </w:rPr>
    </w:lvl>
    <w:lvl w:ilvl="8" w:tplc="D08659EA">
      <w:numFmt w:val="bullet"/>
      <w:lvlText w:val="•"/>
      <w:lvlJc w:val="left"/>
      <w:pPr>
        <w:ind w:left="7184" w:hanging="485"/>
      </w:pPr>
      <w:rPr>
        <w:rFonts w:hint="default"/>
        <w:lang w:val="en-US" w:eastAsia="en-US" w:bidi="ar-SA"/>
      </w:rPr>
    </w:lvl>
  </w:abstractNum>
  <w:num w:numId="1" w16cid:durableId="1632322868">
    <w:abstractNumId w:val="1"/>
  </w:num>
  <w:num w:numId="2" w16cid:durableId="890579739">
    <w:abstractNumId w:val="2"/>
  </w:num>
  <w:num w:numId="3" w16cid:durableId="114451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AC"/>
    <w:rsid w:val="00080EF1"/>
    <w:rsid w:val="00091060"/>
    <w:rsid w:val="000E6790"/>
    <w:rsid w:val="00107C0F"/>
    <w:rsid w:val="00165B66"/>
    <w:rsid w:val="001813B3"/>
    <w:rsid w:val="0018198E"/>
    <w:rsid w:val="001E4A13"/>
    <w:rsid w:val="00210549"/>
    <w:rsid w:val="00286B95"/>
    <w:rsid w:val="002C7604"/>
    <w:rsid w:val="00313CE2"/>
    <w:rsid w:val="003273AE"/>
    <w:rsid w:val="003302D5"/>
    <w:rsid w:val="00436B53"/>
    <w:rsid w:val="004559C6"/>
    <w:rsid w:val="004B6503"/>
    <w:rsid w:val="004D2B61"/>
    <w:rsid w:val="004D50E4"/>
    <w:rsid w:val="00500E94"/>
    <w:rsid w:val="00544186"/>
    <w:rsid w:val="00560A6D"/>
    <w:rsid w:val="005E1440"/>
    <w:rsid w:val="006B35AC"/>
    <w:rsid w:val="006B79C3"/>
    <w:rsid w:val="006C22B0"/>
    <w:rsid w:val="006E726E"/>
    <w:rsid w:val="00705A09"/>
    <w:rsid w:val="00734560"/>
    <w:rsid w:val="007526E2"/>
    <w:rsid w:val="007B2CDF"/>
    <w:rsid w:val="007C1E7E"/>
    <w:rsid w:val="007E4A75"/>
    <w:rsid w:val="00817616"/>
    <w:rsid w:val="0083008A"/>
    <w:rsid w:val="00880241"/>
    <w:rsid w:val="00915E2F"/>
    <w:rsid w:val="009363A8"/>
    <w:rsid w:val="00944B0C"/>
    <w:rsid w:val="00A22B41"/>
    <w:rsid w:val="00A60896"/>
    <w:rsid w:val="00A6676C"/>
    <w:rsid w:val="00A85123"/>
    <w:rsid w:val="00AD7976"/>
    <w:rsid w:val="00B45DEF"/>
    <w:rsid w:val="00B7103A"/>
    <w:rsid w:val="00C444C8"/>
    <w:rsid w:val="00D431B2"/>
    <w:rsid w:val="00D506B4"/>
    <w:rsid w:val="00D6194B"/>
    <w:rsid w:val="00D81CBB"/>
    <w:rsid w:val="00D850F4"/>
    <w:rsid w:val="00DA4117"/>
    <w:rsid w:val="00DE6E12"/>
    <w:rsid w:val="00E46395"/>
    <w:rsid w:val="00E573F6"/>
    <w:rsid w:val="00E71895"/>
    <w:rsid w:val="00E76864"/>
    <w:rsid w:val="00E80C2A"/>
    <w:rsid w:val="00E83F84"/>
    <w:rsid w:val="00E956FB"/>
    <w:rsid w:val="00F05E60"/>
    <w:rsid w:val="00F10748"/>
    <w:rsid w:val="00F36AA1"/>
    <w:rsid w:val="00FB268F"/>
    <w:rsid w:val="00FD2697"/>
    <w:rsid w:val="00FE2D59"/>
  </w:rsids>
  <m:mathPr>
    <m:mathFont m:val="Cambria Math"/>
    <m:brkBin m:val="before"/>
    <m:brkBinSub m:val="--"/>
    <m:smallFrac m:val="0"/>
    <m:dispDef/>
    <m:lMargin m:val="0"/>
    <m:rMargin m:val="0"/>
    <m:defJc m:val="centerGroup"/>
    <m:wrapIndent m:val="1440"/>
    <m:intLim m:val="subSup"/>
    <m:naryLim m:val="undOvr"/>
  </m:mathPr>
  <w:themeFontLang w:val="en-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F16D8"/>
  <w15:docId w15:val="{D9BAF3DF-FD3E-42EB-931C-A847A000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359" w:hanging="484"/>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875" w:right="889" w:hanging="1"/>
      <w:jc w:val="center"/>
    </w:pPr>
    <w:rPr>
      <w:sz w:val="34"/>
      <w:szCs w:val="34"/>
    </w:rPr>
  </w:style>
  <w:style w:type="paragraph" w:styleId="ListParagraph">
    <w:name w:val="List Paragraph"/>
    <w:basedOn w:val="Normal"/>
    <w:uiPriority w:val="1"/>
    <w:qFormat/>
    <w:pPr>
      <w:spacing w:before="1"/>
      <w:ind w:left="1359" w:hanging="484"/>
    </w:pPr>
  </w:style>
  <w:style w:type="paragraph" w:customStyle="1" w:styleId="TableParagraph">
    <w:name w:val="Table Paragraph"/>
    <w:basedOn w:val="Normal"/>
    <w:uiPriority w:val="1"/>
    <w:qFormat/>
    <w:pPr>
      <w:spacing w:line="217" w:lineRule="exact"/>
      <w:ind w:left="118"/>
    </w:pPr>
  </w:style>
  <w:style w:type="table" w:styleId="TableGridLight">
    <w:name w:val="Grid Table Light"/>
    <w:basedOn w:val="TableNormal"/>
    <w:uiPriority w:val="40"/>
    <w:rsid w:val="00313CE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ibliography">
    <w:name w:val="Bibliography"/>
    <w:basedOn w:val="Normal"/>
    <w:next w:val="Normal"/>
    <w:uiPriority w:val="37"/>
    <w:unhideWhenUsed/>
    <w:rsid w:val="00313CE2"/>
    <w:pPr>
      <w:tabs>
        <w:tab w:val="left" w:pos="384"/>
      </w:tabs>
      <w:spacing w:after="240"/>
      <w:ind w:left="384" w:hanging="384"/>
    </w:pPr>
  </w:style>
  <w:style w:type="paragraph" w:styleId="Caption">
    <w:name w:val="caption"/>
    <w:basedOn w:val="Normal"/>
    <w:next w:val="Normal"/>
    <w:uiPriority w:val="35"/>
    <w:unhideWhenUsed/>
    <w:qFormat/>
    <w:rsid w:val="007C1E7E"/>
    <w:pPr>
      <w:spacing w:after="200"/>
    </w:pPr>
    <w:rPr>
      <w:i/>
      <w:iCs/>
      <w:color w:val="1F497D" w:themeColor="text2"/>
      <w:sz w:val="18"/>
      <w:szCs w:val="18"/>
    </w:rPr>
  </w:style>
  <w:style w:type="character" w:styleId="Hyperlink">
    <w:name w:val="Hyperlink"/>
    <w:basedOn w:val="DefaultParagraphFont"/>
    <w:uiPriority w:val="99"/>
    <w:unhideWhenUsed/>
    <w:rsid w:val="00FD2697"/>
    <w:rPr>
      <w:color w:val="0000FF" w:themeColor="hyperlink"/>
      <w:u w:val="single"/>
    </w:rPr>
  </w:style>
  <w:style w:type="character" w:styleId="UnresolvedMention">
    <w:name w:val="Unresolved Mention"/>
    <w:basedOn w:val="DefaultParagraphFont"/>
    <w:uiPriority w:val="99"/>
    <w:semiHidden/>
    <w:unhideWhenUsed/>
    <w:rsid w:val="00FD2697"/>
    <w:rPr>
      <w:color w:val="605E5C"/>
      <w:shd w:val="clear" w:color="auto" w:fill="E1DFDD"/>
    </w:rPr>
  </w:style>
  <w:style w:type="paragraph" w:styleId="NoSpacing">
    <w:name w:val="No Spacing"/>
    <w:uiPriority w:val="1"/>
    <w:qFormat/>
    <w:rsid w:val="004D50E4"/>
    <w:rPr>
      <w:rFonts w:ascii="Calibri" w:eastAsia="Calibri" w:hAnsi="Calibri" w:cs="Calibri"/>
    </w:rPr>
  </w:style>
  <w:style w:type="character" w:styleId="PlaceholderText">
    <w:name w:val="Placeholder Text"/>
    <w:basedOn w:val="DefaultParagraphFont"/>
    <w:uiPriority w:val="99"/>
    <w:semiHidden/>
    <w:rsid w:val="00560A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233;ronique.michaud@epfl.ch" TargetMode="External"/><Relationship Id="rId13" Type="http://schemas.openxmlformats.org/officeDocument/2006/relationships/image" Target="media/image1.png"/><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mailto:v&#233;ronique.michaud@epfl.ch"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ves.leterrier@epfl.ch"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sandra.schloegl@pccl.at"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anthony.hoogmartens@epfl.ch" TargetMode="External"/><Relationship Id="rId14" Type="http://schemas.openxmlformats.org/officeDocument/2006/relationships/image" Target="media/image2.pn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013A2-0A16-452C-8F0D-8FF68E9D3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1389</Words>
  <Characters>7923</Characters>
  <Application>Microsoft Office Word</Application>
  <DocSecurity>0</DocSecurity>
  <Lines>66</Lines>
  <Paragraphs>18</Paragraphs>
  <ScaleCrop>false</ScaleCrop>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Anthony</dc:creator>
  <cp:lastModifiedBy>Véronique Michaud</cp:lastModifiedBy>
  <cp:revision>22</cp:revision>
  <dcterms:created xsi:type="dcterms:W3CDTF">2026-01-20T14:16:00Z</dcterms:created>
  <dcterms:modified xsi:type="dcterms:W3CDTF">2026-01-24T13:56:00Z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2025-12-03T00:00:00Z</vt:filetime>
  </property>
  <property fmtid="{D5CDD505-2E9C-101B-9397-08002B2CF9AE}" pid="3" name="Creator">
    <vt:lpwstr>LaTeX with hyperref</vt:lpwstr>
  </property>
  <property fmtid="{D5CDD505-2E9C-101B-9397-08002B2CF9AE}" pid="4" name="LastSaved">
    <vt:filetime>2025-12-03T00:00:00Z</vt:filetime>
  </property>
  <property fmtid="{D5CDD505-2E9C-101B-9397-08002B2CF9AE}" pid="5" name="PTEX.Fullbanner">
    <vt:lpwstr>This is pdfTeX, Version 3.141592653-2.6-1.40.26 (TeX Live 2024) kpathsea version 6.4.0</vt:lpwstr>
  </property>
  <property fmtid="{D5CDD505-2E9C-101B-9397-08002B2CF9AE}" pid="6" name="Producer">
    <vt:lpwstr>pdfTeX-1.40.26</vt:lpwstr>
  </property>
  <property fmtid="{D5CDD505-2E9C-101B-9397-08002B2CF9AE}" pid="7" name="ZOTERO_PREF_1">
    <vt:lpwstr>&lt;data data-version="3" zotero-version="7.0.30"&gt;&lt;session id="pvGWfAvu"/&gt;&lt;style id="http://www.zotero.org/styles/springer-basic-brackets" hasBibliography="1" bibliographyStyleHasBeenSet="1"/&gt;&lt;prefs&gt;&lt;pref name="fieldType" value="Field"/&gt;&lt;pref name="automatic</vt:lpwstr>
  </property>
  <property fmtid="{D5CDD505-2E9C-101B-9397-08002B2CF9AE}" pid="8" name="ZOTERO_PREF_2">
    <vt:lpwstr>JournalAbbreviations" value="true"/&gt;&lt;/prefs&gt;&lt;/data&gt;</vt:lpwstr>
  </property>
</Properties>
</file>