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878C5B" w14:textId="77777777" w:rsidR="0041130E" w:rsidRDefault="00D90973">
      <w:pPr>
        <w:spacing w:line="360" w:lineRule="auto"/>
        <w:ind w:firstLine="480"/>
        <w:jc w:val="center"/>
        <w:rPr>
          <w:rFonts w:ascii="Arial" w:hAnsi="Arial" w:cs="Arial"/>
          <w:b/>
          <w:color w:val="000000" w:themeColor="text1"/>
        </w:rPr>
      </w:pPr>
      <w:bookmarkStart w:id="0" w:name="OLE_LINK26"/>
      <w:bookmarkStart w:id="1" w:name="OLE_LINK27"/>
      <w:r>
        <w:rPr>
          <w:rFonts w:ascii="Arial" w:hAnsi="Arial" w:cs="Arial"/>
          <w:b/>
          <w:color w:val="000000" w:themeColor="text1"/>
        </w:rPr>
        <w:t>Hypoxia Nanoalleviator with Dual Disruption of Iron and Redox Metabolism for Efficient Ferroptosis-Mediated Cancer Immunotherapy</w:t>
      </w:r>
    </w:p>
    <w:bookmarkEnd w:id="0"/>
    <w:bookmarkEnd w:id="1"/>
    <w:p w14:paraId="09203ED4" w14:textId="77777777" w:rsidR="0041130E" w:rsidRDefault="00D9097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Weimin Yin</w:t>
      </w:r>
      <w:r w:rsidR="0063027A">
        <w:rPr>
          <w:rFonts w:ascii="Arial" w:hAnsi="Arial" w:cs="Arial"/>
          <w:sz w:val="22"/>
          <w:szCs w:val="22"/>
          <w:vertAlign w:val="superscript"/>
        </w:rPr>
        <w:t>1 2</w:t>
      </w:r>
      <w:r>
        <w:rPr>
          <w:rFonts w:ascii="Arial" w:hAnsi="Arial" w:cs="Arial"/>
          <w:sz w:val="22"/>
          <w:szCs w:val="22"/>
          <w:vertAlign w:val="superscript"/>
        </w:rPr>
        <w:t xml:space="preserve"> #</w:t>
      </w:r>
      <w:r>
        <w:rPr>
          <w:rFonts w:ascii="Arial" w:hAnsi="Arial" w:cs="Arial"/>
          <w:sz w:val="22"/>
          <w:szCs w:val="22"/>
        </w:rPr>
        <w:t>, Yang Li</w:t>
      </w:r>
      <w:r>
        <w:rPr>
          <w:rFonts w:ascii="Arial" w:hAnsi="Arial" w:cs="Arial"/>
          <w:sz w:val="22"/>
          <w:szCs w:val="22"/>
          <w:vertAlign w:val="superscript"/>
        </w:rPr>
        <w:t>1 #</w:t>
      </w:r>
      <w:r>
        <w:rPr>
          <w:rFonts w:ascii="Arial" w:hAnsi="Arial" w:cs="Arial"/>
          <w:sz w:val="22"/>
          <w:szCs w:val="22"/>
        </w:rPr>
        <w:t>, Shiyu Chen</w:t>
      </w:r>
      <w:r>
        <w:rPr>
          <w:rFonts w:ascii="Arial" w:hAnsi="Arial" w:cs="Arial"/>
          <w:sz w:val="22"/>
          <w:szCs w:val="22"/>
          <w:vertAlign w:val="superscript"/>
        </w:rPr>
        <w:t>1</w:t>
      </w:r>
      <w:r>
        <w:rPr>
          <w:rFonts w:ascii="Arial" w:hAnsi="Arial" w:cs="Arial"/>
          <w:sz w:val="22"/>
          <w:szCs w:val="22"/>
        </w:rPr>
        <w:t>, Hui Zhi</w:t>
      </w:r>
      <w:r>
        <w:rPr>
          <w:rFonts w:ascii="Arial" w:hAnsi="Arial" w:cs="Arial"/>
          <w:sz w:val="22"/>
          <w:szCs w:val="22"/>
          <w:vertAlign w:val="superscript"/>
        </w:rPr>
        <w:t>1</w:t>
      </w:r>
      <w:r>
        <w:rPr>
          <w:rFonts w:ascii="Arial" w:hAnsi="Arial" w:cs="Arial"/>
          <w:sz w:val="22"/>
          <w:szCs w:val="22"/>
        </w:rPr>
        <w:t>, Jiao Chang</w:t>
      </w:r>
      <w:r>
        <w:rPr>
          <w:rFonts w:ascii="Arial" w:hAnsi="Arial" w:cs="Arial"/>
          <w:sz w:val="22"/>
          <w:szCs w:val="22"/>
          <w:vertAlign w:val="superscript"/>
        </w:rPr>
        <w:t>1</w:t>
      </w:r>
      <w:r>
        <w:rPr>
          <w:rFonts w:ascii="Arial" w:hAnsi="Arial" w:cs="Arial"/>
          <w:sz w:val="22"/>
          <w:szCs w:val="22"/>
        </w:rPr>
        <w:t>, Nana Chen</w:t>
      </w:r>
      <w:r>
        <w:rPr>
          <w:rFonts w:ascii="Arial" w:hAnsi="Arial" w:cs="Arial"/>
          <w:sz w:val="22"/>
          <w:szCs w:val="22"/>
          <w:vertAlign w:val="superscript"/>
        </w:rPr>
        <w:t>1</w:t>
      </w:r>
      <w:r>
        <w:rPr>
          <w:rFonts w:ascii="Arial" w:hAnsi="Arial" w:cs="Arial"/>
          <w:sz w:val="22"/>
          <w:szCs w:val="22"/>
        </w:rPr>
        <w:t>, Zichen Yang</w:t>
      </w:r>
      <w:r>
        <w:rPr>
          <w:rFonts w:ascii="Arial" w:hAnsi="Arial" w:cs="Arial"/>
          <w:sz w:val="22"/>
          <w:szCs w:val="22"/>
          <w:vertAlign w:val="superscript"/>
        </w:rPr>
        <w:t>1</w:t>
      </w:r>
      <w:r>
        <w:rPr>
          <w:rFonts w:ascii="Arial" w:hAnsi="Arial" w:cs="Arial"/>
          <w:sz w:val="22"/>
          <w:szCs w:val="22"/>
        </w:rPr>
        <w:t>, Yaping Xiao</w:t>
      </w:r>
      <w:r>
        <w:rPr>
          <w:rFonts w:ascii="Arial" w:hAnsi="Arial" w:cs="Arial"/>
          <w:sz w:val="22"/>
          <w:szCs w:val="22"/>
          <w:vertAlign w:val="superscript"/>
        </w:rPr>
        <w:t>4</w:t>
      </w:r>
      <w:r>
        <w:rPr>
          <w:rFonts w:ascii="Arial" w:hAnsi="Arial" w:cs="Arial"/>
          <w:sz w:val="22"/>
          <w:szCs w:val="22"/>
        </w:rPr>
        <w:t>, Yan Li</w:t>
      </w:r>
      <w:r>
        <w:rPr>
          <w:rFonts w:ascii="Arial" w:hAnsi="Arial" w:cs="Arial"/>
          <w:sz w:val="22"/>
          <w:szCs w:val="22"/>
          <w:vertAlign w:val="superscript"/>
        </w:rPr>
        <w:t>1</w:t>
      </w:r>
      <w:r>
        <w:rPr>
          <w:rFonts w:ascii="Arial" w:hAnsi="Arial" w:cs="Arial"/>
          <w:sz w:val="22"/>
          <w:szCs w:val="22"/>
        </w:rPr>
        <w:t>, Yongyong Li</w:t>
      </w:r>
      <w:r>
        <w:rPr>
          <w:rFonts w:ascii="Arial" w:hAnsi="Arial" w:cs="Arial"/>
          <w:sz w:val="22"/>
          <w:szCs w:val="22"/>
          <w:vertAlign w:val="superscript"/>
        </w:rPr>
        <w:t>1</w:t>
      </w:r>
      <w:r>
        <w:rPr>
          <w:rFonts w:ascii="Arial" w:hAnsi="Arial" w:cs="Arial"/>
          <w:sz w:val="22"/>
          <w:szCs w:val="22"/>
        </w:rPr>
        <w:t>, Bin Ma</w:t>
      </w:r>
      <w:r w:rsidR="0063027A">
        <w:rPr>
          <w:rFonts w:ascii="Arial" w:hAnsi="Arial" w:cs="Arial"/>
          <w:sz w:val="22"/>
          <w:szCs w:val="22"/>
          <w:vertAlign w:val="superscript"/>
        </w:rPr>
        <w:t>3</w:t>
      </w:r>
      <w:r>
        <w:rPr>
          <w:rFonts w:ascii="Arial" w:hAnsi="Arial" w:cs="Arial"/>
          <w:sz w:val="22"/>
          <w:szCs w:val="22"/>
          <w:vertAlign w:val="superscript"/>
        </w:rPr>
        <w:t>*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  <w:vertAlign w:val="superscript"/>
        </w:rPr>
        <w:t xml:space="preserve"> </w:t>
      </w:r>
      <w:r>
        <w:rPr>
          <w:rFonts w:ascii="Arial" w:hAnsi="Arial" w:cs="Arial"/>
          <w:sz w:val="22"/>
          <w:szCs w:val="22"/>
        </w:rPr>
        <w:t>Haiqing Dong</w:t>
      </w:r>
      <w:r>
        <w:rPr>
          <w:rFonts w:ascii="Arial" w:hAnsi="Arial" w:cs="Arial"/>
          <w:sz w:val="22"/>
          <w:szCs w:val="22"/>
          <w:vertAlign w:val="superscript"/>
        </w:rPr>
        <w:t xml:space="preserve">1 </w:t>
      </w:r>
      <w:r>
        <w:rPr>
          <w:rFonts w:ascii="Arial" w:hAnsi="Arial" w:cs="Arial"/>
          <w:vertAlign w:val="superscript"/>
        </w:rPr>
        <w:t>*</w:t>
      </w:r>
    </w:p>
    <w:p w14:paraId="3516EE3C" w14:textId="77777777" w:rsidR="0041130E" w:rsidRDefault="0041130E">
      <w:pPr>
        <w:spacing w:line="360" w:lineRule="auto"/>
        <w:ind w:firstLine="480"/>
        <w:rPr>
          <w:rFonts w:ascii="Arial" w:hAnsi="Arial" w:cs="Arial"/>
        </w:rPr>
      </w:pPr>
    </w:p>
    <w:p w14:paraId="4BBE3582" w14:textId="6FE9D3C6" w:rsidR="0063027A" w:rsidRDefault="0063027A" w:rsidP="0063027A">
      <w:pPr>
        <w:pStyle w:val="af"/>
        <w:numPr>
          <w:ilvl w:val="0"/>
          <w:numId w:val="1"/>
        </w:numPr>
        <w:spacing w:line="360" w:lineRule="auto"/>
        <w:ind w:firstLineChars="0"/>
        <w:rPr>
          <w:rFonts w:ascii="Arial" w:eastAsia="MS Mincho" w:hAnsi="Arial" w:cs="Arial"/>
          <w:iCs/>
          <w:sz w:val="22"/>
          <w:szCs w:val="22"/>
          <w:lang w:val="en-GB"/>
        </w:rPr>
      </w:pPr>
      <w:r>
        <w:rPr>
          <w:rFonts w:ascii="Arial" w:eastAsia="等线" w:hAnsi="Arial" w:cs="Arial"/>
          <w:iCs/>
          <w:sz w:val="22"/>
          <w:szCs w:val="22"/>
          <w:lang w:val="en-GB"/>
        </w:rPr>
        <w:t xml:space="preserve">Key Laboratory of Spine and Spinal Cord Injury Repair and Regeneration, Ministry of Education, Tongji Hospital, </w:t>
      </w:r>
      <w:r w:rsidR="006D2DFE">
        <w:rPr>
          <w:rFonts w:ascii="Arial" w:eastAsia="等线" w:hAnsi="Arial" w:cs="Arial" w:hint="eastAsia"/>
          <w:iCs/>
          <w:sz w:val="22"/>
          <w:szCs w:val="22"/>
          <w:lang w:val="en-GB"/>
        </w:rPr>
        <w:t>Department of Pharmacy</w:t>
      </w:r>
      <w:r>
        <w:rPr>
          <w:rFonts w:ascii="Arial" w:eastAsia="等线" w:hAnsi="Arial" w:cs="Arial"/>
          <w:iCs/>
          <w:sz w:val="22"/>
          <w:szCs w:val="22"/>
          <w:lang w:val="en-GB"/>
        </w:rPr>
        <w:t>, School of Medicine, Tongji University, 389 Xincun Road, Shanghai 200065, China</w:t>
      </w:r>
    </w:p>
    <w:p w14:paraId="5B17A187" w14:textId="12975E2B" w:rsidR="0063027A" w:rsidRDefault="0063027A" w:rsidP="0063027A">
      <w:pPr>
        <w:pStyle w:val="af"/>
        <w:numPr>
          <w:ilvl w:val="0"/>
          <w:numId w:val="1"/>
        </w:numPr>
        <w:spacing w:line="360" w:lineRule="auto"/>
        <w:ind w:firstLineChars="0"/>
        <w:rPr>
          <w:rFonts w:ascii="Arial" w:eastAsia="MS Mincho" w:hAnsi="Arial" w:cs="Arial"/>
          <w:iCs/>
          <w:sz w:val="22"/>
          <w:szCs w:val="22"/>
          <w:lang w:val="en-GB"/>
        </w:rPr>
      </w:pPr>
      <w:r>
        <w:rPr>
          <w:rFonts w:ascii="Arial" w:eastAsia="MS Mincho" w:hAnsi="Arial" w:cs="Arial" w:hint="eastAsia"/>
          <w:iCs/>
          <w:sz w:val="22"/>
          <w:szCs w:val="22"/>
          <w:lang w:val="en-GB"/>
        </w:rPr>
        <w:t>Key Laboratory of Prevention and Treatment of Cardiovascular and Cerebrovascular Diseases (Ministry of Education), School of Basic Medicine, Gannan Medical University, Ganzhou 341000</w:t>
      </w:r>
      <w:r w:rsidR="006D2DFE">
        <w:rPr>
          <w:rFonts w:ascii="Arial" w:eastAsia="MS Mincho" w:hAnsi="Arial" w:cs="Arial" w:hint="eastAsia"/>
          <w:iCs/>
          <w:sz w:val="22"/>
          <w:szCs w:val="22"/>
          <w:lang w:val="en-GB"/>
        </w:rPr>
        <w:t xml:space="preserve">, </w:t>
      </w:r>
      <w:r w:rsidR="006D2DFE">
        <w:rPr>
          <w:rFonts w:ascii="Arial" w:eastAsia="等线" w:hAnsi="Arial" w:cs="Arial"/>
          <w:iCs/>
          <w:sz w:val="22"/>
          <w:szCs w:val="22"/>
          <w:lang w:val="en-GB"/>
        </w:rPr>
        <w:t>China</w:t>
      </w:r>
      <w:bookmarkStart w:id="2" w:name="_GoBack"/>
      <w:bookmarkEnd w:id="2"/>
    </w:p>
    <w:p w14:paraId="349CA810" w14:textId="3BA4F310" w:rsidR="0063027A" w:rsidRPr="003F4527" w:rsidRDefault="00915A57" w:rsidP="0063027A">
      <w:pPr>
        <w:pStyle w:val="af"/>
        <w:numPr>
          <w:ilvl w:val="0"/>
          <w:numId w:val="1"/>
        </w:numPr>
        <w:spacing w:line="360" w:lineRule="auto"/>
        <w:ind w:firstLineChars="0"/>
        <w:rPr>
          <w:rFonts w:ascii="Arial" w:eastAsia="MS Mincho" w:hAnsi="Arial" w:cs="Arial"/>
          <w:iCs/>
          <w:sz w:val="22"/>
          <w:szCs w:val="22"/>
          <w:lang w:val="en-GB"/>
        </w:rPr>
      </w:pPr>
      <w:r>
        <w:rPr>
          <w:rFonts w:ascii="Arial" w:eastAsia="等线" w:hAnsi="Arial" w:cs="Arial"/>
          <w:iCs/>
          <w:sz w:val="22"/>
          <w:szCs w:val="22"/>
          <w:lang w:val="en-GB"/>
        </w:rPr>
        <w:t>Divisio</w:t>
      </w:r>
      <w:r w:rsidR="0063027A">
        <w:rPr>
          <w:rFonts w:ascii="Arial" w:eastAsia="等线" w:hAnsi="Arial" w:cs="Arial"/>
          <w:iCs/>
          <w:sz w:val="22"/>
          <w:szCs w:val="22"/>
          <w:lang w:val="en-GB"/>
        </w:rPr>
        <w:t>n of Spine Surgery, Department of Orthopaedics, Tongji Hospital, School of Medicine, Tongji University, 389 Xincun Road, Shanghai 200065, China</w:t>
      </w:r>
    </w:p>
    <w:p w14:paraId="78E8367D" w14:textId="77777777" w:rsidR="0063027A" w:rsidRDefault="0063027A" w:rsidP="0063027A">
      <w:pPr>
        <w:pStyle w:val="af"/>
        <w:numPr>
          <w:ilvl w:val="0"/>
          <w:numId w:val="1"/>
        </w:numPr>
        <w:spacing w:line="360" w:lineRule="auto"/>
        <w:ind w:firstLineChars="0"/>
        <w:rPr>
          <w:rFonts w:ascii="Arial" w:eastAsia="MS Mincho" w:hAnsi="Arial" w:cs="Arial"/>
          <w:iCs/>
          <w:sz w:val="22"/>
          <w:szCs w:val="22"/>
          <w:lang w:val="en-GB"/>
        </w:rPr>
      </w:pPr>
      <w:r>
        <w:rPr>
          <w:rFonts w:ascii="Arial" w:eastAsia="MS Mincho" w:hAnsi="Arial" w:cs="Arial" w:hint="eastAsia"/>
          <w:iCs/>
          <w:sz w:val="22"/>
          <w:szCs w:val="22"/>
          <w:lang w:val="en-GB"/>
        </w:rPr>
        <w:t>School of Life and Health Technology, Dongguan University of Technology, Dongguan 523808, China</w:t>
      </w:r>
    </w:p>
    <w:p w14:paraId="7F7F60F4" w14:textId="77777777" w:rsidR="0041130E" w:rsidRDefault="00D90973">
      <w:pPr>
        <w:rPr>
          <w:rFonts w:ascii="Arial" w:eastAsia="MS Mincho" w:hAnsi="Arial" w:cs="Arial"/>
          <w:iCs/>
          <w:lang w:val="en-GB"/>
        </w:rPr>
      </w:pPr>
      <w:r>
        <w:rPr>
          <w:rFonts w:ascii="Arial" w:eastAsia="MS Mincho" w:hAnsi="Arial" w:cs="Arial"/>
          <w:iCs/>
          <w:lang w:val="en-GB"/>
        </w:rPr>
        <w:t># Equal contribution</w:t>
      </w:r>
    </w:p>
    <w:p w14:paraId="54B7611B" w14:textId="77777777" w:rsidR="0041130E" w:rsidRDefault="00D90973">
      <w:pPr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The correspondence author:</w:t>
      </w:r>
    </w:p>
    <w:p w14:paraId="1A153B60" w14:textId="77777777" w:rsidR="0041130E" w:rsidRDefault="00D90973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Haiqing Dong, Ph.D Professor</w:t>
      </w:r>
    </w:p>
    <w:p w14:paraId="3B93A14D" w14:textId="4A89324A" w:rsidR="0041130E" w:rsidRDefault="00D90973">
      <w:pPr>
        <w:spacing w:line="360" w:lineRule="auto"/>
        <w:rPr>
          <w:rFonts w:ascii="Arial" w:hAnsi="Arial" w:cs="Arial" w:hint="eastAsia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Email: </w:t>
      </w:r>
      <w:hyperlink r:id="rId5" w:history="1">
        <w:r w:rsidR="0073796E" w:rsidRPr="0017079F">
          <w:rPr>
            <w:rStyle w:val="ad"/>
            <w:rFonts w:ascii="Arial" w:hAnsi="Arial" w:cs="Arial"/>
            <w:sz w:val="22"/>
            <w:szCs w:val="22"/>
          </w:rPr>
          <w:t>inano_donghq@tongji.edu.cn</w:t>
        </w:r>
      </w:hyperlink>
    </w:p>
    <w:p w14:paraId="3CA92085" w14:textId="21A7E4B8" w:rsidR="0073796E" w:rsidRDefault="0073796E">
      <w:pPr>
        <w:spacing w:line="360" w:lineRule="auto"/>
        <w:rPr>
          <w:rFonts w:ascii="Arial" w:hAnsi="Arial" w:cs="Arial" w:hint="eastAsia"/>
          <w:sz w:val="22"/>
          <w:szCs w:val="22"/>
        </w:rPr>
      </w:pPr>
      <w:r>
        <w:rPr>
          <w:rFonts w:ascii="Arial" w:hAnsi="Arial" w:cs="Arial" w:hint="eastAsia"/>
          <w:sz w:val="22"/>
          <w:szCs w:val="22"/>
        </w:rPr>
        <w:t>Bin Ma, M.D Professor</w:t>
      </w:r>
    </w:p>
    <w:p w14:paraId="4F9BA8CF" w14:textId="3122DF80" w:rsidR="0073796E" w:rsidRDefault="0073796E">
      <w:pPr>
        <w:spacing w:line="360" w:lineRule="auto"/>
        <w:rPr>
          <w:rFonts w:ascii="Arial" w:hAnsi="Arial" w:cs="Arial" w:hint="eastAsia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 w:hint="eastAsia"/>
          <w:sz w:val="22"/>
          <w:szCs w:val="22"/>
        </w:rPr>
        <w:t>abin1995@tongji.edu.cn</w:t>
      </w:r>
    </w:p>
    <w:p w14:paraId="299FCF21" w14:textId="77777777" w:rsidR="0041130E" w:rsidRDefault="00D90973">
      <w:pPr>
        <w:widowControl/>
        <w:jc w:val="lef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72D9FBC1" w14:textId="77777777" w:rsidR="0041130E" w:rsidRDefault="00D90973">
      <w:pPr>
        <w:jc w:val="center"/>
        <w:rPr>
          <w:rFonts w:ascii="Arial" w:hAnsi="Arial" w:cs="Arial"/>
          <w:b/>
          <w:sz w:val="22"/>
          <w:szCs w:val="22"/>
        </w:rPr>
      </w:pPr>
      <w:r w:rsidRPr="00D90973">
        <w:rPr>
          <w:rFonts w:ascii="Arial" w:hAnsi="Arial" w:cs="Arial"/>
          <w:b/>
          <w:noProof/>
          <w:sz w:val="22"/>
          <w:szCs w:val="22"/>
        </w:rPr>
        <w:lastRenderedPageBreak/>
        <w:drawing>
          <wp:inline distT="0" distB="0" distL="114300" distR="114300" wp14:anchorId="281F6D52" wp14:editId="58B1B881">
            <wp:extent cx="5267960" cy="4582160"/>
            <wp:effectExtent l="0" t="0" r="5080" b="5080"/>
            <wp:docPr id="2" name="图片 2" descr="微信图片_20260202101606_2137_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202101606_2137_34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458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ADD4C" w14:textId="56B3F1D5" w:rsidR="0041130E" w:rsidRDefault="00D90973" w:rsidP="001C6D5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Figure S1. </w:t>
      </w:r>
      <w:r>
        <w:rPr>
          <w:rFonts w:ascii="Arial" w:hAnsi="Arial" w:cs="Arial"/>
          <w:sz w:val="22"/>
          <w:szCs w:val="22"/>
        </w:rPr>
        <w:t>(A) Hydrodynamic size (determined by dynamic light scattering, DLS) of MPCC at different mass ratios of C968:CaO₂</w:t>
      </w:r>
      <w:r w:rsidR="001C6D53">
        <w:rPr>
          <w:rFonts w:ascii="Arial" w:hAnsi="Arial" w:cs="Arial"/>
          <w:sz w:val="22"/>
          <w:szCs w:val="22"/>
        </w:rPr>
        <w:t>(w/w: 0:1, 1:1, 2:1, 3:1, 4:1).</w:t>
      </w:r>
      <w:r>
        <w:rPr>
          <w:rFonts w:ascii="Arial" w:hAnsi="Arial" w:cs="Arial"/>
          <w:sz w:val="22"/>
          <w:szCs w:val="22"/>
        </w:rPr>
        <w:t xml:space="preserve"> </w:t>
      </w:r>
      <w:r w:rsidR="001C6D53">
        <w:rPr>
          <w:rFonts w:ascii="Arial" w:hAnsi="Arial" w:cs="Arial" w:hint="eastAsia"/>
          <w:sz w:val="22"/>
          <w:szCs w:val="22"/>
        </w:rPr>
        <w:t xml:space="preserve">(B) </w:t>
      </w:r>
      <w:r w:rsidRPr="00D90973">
        <w:rPr>
          <w:rFonts w:ascii="Arial" w:hAnsi="Arial" w:cs="Arial"/>
          <w:sz w:val="22"/>
          <w:szCs w:val="22"/>
        </w:rPr>
        <w:t>Cell viability of 4T1 tumor cells after treatment with MPCC prepared at different mass ratios of C968:</w:t>
      </w:r>
      <w:r w:rsidR="001C6D53">
        <w:rPr>
          <w:rFonts w:ascii="Arial" w:hAnsi="Arial" w:cs="Arial"/>
          <w:sz w:val="22"/>
          <w:szCs w:val="22"/>
        </w:rPr>
        <w:t>CaO₂(</w:t>
      </w:r>
      <w:r w:rsidRPr="00D90973">
        <w:rPr>
          <w:rFonts w:ascii="Arial" w:hAnsi="Arial" w:cs="Arial"/>
          <w:sz w:val="22"/>
          <w:szCs w:val="22"/>
        </w:rPr>
        <w:t>w/w: 1:0, 0:1, 1:1, 2:1, 3:1, 4:1) under hypoxic conditions</w:t>
      </w:r>
      <w:r>
        <w:rPr>
          <w:rFonts w:ascii="Arial" w:hAnsi="Arial" w:cs="Arial"/>
          <w:sz w:val="22"/>
          <w:szCs w:val="22"/>
        </w:rPr>
        <w:t xml:space="preserve">. </w:t>
      </w:r>
      <w:r w:rsidR="001C6D53">
        <w:rPr>
          <w:rFonts w:ascii="Arial" w:hAnsi="Arial" w:cs="Arial" w:hint="eastAsia"/>
          <w:sz w:val="22"/>
          <w:szCs w:val="22"/>
        </w:rPr>
        <w:t>(C)</w:t>
      </w:r>
      <w:r>
        <w:rPr>
          <w:rFonts w:ascii="Arial" w:hAnsi="Arial" w:cs="Arial"/>
          <w:sz w:val="22"/>
          <w:szCs w:val="22"/>
        </w:rPr>
        <w:t xml:space="preserve"> </w:t>
      </w:r>
      <w:r w:rsidRPr="00D90973">
        <w:rPr>
          <w:rFonts w:ascii="Arial" w:hAnsi="Arial" w:cs="Arial"/>
          <w:sz w:val="22"/>
          <w:szCs w:val="22"/>
        </w:rPr>
        <w:t>Statistical analysis of IC</w:t>
      </w:r>
      <w:r w:rsidRPr="00D90973">
        <w:rPr>
          <w:rFonts w:ascii="Arial" w:hAnsi="Arial" w:cs="Arial"/>
          <w:sz w:val="22"/>
          <w:szCs w:val="22"/>
          <w:vertAlign w:val="subscript"/>
        </w:rPr>
        <w:t>50</w:t>
      </w:r>
      <w:r>
        <w:rPr>
          <w:rFonts w:ascii="Arial" w:hAnsi="Arial" w:cs="Arial"/>
          <w:sz w:val="22"/>
          <w:szCs w:val="22"/>
          <w:vertAlign w:val="subscript"/>
        </w:rPr>
        <w:t xml:space="preserve"> </w:t>
      </w:r>
      <w:r w:rsidRPr="00D90973">
        <w:rPr>
          <w:rFonts w:ascii="Arial" w:hAnsi="Arial" w:cs="Arial"/>
          <w:sz w:val="22"/>
          <w:szCs w:val="22"/>
        </w:rPr>
        <w:t xml:space="preserve">values derived from </w:t>
      </w:r>
      <w:r w:rsidR="001C6D53">
        <w:rPr>
          <w:rFonts w:ascii="Arial" w:hAnsi="Arial" w:cs="Arial"/>
          <w:sz w:val="22"/>
          <w:szCs w:val="22"/>
        </w:rPr>
        <w:t xml:space="preserve">the cell viability curves in </w:t>
      </w:r>
      <w:r w:rsidR="001C6D53" w:rsidRPr="00D90973">
        <w:rPr>
          <w:rFonts w:ascii="Arial" w:hAnsi="Arial" w:cs="Arial"/>
          <w:sz w:val="22"/>
          <w:szCs w:val="22"/>
        </w:rPr>
        <w:t>4T1 tumor cells</w:t>
      </w:r>
      <w:r>
        <w:rPr>
          <w:rFonts w:ascii="Arial" w:hAnsi="Arial" w:cs="Arial" w:hint="eastAsia"/>
          <w:sz w:val="22"/>
          <w:szCs w:val="22"/>
        </w:rPr>
        <w:t>.</w:t>
      </w:r>
    </w:p>
    <w:p w14:paraId="1CD8918A" w14:textId="77777777" w:rsidR="0041130E" w:rsidRDefault="0041130E">
      <w:pPr>
        <w:rPr>
          <w:rFonts w:ascii="Arial" w:hAnsi="Arial" w:cs="Arial"/>
          <w:b/>
          <w:sz w:val="22"/>
          <w:szCs w:val="22"/>
        </w:rPr>
      </w:pPr>
    </w:p>
    <w:p w14:paraId="3B54284F" w14:textId="77777777" w:rsidR="0041130E" w:rsidRDefault="00D90973">
      <w:pPr>
        <w:jc w:val="center"/>
        <w:rPr>
          <w:rFonts w:ascii="Arial" w:hAnsi="Arial" w:cs="Arial"/>
          <w:b/>
          <w:sz w:val="22"/>
          <w:szCs w:val="22"/>
        </w:rPr>
      </w:pPr>
      <w:r w:rsidRPr="00D90973">
        <w:rPr>
          <w:rFonts w:ascii="Arial" w:hAnsi="Arial" w:cs="Arial"/>
          <w:b/>
          <w:noProof/>
          <w:sz w:val="22"/>
          <w:szCs w:val="22"/>
        </w:rPr>
        <w:lastRenderedPageBreak/>
        <w:drawing>
          <wp:inline distT="0" distB="0" distL="114300" distR="114300" wp14:anchorId="35002546" wp14:editId="61A2C44C">
            <wp:extent cx="5269230" cy="4822825"/>
            <wp:effectExtent l="0" t="0" r="3810" b="8255"/>
            <wp:docPr id="1" name="图片 1" descr="微信图片_20260130111249_1877_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130111249_1877_34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82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58FA0" w14:textId="457875C7" w:rsidR="0041130E" w:rsidRDefault="00D90973" w:rsidP="00146A46">
      <w:pPr>
        <w:rPr>
          <w:rFonts w:ascii="Arial" w:hAnsi="Arial" w:cs="Arial"/>
          <w:sz w:val="22"/>
          <w:szCs w:val="22"/>
        </w:rPr>
      </w:pPr>
      <w:r w:rsidRPr="009F5B26">
        <w:rPr>
          <w:rFonts w:ascii="Arial" w:hAnsi="Arial" w:cs="Arial"/>
          <w:b/>
          <w:sz w:val="22"/>
          <w:szCs w:val="22"/>
        </w:rPr>
        <w:t xml:space="preserve">Figure S2. </w:t>
      </w:r>
      <w:r w:rsidRPr="009F5B26">
        <w:rPr>
          <w:rFonts w:ascii="Arial" w:hAnsi="Arial" w:cs="Arial"/>
          <w:sz w:val="22"/>
          <w:szCs w:val="22"/>
        </w:rPr>
        <w:t>(A)</w:t>
      </w:r>
      <w:r w:rsidRPr="009F5B26">
        <w:rPr>
          <w:rFonts w:ascii="Arial" w:hAnsi="Arial" w:cs="Arial"/>
          <w:b/>
          <w:sz w:val="22"/>
          <w:szCs w:val="22"/>
        </w:rPr>
        <w:t xml:space="preserve"> </w:t>
      </w:r>
      <w:r w:rsidRPr="009F5B26">
        <w:rPr>
          <w:rFonts w:ascii="Arial" w:hAnsi="Arial" w:cs="Arial"/>
          <w:sz w:val="22"/>
          <w:szCs w:val="22"/>
        </w:rPr>
        <w:t>The</w:t>
      </w:r>
      <w:r w:rsidRPr="009F5B26">
        <w:rPr>
          <w:rFonts w:ascii="Arial" w:hAnsi="Arial" w:cs="Arial"/>
          <w:b/>
          <w:sz w:val="22"/>
          <w:szCs w:val="22"/>
        </w:rPr>
        <w:t xml:space="preserve"> </w:t>
      </w:r>
      <w:r w:rsidRPr="009F5B26">
        <w:rPr>
          <w:rFonts w:ascii="Arial" w:hAnsi="Arial" w:cs="Arial"/>
          <w:sz w:val="22"/>
          <w:szCs w:val="22"/>
        </w:rPr>
        <w:t>UV-Vis absorption spectra of free C968, mPDA, and mPDA@C968. (B-C)</w:t>
      </w:r>
      <w:r>
        <w:rPr>
          <w:rFonts w:ascii="Arial" w:hAnsi="Arial" w:cs="Arial"/>
          <w:sz w:val="22"/>
          <w:szCs w:val="22"/>
        </w:rPr>
        <w:t xml:space="preserve"> Hydrodynamic size changes of MPCC over 14 days in PBS (B) and PBS supplemented with 2% FBS (C) at 37 °C</w:t>
      </w:r>
      <w:r>
        <w:rPr>
          <w:rFonts w:ascii="Arial" w:hAnsi="Arial" w:cs="Arial" w:hint="eastAsia"/>
          <w:sz w:val="22"/>
          <w:szCs w:val="22"/>
        </w:rPr>
        <w:t xml:space="preserve">. </w:t>
      </w:r>
      <w:r w:rsidRPr="009F5B26">
        <w:rPr>
          <w:rFonts w:ascii="Arial" w:hAnsi="Arial" w:cs="Arial" w:hint="eastAsia"/>
          <w:sz w:val="22"/>
          <w:szCs w:val="22"/>
        </w:rPr>
        <w:t xml:space="preserve">(D) </w:t>
      </w:r>
      <w:r w:rsidRPr="009F5B26">
        <w:rPr>
          <w:rFonts w:ascii="Arial" w:hAnsi="Arial" w:cs="Arial"/>
          <w:sz w:val="22"/>
          <w:szCs w:val="22"/>
        </w:rPr>
        <w:t>C</w:t>
      </w:r>
      <w:r w:rsidRPr="00D90973">
        <w:rPr>
          <w:rFonts w:ascii="Arial" w:hAnsi="Arial" w:cs="Arial"/>
          <w:sz w:val="22"/>
          <w:szCs w:val="22"/>
        </w:rPr>
        <w:t>umulative release profile of C968 from MPCC in DMSO at 37°C.</w:t>
      </w:r>
      <w:r>
        <w:rPr>
          <w:rFonts w:ascii="Arial" w:hAnsi="Arial" w:cs="Arial"/>
          <w:sz w:val="22"/>
          <w:szCs w:val="22"/>
        </w:rPr>
        <w:br w:type="page"/>
      </w:r>
    </w:p>
    <w:p w14:paraId="0FF3B07D" w14:textId="77777777" w:rsidR="0041130E" w:rsidRDefault="00D90973">
      <w:pPr>
        <w:widowControl/>
        <w:jc w:val="left"/>
        <w:rPr>
          <w:rFonts w:ascii="Arial" w:hAnsi="Arial" w:cs="Arial"/>
          <w:sz w:val="22"/>
          <w:szCs w:val="22"/>
        </w:rPr>
      </w:pPr>
      <w:r w:rsidRPr="00D90973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3C517798" wp14:editId="1C65CFD9">
            <wp:extent cx="5270500" cy="3861435"/>
            <wp:effectExtent l="0" t="0" r="1270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6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81998" w14:textId="3FDF0AE7" w:rsidR="0041130E" w:rsidRDefault="00D90973">
      <w:pPr>
        <w:rPr>
          <w:rFonts w:ascii="Arial" w:hAnsi="Arial" w:cs="Arial"/>
          <w:sz w:val="22"/>
          <w:szCs w:val="22"/>
        </w:rPr>
      </w:pPr>
      <w:r w:rsidRPr="009F5B26">
        <w:rPr>
          <w:rFonts w:ascii="Arial" w:hAnsi="Arial" w:cs="Arial"/>
          <w:b/>
          <w:sz w:val="22"/>
          <w:szCs w:val="22"/>
        </w:rPr>
        <w:t xml:space="preserve">Figure S3. </w:t>
      </w:r>
      <w:r w:rsidRPr="009F5B26">
        <w:rPr>
          <w:rFonts w:ascii="Arial" w:hAnsi="Arial" w:cs="Arial"/>
          <w:sz w:val="22"/>
          <w:szCs w:val="22"/>
        </w:rPr>
        <w:t>(A) Representative fluorescence images showing time-dependent intracellular uptake of MPCC@FITC (green) in 4T1 tumor cells at indicated time points. Nuclei were counterstained with DAPI (blue). Scale bar: 100 μm.</w:t>
      </w:r>
      <w:r w:rsidR="00C64D35" w:rsidRPr="009F5B26">
        <w:rPr>
          <w:rFonts w:ascii="Arial" w:hAnsi="Arial" w:cs="Arial" w:hint="eastAsia"/>
          <w:sz w:val="22"/>
          <w:szCs w:val="22"/>
        </w:rPr>
        <w:t xml:space="preserve"> </w:t>
      </w:r>
      <w:r w:rsidRPr="009F5B26">
        <w:rPr>
          <w:rFonts w:ascii="Arial" w:hAnsi="Arial" w:cs="Arial"/>
          <w:sz w:val="22"/>
          <w:szCs w:val="22"/>
        </w:rPr>
        <w:t>(B) Pearson’s correlation coefficient quantifying colocalization between MPCC@FITC (green) and mitochondria (MitoTracker Red) in 4T1 cells.</w:t>
      </w:r>
      <w:r w:rsidR="00C64D35" w:rsidRPr="009F5B26">
        <w:rPr>
          <w:rFonts w:ascii="Arial" w:hAnsi="Arial" w:cs="Arial" w:hint="eastAsia"/>
          <w:sz w:val="22"/>
          <w:szCs w:val="22"/>
        </w:rPr>
        <w:t xml:space="preserve"> </w:t>
      </w:r>
      <w:r w:rsidRPr="009F5B26">
        <w:rPr>
          <w:rFonts w:ascii="Arial" w:hAnsi="Arial" w:cs="Arial"/>
          <w:sz w:val="22"/>
          <w:szCs w:val="22"/>
        </w:rPr>
        <w:t>(C) Representative confocal z-stack images of 3D tumor spheroid penetration assay demonstrating penetration of MPCC@FITC (green) into 4T1 tumor spheroids at di</w:t>
      </w:r>
      <w:r w:rsidR="00844164" w:rsidRPr="009F5B26">
        <w:rPr>
          <w:rFonts w:ascii="Arial" w:hAnsi="Arial" w:cs="Arial"/>
          <w:sz w:val="22"/>
          <w:szCs w:val="22"/>
        </w:rPr>
        <w:t>fferent depths (0-1200 μ</w:t>
      </w:r>
      <w:r w:rsidRPr="009F5B26">
        <w:rPr>
          <w:rFonts w:ascii="Arial" w:hAnsi="Arial" w:cs="Arial"/>
          <w:sz w:val="22"/>
          <w:szCs w:val="22"/>
        </w:rPr>
        <w:t>m). Scale bar: 1000 μm.</w:t>
      </w:r>
    </w:p>
    <w:p w14:paraId="794ABCA6" w14:textId="77777777" w:rsidR="0041130E" w:rsidRDefault="00D90973">
      <w:pPr>
        <w:widowControl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433423BE" w14:textId="77777777" w:rsidR="0041130E" w:rsidRDefault="00D90973" w:rsidP="00D90973">
      <w:pPr>
        <w:jc w:val="center"/>
        <w:rPr>
          <w:rFonts w:ascii="Arial" w:hAnsi="Arial" w:cs="Arial"/>
          <w:b/>
          <w:sz w:val="22"/>
          <w:szCs w:val="22"/>
          <w:highlight w:val="yellow"/>
        </w:rPr>
      </w:pPr>
      <w:r w:rsidRPr="00EA14F1">
        <w:rPr>
          <w:rFonts w:ascii="Arial" w:hAnsi="Arial" w:cs="Arial"/>
          <w:b/>
          <w:noProof/>
          <w:sz w:val="22"/>
          <w:szCs w:val="22"/>
        </w:rPr>
        <w:lastRenderedPageBreak/>
        <w:drawing>
          <wp:inline distT="0" distB="0" distL="114300" distR="114300" wp14:anchorId="08E37234" wp14:editId="18A0FB7A">
            <wp:extent cx="2700655" cy="2514600"/>
            <wp:effectExtent l="0" t="0" r="12065" b="0"/>
            <wp:docPr id="10" name="图片 10" descr="微信图片_20260204215001_2631_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微信图片_20260204215001_2631_34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0065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BF82E" w14:textId="298CFD0B" w:rsidR="0041130E" w:rsidRPr="006B3451" w:rsidRDefault="00D90973">
      <w:pPr>
        <w:rPr>
          <w:rFonts w:ascii="Arial" w:hAnsi="Arial" w:cs="Arial"/>
          <w:sz w:val="22"/>
          <w:szCs w:val="22"/>
        </w:rPr>
      </w:pPr>
      <w:r w:rsidRPr="009F5B26">
        <w:rPr>
          <w:rFonts w:ascii="Arial" w:hAnsi="Arial" w:cs="Arial"/>
          <w:b/>
          <w:sz w:val="22"/>
          <w:szCs w:val="22"/>
        </w:rPr>
        <w:t>Figure S</w:t>
      </w:r>
      <w:r w:rsidRPr="009F5B26">
        <w:rPr>
          <w:rFonts w:ascii="Arial" w:hAnsi="Arial" w:cs="Arial" w:hint="eastAsia"/>
          <w:b/>
          <w:sz w:val="22"/>
          <w:szCs w:val="22"/>
        </w:rPr>
        <w:t>4</w:t>
      </w:r>
      <w:r w:rsidRPr="009F5B26">
        <w:rPr>
          <w:rFonts w:ascii="Arial" w:hAnsi="Arial" w:cs="Arial"/>
          <w:b/>
          <w:sz w:val="22"/>
          <w:szCs w:val="22"/>
        </w:rPr>
        <w:t xml:space="preserve">. </w:t>
      </w:r>
      <w:r w:rsidR="006B3451" w:rsidRPr="009F5B26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ell viability of MB231 tumor cells after treatment with increasing concentrations of mPDA, mPDA@C968, MPC, and MPCC in a</w:t>
      </w:r>
      <w:r w:rsidRPr="006B3451">
        <w:rPr>
          <w:rFonts w:ascii="Arial" w:hAnsi="Arial" w:cs="Arial"/>
          <w:sz w:val="22"/>
          <w:szCs w:val="22"/>
        </w:rPr>
        <w:t xml:space="preserve"> hypoxic chamber (37</w:t>
      </w:r>
      <w:r w:rsidRPr="006B3451">
        <w:rPr>
          <w:rFonts w:ascii="MS Mincho" w:eastAsia="MS Mincho" w:hAnsi="MS Mincho" w:cs="MS Mincho"/>
          <w:sz w:val="22"/>
          <w:szCs w:val="22"/>
        </w:rPr>
        <w:t>℃</w:t>
      </w:r>
      <w:r w:rsidRPr="006B3451">
        <w:rPr>
          <w:rFonts w:ascii="Arial" w:eastAsia="等线" w:hAnsi="Arial" w:cs="Arial"/>
          <w:sz w:val="22"/>
          <w:szCs w:val="22"/>
        </w:rPr>
        <w:t>,</w:t>
      </w:r>
      <w:r w:rsidRPr="006B3451">
        <w:rPr>
          <w:rFonts w:ascii="Arial" w:hAnsi="Arial" w:cs="Arial"/>
          <w:sz w:val="22"/>
          <w:szCs w:val="22"/>
        </w:rPr>
        <w:t xml:space="preserve"> 5% O</w:t>
      </w:r>
      <w:r w:rsidRPr="006B3451">
        <w:rPr>
          <w:rFonts w:ascii="Arial" w:hAnsi="Arial" w:cs="Arial"/>
          <w:sz w:val="22"/>
          <w:szCs w:val="22"/>
          <w:vertAlign w:val="subscript"/>
        </w:rPr>
        <w:t>2</w:t>
      </w:r>
      <w:r w:rsidRPr="006B3451">
        <w:rPr>
          <w:rFonts w:ascii="Arial" w:hAnsi="Arial" w:cs="Arial"/>
          <w:sz w:val="22"/>
          <w:szCs w:val="22"/>
        </w:rPr>
        <w:t>, 5%CO</w:t>
      </w:r>
      <w:r w:rsidRPr="006B3451">
        <w:rPr>
          <w:rFonts w:ascii="Arial" w:hAnsi="Arial" w:cs="Arial"/>
          <w:sz w:val="22"/>
          <w:szCs w:val="22"/>
          <w:vertAlign w:val="subscript"/>
        </w:rPr>
        <w:t>2</w:t>
      </w:r>
      <w:r w:rsidRPr="006B3451">
        <w:rPr>
          <w:rFonts w:ascii="Arial" w:hAnsi="Arial" w:cs="Arial"/>
          <w:sz w:val="22"/>
          <w:szCs w:val="22"/>
        </w:rPr>
        <w:t>, 90%N</w:t>
      </w:r>
      <w:r w:rsidRPr="006B3451">
        <w:rPr>
          <w:rFonts w:ascii="Arial" w:hAnsi="Arial" w:cs="Arial"/>
          <w:sz w:val="22"/>
          <w:szCs w:val="22"/>
          <w:vertAlign w:val="subscript"/>
        </w:rPr>
        <w:t xml:space="preserve">2 </w:t>
      </w:r>
      <w:r w:rsidRPr="006B3451">
        <w:rPr>
          <w:rFonts w:ascii="Arial" w:hAnsi="Arial" w:cs="Arial"/>
          <w:sz w:val="22"/>
          <w:szCs w:val="22"/>
        </w:rPr>
        <w:t>balance).</w:t>
      </w:r>
    </w:p>
    <w:p w14:paraId="777CD37A" w14:textId="77777777" w:rsidR="0041130E" w:rsidRDefault="00D90973" w:rsidP="00D90973">
      <w:pPr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0AC9D633" w14:textId="77777777" w:rsidR="0041130E" w:rsidRDefault="00D90973">
      <w:pPr>
        <w:widowControl/>
        <w:rPr>
          <w:rFonts w:ascii="Arial" w:hAnsi="Arial" w:cs="Arial"/>
          <w:sz w:val="22"/>
          <w:szCs w:val="22"/>
        </w:rPr>
      </w:pPr>
      <w:r w:rsidRPr="00D90973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114300" distR="114300" wp14:anchorId="72DC2ED7" wp14:editId="03FDDECD">
            <wp:extent cx="5266055" cy="2384425"/>
            <wp:effectExtent l="0" t="0" r="6985" b="8255"/>
            <wp:docPr id="6" name="图片 6" descr="微信图片_20260204214713_2621_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60204214713_2621_34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38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B2523" w14:textId="0F3BEB11" w:rsidR="0041130E" w:rsidRDefault="00D90973">
      <w:pPr>
        <w:spacing w:line="240" w:lineRule="atLeast"/>
        <w:rPr>
          <w:rFonts w:ascii="Arial" w:hAnsi="Arial" w:cs="Arial"/>
          <w:sz w:val="22"/>
          <w:szCs w:val="22"/>
        </w:rPr>
      </w:pPr>
      <w:r w:rsidRPr="009F5B26">
        <w:rPr>
          <w:rFonts w:ascii="Arial" w:hAnsi="Arial" w:cs="Arial"/>
          <w:b/>
          <w:sz w:val="22"/>
          <w:szCs w:val="22"/>
        </w:rPr>
        <w:t>Figure S</w:t>
      </w:r>
      <w:r w:rsidRPr="009F5B26">
        <w:rPr>
          <w:rFonts w:ascii="Arial" w:hAnsi="Arial" w:cs="Arial" w:hint="eastAsia"/>
          <w:b/>
          <w:sz w:val="22"/>
          <w:szCs w:val="22"/>
        </w:rPr>
        <w:t>5</w:t>
      </w:r>
      <w:r w:rsidRPr="009F5B26">
        <w:rPr>
          <w:rFonts w:ascii="Arial" w:hAnsi="Arial" w:cs="Arial"/>
          <w:b/>
          <w:sz w:val="22"/>
          <w:szCs w:val="22"/>
        </w:rPr>
        <w:t xml:space="preserve">. </w:t>
      </w:r>
      <w:r w:rsidRPr="009F5B26">
        <w:rPr>
          <w:rFonts w:ascii="Arial" w:hAnsi="Arial" w:cs="Arial"/>
          <w:sz w:val="22"/>
          <w:szCs w:val="22"/>
        </w:rPr>
        <w:t>(A</w:t>
      </w:r>
      <w:r>
        <w:rPr>
          <w:rFonts w:ascii="Arial" w:hAnsi="Arial" w:cs="Arial"/>
          <w:sz w:val="22"/>
          <w:szCs w:val="22"/>
        </w:rPr>
        <w:t xml:space="preserve">-B) Viabilities of 3T3 (A) and HUVECs (B) after treatment with different concentrations of </w:t>
      </w:r>
      <w:r w:rsidR="00B7252B">
        <w:rPr>
          <w:rFonts w:ascii="Arial" w:hAnsi="Arial" w:cs="Arial"/>
          <w:sz w:val="22"/>
          <w:szCs w:val="22"/>
        </w:rPr>
        <w:t>mPDA, mPDA@C968, MPC, and MPCC.</w:t>
      </w:r>
    </w:p>
    <w:p w14:paraId="1E3C9BEA" w14:textId="77777777" w:rsidR="0041130E" w:rsidRDefault="00D90973" w:rsidP="00D9097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16361E93" w14:textId="77777777" w:rsidR="0041130E" w:rsidRDefault="00D90973">
      <w:pPr>
        <w:widowControl/>
        <w:jc w:val="left"/>
        <w:rPr>
          <w:rFonts w:ascii="Arial" w:hAnsi="Arial" w:cs="Arial"/>
          <w:sz w:val="22"/>
          <w:szCs w:val="22"/>
        </w:rPr>
      </w:pPr>
      <w:r w:rsidRPr="00D90973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3D591924" wp14:editId="1E265C89">
            <wp:extent cx="5270500" cy="2441575"/>
            <wp:effectExtent l="9525" t="9525" r="23495" b="1778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41575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6CD9D8C" w14:textId="3C0FAD45" w:rsidR="0041130E" w:rsidRDefault="00D90973" w:rsidP="00B7252B">
      <w:pPr>
        <w:widowControl/>
        <w:rPr>
          <w:rFonts w:ascii="Arial" w:hAnsi="Arial" w:cs="Arial"/>
          <w:sz w:val="22"/>
          <w:szCs w:val="22"/>
        </w:rPr>
      </w:pPr>
      <w:r w:rsidRPr="00BE5F3E">
        <w:rPr>
          <w:rFonts w:ascii="Arial" w:hAnsi="Arial" w:cs="Arial"/>
          <w:b/>
          <w:sz w:val="22"/>
          <w:szCs w:val="22"/>
        </w:rPr>
        <w:t>Figure S</w:t>
      </w:r>
      <w:r w:rsidRPr="00BE5F3E">
        <w:rPr>
          <w:rFonts w:ascii="Arial" w:hAnsi="Arial" w:cs="Arial" w:hint="eastAsia"/>
          <w:b/>
          <w:sz w:val="22"/>
          <w:szCs w:val="22"/>
        </w:rPr>
        <w:t>6</w:t>
      </w:r>
      <w:r w:rsidRPr="00BE5F3E">
        <w:rPr>
          <w:rFonts w:ascii="Arial" w:hAnsi="Arial" w:cs="Arial"/>
          <w:b/>
          <w:sz w:val="22"/>
          <w:szCs w:val="22"/>
        </w:rPr>
        <w:t xml:space="preserve">. </w:t>
      </w:r>
      <w:r w:rsidRPr="00BE5F3E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A) PCA of RNA-seq data from 4T1 tumor cells after different treatments (G1: PBS, G2: mPDA, G3: mPDA@C968, G4: MPC, G5: MPCC) (B) GO functional classification and enrichment analysis of differentially expressed genes</w:t>
      </w:r>
      <w:r>
        <w:rPr>
          <w:rFonts w:ascii="Arial" w:hAnsi="Arial" w:cs="Arial" w:hint="eastAsia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between PBS control and MPCC treatment groups.</w:t>
      </w:r>
    </w:p>
    <w:p w14:paraId="3921BCF5" w14:textId="77777777" w:rsidR="0041130E" w:rsidRDefault="00D90973">
      <w:pPr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5E5AC637" w14:textId="77777777" w:rsidR="0041130E" w:rsidRDefault="00D90973">
      <w:pPr>
        <w:widowControl/>
        <w:rPr>
          <w:rFonts w:ascii="Arial" w:hAnsi="Arial" w:cs="Arial"/>
          <w:sz w:val="22"/>
          <w:szCs w:val="22"/>
        </w:rPr>
      </w:pPr>
      <w:r w:rsidRPr="00D90973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40B8C12C" wp14:editId="0AD780D1">
            <wp:extent cx="5270500" cy="3535680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53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E7F7C" w14:textId="637EE199" w:rsidR="0041130E" w:rsidRPr="00BE5F3E" w:rsidRDefault="00D90973" w:rsidP="00BE5F3E">
      <w:pPr>
        <w:spacing w:line="240" w:lineRule="atLeast"/>
        <w:rPr>
          <w:rFonts w:ascii="Arial" w:hAnsi="Arial" w:cs="Arial"/>
          <w:sz w:val="22"/>
          <w:szCs w:val="22"/>
        </w:rPr>
      </w:pPr>
      <w:r w:rsidRPr="009F5B26">
        <w:rPr>
          <w:rFonts w:ascii="Arial" w:hAnsi="Arial" w:cs="Arial"/>
          <w:b/>
          <w:sz w:val="22"/>
          <w:szCs w:val="22"/>
        </w:rPr>
        <w:t xml:space="preserve">Figure S7. </w:t>
      </w:r>
      <w:r w:rsidRPr="009F5B26">
        <w:rPr>
          <w:rFonts w:ascii="Arial" w:hAnsi="Arial" w:cs="Arial"/>
          <w:sz w:val="22"/>
          <w:szCs w:val="22"/>
        </w:rPr>
        <w:t>(</w:t>
      </w:r>
      <w:r w:rsidRPr="00BE5F3E">
        <w:rPr>
          <w:rFonts w:ascii="Arial" w:hAnsi="Arial" w:cs="Arial"/>
          <w:sz w:val="22"/>
          <w:szCs w:val="22"/>
        </w:rPr>
        <w:t>A) Representat</w:t>
      </w:r>
      <w:r w:rsidR="008A34B9">
        <w:rPr>
          <w:rFonts w:ascii="Arial" w:hAnsi="Arial" w:cs="Arial"/>
          <w:sz w:val="22"/>
          <w:szCs w:val="22"/>
        </w:rPr>
        <w:t>ive fluorescence images of 4T1</w:t>
      </w:r>
      <w:r w:rsidRPr="00BE5F3E">
        <w:rPr>
          <w:rFonts w:ascii="Arial" w:hAnsi="Arial" w:cs="Arial"/>
          <w:sz w:val="22"/>
          <w:szCs w:val="22"/>
        </w:rPr>
        <w:t xml:space="preserve"> tumor cells dyed with the oxygen-sensitive probe Ru(dpp)</w:t>
      </w:r>
      <w:r w:rsidRPr="00BE5F3E">
        <w:rPr>
          <w:rFonts w:ascii="Arial" w:hAnsi="Arial" w:cs="Arial"/>
          <w:sz w:val="22"/>
          <w:szCs w:val="22"/>
          <w:vertAlign w:val="subscript"/>
        </w:rPr>
        <w:t>3</w:t>
      </w:r>
      <w:r w:rsidRPr="00BE5F3E">
        <w:rPr>
          <w:rFonts w:ascii="Arial" w:hAnsi="Arial" w:cs="Arial"/>
          <w:sz w:val="22"/>
          <w:szCs w:val="22"/>
        </w:rPr>
        <w:t>(PF</w:t>
      </w:r>
      <w:r w:rsidRPr="00BE5F3E">
        <w:rPr>
          <w:rFonts w:ascii="Arial" w:hAnsi="Arial" w:cs="Arial"/>
          <w:sz w:val="22"/>
          <w:szCs w:val="22"/>
          <w:vertAlign w:val="subscript"/>
        </w:rPr>
        <w:t>6</w:t>
      </w:r>
      <w:r w:rsidRPr="00BE5F3E">
        <w:rPr>
          <w:rFonts w:ascii="Arial" w:hAnsi="Arial" w:cs="Arial"/>
          <w:sz w:val="22"/>
          <w:szCs w:val="22"/>
        </w:rPr>
        <w:t>)</w:t>
      </w:r>
      <w:r w:rsidRPr="00BE5F3E">
        <w:rPr>
          <w:rFonts w:ascii="Arial" w:hAnsi="Arial" w:cs="Arial"/>
          <w:sz w:val="22"/>
          <w:szCs w:val="22"/>
          <w:vertAlign w:val="subscript"/>
        </w:rPr>
        <w:t>2</w:t>
      </w:r>
      <w:r w:rsidRPr="00BE5F3E">
        <w:rPr>
          <w:rFonts w:ascii="Arial" w:hAnsi="Arial" w:cs="Arial"/>
          <w:sz w:val="22"/>
          <w:szCs w:val="22"/>
        </w:rPr>
        <w:t xml:space="preserve"> after treatment with PBS (G1), mPDA (G2), mPDA@C968 (G3), MPC (G4), or MPCC (G5) in a hypoxic chamber</w:t>
      </w:r>
      <w:r w:rsidR="00BE5F3E">
        <w:rPr>
          <w:rFonts w:ascii="Arial" w:hAnsi="Arial" w:cs="Arial" w:hint="eastAsia"/>
          <w:sz w:val="22"/>
          <w:szCs w:val="22"/>
        </w:rPr>
        <w:t>.</w:t>
      </w:r>
      <w:r w:rsidR="00BE5F3E">
        <w:rPr>
          <w:rFonts w:ascii="Arial" w:hAnsi="Arial" w:cs="Arial"/>
          <w:sz w:val="22"/>
          <w:szCs w:val="22"/>
        </w:rPr>
        <w:t xml:space="preserve"> S</w:t>
      </w:r>
      <w:r w:rsidRPr="00BE5F3E">
        <w:rPr>
          <w:rFonts w:ascii="Arial" w:hAnsi="Arial" w:cs="Arial"/>
          <w:sz w:val="22"/>
          <w:szCs w:val="22"/>
        </w:rPr>
        <w:t>cale bar: 100 μm. (B) Schematic illustration of the hypoxic chamber setup used to simulate a tumor microenvironment (37 °C, 5% O</w:t>
      </w:r>
      <w:r w:rsidRPr="00BE5F3E">
        <w:rPr>
          <w:rFonts w:ascii="Calibri" w:eastAsia="Calibri" w:hAnsi="Calibri" w:cs="Calibri"/>
          <w:sz w:val="22"/>
          <w:szCs w:val="22"/>
        </w:rPr>
        <w:t>₂</w:t>
      </w:r>
      <w:r w:rsidRPr="00BE5F3E">
        <w:rPr>
          <w:rFonts w:ascii="Arial" w:hAnsi="Arial" w:cs="Arial"/>
          <w:sz w:val="22"/>
          <w:szCs w:val="22"/>
        </w:rPr>
        <w:t>, 5% CO</w:t>
      </w:r>
      <w:r w:rsidRPr="00BE5F3E">
        <w:rPr>
          <w:rFonts w:ascii="Calibri" w:eastAsia="Calibri" w:hAnsi="Calibri" w:cs="Calibri"/>
          <w:sz w:val="22"/>
          <w:szCs w:val="22"/>
        </w:rPr>
        <w:t>₂</w:t>
      </w:r>
      <w:r w:rsidRPr="00BE5F3E">
        <w:rPr>
          <w:rFonts w:ascii="Arial" w:hAnsi="Arial" w:cs="Arial"/>
          <w:sz w:val="22"/>
          <w:szCs w:val="22"/>
        </w:rPr>
        <w:t>, 90% N</w:t>
      </w:r>
      <w:r w:rsidRPr="00BE5F3E">
        <w:rPr>
          <w:rFonts w:ascii="Calibri" w:eastAsia="Calibri" w:hAnsi="Calibri" w:cs="Calibri"/>
          <w:sz w:val="22"/>
          <w:szCs w:val="22"/>
        </w:rPr>
        <w:t>₂</w:t>
      </w:r>
      <w:r w:rsidRPr="00BE5F3E">
        <w:rPr>
          <w:rFonts w:ascii="Arial" w:hAnsi="Arial" w:cs="Arial"/>
          <w:sz w:val="22"/>
          <w:szCs w:val="22"/>
        </w:rPr>
        <w:t xml:space="preserve"> balance).</w:t>
      </w:r>
    </w:p>
    <w:p w14:paraId="6C7DAE95" w14:textId="3EEE1E4E" w:rsidR="0041130E" w:rsidRDefault="000748B0">
      <w:r>
        <w:rPr>
          <w:noProof/>
        </w:rPr>
        <w:lastRenderedPageBreak/>
        <w:drawing>
          <wp:inline distT="0" distB="0" distL="0" distR="0" wp14:anchorId="500D66F5" wp14:editId="0847840E">
            <wp:extent cx="5270500" cy="6043930"/>
            <wp:effectExtent l="0" t="0" r="1270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 S8-0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04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F719B" w14:textId="77777777" w:rsidR="0041130E" w:rsidRDefault="0041130E">
      <w:pPr>
        <w:widowControl/>
        <w:jc w:val="left"/>
        <w:rPr>
          <w:rFonts w:ascii="Arial" w:hAnsi="Arial" w:cs="Arial"/>
          <w:sz w:val="22"/>
          <w:szCs w:val="22"/>
        </w:rPr>
      </w:pPr>
    </w:p>
    <w:p w14:paraId="3F1698E9" w14:textId="54D537A9" w:rsidR="0041130E" w:rsidRDefault="00D90973">
      <w:pPr>
        <w:spacing w:line="240" w:lineRule="atLeast"/>
        <w:rPr>
          <w:rFonts w:ascii="Arial" w:hAnsi="Arial" w:cs="Arial"/>
          <w:sz w:val="22"/>
          <w:szCs w:val="22"/>
        </w:rPr>
      </w:pPr>
      <w:r w:rsidRPr="009F5B26">
        <w:rPr>
          <w:rFonts w:ascii="Arial" w:hAnsi="Arial" w:cs="Arial"/>
          <w:b/>
          <w:sz w:val="22"/>
          <w:szCs w:val="22"/>
        </w:rPr>
        <w:t>Figure S</w:t>
      </w:r>
      <w:r w:rsidRPr="009F5B26">
        <w:rPr>
          <w:rFonts w:ascii="Arial" w:hAnsi="Arial" w:cs="Arial" w:hint="eastAsia"/>
          <w:b/>
          <w:sz w:val="22"/>
          <w:szCs w:val="22"/>
        </w:rPr>
        <w:t>8</w:t>
      </w:r>
      <w:r w:rsidRPr="009F5B26">
        <w:rPr>
          <w:rFonts w:ascii="Arial" w:hAnsi="Arial" w:cs="Arial"/>
          <w:b/>
          <w:sz w:val="22"/>
          <w:szCs w:val="22"/>
        </w:rPr>
        <w:t>.</w:t>
      </w:r>
      <w:r w:rsidRPr="009F5B26">
        <w:rPr>
          <w:rFonts w:ascii="Arial" w:hAnsi="Arial" w:cs="Arial"/>
          <w:sz w:val="22"/>
          <w:szCs w:val="22"/>
        </w:rPr>
        <w:t xml:space="preserve"> (</w:t>
      </w:r>
      <w:r w:rsidRPr="009F5B26">
        <w:rPr>
          <w:rFonts w:ascii="Arial" w:hAnsi="Arial" w:cs="Arial" w:hint="eastAsia"/>
          <w:sz w:val="22"/>
          <w:szCs w:val="22"/>
        </w:rPr>
        <w:t>A</w:t>
      </w:r>
      <w:r w:rsidRPr="009F5B26">
        <w:rPr>
          <w:rFonts w:ascii="Arial" w:hAnsi="Arial" w:cs="Arial"/>
          <w:sz w:val="22"/>
          <w:szCs w:val="22"/>
        </w:rPr>
        <w:t>-</w:t>
      </w:r>
      <w:r w:rsidRPr="009F5B26">
        <w:rPr>
          <w:rFonts w:ascii="Arial" w:hAnsi="Arial" w:cs="Arial" w:hint="eastAsia"/>
          <w:sz w:val="22"/>
          <w:szCs w:val="22"/>
        </w:rPr>
        <w:t>B</w:t>
      </w:r>
      <w:r w:rsidRPr="009F5B26">
        <w:rPr>
          <w:rFonts w:ascii="Arial" w:hAnsi="Arial" w:cs="Arial"/>
          <w:sz w:val="22"/>
          <w:szCs w:val="22"/>
        </w:rPr>
        <w:t>) Representative flow cytometry analysis of HIF-1α expression (</w:t>
      </w:r>
      <w:r w:rsidRPr="009F5B26">
        <w:rPr>
          <w:rFonts w:ascii="Arial" w:hAnsi="Arial" w:cs="Arial" w:hint="eastAsia"/>
          <w:sz w:val="22"/>
          <w:szCs w:val="22"/>
        </w:rPr>
        <w:t>A</w:t>
      </w:r>
      <w:r w:rsidRPr="009F5B26">
        <w:rPr>
          <w:rFonts w:ascii="Arial" w:hAnsi="Arial" w:cs="Arial"/>
          <w:sz w:val="22"/>
          <w:szCs w:val="22"/>
        </w:rPr>
        <w:t>) and corresponding quantification of MFI (</w:t>
      </w:r>
      <w:r w:rsidRPr="009F5B26">
        <w:rPr>
          <w:rFonts w:ascii="Arial" w:hAnsi="Arial" w:cs="Arial" w:hint="eastAsia"/>
          <w:sz w:val="22"/>
          <w:szCs w:val="22"/>
        </w:rPr>
        <w:t>B</w:t>
      </w:r>
      <w:r w:rsidRPr="009F5B26">
        <w:rPr>
          <w:rFonts w:ascii="Arial" w:hAnsi="Arial" w:cs="Arial"/>
          <w:sz w:val="22"/>
          <w:szCs w:val="22"/>
        </w:rPr>
        <w:t>) in 4T1 tumor cells.</w:t>
      </w:r>
      <w:r w:rsidR="00F57C4A" w:rsidRPr="009F5B26">
        <w:rPr>
          <w:rFonts w:ascii="Arial" w:hAnsi="Arial" w:cs="Arial" w:hint="eastAsia"/>
          <w:sz w:val="22"/>
          <w:szCs w:val="22"/>
        </w:rPr>
        <w:t xml:space="preserve"> </w:t>
      </w:r>
      <w:r w:rsidRPr="009F5B26">
        <w:rPr>
          <w:rFonts w:ascii="Arial" w:hAnsi="Arial" w:cs="Arial"/>
          <w:sz w:val="22"/>
          <w:szCs w:val="22"/>
        </w:rPr>
        <w:t>(</w:t>
      </w:r>
      <w:r w:rsidRPr="009F5B26">
        <w:rPr>
          <w:rFonts w:ascii="Arial" w:hAnsi="Arial" w:cs="Arial" w:hint="eastAsia"/>
          <w:sz w:val="22"/>
          <w:szCs w:val="22"/>
        </w:rPr>
        <w:t>C</w:t>
      </w:r>
      <w:r w:rsidRPr="009F5B26">
        <w:rPr>
          <w:rFonts w:ascii="Arial" w:hAnsi="Arial" w:cs="Arial"/>
          <w:sz w:val="22"/>
          <w:szCs w:val="22"/>
        </w:rPr>
        <w:t>–</w:t>
      </w:r>
      <w:r w:rsidRPr="009F5B26">
        <w:rPr>
          <w:rFonts w:ascii="Arial" w:hAnsi="Arial" w:cs="Arial" w:hint="eastAsia"/>
          <w:sz w:val="22"/>
          <w:szCs w:val="22"/>
        </w:rPr>
        <w:t>D</w:t>
      </w:r>
      <w:r w:rsidRPr="009F5B26">
        <w:rPr>
          <w:rFonts w:ascii="Arial" w:hAnsi="Arial" w:cs="Arial"/>
          <w:sz w:val="22"/>
          <w:szCs w:val="22"/>
        </w:rPr>
        <w:t>) Quantitative analysis of relative expression levels of HIF-1α (</w:t>
      </w:r>
      <w:r w:rsidRPr="009F5B26">
        <w:rPr>
          <w:rFonts w:ascii="Arial" w:hAnsi="Arial" w:cs="Arial" w:hint="eastAsia"/>
          <w:sz w:val="22"/>
          <w:szCs w:val="22"/>
        </w:rPr>
        <w:t>C</w:t>
      </w:r>
      <w:r w:rsidRPr="009F5B26">
        <w:rPr>
          <w:rFonts w:ascii="Arial" w:hAnsi="Arial" w:cs="Arial"/>
          <w:sz w:val="22"/>
          <w:szCs w:val="22"/>
        </w:rPr>
        <w:t>), HMOX1 (</w:t>
      </w:r>
      <w:r w:rsidRPr="009F5B26">
        <w:rPr>
          <w:rFonts w:ascii="Arial" w:hAnsi="Arial" w:cs="Arial" w:hint="eastAsia"/>
          <w:sz w:val="22"/>
          <w:szCs w:val="22"/>
        </w:rPr>
        <w:t>D</w:t>
      </w:r>
      <w:r w:rsidRPr="009F5B26">
        <w:rPr>
          <w:rFonts w:ascii="Arial" w:hAnsi="Arial" w:cs="Arial"/>
          <w:sz w:val="22"/>
          <w:szCs w:val="22"/>
        </w:rPr>
        <w:t>)</w:t>
      </w:r>
      <w:r w:rsidRPr="009F5B26">
        <w:rPr>
          <w:rFonts w:ascii="Arial" w:hAnsi="Arial" w:cs="Arial" w:hint="eastAsia"/>
          <w:sz w:val="22"/>
          <w:szCs w:val="22"/>
        </w:rPr>
        <w:t xml:space="preserve"> </w:t>
      </w:r>
      <w:r w:rsidRPr="009F5B26">
        <w:rPr>
          <w:rFonts w:ascii="Arial" w:hAnsi="Arial" w:cs="Arial"/>
          <w:sz w:val="22"/>
          <w:szCs w:val="22"/>
        </w:rPr>
        <w:t>in 4T1 cells after the indicated treatment</w:t>
      </w:r>
      <w:r w:rsidRPr="009F5B26">
        <w:rPr>
          <w:rFonts w:ascii="Arial" w:hAnsi="Arial" w:cs="Arial" w:hint="eastAsia"/>
          <w:sz w:val="22"/>
          <w:szCs w:val="22"/>
        </w:rPr>
        <w:t>.</w:t>
      </w:r>
      <w:r w:rsidRPr="009F5B26">
        <w:rPr>
          <w:rFonts w:ascii="Arial" w:hAnsi="Arial" w:cs="Arial"/>
          <w:sz w:val="22"/>
          <w:szCs w:val="22"/>
        </w:rPr>
        <w:t xml:space="preserve"> </w:t>
      </w:r>
      <w:r w:rsidR="00F57C4A" w:rsidRPr="009F5B26">
        <w:rPr>
          <w:rFonts w:ascii="Arial" w:hAnsi="Arial" w:cs="Arial" w:hint="eastAsia"/>
          <w:sz w:val="22"/>
          <w:szCs w:val="22"/>
        </w:rPr>
        <w:t xml:space="preserve">(E) </w:t>
      </w:r>
      <w:r w:rsidRPr="009F5B26">
        <w:rPr>
          <w:rFonts w:ascii="Arial" w:hAnsi="Arial" w:cs="Arial"/>
          <w:sz w:val="22"/>
          <w:szCs w:val="22"/>
        </w:rPr>
        <w:t>Representative western blot</w:t>
      </w:r>
      <w:r w:rsidR="006238DF" w:rsidRPr="009F5B26">
        <w:rPr>
          <w:rFonts w:ascii="Arial" w:hAnsi="Arial" w:cs="Arial"/>
          <w:sz w:val="22"/>
          <w:szCs w:val="22"/>
        </w:rPr>
        <w:t xml:space="preserve"> and corresponding</w:t>
      </w:r>
      <w:r w:rsidRPr="009F5B26">
        <w:rPr>
          <w:rFonts w:ascii="Arial" w:hAnsi="Arial" w:cs="Arial"/>
          <w:sz w:val="22"/>
          <w:szCs w:val="22"/>
        </w:rPr>
        <w:t xml:space="preserve"> </w:t>
      </w:r>
      <w:r w:rsidR="00365DE5" w:rsidRPr="009F5B26">
        <w:rPr>
          <w:rFonts w:ascii="Arial" w:hAnsi="Arial" w:cs="Arial" w:hint="eastAsia"/>
          <w:sz w:val="22"/>
          <w:szCs w:val="22"/>
        </w:rPr>
        <w:t>densitometric</w:t>
      </w:r>
      <w:r w:rsidR="00365DE5" w:rsidRPr="009F5B26">
        <w:rPr>
          <w:rFonts w:ascii="Arial" w:hAnsi="Arial" w:cs="Arial"/>
          <w:sz w:val="22"/>
          <w:szCs w:val="22"/>
        </w:rPr>
        <w:t xml:space="preserve"> </w:t>
      </w:r>
      <w:r w:rsidRPr="009F5B26">
        <w:rPr>
          <w:rFonts w:ascii="Arial" w:hAnsi="Arial" w:cs="Arial"/>
          <w:sz w:val="22"/>
          <w:szCs w:val="22"/>
        </w:rPr>
        <w:t>quantification of HMOX1 protein expression in 4T1 cells</w:t>
      </w:r>
      <w:r w:rsidR="00D97C59" w:rsidRPr="009F5B26">
        <w:rPr>
          <w:rFonts w:ascii="Arial" w:hAnsi="Arial" w:cs="Arial" w:hint="eastAsia"/>
          <w:sz w:val="22"/>
          <w:szCs w:val="22"/>
        </w:rPr>
        <w:t xml:space="preserve"> after treated with</w:t>
      </w:r>
      <w:r w:rsidR="00166E92" w:rsidRPr="009F5B26">
        <w:rPr>
          <w:rFonts w:ascii="Arial" w:hAnsi="Arial" w:cs="Arial" w:hint="eastAsia"/>
          <w:sz w:val="22"/>
          <w:szCs w:val="22"/>
        </w:rPr>
        <w:t xml:space="preserve"> EDTA</w:t>
      </w:r>
      <w:r w:rsidRPr="009F5B26">
        <w:rPr>
          <w:rFonts w:ascii="Arial" w:hAnsi="Arial" w:cs="Arial"/>
          <w:sz w:val="22"/>
          <w:szCs w:val="22"/>
        </w:rPr>
        <w:t>.</w:t>
      </w:r>
      <w:r w:rsidR="00F57C4A" w:rsidRPr="009F5B26">
        <w:rPr>
          <w:rFonts w:ascii="Arial" w:hAnsi="Arial" w:cs="Arial" w:hint="eastAsia"/>
          <w:sz w:val="22"/>
          <w:szCs w:val="22"/>
        </w:rPr>
        <w:t xml:space="preserve"> </w:t>
      </w:r>
      <w:r w:rsidRPr="009F5B26">
        <w:rPr>
          <w:rFonts w:ascii="Arial" w:hAnsi="Arial" w:cs="Arial" w:hint="eastAsia"/>
          <w:sz w:val="22"/>
          <w:szCs w:val="22"/>
        </w:rPr>
        <w:t xml:space="preserve">(F-H) </w:t>
      </w:r>
      <w:r w:rsidRPr="009F5B26">
        <w:rPr>
          <w:rFonts w:ascii="Arial" w:hAnsi="Arial" w:cs="Arial"/>
          <w:sz w:val="22"/>
          <w:szCs w:val="22"/>
        </w:rPr>
        <w:t>Quantitative analysis of relative expression levels of</w:t>
      </w:r>
      <w:r w:rsidRPr="009F5B26">
        <w:rPr>
          <w:rFonts w:ascii="Arial" w:hAnsi="Arial" w:cs="Arial" w:hint="eastAsia"/>
          <w:sz w:val="22"/>
          <w:szCs w:val="22"/>
        </w:rPr>
        <w:t xml:space="preserve"> </w:t>
      </w:r>
      <w:r w:rsidRPr="009F5B26">
        <w:rPr>
          <w:rFonts w:ascii="Arial" w:hAnsi="Arial" w:cs="Arial"/>
          <w:sz w:val="22"/>
          <w:szCs w:val="22"/>
        </w:rPr>
        <w:t>SLC40A1 (F), SLC1A1 (G), and</w:t>
      </w:r>
      <w:r>
        <w:rPr>
          <w:rFonts w:ascii="Arial" w:hAnsi="Arial" w:cs="Arial"/>
          <w:sz w:val="22"/>
          <w:szCs w:val="22"/>
        </w:rPr>
        <w:t xml:space="preserve"> GPX4 (H) in 4T1 cells after the indicated treatments.</w:t>
      </w:r>
      <w:r w:rsidR="00F57C4A">
        <w:rPr>
          <w:rFonts w:ascii="Arial" w:hAnsi="Arial" w:cs="Arial" w:hint="eastAsia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 w:hint="eastAsia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) Representative </w:t>
      </w:r>
      <w:r>
        <w:rPr>
          <w:rFonts w:ascii="Arial" w:hAnsi="Arial" w:cs="Arial" w:hint="eastAsia"/>
          <w:sz w:val="22"/>
          <w:szCs w:val="22"/>
        </w:rPr>
        <w:t xml:space="preserve">FACS </w:t>
      </w:r>
      <w:r>
        <w:rPr>
          <w:rFonts w:ascii="Arial" w:hAnsi="Arial" w:cs="Arial"/>
          <w:sz w:val="22"/>
          <w:szCs w:val="22"/>
        </w:rPr>
        <w:t>of intracellular ROS levels in 4T1 tumor cells after different treatments.</w:t>
      </w:r>
      <w:r w:rsidR="00F57C4A">
        <w:rPr>
          <w:rFonts w:ascii="Arial" w:hAnsi="Arial" w:cs="Arial" w:hint="eastAsia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(J)</w:t>
      </w:r>
      <w:r>
        <w:rPr>
          <w:rFonts w:ascii="Arial" w:hAnsi="Arial" w:cs="Arial" w:hint="eastAsia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Representative CLSM images demonstrating changes in mitochondrial membrane potential in 4T1 tumor cells stained with JC-1 after different treatments. Scale bar: 100 μm.</w:t>
      </w:r>
      <w:r>
        <w:rPr>
          <w:rFonts w:ascii="Arial" w:hAnsi="Arial" w:cs="Arial" w:hint="eastAsia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(G1: PBS, G2: mPDA, G3: mPDA@C968, G4: MPC, G5: MPCC)</w:t>
      </w:r>
    </w:p>
    <w:p w14:paraId="1B84C727" w14:textId="561EF481" w:rsidR="0041130E" w:rsidRDefault="00D90973" w:rsidP="00365DE5">
      <w:pPr>
        <w:widowControl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4FD8D6F1" w14:textId="77777777" w:rsidR="0041130E" w:rsidRDefault="00D90973">
      <w:pPr>
        <w:spacing w:line="240" w:lineRule="atLeast"/>
        <w:rPr>
          <w:rFonts w:ascii="Arial" w:hAnsi="Arial" w:cs="Arial"/>
          <w:sz w:val="22"/>
          <w:szCs w:val="22"/>
        </w:rPr>
      </w:pPr>
      <w:r w:rsidRPr="00D90973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114300" distR="114300" wp14:anchorId="272247CE" wp14:editId="69297BF5">
            <wp:extent cx="5266690" cy="5216525"/>
            <wp:effectExtent l="0" t="0" r="6350" b="10795"/>
            <wp:docPr id="8" name="图片 8" descr="微信图片_20260204214723_2623_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微信图片_20260204214723_2623_34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21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A95A3" w14:textId="2CDD7000" w:rsidR="0041130E" w:rsidRPr="00365DE5" w:rsidRDefault="00D90973">
      <w:pPr>
        <w:spacing w:line="240" w:lineRule="atLeast"/>
        <w:rPr>
          <w:rFonts w:ascii="Arial" w:hAnsi="Arial" w:cs="Arial"/>
          <w:sz w:val="22"/>
          <w:szCs w:val="22"/>
        </w:rPr>
      </w:pPr>
      <w:r w:rsidRPr="009F5B26">
        <w:rPr>
          <w:rFonts w:ascii="Arial" w:hAnsi="Arial" w:cs="Arial"/>
          <w:b/>
          <w:sz w:val="22"/>
          <w:szCs w:val="22"/>
        </w:rPr>
        <w:t>Figure S</w:t>
      </w:r>
      <w:r w:rsidRPr="009F5B26">
        <w:rPr>
          <w:rFonts w:ascii="Arial" w:hAnsi="Arial" w:cs="Arial" w:hint="eastAsia"/>
          <w:b/>
          <w:sz w:val="22"/>
          <w:szCs w:val="22"/>
        </w:rPr>
        <w:t>9</w:t>
      </w:r>
      <w:r w:rsidRPr="009F5B26">
        <w:rPr>
          <w:rFonts w:ascii="Arial" w:hAnsi="Arial" w:cs="Arial"/>
          <w:b/>
          <w:sz w:val="22"/>
          <w:szCs w:val="22"/>
        </w:rPr>
        <w:t>.</w:t>
      </w:r>
      <w:r w:rsidRPr="009F5B26">
        <w:rPr>
          <w:rFonts w:ascii="Arial" w:hAnsi="Arial" w:cs="Arial" w:hint="eastAsia"/>
          <w:b/>
          <w:sz w:val="22"/>
          <w:szCs w:val="22"/>
        </w:rPr>
        <w:t xml:space="preserve"> </w:t>
      </w:r>
      <w:r w:rsidRPr="009F5B26">
        <w:rPr>
          <w:rFonts w:ascii="Arial" w:hAnsi="Arial" w:cs="Arial"/>
          <w:sz w:val="22"/>
          <w:szCs w:val="22"/>
        </w:rPr>
        <w:t>(</w:t>
      </w:r>
      <w:r w:rsidRPr="009F5B26">
        <w:rPr>
          <w:rFonts w:ascii="Arial" w:hAnsi="Arial" w:cs="Arial" w:hint="eastAsia"/>
          <w:sz w:val="22"/>
          <w:szCs w:val="22"/>
        </w:rPr>
        <w:t>A</w:t>
      </w:r>
      <w:r w:rsidRPr="009F5B26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Viabilities of 4T1 tumor cells treated with MPCC or MPCC combined with DFOM. (</w:t>
      </w:r>
      <w:r>
        <w:rPr>
          <w:rFonts w:ascii="Arial" w:hAnsi="Arial" w:cs="Arial" w:hint="eastAsia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) Fluorescence images of 4T1 tumor cells stained with C11-BODIPY level after treatments</w:t>
      </w:r>
      <w:r>
        <w:rPr>
          <w:rFonts w:ascii="Arial" w:hAnsi="Arial" w:cs="Arial" w:hint="eastAsia"/>
          <w:sz w:val="22"/>
          <w:szCs w:val="22"/>
        </w:rPr>
        <w:t xml:space="preserve"> (G1,</w:t>
      </w:r>
      <w:r w:rsidR="00365DE5">
        <w:rPr>
          <w:rFonts w:ascii="Arial" w:hAnsi="Arial" w:cs="Arial" w:hint="eastAsia"/>
          <w:sz w:val="22"/>
          <w:szCs w:val="22"/>
        </w:rPr>
        <w:t xml:space="preserve"> </w:t>
      </w:r>
      <w:r>
        <w:rPr>
          <w:rFonts w:ascii="Arial" w:hAnsi="Arial" w:cs="Arial" w:hint="eastAsia"/>
          <w:sz w:val="22"/>
          <w:szCs w:val="22"/>
        </w:rPr>
        <w:t xml:space="preserve">G5 and G5/DFOM, </w:t>
      </w:r>
      <w:r>
        <w:rPr>
          <w:rFonts w:ascii="Arial" w:hAnsi="Arial" w:cs="Arial"/>
          <w:sz w:val="22"/>
          <w:szCs w:val="22"/>
        </w:rPr>
        <w:t>scale bar: 100 μm</w:t>
      </w:r>
      <w:r>
        <w:rPr>
          <w:rFonts w:ascii="Arial" w:hAnsi="Arial" w:cs="Arial" w:hint="eastAsia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>. (</w:t>
      </w:r>
      <w:r>
        <w:rPr>
          <w:rFonts w:ascii="Arial" w:hAnsi="Arial" w:cs="Arial" w:hint="eastAsia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) </w:t>
      </w:r>
      <w:r>
        <w:rPr>
          <w:rFonts w:ascii="Arial" w:hAnsi="Arial" w:cs="Arial" w:hint="eastAsia"/>
          <w:sz w:val="22"/>
          <w:szCs w:val="22"/>
        </w:rPr>
        <w:t>Representative western blot and corresponding densitometric quantification of GPX4 protein expression in 4T1 tumor cells after treatment with MPCC alone (G5) or MPCC combined with DFOM (G5/DFOM).</w:t>
      </w:r>
      <w:r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 w:hint="eastAsia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–G) Representative western blot and corresponding densitometric quantific</w:t>
      </w:r>
      <w:r w:rsidR="00365DE5">
        <w:rPr>
          <w:rFonts w:ascii="Arial" w:hAnsi="Arial" w:cs="Arial"/>
          <w:sz w:val="22"/>
          <w:szCs w:val="22"/>
        </w:rPr>
        <w:t>ation</w:t>
      </w:r>
      <w:r>
        <w:rPr>
          <w:rFonts w:ascii="Arial" w:hAnsi="Arial" w:cs="Arial"/>
          <w:sz w:val="22"/>
          <w:szCs w:val="22"/>
        </w:rPr>
        <w:t xml:space="preserve"> of HIF-1α</w:t>
      </w:r>
      <w:r>
        <w:rPr>
          <w:rFonts w:ascii="Arial" w:hAnsi="Arial" w:cs="Arial" w:hint="eastAsia"/>
          <w:sz w:val="22"/>
          <w:szCs w:val="22"/>
        </w:rPr>
        <w:t xml:space="preserve"> </w:t>
      </w:r>
      <w:r w:rsidR="00365DE5">
        <w:rPr>
          <w:rFonts w:ascii="Arial" w:hAnsi="Arial" w:cs="Arial"/>
          <w:sz w:val="22"/>
          <w:szCs w:val="22"/>
        </w:rPr>
        <w:t>(</w:t>
      </w:r>
      <w:r w:rsidR="00365DE5">
        <w:rPr>
          <w:rFonts w:ascii="Arial" w:hAnsi="Arial" w:cs="Arial" w:hint="eastAsia"/>
          <w:sz w:val="22"/>
          <w:szCs w:val="22"/>
        </w:rPr>
        <w:t>D, F</w:t>
      </w:r>
      <w:r w:rsidR="00365DE5">
        <w:rPr>
          <w:rFonts w:ascii="Arial" w:hAnsi="Arial" w:cs="Arial"/>
          <w:sz w:val="22"/>
          <w:szCs w:val="22"/>
        </w:rPr>
        <w:t>)</w:t>
      </w:r>
      <w:r w:rsidR="00365DE5">
        <w:rPr>
          <w:rFonts w:ascii="Arial" w:hAnsi="Arial" w:cs="Arial" w:hint="eastAsia"/>
          <w:sz w:val="22"/>
          <w:szCs w:val="22"/>
        </w:rPr>
        <w:t xml:space="preserve"> </w:t>
      </w:r>
      <w:r>
        <w:rPr>
          <w:rFonts w:ascii="Arial" w:hAnsi="Arial" w:cs="Arial" w:hint="eastAsia"/>
          <w:sz w:val="22"/>
          <w:szCs w:val="22"/>
        </w:rPr>
        <w:t>and</w:t>
      </w:r>
      <w:r w:rsidR="00365DE5">
        <w:rPr>
          <w:rFonts w:ascii="Arial" w:hAnsi="Arial" w:cs="Arial" w:hint="eastAsia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GPX4 </w:t>
      </w:r>
      <w:r w:rsidR="00365DE5">
        <w:rPr>
          <w:rFonts w:ascii="Arial" w:hAnsi="Arial" w:cs="Arial"/>
          <w:sz w:val="22"/>
          <w:szCs w:val="22"/>
        </w:rPr>
        <w:t>(</w:t>
      </w:r>
      <w:r w:rsidR="00365DE5">
        <w:rPr>
          <w:rFonts w:ascii="Arial" w:hAnsi="Arial" w:cs="Arial" w:hint="eastAsia"/>
          <w:sz w:val="22"/>
          <w:szCs w:val="22"/>
        </w:rPr>
        <w:t>E, G</w:t>
      </w:r>
      <w:r w:rsidR="00365DE5">
        <w:rPr>
          <w:rFonts w:ascii="Arial" w:hAnsi="Arial" w:cs="Arial"/>
          <w:sz w:val="22"/>
          <w:szCs w:val="22"/>
        </w:rPr>
        <w:t>)</w:t>
      </w:r>
      <w:r w:rsidR="00365DE5">
        <w:rPr>
          <w:rFonts w:ascii="Arial" w:hAnsi="Arial" w:cs="Arial" w:hint="eastAsia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protein expression across different treatment groups in 4T1 tumor cells under hypoxic conditions.</w:t>
      </w:r>
      <w:r>
        <w:rPr>
          <w:rFonts w:ascii="Arial" w:hAnsi="Arial" w:cs="Arial" w:hint="eastAsia"/>
          <w:sz w:val="22"/>
          <w:szCs w:val="22"/>
        </w:rPr>
        <w:t xml:space="preserve"> </w:t>
      </w:r>
      <w:r w:rsidR="00365DE5">
        <w:rPr>
          <w:rFonts w:ascii="Arial" w:hAnsi="Arial" w:cs="Arial" w:hint="eastAsia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G1: PBS, G2: mPDA, G3: mPDA@C968, G4: MPC, G5: MPCC</w:t>
      </w:r>
      <w:r w:rsidR="00365DE5">
        <w:rPr>
          <w:rFonts w:ascii="Arial" w:hAnsi="Arial" w:cs="Arial" w:hint="eastAsia"/>
          <w:sz w:val="22"/>
          <w:szCs w:val="22"/>
        </w:rPr>
        <w:t>)</w:t>
      </w:r>
    </w:p>
    <w:p w14:paraId="485B4BE1" w14:textId="77777777" w:rsidR="0041130E" w:rsidRDefault="00D90973">
      <w:pPr>
        <w:widowControl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12721D5E" w14:textId="1E38DB9D" w:rsidR="0041130E" w:rsidRPr="004A710D" w:rsidRDefault="00D90973">
      <w:pPr>
        <w:rPr>
          <w:rFonts w:ascii="Arial" w:hAnsi="Arial" w:cs="Arial"/>
          <w:sz w:val="22"/>
          <w:szCs w:val="22"/>
        </w:rPr>
      </w:pPr>
      <w:r w:rsidRPr="00D90973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114300" distR="114300" wp14:anchorId="778542D6" wp14:editId="4E620DF8">
            <wp:extent cx="5267325" cy="3729355"/>
            <wp:effectExtent l="0" t="0" r="5715" b="4445"/>
            <wp:docPr id="13" name="图片 13" descr="微信图片_20260204214728_2624_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微信图片_20260204214728_2624_34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F5B26">
        <w:rPr>
          <w:rFonts w:ascii="Arial" w:hAnsi="Arial" w:cs="Arial"/>
          <w:b/>
          <w:sz w:val="22"/>
          <w:szCs w:val="22"/>
        </w:rPr>
        <w:t>Figure S</w:t>
      </w:r>
      <w:r w:rsidRPr="009F5B26">
        <w:rPr>
          <w:rFonts w:ascii="Arial" w:hAnsi="Arial" w:cs="Arial" w:hint="eastAsia"/>
          <w:b/>
          <w:sz w:val="22"/>
          <w:szCs w:val="22"/>
        </w:rPr>
        <w:t>10</w:t>
      </w:r>
      <w:r w:rsidRPr="009F5B26">
        <w:rPr>
          <w:rFonts w:ascii="Arial" w:hAnsi="Arial" w:cs="Arial"/>
          <w:b/>
          <w:sz w:val="22"/>
          <w:szCs w:val="22"/>
        </w:rPr>
        <w:t>.</w:t>
      </w:r>
      <w:r w:rsidRPr="009F5B26">
        <w:rPr>
          <w:rFonts w:ascii="Arial" w:hAnsi="Arial" w:cs="Arial" w:hint="eastAsia"/>
          <w:b/>
          <w:sz w:val="22"/>
          <w:szCs w:val="22"/>
        </w:rPr>
        <w:t xml:space="preserve"> </w:t>
      </w:r>
      <w:r w:rsidRPr="009F5B26">
        <w:rPr>
          <w:rFonts w:ascii="Arial" w:hAnsi="Arial" w:cs="Arial"/>
          <w:bCs/>
          <w:sz w:val="22"/>
          <w:szCs w:val="22"/>
        </w:rPr>
        <w:t>(A</w:t>
      </w:r>
      <w:r w:rsidRPr="004A710D">
        <w:rPr>
          <w:rFonts w:ascii="Arial" w:hAnsi="Arial" w:cs="Arial"/>
          <w:bCs/>
          <w:sz w:val="22"/>
          <w:szCs w:val="22"/>
        </w:rPr>
        <w:t>-D)</w:t>
      </w:r>
      <w:r>
        <w:rPr>
          <w:rFonts w:ascii="Arial" w:hAnsi="Arial" w:cs="Arial"/>
          <w:sz w:val="22"/>
          <w:szCs w:val="22"/>
        </w:rPr>
        <w:t xml:space="preserve"> Representative western blots (upper panels) and corresponding quantification of HIF-1α (</w:t>
      </w:r>
      <w:r>
        <w:rPr>
          <w:rFonts w:ascii="Arial" w:hAnsi="Arial" w:cs="Arial" w:hint="eastAsia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), SLC40A1 (</w:t>
      </w:r>
      <w:r>
        <w:rPr>
          <w:rFonts w:ascii="Arial" w:hAnsi="Arial" w:cs="Arial" w:hint="eastAsia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), SLC1A1 (</w:t>
      </w:r>
      <w:r>
        <w:rPr>
          <w:rFonts w:ascii="Arial" w:hAnsi="Arial" w:cs="Arial" w:hint="eastAsia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), and GPX4 (</w:t>
      </w:r>
      <w:r>
        <w:rPr>
          <w:rFonts w:ascii="Arial" w:hAnsi="Arial" w:cs="Arial" w:hint="eastAsia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) in MB231 cells after the indicated treatments</w:t>
      </w:r>
      <w:r>
        <w:rPr>
          <w:rFonts w:ascii="Arial" w:hAnsi="Arial" w:cs="Arial" w:hint="eastAsia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 w:hint="eastAsia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) Representative fluorescence images of MB231 cells stained with C11-BODIPY after different treatments. </w:t>
      </w:r>
      <w:r w:rsidR="004A710D">
        <w:rPr>
          <w:rFonts w:ascii="Arial" w:hAnsi="Arial" w:cs="Arial"/>
          <w:sz w:val="22"/>
          <w:szCs w:val="22"/>
        </w:rPr>
        <w:t>Scale bar: 100 μm.</w:t>
      </w:r>
      <w:r w:rsidR="004A710D">
        <w:rPr>
          <w:rFonts w:ascii="Arial" w:hAnsi="Arial" w:cs="Arial" w:hint="eastAsia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G1: PBS, G2: mPDA, G3: mPDA@C968, G4: MPC, G5: MPCC</w:t>
      </w:r>
      <w:r w:rsidR="004A710D">
        <w:rPr>
          <w:rFonts w:ascii="Arial" w:hAnsi="Arial" w:cs="Arial" w:hint="eastAsia"/>
          <w:sz w:val="22"/>
          <w:szCs w:val="22"/>
        </w:rPr>
        <w:t>)</w:t>
      </w:r>
    </w:p>
    <w:p w14:paraId="3EDD4EE1" w14:textId="77777777" w:rsidR="0041130E" w:rsidRDefault="00D90973">
      <w:pPr>
        <w:widowControl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4B27DC43" w14:textId="77777777" w:rsidR="0041130E" w:rsidRDefault="00D90973">
      <w:pPr>
        <w:widowControl/>
        <w:jc w:val="center"/>
        <w:rPr>
          <w:rFonts w:ascii="Arial" w:hAnsi="Arial" w:cs="Arial"/>
          <w:sz w:val="22"/>
          <w:szCs w:val="22"/>
        </w:rPr>
      </w:pPr>
      <w:r w:rsidRPr="00D90973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114300" distR="114300" wp14:anchorId="22BEB13F" wp14:editId="08A282AD">
            <wp:extent cx="4407535" cy="5803265"/>
            <wp:effectExtent l="0" t="0" r="12065" b="3175"/>
            <wp:docPr id="16" name="图片 16" descr="微信图片_20260205090035_2643_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微信图片_20260205090035_2643_34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07535" cy="580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912DF" w14:textId="43F55D49" w:rsidR="0041130E" w:rsidRPr="00C57200" w:rsidRDefault="00D90973">
      <w:pPr>
        <w:spacing w:line="240" w:lineRule="atLeast"/>
        <w:rPr>
          <w:rFonts w:ascii="Arial" w:hAnsi="Arial" w:cs="Arial"/>
          <w:sz w:val="22"/>
          <w:szCs w:val="22"/>
        </w:rPr>
      </w:pPr>
      <w:r w:rsidRPr="009F5B26">
        <w:rPr>
          <w:rFonts w:ascii="Arial" w:hAnsi="Arial" w:cs="Arial"/>
          <w:b/>
          <w:bCs/>
          <w:sz w:val="22"/>
          <w:szCs w:val="22"/>
        </w:rPr>
        <w:t>Figure S1</w:t>
      </w:r>
      <w:r w:rsidRPr="009F5B26">
        <w:rPr>
          <w:rFonts w:ascii="Arial" w:hAnsi="Arial" w:cs="Arial" w:hint="eastAsia"/>
          <w:b/>
          <w:bCs/>
          <w:sz w:val="22"/>
          <w:szCs w:val="22"/>
        </w:rPr>
        <w:t>1</w:t>
      </w:r>
      <w:r w:rsidRPr="009F5B26">
        <w:rPr>
          <w:rFonts w:ascii="Arial" w:hAnsi="Arial" w:cs="Arial"/>
          <w:b/>
          <w:bCs/>
          <w:sz w:val="22"/>
          <w:szCs w:val="22"/>
        </w:rPr>
        <w:t>.</w:t>
      </w:r>
      <w:r w:rsidRPr="009F5B26">
        <w:rPr>
          <w:rFonts w:ascii="Arial" w:hAnsi="Arial" w:cs="Arial" w:hint="eastAsia"/>
          <w:sz w:val="22"/>
          <w:szCs w:val="22"/>
        </w:rPr>
        <w:t xml:space="preserve"> </w:t>
      </w:r>
      <w:r w:rsidRPr="009F5B26">
        <w:rPr>
          <w:rFonts w:ascii="Arial" w:hAnsi="Arial" w:cs="Arial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 xml:space="preserve">presentative CLSM Z-stack images showing the relationship between CD31 (vascular endothelium) and lipid peroxidation in </w:t>
      </w:r>
      <w:r>
        <w:rPr>
          <w:rFonts w:ascii="Arial" w:hAnsi="Arial" w:cs="Arial" w:hint="eastAsia"/>
          <w:sz w:val="22"/>
          <w:szCs w:val="22"/>
        </w:rPr>
        <w:t>3D t</w:t>
      </w:r>
      <w:r>
        <w:rPr>
          <w:rFonts w:ascii="Arial" w:hAnsi="Arial" w:cs="Arial"/>
          <w:sz w:val="22"/>
          <w:szCs w:val="22"/>
        </w:rPr>
        <w:t xml:space="preserve">umor </w:t>
      </w:r>
      <w:r>
        <w:rPr>
          <w:rFonts w:ascii="Arial" w:hAnsi="Arial" w:cs="Arial" w:hint="eastAsia"/>
          <w:sz w:val="22"/>
          <w:szCs w:val="22"/>
        </w:rPr>
        <w:t>model</w:t>
      </w:r>
      <w:r>
        <w:rPr>
          <w:rFonts w:ascii="Arial" w:hAnsi="Arial" w:cs="Arial"/>
          <w:sz w:val="22"/>
          <w:szCs w:val="22"/>
        </w:rPr>
        <w:t>.</w:t>
      </w:r>
      <w:r w:rsidR="00C57200">
        <w:rPr>
          <w:rFonts w:ascii="Arial" w:hAnsi="Arial" w:cs="Arial" w:hint="eastAsia"/>
          <w:sz w:val="22"/>
          <w:szCs w:val="22"/>
        </w:rPr>
        <w:t xml:space="preserve"> </w:t>
      </w:r>
      <w:r w:rsidR="00C57200">
        <w:rPr>
          <w:rFonts w:ascii="Arial" w:hAnsi="Arial" w:cs="Arial"/>
          <w:sz w:val="22"/>
          <w:szCs w:val="22"/>
        </w:rPr>
        <w:t>Scale bar: 10</w:t>
      </w:r>
      <w:r w:rsidR="00C57200">
        <w:rPr>
          <w:rFonts w:ascii="Arial" w:hAnsi="Arial" w:cs="Arial" w:hint="eastAsia"/>
          <w:sz w:val="22"/>
          <w:szCs w:val="22"/>
        </w:rPr>
        <w:t>0</w:t>
      </w:r>
      <w:r w:rsidR="00C57200">
        <w:rPr>
          <w:rFonts w:ascii="Arial" w:hAnsi="Arial" w:cs="Arial"/>
          <w:sz w:val="22"/>
          <w:szCs w:val="22"/>
        </w:rPr>
        <w:t>0 μm.</w:t>
      </w:r>
    </w:p>
    <w:p w14:paraId="3DB5E1E2" w14:textId="77777777" w:rsidR="0041130E" w:rsidRDefault="00D90973">
      <w:pPr>
        <w:widowControl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05A77206" w14:textId="77777777" w:rsidR="0041130E" w:rsidRDefault="00D90973">
      <w:pPr>
        <w:spacing w:line="240" w:lineRule="atLeast"/>
        <w:rPr>
          <w:rFonts w:ascii="Arial" w:hAnsi="Arial" w:cs="Arial"/>
          <w:sz w:val="22"/>
          <w:szCs w:val="22"/>
        </w:rPr>
      </w:pPr>
      <w:r w:rsidRPr="00D90973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5D7BD095" wp14:editId="71FDC4A2">
            <wp:extent cx="5270500" cy="3051175"/>
            <wp:effectExtent l="0" t="0" r="1270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05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A295D" w14:textId="7347A67C" w:rsidR="0041130E" w:rsidRDefault="00D90973">
      <w:pPr>
        <w:spacing w:line="240" w:lineRule="atLeast"/>
        <w:rPr>
          <w:rFonts w:ascii="Arial" w:hAnsi="Arial" w:cs="Arial"/>
          <w:sz w:val="22"/>
          <w:szCs w:val="22"/>
        </w:rPr>
      </w:pPr>
      <w:r w:rsidRPr="009F5B26">
        <w:rPr>
          <w:rFonts w:ascii="Arial" w:hAnsi="Arial" w:cs="Arial"/>
          <w:b/>
          <w:sz w:val="22"/>
          <w:szCs w:val="22"/>
        </w:rPr>
        <w:t>Figure S</w:t>
      </w:r>
      <w:r w:rsidRPr="009F5B26">
        <w:rPr>
          <w:rFonts w:ascii="Arial" w:hAnsi="Arial" w:cs="Arial" w:hint="eastAsia"/>
          <w:b/>
          <w:sz w:val="22"/>
          <w:szCs w:val="22"/>
        </w:rPr>
        <w:t>12</w:t>
      </w:r>
      <w:r w:rsidRPr="009F5B26">
        <w:rPr>
          <w:rFonts w:ascii="Arial" w:hAnsi="Arial" w:cs="Arial"/>
          <w:b/>
          <w:sz w:val="22"/>
          <w:szCs w:val="22"/>
        </w:rPr>
        <w:t xml:space="preserve">. </w:t>
      </w:r>
      <w:r w:rsidRPr="009F5B26">
        <w:rPr>
          <w:rFonts w:ascii="Arial" w:hAnsi="Arial" w:cs="Arial"/>
          <w:sz w:val="22"/>
          <w:szCs w:val="22"/>
        </w:rPr>
        <w:t>(A</w:t>
      </w:r>
      <w:r w:rsidRPr="00D90973">
        <w:rPr>
          <w:rFonts w:ascii="Arial" w:hAnsi="Arial" w:cs="Arial"/>
          <w:sz w:val="22"/>
          <w:szCs w:val="22"/>
        </w:rPr>
        <w:t>) Schematic illustration of the co-culture model used to evaluate T cell activation.</w:t>
      </w:r>
      <w:r w:rsidR="00620272">
        <w:rPr>
          <w:rFonts w:ascii="Arial" w:hAnsi="Arial" w:cs="Arial" w:hint="eastAsia"/>
          <w:sz w:val="22"/>
          <w:szCs w:val="22"/>
        </w:rPr>
        <w:t xml:space="preserve"> </w:t>
      </w:r>
      <w:r w:rsidR="00BA10A4">
        <w:rPr>
          <w:rFonts w:ascii="Arial" w:hAnsi="Arial" w:cs="Arial"/>
          <w:sz w:val="22"/>
          <w:szCs w:val="22"/>
        </w:rPr>
        <w:t>(B-</w:t>
      </w:r>
      <w:r w:rsidRPr="00D90973">
        <w:rPr>
          <w:rFonts w:ascii="Arial" w:hAnsi="Arial" w:cs="Arial"/>
          <w:sz w:val="22"/>
          <w:szCs w:val="22"/>
        </w:rPr>
        <w:t xml:space="preserve">C) Representative </w:t>
      </w:r>
      <w:r>
        <w:rPr>
          <w:rFonts w:ascii="Arial" w:hAnsi="Arial" w:cs="Arial" w:hint="eastAsia"/>
          <w:sz w:val="22"/>
          <w:szCs w:val="22"/>
        </w:rPr>
        <w:t>FACS</w:t>
      </w:r>
      <w:r w:rsidRPr="00D90973">
        <w:rPr>
          <w:rFonts w:ascii="Arial" w:hAnsi="Arial" w:cs="Arial"/>
          <w:sz w:val="22"/>
          <w:szCs w:val="22"/>
        </w:rPr>
        <w:t xml:space="preserve"> of CD8</w:t>
      </w:r>
      <w:r>
        <w:rPr>
          <w:rFonts w:ascii="Arial" w:hAnsi="Arial" w:cs="Arial" w:hint="eastAsia"/>
          <w:sz w:val="22"/>
          <w:szCs w:val="22"/>
          <w:vertAlign w:val="superscript"/>
        </w:rPr>
        <w:t>+</w:t>
      </w:r>
      <w:r w:rsidRPr="00D90973">
        <w:rPr>
          <w:rFonts w:ascii="Arial" w:hAnsi="Arial" w:cs="Arial"/>
          <w:sz w:val="22"/>
          <w:szCs w:val="22"/>
        </w:rPr>
        <w:t>IFN-γ</w:t>
      </w:r>
      <w:r w:rsidRPr="00D90973">
        <w:rPr>
          <w:rFonts w:ascii="Arial" w:hAnsi="Arial" w:cs="Arial"/>
          <w:sz w:val="22"/>
          <w:szCs w:val="22"/>
          <w:vertAlign w:val="superscript"/>
        </w:rPr>
        <w:t>+</w:t>
      </w:r>
      <w:r>
        <w:rPr>
          <w:rFonts w:ascii="Arial" w:hAnsi="Arial" w:cs="Arial" w:hint="eastAsia"/>
          <w:sz w:val="22"/>
          <w:szCs w:val="22"/>
          <w:vertAlign w:val="superscript"/>
        </w:rPr>
        <w:t xml:space="preserve"> </w:t>
      </w:r>
      <w:r w:rsidRPr="00D90973">
        <w:rPr>
          <w:rFonts w:ascii="Arial" w:hAnsi="Arial" w:cs="Arial"/>
          <w:sz w:val="22"/>
          <w:szCs w:val="22"/>
        </w:rPr>
        <w:t>T cells (B</w:t>
      </w:r>
      <w:r>
        <w:rPr>
          <w:rFonts w:ascii="Arial" w:hAnsi="Arial" w:cs="Arial" w:hint="eastAsia"/>
          <w:sz w:val="22"/>
          <w:szCs w:val="22"/>
        </w:rPr>
        <w:t>)</w:t>
      </w:r>
      <w:r w:rsidRPr="00D90973">
        <w:rPr>
          <w:rFonts w:ascii="Arial" w:hAnsi="Arial" w:cs="Arial"/>
          <w:sz w:val="22"/>
          <w:szCs w:val="22"/>
        </w:rPr>
        <w:t xml:space="preserve"> and corresponding quantitative statistical analysis (C</w:t>
      </w:r>
      <w:r>
        <w:rPr>
          <w:rFonts w:ascii="Arial" w:hAnsi="Arial" w:cs="Arial" w:hint="eastAsia"/>
          <w:sz w:val="22"/>
          <w:szCs w:val="22"/>
        </w:rPr>
        <w:t>)</w:t>
      </w:r>
      <w:r w:rsidRPr="00D90973">
        <w:rPr>
          <w:rFonts w:ascii="Arial" w:hAnsi="Arial" w:cs="Arial"/>
          <w:sz w:val="22"/>
          <w:szCs w:val="22"/>
        </w:rPr>
        <w:t xml:space="preserve"> following different treatments in the co-culture system</w:t>
      </w:r>
      <w:r w:rsidR="00620272">
        <w:rPr>
          <w:rFonts w:ascii="Arial" w:hAnsi="Arial" w:cs="Arial" w:hint="eastAsia"/>
          <w:sz w:val="22"/>
          <w:szCs w:val="22"/>
        </w:rPr>
        <w:t>.</w:t>
      </w:r>
      <w:r w:rsidRPr="00D90973">
        <w:rPr>
          <w:rFonts w:ascii="Arial" w:hAnsi="Arial" w:cs="Arial"/>
          <w:sz w:val="22"/>
          <w:szCs w:val="22"/>
        </w:rPr>
        <w:t xml:space="preserve"> (G1: PBS, G2: mPDA, G3: mPDA@C968, G4:</w:t>
      </w:r>
      <w:r w:rsidR="00620272">
        <w:rPr>
          <w:rFonts w:ascii="Arial" w:hAnsi="Arial" w:cs="Arial"/>
          <w:sz w:val="22"/>
          <w:szCs w:val="22"/>
        </w:rPr>
        <w:t xml:space="preserve"> MPC, G5: MPCC)</w:t>
      </w:r>
    </w:p>
    <w:p w14:paraId="73D19465" w14:textId="77777777" w:rsidR="0041130E" w:rsidRDefault="00D90973">
      <w:pPr>
        <w:widowControl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4A36EF10" w14:textId="77777777" w:rsidR="0041130E" w:rsidRDefault="00D90973">
      <w:pPr>
        <w:widowControl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2F6D7942" wp14:editId="15D19CF0">
            <wp:extent cx="5270500" cy="6381115"/>
            <wp:effectExtent l="0" t="0" r="1270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38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FCC2D" w14:textId="3FDE0D3E" w:rsidR="0041130E" w:rsidRPr="002B796E" w:rsidRDefault="00D90973">
      <w:pPr>
        <w:spacing w:line="240" w:lineRule="atLeast"/>
        <w:rPr>
          <w:rFonts w:ascii="Arial" w:hAnsi="Arial" w:cs="Arial"/>
          <w:sz w:val="22"/>
          <w:szCs w:val="22"/>
        </w:rPr>
      </w:pPr>
      <w:r w:rsidRPr="009F5B26">
        <w:rPr>
          <w:rFonts w:ascii="Arial" w:hAnsi="Arial" w:cs="Arial"/>
          <w:b/>
          <w:sz w:val="22"/>
          <w:szCs w:val="22"/>
        </w:rPr>
        <w:t>Figure S1</w:t>
      </w:r>
      <w:r w:rsidRPr="009F5B26">
        <w:rPr>
          <w:rFonts w:ascii="Arial" w:hAnsi="Arial" w:cs="Arial" w:hint="eastAsia"/>
          <w:b/>
          <w:sz w:val="22"/>
          <w:szCs w:val="22"/>
        </w:rPr>
        <w:t>3</w:t>
      </w:r>
      <w:r w:rsidRPr="009F5B26">
        <w:rPr>
          <w:rFonts w:ascii="Arial" w:hAnsi="Arial" w:cs="Arial"/>
          <w:b/>
          <w:sz w:val="22"/>
          <w:szCs w:val="22"/>
        </w:rPr>
        <w:t xml:space="preserve">. </w:t>
      </w:r>
      <w:r w:rsidRPr="009F5B26">
        <w:rPr>
          <w:rFonts w:ascii="Arial" w:hAnsi="Arial" w:cs="Arial"/>
          <w:sz w:val="22"/>
          <w:szCs w:val="22"/>
        </w:rPr>
        <w:t>(A) Re</w:t>
      </w:r>
      <w:r w:rsidRPr="00D90973">
        <w:rPr>
          <w:rFonts w:ascii="Arial" w:hAnsi="Arial" w:cs="Arial"/>
          <w:sz w:val="22"/>
          <w:szCs w:val="22"/>
        </w:rPr>
        <w:t>presentative fluorescence images showing HMGB1 leakage from MB231 tumor cells after different treatments</w:t>
      </w:r>
      <w:r w:rsidR="002B796E">
        <w:rPr>
          <w:rFonts w:ascii="Arial" w:hAnsi="Arial" w:cs="Arial"/>
          <w:sz w:val="22"/>
          <w:szCs w:val="22"/>
        </w:rPr>
        <w:t>. S</w:t>
      </w:r>
      <w:r>
        <w:rPr>
          <w:rFonts w:ascii="Arial" w:hAnsi="Arial" w:cs="Arial"/>
          <w:sz w:val="22"/>
          <w:szCs w:val="22"/>
        </w:rPr>
        <w:t>cale bar: 100 μm. (B) Representative fluorescence images of calreticulin (CRT) exposure on the surface of MB231 tumor cells</w:t>
      </w:r>
      <w:r w:rsidR="002B796E">
        <w:rPr>
          <w:rFonts w:ascii="Arial" w:hAnsi="Arial" w:cs="Arial"/>
          <w:sz w:val="22"/>
          <w:szCs w:val="22"/>
        </w:rPr>
        <w:t xml:space="preserve"> after the indicated treatments. S</w:t>
      </w:r>
      <w:r>
        <w:rPr>
          <w:rFonts w:ascii="Arial" w:hAnsi="Arial" w:cs="Arial"/>
          <w:sz w:val="22"/>
          <w:szCs w:val="22"/>
        </w:rPr>
        <w:t>cale bar: 100 μm. (C) Quantitative analysis of extracellular ATP release from MB231 tumor cells following different treatments. (G1: PBS, G2: mPDA, G3: mPDA@C968, G4: MPC, G5: MPCC)</w:t>
      </w:r>
    </w:p>
    <w:p w14:paraId="67A8A5E0" w14:textId="77777777" w:rsidR="0041130E" w:rsidRDefault="0041130E">
      <w:pPr>
        <w:widowControl/>
        <w:jc w:val="left"/>
        <w:rPr>
          <w:rFonts w:ascii="Arial" w:hAnsi="Arial" w:cs="Arial"/>
          <w:sz w:val="22"/>
          <w:szCs w:val="22"/>
        </w:rPr>
      </w:pPr>
    </w:p>
    <w:p w14:paraId="4BF05FCF" w14:textId="77777777" w:rsidR="0041130E" w:rsidRDefault="00D90973">
      <w:pPr>
        <w:rPr>
          <w:rFonts w:ascii="Arial" w:hAnsi="Arial" w:cs="Arial"/>
          <w:sz w:val="22"/>
          <w:szCs w:val="22"/>
        </w:rPr>
      </w:pPr>
      <w:r w:rsidRPr="00D90973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114300" distR="114300" wp14:anchorId="257E735D" wp14:editId="7F1C77E5">
            <wp:extent cx="5266055" cy="8480425"/>
            <wp:effectExtent l="0" t="0" r="6985" b="8255"/>
            <wp:docPr id="5" name="图片 5" descr="微信图片_20260128211108_1725_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60128211108_1725_34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848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87571" w14:textId="493D6677" w:rsidR="0041130E" w:rsidRPr="000516B7" w:rsidRDefault="000516B7" w:rsidP="000516B7">
      <w:pPr>
        <w:widowControl/>
        <w:spacing w:line="240" w:lineRule="atLeast"/>
        <w:rPr>
          <w:rFonts w:ascii="Arial" w:hAnsi="Arial" w:cs="Arial"/>
          <w:sz w:val="22"/>
          <w:szCs w:val="22"/>
        </w:rPr>
      </w:pPr>
      <w:r w:rsidRPr="000516B7">
        <w:rPr>
          <w:rFonts w:ascii="Arial" w:hAnsi="Arial" w:cs="Arial"/>
          <w:b/>
          <w:sz w:val="22"/>
          <w:szCs w:val="22"/>
        </w:rPr>
        <w:lastRenderedPageBreak/>
        <w:t>Figure S14</w:t>
      </w:r>
      <w:r w:rsidR="00D90973" w:rsidRPr="000516B7">
        <w:rPr>
          <w:rFonts w:ascii="Arial" w:hAnsi="Arial" w:cs="Arial"/>
          <w:b/>
          <w:sz w:val="22"/>
          <w:szCs w:val="22"/>
        </w:rPr>
        <w:t>.</w:t>
      </w:r>
      <w:r w:rsidR="00BA10A4">
        <w:rPr>
          <w:rFonts w:ascii="Arial" w:hAnsi="Arial" w:cs="Arial"/>
          <w:sz w:val="22"/>
          <w:szCs w:val="22"/>
        </w:rPr>
        <w:t xml:space="preserve"> (A-</w:t>
      </w:r>
      <w:r w:rsidR="00D90973" w:rsidRPr="000516B7">
        <w:rPr>
          <w:rFonts w:ascii="Arial" w:hAnsi="Arial" w:cs="Arial"/>
          <w:sz w:val="22"/>
          <w:szCs w:val="22"/>
        </w:rPr>
        <w:t xml:space="preserve">B) Representative immunofluorescence staining of GPX4 (A) and SLC1A1 (B) in tumor tissues from </w:t>
      </w:r>
      <w:r>
        <w:rPr>
          <w:rFonts w:ascii="Arial" w:hAnsi="Arial" w:cs="Arial"/>
          <w:sz w:val="22"/>
          <w:szCs w:val="22"/>
        </w:rPr>
        <w:t xml:space="preserve">mice after different treatments. </w:t>
      </w:r>
      <w:r>
        <w:rPr>
          <w:rFonts w:ascii="Arial" w:hAnsi="Arial" w:cs="Arial" w:hint="eastAsia"/>
          <w:sz w:val="22"/>
          <w:szCs w:val="22"/>
        </w:rPr>
        <w:t>S</w:t>
      </w:r>
      <w:r w:rsidR="00D90973" w:rsidRPr="000516B7">
        <w:rPr>
          <w:rFonts w:ascii="Arial" w:hAnsi="Arial" w:cs="Arial"/>
          <w:sz w:val="22"/>
          <w:szCs w:val="22"/>
        </w:rPr>
        <w:t xml:space="preserve">cale bar: 100 μm. </w:t>
      </w:r>
    </w:p>
    <w:p w14:paraId="4D8E0A68" w14:textId="79C9D59C" w:rsidR="0041130E" w:rsidRDefault="00D90973" w:rsidP="000516B7">
      <w:pPr>
        <w:widowControl/>
        <w:rPr>
          <w:rFonts w:ascii="Arial" w:hAnsi="Arial" w:cs="Arial"/>
          <w:sz w:val="22"/>
          <w:szCs w:val="22"/>
        </w:rPr>
      </w:pPr>
      <w:r w:rsidRPr="000516B7">
        <w:rPr>
          <w:rFonts w:ascii="Arial" w:hAnsi="Arial" w:cs="Arial"/>
          <w:sz w:val="22"/>
          <w:szCs w:val="22"/>
        </w:rPr>
        <w:t>(C) Representative FACS intracellular ROS levels in dissociated tumor tissues after the indicated treatments.</w:t>
      </w:r>
      <w:r w:rsidR="000516B7" w:rsidRPr="000516B7">
        <w:rPr>
          <w:rFonts w:ascii="Arial" w:hAnsi="Arial" w:cs="Arial"/>
          <w:sz w:val="22"/>
          <w:szCs w:val="22"/>
        </w:rPr>
        <w:t xml:space="preserve"> </w:t>
      </w:r>
      <w:r w:rsidRPr="000516B7">
        <w:rPr>
          <w:rFonts w:ascii="Arial" w:hAnsi="Arial" w:cs="Arial"/>
          <w:sz w:val="22"/>
          <w:szCs w:val="22"/>
        </w:rPr>
        <w:t>(D) Representative immunofluorescence staining of CD8</w:t>
      </w:r>
      <w:r w:rsidRPr="000516B7">
        <w:rPr>
          <w:rFonts w:ascii="Arial" w:hAnsi="Arial" w:cs="Arial"/>
          <w:sz w:val="22"/>
          <w:szCs w:val="22"/>
          <w:vertAlign w:val="superscript"/>
        </w:rPr>
        <w:t xml:space="preserve">+ </w:t>
      </w:r>
      <w:r w:rsidRPr="000516B7">
        <w:rPr>
          <w:rFonts w:ascii="Arial" w:hAnsi="Arial" w:cs="Arial"/>
          <w:sz w:val="22"/>
          <w:szCs w:val="22"/>
        </w:rPr>
        <w:t>T cells infiltration in tumor tis</w:t>
      </w:r>
      <w:r w:rsidR="000516B7">
        <w:rPr>
          <w:rFonts w:ascii="Arial" w:hAnsi="Arial" w:cs="Arial"/>
          <w:sz w:val="22"/>
          <w:szCs w:val="22"/>
        </w:rPr>
        <w:t>sues after different treatments.</w:t>
      </w:r>
      <w:r w:rsidRPr="000516B7">
        <w:rPr>
          <w:rFonts w:ascii="Arial" w:hAnsi="Arial" w:cs="Arial"/>
          <w:sz w:val="22"/>
          <w:szCs w:val="22"/>
        </w:rPr>
        <w:t xml:space="preserve"> Scale bar: 100 μm. (G1: PBS, G2: mPDA, G3: mPDA@C968, G4: MPC, G5: MPCC)</w:t>
      </w:r>
      <w:r>
        <w:rPr>
          <w:rFonts w:ascii="Arial" w:hAnsi="Arial" w:cs="Arial"/>
          <w:sz w:val="22"/>
          <w:szCs w:val="22"/>
        </w:rPr>
        <w:br w:type="page"/>
      </w:r>
    </w:p>
    <w:p w14:paraId="5D321A4F" w14:textId="77777777" w:rsidR="0041130E" w:rsidRDefault="00D9097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0230867A" wp14:editId="1AA3BA95">
            <wp:extent cx="5270500" cy="5086350"/>
            <wp:effectExtent l="25400" t="25400" r="38100" b="190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086350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628436E" w14:textId="67FB6EF9" w:rsidR="0041130E" w:rsidRDefault="000516B7" w:rsidP="000516B7">
      <w:pPr>
        <w:widowControl/>
        <w:spacing w:line="240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Figure S15</w:t>
      </w:r>
      <w:r w:rsidR="00D90973">
        <w:rPr>
          <w:rFonts w:ascii="Arial" w:hAnsi="Arial" w:cs="Arial"/>
          <w:b/>
          <w:sz w:val="22"/>
          <w:szCs w:val="22"/>
        </w:rPr>
        <w:t>.</w:t>
      </w:r>
      <w:r w:rsidR="00D90973">
        <w:rPr>
          <w:rFonts w:ascii="Arial" w:hAnsi="Arial" w:cs="Arial" w:hint="eastAsia"/>
          <w:b/>
          <w:sz w:val="22"/>
          <w:szCs w:val="22"/>
        </w:rPr>
        <w:t xml:space="preserve"> </w:t>
      </w:r>
      <w:r w:rsidR="00D90973">
        <w:rPr>
          <w:rFonts w:ascii="Arial" w:hAnsi="Arial" w:cs="Arial" w:hint="eastAsia"/>
          <w:sz w:val="22"/>
          <w:szCs w:val="22"/>
        </w:rPr>
        <w:t>(A</w:t>
      </w:r>
      <w:r w:rsidR="00BA10A4">
        <w:rPr>
          <w:rFonts w:ascii="Arial" w:hAnsi="Arial" w:cs="Arial" w:hint="eastAsia"/>
          <w:sz w:val="22"/>
          <w:szCs w:val="22"/>
        </w:rPr>
        <w:t>-</w:t>
      </w:r>
      <w:r w:rsidR="00D90973">
        <w:rPr>
          <w:rFonts w:ascii="Arial" w:hAnsi="Arial" w:cs="Arial" w:hint="eastAsia"/>
          <w:sz w:val="22"/>
          <w:szCs w:val="22"/>
        </w:rPr>
        <w:t>B) Representative FACS analysis of CD3</w:t>
      </w:r>
      <w:r w:rsidR="00D90973">
        <w:rPr>
          <w:rFonts w:ascii="Arial" w:hAnsi="Arial" w:cs="Arial" w:hint="eastAsia"/>
          <w:sz w:val="22"/>
          <w:szCs w:val="22"/>
          <w:vertAlign w:val="superscript"/>
        </w:rPr>
        <w:t>+</w:t>
      </w:r>
      <w:r w:rsidR="00D90973">
        <w:rPr>
          <w:rFonts w:ascii="Arial" w:hAnsi="Arial" w:cs="Arial" w:hint="eastAsia"/>
          <w:sz w:val="22"/>
          <w:szCs w:val="22"/>
        </w:rPr>
        <w:t>CD8</w:t>
      </w:r>
      <w:r w:rsidR="00D90973" w:rsidRPr="00D90973">
        <w:rPr>
          <w:rFonts w:ascii="Arial" w:hAnsi="Arial" w:cs="Arial"/>
          <w:sz w:val="22"/>
          <w:szCs w:val="22"/>
          <w:vertAlign w:val="superscript"/>
        </w:rPr>
        <w:t>+</w:t>
      </w:r>
      <w:r w:rsidR="00D90973">
        <w:rPr>
          <w:rFonts w:ascii="Arial" w:hAnsi="Arial" w:cs="Arial" w:hint="eastAsia"/>
          <w:sz w:val="22"/>
          <w:szCs w:val="22"/>
          <w:vertAlign w:val="superscript"/>
        </w:rPr>
        <w:t xml:space="preserve"> </w:t>
      </w:r>
      <w:r w:rsidR="00D90973">
        <w:rPr>
          <w:rFonts w:ascii="Arial" w:hAnsi="Arial" w:cs="Arial" w:hint="eastAsia"/>
          <w:sz w:val="22"/>
          <w:szCs w:val="22"/>
        </w:rPr>
        <w:t>T cells in spleen tissues and corresponding quantitative statistical analysis after different treatments.</w:t>
      </w:r>
    </w:p>
    <w:p w14:paraId="478D414F" w14:textId="621F5B38" w:rsidR="0041130E" w:rsidRDefault="00D90973" w:rsidP="000516B7">
      <w:pPr>
        <w:widowControl/>
        <w:spacing w:line="240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</w:rPr>
        <w:t xml:space="preserve"> (C</w:t>
      </w:r>
      <w:r w:rsidR="00BA10A4">
        <w:rPr>
          <w:rFonts w:ascii="Arial" w:hAnsi="Arial" w:cs="Arial" w:hint="eastAsia"/>
          <w:sz w:val="22"/>
          <w:szCs w:val="22"/>
        </w:rPr>
        <w:t>-</w:t>
      </w:r>
      <w:r>
        <w:rPr>
          <w:rFonts w:ascii="Arial" w:hAnsi="Arial" w:cs="Arial" w:hint="eastAsia"/>
          <w:sz w:val="22"/>
          <w:szCs w:val="22"/>
        </w:rPr>
        <w:t>D) Representative FACS analysis of M1-like macrophages (F4/80</w:t>
      </w:r>
      <w:r>
        <w:rPr>
          <w:rFonts w:ascii="Arial" w:hAnsi="Arial" w:cs="Arial" w:hint="eastAsia"/>
          <w:sz w:val="22"/>
          <w:szCs w:val="22"/>
          <w:vertAlign w:val="superscript"/>
        </w:rPr>
        <w:t>+</w:t>
      </w:r>
      <w:r>
        <w:rPr>
          <w:rFonts w:ascii="Arial" w:hAnsi="Arial" w:cs="Arial" w:hint="eastAsia"/>
          <w:sz w:val="22"/>
          <w:szCs w:val="22"/>
        </w:rPr>
        <w:t>CD80</w:t>
      </w:r>
      <w:r>
        <w:rPr>
          <w:rFonts w:ascii="Arial" w:hAnsi="Arial" w:cs="Arial" w:hint="eastAsia"/>
          <w:sz w:val="22"/>
          <w:szCs w:val="22"/>
          <w:vertAlign w:val="superscript"/>
        </w:rPr>
        <w:t>+</w:t>
      </w:r>
      <w:r>
        <w:rPr>
          <w:rFonts w:ascii="Arial" w:hAnsi="Arial" w:cs="Arial" w:hint="eastAsia"/>
          <w:sz w:val="22"/>
          <w:szCs w:val="22"/>
        </w:rPr>
        <w:t>) (C) and M2-like macrophages (F4/80</w:t>
      </w:r>
      <w:r>
        <w:rPr>
          <w:rFonts w:ascii="Arial" w:hAnsi="Arial" w:cs="Arial" w:hint="eastAsia"/>
          <w:sz w:val="22"/>
          <w:szCs w:val="22"/>
          <w:vertAlign w:val="superscript"/>
        </w:rPr>
        <w:t>+</w:t>
      </w:r>
      <w:r>
        <w:rPr>
          <w:rFonts w:ascii="Arial" w:hAnsi="Arial" w:cs="Arial" w:hint="eastAsia"/>
          <w:sz w:val="22"/>
          <w:szCs w:val="22"/>
        </w:rPr>
        <w:t>CD206</w:t>
      </w:r>
      <w:r>
        <w:rPr>
          <w:rFonts w:ascii="Arial" w:hAnsi="Arial" w:cs="Arial" w:hint="eastAsia"/>
          <w:sz w:val="22"/>
          <w:szCs w:val="22"/>
          <w:vertAlign w:val="superscript"/>
        </w:rPr>
        <w:t>+</w:t>
      </w:r>
      <w:r>
        <w:rPr>
          <w:rFonts w:ascii="Arial" w:hAnsi="Arial" w:cs="Arial" w:hint="eastAsia"/>
          <w:sz w:val="22"/>
          <w:szCs w:val="22"/>
        </w:rPr>
        <w:t>) (D) in spleen or tumor tissues after the indicated treatments.</w:t>
      </w:r>
      <w:r w:rsidR="000516B7">
        <w:rPr>
          <w:rFonts w:ascii="Arial" w:hAnsi="Arial" w:cs="Arial" w:hint="eastAsia"/>
          <w:sz w:val="22"/>
          <w:szCs w:val="22"/>
        </w:rPr>
        <w:t xml:space="preserve"> </w:t>
      </w:r>
      <w:r>
        <w:rPr>
          <w:rFonts w:ascii="Arial" w:hAnsi="Arial" w:cs="Arial" w:hint="eastAsia"/>
          <w:sz w:val="22"/>
          <w:szCs w:val="22"/>
        </w:rPr>
        <w:t>(E) Representative FACS analysis of MDSCs in tumor tissues after different treatments</w:t>
      </w:r>
      <w:r w:rsidR="000516B7">
        <w:rPr>
          <w:rFonts w:ascii="Arial" w:hAnsi="Arial" w:cs="Arial" w:hint="eastAsia"/>
          <w:sz w:val="22"/>
          <w:szCs w:val="22"/>
        </w:rPr>
        <w:t>.</w:t>
      </w:r>
      <w:r>
        <w:rPr>
          <w:rFonts w:ascii="Arial" w:hAnsi="Arial" w:cs="Arial" w:hint="eastAsia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(G1: PBS, G2: mPDA, G3: mPDA@C968, G4: MPC, G5: MPCC)</w:t>
      </w:r>
    </w:p>
    <w:p w14:paraId="110F5A5B" w14:textId="77777777" w:rsidR="0041130E" w:rsidRDefault="00D9097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1639ABD1" wp14:editId="3D81388F">
            <wp:extent cx="5270500" cy="3941445"/>
            <wp:effectExtent l="0" t="0" r="1270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94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4FE77" w14:textId="5D7FC73F" w:rsidR="0041130E" w:rsidRDefault="00BA10A4">
      <w:pPr>
        <w:spacing w:line="240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Figure S16</w:t>
      </w:r>
      <w:r w:rsidR="00D90973">
        <w:rPr>
          <w:rFonts w:ascii="Arial" w:hAnsi="Arial" w:cs="Arial"/>
          <w:b/>
          <w:sz w:val="22"/>
          <w:szCs w:val="22"/>
        </w:rPr>
        <w:t>.</w:t>
      </w:r>
      <w:r w:rsidR="00D90973">
        <w:rPr>
          <w:rFonts w:ascii="Arial" w:hAnsi="Arial" w:cs="Arial" w:hint="eastAsia"/>
          <w:sz w:val="22"/>
          <w:szCs w:val="22"/>
        </w:rPr>
        <w:t xml:space="preserve"> </w:t>
      </w:r>
      <w:r w:rsidR="00D90973">
        <w:rPr>
          <w:rFonts w:ascii="Arial" w:hAnsi="Arial" w:cs="Arial"/>
          <w:sz w:val="22"/>
          <w:szCs w:val="22"/>
        </w:rPr>
        <w:t>(A) Body weight monitoring of mice over the treatment period following administration of different formulations</w:t>
      </w:r>
      <w:r w:rsidR="00D90973">
        <w:rPr>
          <w:rFonts w:ascii="Arial" w:hAnsi="Arial" w:cs="Arial" w:hint="eastAsia"/>
          <w:sz w:val="22"/>
          <w:szCs w:val="22"/>
        </w:rPr>
        <w:t>.</w:t>
      </w:r>
      <w:r w:rsidR="00D90973">
        <w:rPr>
          <w:rFonts w:ascii="Arial" w:hAnsi="Arial" w:cs="Arial"/>
          <w:sz w:val="22"/>
          <w:szCs w:val="22"/>
        </w:rPr>
        <w:t xml:space="preserve"> (B) Representative</w:t>
      </w:r>
      <w:r w:rsidR="00D90973">
        <w:rPr>
          <w:rFonts w:ascii="Arial" w:hAnsi="Arial" w:cs="Arial" w:hint="eastAsia"/>
          <w:sz w:val="22"/>
          <w:szCs w:val="22"/>
        </w:rPr>
        <w:t xml:space="preserve"> </w:t>
      </w:r>
      <w:r w:rsidR="00D90973">
        <w:rPr>
          <w:rFonts w:ascii="Arial" w:hAnsi="Arial" w:cs="Arial"/>
          <w:sz w:val="22"/>
          <w:szCs w:val="22"/>
        </w:rPr>
        <w:t>H&amp;E staining of major organs (heart, liver, spleen, lung, and kidney) harvested from mice after the indicated treatments</w:t>
      </w:r>
      <w:r>
        <w:rPr>
          <w:rFonts w:ascii="Arial" w:hAnsi="Arial" w:cs="Arial" w:hint="eastAsia"/>
          <w:sz w:val="22"/>
          <w:szCs w:val="22"/>
        </w:rPr>
        <w:t>.</w:t>
      </w:r>
      <w:r w:rsidR="00D9097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 w:hint="eastAsia"/>
          <w:sz w:val="22"/>
          <w:szCs w:val="22"/>
        </w:rPr>
        <w:t>S</w:t>
      </w:r>
      <w:r w:rsidR="00D90973">
        <w:rPr>
          <w:rFonts w:ascii="Arial" w:hAnsi="Arial" w:cs="Arial"/>
          <w:sz w:val="22"/>
          <w:szCs w:val="22"/>
        </w:rPr>
        <w:t>cale bar: 100 μm.</w:t>
      </w:r>
      <w:r>
        <w:rPr>
          <w:rFonts w:ascii="Arial" w:hAnsi="Arial" w:cs="Arial" w:hint="eastAsia"/>
          <w:sz w:val="22"/>
          <w:szCs w:val="22"/>
        </w:rPr>
        <w:t xml:space="preserve"> </w:t>
      </w:r>
      <w:r w:rsidR="00D90973">
        <w:rPr>
          <w:rFonts w:ascii="Arial" w:hAnsi="Arial" w:cs="Arial"/>
          <w:sz w:val="22"/>
          <w:szCs w:val="22"/>
        </w:rPr>
        <w:t>(C–E) Serum biochemistry analysis of liver and kidney function markers in mice after different treatments: ALT (C), AST (D), and CREA (E).</w:t>
      </w:r>
      <w:r w:rsidR="00D90973">
        <w:rPr>
          <w:rFonts w:ascii="Arial" w:hAnsi="Arial" w:cs="Arial" w:hint="eastAsia"/>
          <w:sz w:val="22"/>
          <w:szCs w:val="22"/>
        </w:rPr>
        <w:t xml:space="preserve"> </w:t>
      </w:r>
      <w:r w:rsidR="00D90973">
        <w:rPr>
          <w:rFonts w:ascii="Arial" w:hAnsi="Arial" w:cs="Arial"/>
          <w:sz w:val="22"/>
          <w:szCs w:val="22"/>
        </w:rPr>
        <w:t>(G1: PBS, G2: mPDA, G3: mPDA@C968, G4: MPC, G5: MPCC)</w:t>
      </w:r>
    </w:p>
    <w:sectPr w:rsidR="0041130E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7E559C"/>
    <w:multiLevelType w:val="singleLevel"/>
    <w:tmpl w:val="3B7E559C"/>
    <w:lvl w:ilvl="0">
      <w:start w:val="2"/>
      <w:numFmt w:val="upperLetter"/>
      <w:suff w:val="space"/>
      <w:lvlText w:val="(%1)"/>
      <w:lvlJc w:val="left"/>
    </w:lvl>
  </w:abstractNum>
  <w:abstractNum w:abstractNumId="1">
    <w:nsid w:val="4C282D24"/>
    <w:multiLevelType w:val="singleLevel"/>
    <w:tmpl w:val="4C282D24"/>
    <w:lvl w:ilvl="0">
      <w:start w:val="2"/>
      <w:numFmt w:val="upperLetter"/>
      <w:suff w:val="nothing"/>
      <w:lvlText w:val="(%1-"/>
      <w:lvlJc w:val="left"/>
      <w:pPr>
        <w:ind w:left="0" w:firstLine="0"/>
      </w:pPr>
    </w:lvl>
  </w:abstractNum>
  <w:abstractNum w:abstractNumId="2">
    <w:nsid w:val="521B20CF"/>
    <w:multiLevelType w:val="singleLevel"/>
    <w:tmpl w:val="521B20CF"/>
    <w:lvl w:ilvl="0">
      <w:start w:val="5"/>
      <w:numFmt w:val="upperLetter"/>
      <w:suff w:val="space"/>
      <w:lvlText w:val="(%1)"/>
      <w:lvlJc w:val="left"/>
    </w:lvl>
  </w:abstractNum>
  <w:abstractNum w:abstractNumId="3">
    <w:nsid w:val="6A3A7EB9"/>
    <w:multiLevelType w:val="multilevel"/>
    <w:tmpl w:val="6A3A7EB9"/>
    <w:lvl w:ilvl="0">
      <w:start w:val="1"/>
      <w:numFmt w:val="decimal"/>
      <w:lvlText w:val="%1."/>
      <w:lvlJc w:val="left"/>
      <w:pPr>
        <w:ind w:left="360" w:hanging="360"/>
      </w:pPr>
      <w:rPr>
        <w:rFonts w:eastAsiaTheme="minorEastAsia" w:hint="eastAsia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eastAsia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eastAsia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eastAsia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eastAsia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eastAsia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eastAsia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eastAsi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200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BjMDE0MzYyNGYyMGMwOTJkNDI5MmUwMzRiOGY0ZjcifQ=="/>
  </w:docVars>
  <w:rsids>
    <w:rsidRoot w:val="00700EA9"/>
    <w:rsid w:val="000006FF"/>
    <w:rsid w:val="000163AB"/>
    <w:rsid w:val="00030852"/>
    <w:rsid w:val="00031B0C"/>
    <w:rsid w:val="000334AC"/>
    <w:rsid w:val="00040699"/>
    <w:rsid w:val="000408F0"/>
    <w:rsid w:val="00040ED0"/>
    <w:rsid w:val="000426F8"/>
    <w:rsid w:val="000516B7"/>
    <w:rsid w:val="0005431A"/>
    <w:rsid w:val="000614DE"/>
    <w:rsid w:val="00062B44"/>
    <w:rsid w:val="00066E01"/>
    <w:rsid w:val="000748B0"/>
    <w:rsid w:val="00076AA4"/>
    <w:rsid w:val="000A202E"/>
    <w:rsid w:val="000A511C"/>
    <w:rsid w:val="000A780E"/>
    <w:rsid w:val="000B002B"/>
    <w:rsid w:val="000B5013"/>
    <w:rsid w:val="000B5ADF"/>
    <w:rsid w:val="000C29DB"/>
    <w:rsid w:val="000C532D"/>
    <w:rsid w:val="000C5937"/>
    <w:rsid w:val="000D3466"/>
    <w:rsid w:val="000D37F5"/>
    <w:rsid w:val="000D4DE4"/>
    <w:rsid w:val="000D5C1A"/>
    <w:rsid w:val="000D5C39"/>
    <w:rsid w:val="000D61C2"/>
    <w:rsid w:val="000E549E"/>
    <w:rsid w:val="000F06A1"/>
    <w:rsid w:val="000F30D5"/>
    <w:rsid w:val="00103CF1"/>
    <w:rsid w:val="00104108"/>
    <w:rsid w:val="00116463"/>
    <w:rsid w:val="00121BA1"/>
    <w:rsid w:val="0012319D"/>
    <w:rsid w:val="00130DDF"/>
    <w:rsid w:val="001320D1"/>
    <w:rsid w:val="00143149"/>
    <w:rsid w:val="00146A46"/>
    <w:rsid w:val="00147F33"/>
    <w:rsid w:val="001510A3"/>
    <w:rsid w:val="0015326F"/>
    <w:rsid w:val="001533EF"/>
    <w:rsid w:val="00166E92"/>
    <w:rsid w:val="00171C28"/>
    <w:rsid w:val="00172440"/>
    <w:rsid w:val="00172C95"/>
    <w:rsid w:val="00186DD7"/>
    <w:rsid w:val="001875A7"/>
    <w:rsid w:val="0019000A"/>
    <w:rsid w:val="00194493"/>
    <w:rsid w:val="001949FA"/>
    <w:rsid w:val="001A468A"/>
    <w:rsid w:val="001A50F3"/>
    <w:rsid w:val="001B3417"/>
    <w:rsid w:val="001B4E36"/>
    <w:rsid w:val="001B51CF"/>
    <w:rsid w:val="001C197D"/>
    <w:rsid w:val="001C39A5"/>
    <w:rsid w:val="001C6D53"/>
    <w:rsid w:val="001D34B2"/>
    <w:rsid w:val="001D46DB"/>
    <w:rsid w:val="001D5599"/>
    <w:rsid w:val="001E25ED"/>
    <w:rsid w:val="001E4826"/>
    <w:rsid w:val="001E48F7"/>
    <w:rsid w:val="001E524C"/>
    <w:rsid w:val="001E62FC"/>
    <w:rsid w:val="0020086B"/>
    <w:rsid w:val="0020121B"/>
    <w:rsid w:val="002016D6"/>
    <w:rsid w:val="0020336E"/>
    <w:rsid w:val="00205037"/>
    <w:rsid w:val="0020727B"/>
    <w:rsid w:val="00216906"/>
    <w:rsid w:val="00227077"/>
    <w:rsid w:val="002302F8"/>
    <w:rsid w:val="002316AA"/>
    <w:rsid w:val="00234D5C"/>
    <w:rsid w:val="00235A89"/>
    <w:rsid w:val="00241BB2"/>
    <w:rsid w:val="00243579"/>
    <w:rsid w:val="0025238E"/>
    <w:rsid w:val="00252A82"/>
    <w:rsid w:val="00252CD3"/>
    <w:rsid w:val="00256F84"/>
    <w:rsid w:val="00265530"/>
    <w:rsid w:val="002770CD"/>
    <w:rsid w:val="00281D0F"/>
    <w:rsid w:val="00283C8A"/>
    <w:rsid w:val="00294A7E"/>
    <w:rsid w:val="00295E42"/>
    <w:rsid w:val="002A3428"/>
    <w:rsid w:val="002A50D7"/>
    <w:rsid w:val="002A664E"/>
    <w:rsid w:val="002A70D2"/>
    <w:rsid w:val="002A78BB"/>
    <w:rsid w:val="002B0F5B"/>
    <w:rsid w:val="002B321D"/>
    <w:rsid w:val="002B796E"/>
    <w:rsid w:val="002C1B9B"/>
    <w:rsid w:val="002C7A02"/>
    <w:rsid w:val="002E3E67"/>
    <w:rsid w:val="002E61C6"/>
    <w:rsid w:val="002F20A8"/>
    <w:rsid w:val="002F2E53"/>
    <w:rsid w:val="002F4003"/>
    <w:rsid w:val="00301854"/>
    <w:rsid w:val="003020C7"/>
    <w:rsid w:val="00305780"/>
    <w:rsid w:val="003075B1"/>
    <w:rsid w:val="00315016"/>
    <w:rsid w:val="003163E1"/>
    <w:rsid w:val="003206E2"/>
    <w:rsid w:val="00322894"/>
    <w:rsid w:val="00323D13"/>
    <w:rsid w:val="00327CEC"/>
    <w:rsid w:val="003357AC"/>
    <w:rsid w:val="00344594"/>
    <w:rsid w:val="0034706A"/>
    <w:rsid w:val="00353579"/>
    <w:rsid w:val="00354112"/>
    <w:rsid w:val="00365DE5"/>
    <w:rsid w:val="00367137"/>
    <w:rsid w:val="00373423"/>
    <w:rsid w:val="0037401D"/>
    <w:rsid w:val="003740D4"/>
    <w:rsid w:val="00375A3F"/>
    <w:rsid w:val="00376BF3"/>
    <w:rsid w:val="00377696"/>
    <w:rsid w:val="00390892"/>
    <w:rsid w:val="00393C92"/>
    <w:rsid w:val="00396DD9"/>
    <w:rsid w:val="003975C0"/>
    <w:rsid w:val="003A122E"/>
    <w:rsid w:val="003A29D7"/>
    <w:rsid w:val="003A31A3"/>
    <w:rsid w:val="003A7416"/>
    <w:rsid w:val="003B17AD"/>
    <w:rsid w:val="003C55CF"/>
    <w:rsid w:val="003C60A1"/>
    <w:rsid w:val="003C7245"/>
    <w:rsid w:val="003D72F5"/>
    <w:rsid w:val="003D7423"/>
    <w:rsid w:val="003E47A2"/>
    <w:rsid w:val="003F610A"/>
    <w:rsid w:val="003F6A1A"/>
    <w:rsid w:val="003F78B7"/>
    <w:rsid w:val="003F7B5B"/>
    <w:rsid w:val="00401BA9"/>
    <w:rsid w:val="0041130E"/>
    <w:rsid w:val="00411412"/>
    <w:rsid w:val="00423720"/>
    <w:rsid w:val="00426A57"/>
    <w:rsid w:val="00430B47"/>
    <w:rsid w:val="00431AC3"/>
    <w:rsid w:val="00434430"/>
    <w:rsid w:val="00440124"/>
    <w:rsid w:val="00445B3A"/>
    <w:rsid w:val="004513D8"/>
    <w:rsid w:val="00472617"/>
    <w:rsid w:val="004832FB"/>
    <w:rsid w:val="00484FEC"/>
    <w:rsid w:val="0048690E"/>
    <w:rsid w:val="00486954"/>
    <w:rsid w:val="00495265"/>
    <w:rsid w:val="004A710D"/>
    <w:rsid w:val="004B5AAA"/>
    <w:rsid w:val="004C3F89"/>
    <w:rsid w:val="004C499C"/>
    <w:rsid w:val="004C557D"/>
    <w:rsid w:val="004C5911"/>
    <w:rsid w:val="004C730F"/>
    <w:rsid w:val="004D0A42"/>
    <w:rsid w:val="004D1E1D"/>
    <w:rsid w:val="004D2A66"/>
    <w:rsid w:val="004D7FB7"/>
    <w:rsid w:val="004E0495"/>
    <w:rsid w:val="004E0CCE"/>
    <w:rsid w:val="004E1321"/>
    <w:rsid w:val="004E3AE2"/>
    <w:rsid w:val="004F5419"/>
    <w:rsid w:val="005015BE"/>
    <w:rsid w:val="0050304F"/>
    <w:rsid w:val="00506B06"/>
    <w:rsid w:val="005076D5"/>
    <w:rsid w:val="00513A96"/>
    <w:rsid w:val="00514518"/>
    <w:rsid w:val="00514B74"/>
    <w:rsid w:val="00514F7B"/>
    <w:rsid w:val="00521716"/>
    <w:rsid w:val="00521F8D"/>
    <w:rsid w:val="00543CFE"/>
    <w:rsid w:val="005464D7"/>
    <w:rsid w:val="005533F0"/>
    <w:rsid w:val="00553457"/>
    <w:rsid w:val="005535D7"/>
    <w:rsid w:val="00554812"/>
    <w:rsid w:val="0055646C"/>
    <w:rsid w:val="0055740C"/>
    <w:rsid w:val="00560147"/>
    <w:rsid w:val="005605A5"/>
    <w:rsid w:val="00580DF2"/>
    <w:rsid w:val="005845D8"/>
    <w:rsid w:val="00584CC3"/>
    <w:rsid w:val="00586E0A"/>
    <w:rsid w:val="0059167C"/>
    <w:rsid w:val="0059543E"/>
    <w:rsid w:val="00595970"/>
    <w:rsid w:val="005A2590"/>
    <w:rsid w:val="005B2B08"/>
    <w:rsid w:val="005B519C"/>
    <w:rsid w:val="005C6B9A"/>
    <w:rsid w:val="005D2076"/>
    <w:rsid w:val="005D4D44"/>
    <w:rsid w:val="005E323F"/>
    <w:rsid w:val="005E510B"/>
    <w:rsid w:val="005E5DF5"/>
    <w:rsid w:val="005E60E7"/>
    <w:rsid w:val="005F07D3"/>
    <w:rsid w:val="005F6B14"/>
    <w:rsid w:val="005F7258"/>
    <w:rsid w:val="006077BB"/>
    <w:rsid w:val="00610ADF"/>
    <w:rsid w:val="00620272"/>
    <w:rsid w:val="00623543"/>
    <w:rsid w:val="006238DF"/>
    <w:rsid w:val="0062749F"/>
    <w:rsid w:val="0063027A"/>
    <w:rsid w:val="0063417F"/>
    <w:rsid w:val="00643782"/>
    <w:rsid w:val="006438F0"/>
    <w:rsid w:val="00647F59"/>
    <w:rsid w:val="0065154A"/>
    <w:rsid w:val="00660A28"/>
    <w:rsid w:val="00662F01"/>
    <w:rsid w:val="006662D2"/>
    <w:rsid w:val="0067265E"/>
    <w:rsid w:val="006752A3"/>
    <w:rsid w:val="00681CD1"/>
    <w:rsid w:val="00682522"/>
    <w:rsid w:val="0069398B"/>
    <w:rsid w:val="00695977"/>
    <w:rsid w:val="006A44EA"/>
    <w:rsid w:val="006B01FC"/>
    <w:rsid w:val="006B0561"/>
    <w:rsid w:val="006B3451"/>
    <w:rsid w:val="006B5BAE"/>
    <w:rsid w:val="006B5C3D"/>
    <w:rsid w:val="006B64FD"/>
    <w:rsid w:val="006B6FDC"/>
    <w:rsid w:val="006B7D7D"/>
    <w:rsid w:val="006D2DFE"/>
    <w:rsid w:val="006D3C95"/>
    <w:rsid w:val="006E3A58"/>
    <w:rsid w:val="006E4F17"/>
    <w:rsid w:val="006E7B33"/>
    <w:rsid w:val="006F3744"/>
    <w:rsid w:val="00700A35"/>
    <w:rsid w:val="00700EA9"/>
    <w:rsid w:val="00704831"/>
    <w:rsid w:val="00705EE8"/>
    <w:rsid w:val="0071593A"/>
    <w:rsid w:val="0072727E"/>
    <w:rsid w:val="00732C5A"/>
    <w:rsid w:val="00736E8A"/>
    <w:rsid w:val="0073796E"/>
    <w:rsid w:val="00743628"/>
    <w:rsid w:val="0074680F"/>
    <w:rsid w:val="00754F2D"/>
    <w:rsid w:val="00757AD5"/>
    <w:rsid w:val="00757B48"/>
    <w:rsid w:val="00762DE4"/>
    <w:rsid w:val="0076567B"/>
    <w:rsid w:val="00765E87"/>
    <w:rsid w:val="0076729D"/>
    <w:rsid w:val="00774003"/>
    <w:rsid w:val="00777219"/>
    <w:rsid w:val="007813C8"/>
    <w:rsid w:val="00782924"/>
    <w:rsid w:val="00786AB4"/>
    <w:rsid w:val="007879E6"/>
    <w:rsid w:val="007A0E5A"/>
    <w:rsid w:val="007A3445"/>
    <w:rsid w:val="007B65AC"/>
    <w:rsid w:val="007B763B"/>
    <w:rsid w:val="007C081E"/>
    <w:rsid w:val="007C414C"/>
    <w:rsid w:val="007C5E83"/>
    <w:rsid w:val="007D3F38"/>
    <w:rsid w:val="007D4A54"/>
    <w:rsid w:val="007D618F"/>
    <w:rsid w:val="007D725C"/>
    <w:rsid w:val="007E1B27"/>
    <w:rsid w:val="007F4D2E"/>
    <w:rsid w:val="007F781B"/>
    <w:rsid w:val="00804CC1"/>
    <w:rsid w:val="008127EC"/>
    <w:rsid w:val="008138D9"/>
    <w:rsid w:val="00822930"/>
    <w:rsid w:val="00831594"/>
    <w:rsid w:val="00832880"/>
    <w:rsid w:val="00835FFF"/>
    <w:rsid w:val="0084055F"/>
    <w:rsid w:val="00844164"/>
    <w:rsid w:val="00860ECF"/>
    <w:rsid w:val="00865482"/>
    <w:rsid w:val="00867E5E"/>
    <w:rsid w:val="00870884"/>
    <w:rsid w:val="00874354"/>
    <w:rsid w:val="0088370A"/>
    <w:rsid w:val="0089108B"/>
    <w:rsid w:val="008A1AD1"/>
    <w:rsid w:val="008A34B9"/>
    <w:rsid w:val="008B3686"/>
    <w:rsid w:val="008B4EDE"/>
    <w:rsid w:val="008B5CAF"/>
    <w:rsid w:val="008B7E86"/>
    <w:rsid w:val="008C1D88"/>
    <w:rsid w:val="008C21E5"/>
    <w:rsid w:val="008C63D3"/>
    <w:rsid w:val="008C775A"/>
    <w:rsid w:val="008E2FC8"/>
    <w:rsid w:val="008E32DD"/>
    <w:rsid w:val="008E466E"/>
    <w:rsid w:val="008F1F66"/>
    <w:rsid w:val="00904CCA"/>
    <w:rsid w:val="009101A6"/>
    <w:rsid w:val="0091217B"/>
    <w:rsid w:val="009125DC"/>
    <w:rsid w:val="009128FF"/>
    <w:rsid w:val="00915A57"/>
    <w:rsid w:val="009161A5"/>
    <w:rsid w:val="009163A2"/>
    <w:rsid w:val="00923943"/>
    <w:rsid w:val="00926890"/>
    <w:rsid w:val="00933D8F"/>
    <w:rsid w:val="0093764D"/>
    <w:rsid w:val="009458E7"/>
    <w:rsid w:val="00946C40"/>
    <w:rsid w:val="00951757"/>
    <w:rsid w:val="00953797"/>
    <w:rsid w:val="00964940"/>
    <w:rsid w:val="00972E37"/>
    <w:rsid w:val="009739FF"/>
    <w:rsid w:val="00980008"/>
    <w:rsid w:val="00981DF3"/>
    <w:rsid w:val="009836C4"/>
    <w:rsid w:val="0098665E"/>
    <w:rsid w:val="00986912"/>
    <w:rsid w:val="00986984"/>
    <w:rsid w:val="009942B1"/>
    <w:rsid w:val="00994894"/>
    <w:rsid w:val="009973D1"/>
    <w:rsid w:val="009A0E85"/>
    <w:rsid w:val="009A5943"/>
    <w:rsid w:val="009A7744"/>
    <w:rsid w:val="009B0C63"/>
    <w:rsid w:val="009B14EE"/>
    <w:rsid w:val="009D047C"/>
    <w:rsid w:val="009D0E92"/>
    <w:rsid w:val="009D28DB"/>
    <w:rsid w:val="009D63A8"/>
    <w:rsid w:val="009D77D6"/>
    <w:rsid w:val="009E2825"/>
    <w:rsid w:val="009E2A69"/>
    <w:rsid w:val="009E4117"/>
    <w:rsid w:val="009E63D2"/>
    <w:rsid w:val="009E7BE9"/>
    <w:rsid w:val="009E7D10"/>
    <w:rsid w:val="009E7FE4"/>
    <w:rsid w:val="009F0F9C"/>
    <w:rsid w:val="009F5B26"/>
    <w:rsid w:val="00A00814"/>
    <w:rsid w:val="00A00E6C"/>
    <w:rsid w:val="00A015BB"/>
    <w:rsid w:val="00A01731"/>
    <w:rsid w:val="00A034D8"/>
    <w:rsid w:val="00A039EB"/>
    <w:rsid w:val="00A1706B"/>
    <w:rsid w:val="00A2045C"/>
    <w:rsid w:val="00A23D6B"/>
    <w:rsid w:val="00A2619B"/>
    <w:rsid w:val="00A264CE"/>
    <w:rsid w:val="00A33058"/>
    <w:rsid w:val="00A34B3C"/>
    <w:rsid w:val="00A44D0D"/>
    <w:rsid w:val="00A519CA"/>
    <w:rsid w:val="00A54502"/>
    <w:rsid w:val="00A57FD3"/>
    <w:rsid w:val="00A60675"/>
    <w:rsid w:val="00A759ED"/>
    <w:rsid w:val="00A82C76"/>
    <w:rsid w:val="00A83471"/>
    <w:rsid w:val="00A83872"/>
    <w:rsid w:val="00A85A8B"/>
    <w:rsid w:val="00AA4F21"/>
    <w:rsid w:val="00AA664A"/>
    <w:rsid w:val="00AA68D2"/>
    <w:rsid w:val="00AA7E48"/>
    <w:rsid w:val="00AB1C4C"/>
    <w:rsid w:val="00AB797B"/>
    <w:rsid w:val="00AC3B29"/>
    <w:rsid w:val="00AC71A1"/>
    <w:rsid w:val="00AC71CD"/>
    <w:rsid w:val="00AD4BA0"/>
    <w:rsid w:val="00AE0460"/>
    <w:rsid w:val="00AE19DD"/>
    <w:rsid w:val="00AE26D8"/>
    <w:rsid w:val="00AF11D6"/>
    <w:rsid w:val="00AF3005"/>
    <w:rsid w:val="00AF7814"/>
    <w:rsid w:val="00B05019"/>
    <w:rsid w:val="00B1397D"/>
    <w:rsid w:val="00B16137"/>
    <w:rsid w:val="00B23BBC"/>
    <w:rsid w:val="00B25A93"/>
    <w:rsid w:val="00B30FC9"/>
    <w:rsid w:val="00B32363"/>
    <w:rsid w:val="00B34DA8"/>
    <w:rsid w:val="00B4285F"/>
    <w:rsid w:val="00B44694"/>
    <w:rsid w:val="00B466A8"/>
    <w:rsid w:val="00B52938"/>
    <w:rsid w:val="00B54523"/>
    <w:rsid w:val="00B7252B"/>
    <w:rsid w:val="00B735EE"/>
    <w:rsid w:val="00B743AE"/>
    <w:rsid w:val="00B745EE"/>
    <w:rsid w:val="00B74C43"/>
    <w:rsid w:val="00B77C77"/>
    <w:rsid w:val="00B807B2"/>
    <w:rsid w:val="00B83D5D"/>
    <w:rsid w:val="00B8415E"/>
    <w:rsid w:val="00B84594"/>
    <w:rsid w:val="00B93555"/>
    <w:rsid w:val="00B93650"/>
    <w:rsid w:val="00B937C5"/>
    <w:rsid w:val="00BA0480"/>
    <w:rsid w:val="00BA10A4"/>
    <w:rsid w:val="00BA2A30"/>
    <w:rsid w:val="00BA3015"/>
    <w:rsid w:val="00BB364A"/>
    <w:rsid w:val="00BB4AED"/>
    <w:rsid w:val="00BB6C8C"/>
    <w:rsid w:val="00BC23B8"/>
    <w:rsid w:val="00BC2468"/>
    <w:rsid w:val="00BC28F8"/>
    <w:rsid w:val="00BC2C7E"/>
    <w:rsid w:val="00BC455B"/>
    <w:rsid w:val="00BC558D"/>
    <w:rsid w:val="00BC7A5A"/>
    <w:rsid w:val="00BD47AD"/>
    <w:rsid w:val="00BE1E9B"/>
    <w:rsid w:val="00BE494D"/>
    <w:rsid w:val="00BE5F3E"/>
    <w:rsid w:val="00BF6898"/>
    <w:rsid w:val="00C013BE"/>
    <w:rsid w:val="00C021E2"/>
    <w:rsid w:val="00C021EB"/>
    <w:rsid w:val="00C0480B"/>
    <w:rsid w:val="00C05E8E"/>
    <w:rsid w:val="00C12F8B"/>
    <w:rsid w:val="00C20766"/>
    <w:rsid w:val="00C303D6"/>
    <w:rsid w:val="00C31FB9"/>
    <w:rsid w:val="00C3270F"/>
    <w:rsid w:val="00C340A3"/>
    <w:rsid w:val="00C4408E"/>
    <w:rsid w:val="00C46D9D"/>
    <w:rsid w:val="00C471FA"/>
    <w:rsid w:val="00C47CE2"/>
    <w:rsid w:val="00C50D4D"/>
    <w:rsid w:val="00C568A2"/>
    <w:rsid w:val="00C57200"/>
    <w:rsid w:val="00C64D35"/>
    <w:rsid w:val="00C737E4"/>
    <w:rsid w:val="00C73E60"/>
    <w:rsid w:val="00C77004"/>
    <w:rsid w:val="00C82CFC"/>
    <w:rsid w:val="00C851C1"/>
    <w:rsid w:val="00C90695"/>
    <w:rsid w:val="00C92D9D"/>
    <w:rsid w:val="00C94562"/>
    <w:rsid w:val="00C94FDF"/>
    <w:rsid w:val="00C95FE2"/>
    <w:rsid w:val="00C96ACC"/>
    <w:rsid w:val="00CA0023"/>
    <w:rsid w:val="00CB2176"/>
    <w:rsid w:val="00CB39D4"/>
    <w:rsid w:val="00CB6160"/>
    <w:rsid w:val="00CC1F41"/>
    <w:rsid w:val="00CC2783"/>
    <w:rsid w:val="00CC5831"/>
    <w:rsid w:val="00CC59A7"/>
    <w:rsid w:val="00CC6327"/>
    <w:rsid w:val="00CD0118"/>
    <w:rsid w:val="00CD13DF"/>
    <w:rsid w:val="00CD5BCE"/>
    <w:rsid w:val="00CD650F"/>
    <w:rsid w:val="00CD6EFC"/>
    <w:rsid w:val="00CE590F"/>
    <w:rsid w:val="00CF6712"/>
    <w:rsid w:val="00D050F9"/>
    <w:rsid w:val="00D069A9"/>
    <w:rsid w:val="00D07E89"/>
    <w:rsid w:val="00D1643C"/>
    <w:rsid w:val="00D20614"/>
    <w:rsid w:val="00D21204"/>
    <w:rsid w:val="00D259FE"/>
    <w:rsid w:val="00D3062E"/>
    <w:rsid w:val="00D318B5"/>
    <w:rsid w:val="00D366AC"/>
    <w:rsid w:val="00D3794F"/>
    <w:rsid w:val="00D37DAA"/>
    <w:rsid w:val="00D4482F"/>
    <w:rsid w:val="00D706BF"/>
    <w:rsid w:val="00D768E3"/>
    <w:rsid w:val="00D80D3E"/>
    <w:rsid w:val="00D84815"/>
    <w:rsid w:val="00D86654"/>
    <w:rsid w:val="00D90973"/>
    <w:rsid w:val="00D962F1"/>
    <w:rsid w:val="00D97C59"/>
    <w:rsid w:val="00DA4145"/>
    <w:rsid w:val="00DA66DB"/>
    <w:rsid w:val="00DA79CF"/>
    <w:rsid w:val="00DA7D4B"/>
    <w:rsid w:val="00DB0705"/>
    <w:rsid w:val="00DC2D47"/>
    <w:rsid w:val="00DC3DED"/>
    <w:rsid w:val="00DC3EDF"/>
    <w:rsid w:val="00DC5024"/>
    <w:rsid w:val="00DC5490"/>
    <w:rsid w:val="00DD0F81"/>
    <w:rsid w:val="00DD43E7"/>
    <w:rsid w:val="00DD4AA9"/>
    <w:rsid w:val="00DD4E95"/>
    <w:rsid w:val="00DE2367"/>
    <w:rsid w:val="00DE3E0F"/>
    <w:rsid w:val="00E040C0"/>
    <w:rsid w:val="00E0562B"/>
    <w:rsid w:val="00E2547A"/>
    <w:rsid w:val="00E25E0A"/>
    <w:rsid w:val="00E26776"/>
    <w:rsid w:val="00E30F6B"/>
    <w:rsid w:val="00E335E8"/>
    <w:rsid w:val="00E35EA4"/>
    <w:rsid w:val="00E472E8"/>
    <w:rsid w:val="00E50639"/>
    <w:rsid w:val="00E52C33"/>
    <w:rsid w:val="00E64B4D"/>
    <w:rsid w:val="00E668A6"/>
    <w:rsid w:val="00E71BB9"/>
    <w:rsid w:val="00E74C7F"/>
    <w:rsid w:val="00E76840"/>
    <w:rsid w:val="00E80D3B"/>
    <w:rsid w:val="00E9361A"/>
    <w:rsid w:val="00E96ECA"/>
    <w:rsid w:val="00EA14F1"/>
    <w:rsid w:val="00EB474F"/>
    <w:rsid w:val="00EB7740"/>
    <w:rsid w:val="00EC71B5"/>
    <w:rsid w:val="00ED488F"/>
    <w:rsid w:val="00ED4AEF"/>
    <w:rsid w:val="00EE3A67"/>
    <w:rsid w:val="00EE3C63"/>
    <w:rsid w:val="00EF42FF"/>
    <w:rsid w:val="00EF4749"/>
    <w:rsid w:val="00EF6DEE"/>
    <w:rsid w:val="00F0005E"/>
    <w:rsid w:val="00F00CCC"/>
    <w:rsid w:val="00F00F4C"/>
    <w:rsid w:val="00F03A1E"/>
    <w:rsid w:val="00F07B57"/>
    <w:rsid w:val="00F101FA"/>
    <w:rsid w:val="00F128C7"/>
    <w:rsid w:val="00F14051"/>
    <w:rsid w:val="00F14D5B"/>
    <w:rsid w:val="00F217B2"/>
    <w:rsid w:val="00F3269E"/>
    <w:rsid w:val="00F32D58"/>
    <w:rsid w:val="00F3610B"/>
    <w:rsid w:val="00F404F4"/>
    <w:rsid w:val="00F4108A"/>
    <w:rsid w:val="00F4425C"/>
    <w:rsid w:val="00F51413"/>
    <w:rsid w:val="00F5155B"/>
    <w:rsid w:val="00F526BF"/>
    <w:rsid w:val="00F53714"/>
    <w:rsid w:val="00F545FB"/>
    <w:rsid w:val="00F54CE6"/>
    <w:rsid w:val="00F57C4A"/>
    <w:rsid w:val="00F60FBD"/>
    <w:rsid w:val="00F65735"/>
    <w:rsid w:val="00F661FF"/>
    <w:rsid w:val="00F8282B"/>
    <w:rsid w:val="00F83E94"/>
    <w:rsid w:val="00F90E32"/>
    <w:rsid w:val="00F94D47"/>
    <w:rsid w:val="00FA7EA6"/>
    <w:rsid w:val="00FB3221"/>
    <w:rsid w:val="00FD7349"/>
    <w:rsid w:val="00FE46B3"/>
    <w:rsid w:val="00FE6AEF"/>
    <w:rsid w:val="00FF21A2"/>
    <w:rsid w:val="00FF59BD"/>
    <w:rsid w:val="01BB1367"/>
    <w:rsid w:val="0220070B"/>
    <w:rsid w:val="02DF32CF"/>
    <w:rsid w:val="03192A63"/>
    <w:rsid w:val="04BF5456"/>
    <w:rsid w:val="04E378BE"/>
    <w:rsid w:val="057B29B4"/>
    <w:rsid w:val="0635675A"/>
    <w:rsid w:val="07051CE6"/>
    <w:rsid w:val="07EA0BEC"/>
    <w:rsid w:val="08556EE7"/>
    <w:rsid w:val="09B83B2B"/>
    <w:rsid w:val="09E3201C"/>
    <w:rsid w:val="0A6F1264"/>
    <w:rsid w:val="0C930651"/>
    <w:rsid w:val="0CC07CEB"/>
    <w:rsid w:val="0D3D0E24"/>
    <w:rsid w:val="0E5478BD"/>
    <w:rsid w:val="10945AF5"/>
    <w:rsid w:val="116021A5"/>
    <w:rsid w:val="117546A3"/>
    <w:rsid w:val="11941420"/>
    <w:rsid w:val="12E400DB"/>
    <w:rsid w:val="132B624C"/>
    <w:rsid w:val="13617C08"/>
    <w:rsid w:val="13AC7923"/>
    <w:rsid w:val="177D1B91"/>
    <w:rsid w:val="1AA355E8"/>
    <w:rsid w:val="1ADC00C7"/>
    <w:rsid w:val="1B3C6AA6"/>
    <w:rsid w:val="1B472792"/>
    <w:rsid w:val="1BE53369"/>
    <w:rsid w:val="1C534DE0"/>
    <w:rsid w:val="1D927B8A"/>
    <w:rsid w:val="1E092862"/>
    <w:rsid w:val="1FA13836"/>
    <w:rsid w:val="20461721"/>
    <w:rsid w:val="205C5D0F"/>
    <w:rsid w:val="208812E7"/>
    <w:rsid w:val="223E777F"/>
    <w:rsid w:val="23D4097D"/>
    <w:rsid w:val="251610A0"/>
    <w:rsid w:val="253C20F8"/>
    <w:rsid w:val="25C076A9"/>
    <w:rsid w:val="26143F52"/>
    <w:rsid w:val="26E34FB2"/>
    <w:rsid w:val="2729330D"/>
    <w:rsid w:val="27514612"/>
    <w:rsid w:val="2768460D"/>
    <w:rsid w:val="27865E65"/>
    <w:rsid w:val="278B3DC3"/>
    <w:rsid w:val="293F578D"/>
    <w:rsid w:val="29922BE8"/>
    <w:rsid w:val="2A7C4436"/>
    <w:rsid w:val="2A8F1EA5"/>
    <w:rsid w:val="2AAD1B5F"/>
    <w:rsid w:val="2B812C80"/>
    <w:rsid w:val="2C1F6A8C"/>
    <w:rsid w:val="2D116406"/>
    <w:rsid w:val="2DAF74A3"/>
    <w:rsid w:val="2DC930B9"/>
    <w:rsid w:val="30383F84"/>
    <w:rsid w:val="30E87D95"/>
    <w:rsid w:val="32BB0A54"/>
    <w:rsid w:val="33B377A4"/>
    <w:rsid w:val="33DB2AC7"/>
    <w:rsid w:val="36646EFD"/>
    <w:rsid w:val="373D25D9"/>
    <w:rsid w:val="37A15ABF"/>
    <w:rsid w:val="37B73C0F"/>
    <w:rsid w:val="3875059D"/>
    <w:rsid w:val="38A201BB"/>
    <w:rsid w:val="39C70FF9"/>
    <w:rsid w:val="3AA33C3A"/>
    <w:rsid w:val="3AB1423F"/>
    <w:rsid w:val="3AB93A5D"/>
    <w:rsid w:val="3B62573A"/>
    <w:rsid w:val="3D110082"/>
    <w:rsid w:val="3E584259"/>
    <w:rsid w:val="3EFD65C9"/>
    <w:rsid w:val="3FCF485A"/>
    <w:rsid w:val="401657FA"/>
    <w:rsid w:val="40F31759"/>
    <w:rsid w:val="43197030"/>
    <w:rsid w:val="44FF5CD9"/>
    <w:rsid w:val="452151CC"/>
    <w:rsid w:val="46A211A2"/>
    <w:rsid w:val="4B127E81"/>
    <w:rsid w:val="4B413908"/>
    <w:rsid w:val="4BB71050"/>
    <w:rsid w:val="4D7F3164"/>
    <w:rsid w:val="4DF73C69"/>
    <w:rsid w:val="4E4D5283"/>
    <w:rsid w:val="4E600B13"/>
    <w:rsid w:val="4EDE49FA"/>
    <w:rsid w:val="4EE01C53"/>
    <w:rsid w:val="4F054FD8"/>
    <w:rsid w:val="51614BED"/>
    <w:rsid w:val="516F72BF"/>
    <w:rsid w:val="517A5F60"/>
    <w:rsid w:val="518029B4"/>
    <w:rsid w:val="51826FC0"/>
    <w:rsid w:val="51E475A2"/>
    <w:rsid w:val="51F003FF"/>
    <w:rsid w:val="534F1565"/>
    <w:rsid w:val="545E5C23"/>
    <w:rsid w:val="55575E7C"/>
    <w:rsid w:val="55614D33"/>
    <w:rsid w:val="5590080B"/>
    <w:rsid w:val="56487427"/>
    <w:rsid w:val="5AD33F26"/>
    <w:rsid w:val="5AED4B69"/>
    <w:rsid w:val="5B87770C"/>
    <w:rsid w:val="5CD1707F"/>
    <w:rsid w:val="5DAE4FBE"/>
    <w:rsid w:val="5DDB689A"/>
    <w:rsid w:val="5DFB0858"/>
    <w:rsid w:val="5E0F4EB7"/>
    <w:rsid w:val="5E175574"/>
    <w:rsid w:val="5E1E3045"/>
    <w:rsid w:val="5F9404DA"/>
    <w:rsid w:val="614C5210"/>
    <w:rsid w:val="618E39E0"/>
    <w:rsid w:val="62AC3ECF"/>
    <w:rsid w:val="64462C35"/>
    <w:rsid w:val="64803865"/>
    <w:rsid w:val="656F0CF8"/>
    <w:rsid w:val="677F3657"/>
    <w:rsid w:val="67F51780"/>
    <w:rsid w:val="699E3448"/>
    <w:rsid w:val="6A2C47E9"/>
    <w:rsid w:val="6EAE3F01"/>
    <w:rsid w:val="6F8E2E2E"/>
    <w:rsid w:val="6FF675F6"/>
    <w:rsid w:val="70ED2282"/>
    <w:rsid w:val="741B7106"/>
    <w:rsid w:val="75AE1001"/>
    <w:rsid w:val="761A4640"/>
    <w:rsid w:val="76B27DE0"/>
    <w:rsid w:val="785B1BF7"/>
    <w:rsid w:val="78604120"/>
    <w:rsid w:val="7A082280"/>
    <w:rsid w:val="7AB76B71"/>
    <w:rsid w:val="7AE40E1B"/>
    <w:rsid w:val="7C2154D6"/>
    <w:rsid w:val="7C762FF7"/>
    <w:rsid w:val="7CC52305"/>
    <w:rsid w:val="7D662FD0"/>
    <w:rsid w:val="7DFC799A"/>
    <w:rsid w:val="7ED22AB7"/>
    <w:rsid w:val="7FE6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F0715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character" w:styleId="ad">
    <w:name w:val="Hyperlink"/>
    <w:basedOn w:val="a0"/>
    <w:uiPriority w:val="99"/>
    <w:unhideWhenUsed/>
    <w:qFormat/>
    <w:rPr>
      <w:color w:val="0000FF"/>
      <w:u w:val="single"/>
    </w:rPr>
  </w:style>
  <w:style w:type="character" w:styleId="ae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4">
    <w:name w:val="批注文字字符"/>
    <w:basedOn w:val="a0"/>
    <w:link w:val="a3"/>
    <w:uiPriority w:val="99"/>
    <w:semiHidden/>
    <w:qFormat/>
  </w:style>
  <w:style w:type="character" w:customStyle="1" w:styleId="ac">
    <w:name w:val="批注主题字符"/>
    <w:basedOn w:val="a4"/>
    <w:link w:val="ab"/>
    <w:uiPriority w:val="99"/>
    <w:semiHidden/>
    <w:qFormat/>
    <w:rPr>
      <w:b/>
      <w:bCs/>
    </w:rPr>
  </w:style>
  <w:style w:type="character" w:customStyle="1" w:styleId="a6">
    <w:name w:val="批注框文本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a">
    <w:name w:val="页眉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字符"/>
    <w:basedOn w:val="a0"/>
    <w:link w:val="a7"/>
    <w:uiPriority w:val="99"/>
    <w:qFormat/>
    <w:rPr>
      <w:sz w:val="18"/>
      <w:szCs w:val="18"/>
    </w:rPr>
  </w:style>
  <w:style w:type="paragraph" w:styleId="af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20" Type="http://schemas.openxmlformats.org/officeDocument/2006/relationships/image" Target="media/image15.jpeg"/><Relationship Id="rId21" Type="http://schemas.openxmlformats.org/officeDocument/2006/relationships/image" Target="media/image16.jpeg"/><Relationship Id="rId22" Type="http://schemas.openxmlformats.org/officeDocument/2006/relationships/fontTable" Target="fontTable.xml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1" Type="http://schemas.openxmlformats.org/officeDocument/2006/relationships/image" Target="media/image6.jpeg"/><Relationship Id="rId12" Type="http://schemas.openxmlformats.org/officeDocument/2006/relationships/image" Target="media/image7.jpeg"/><Relationship Id="rId13" Type="http://schemas.openxmlformats.org/officeDocument/2006/relationships/image" Target="media/image8.jpeg"/><Relationship Id="rId14" Type="http://schemas.openxmlformats.org/officeDocument/2006/relationships/image" Target="media/image9.jpeg"/><Relationship Id="rId15" Type="http://schemas.openxmlformats.org/officeDocument/2006/relationships/image" Target="media/image10.jpeg"/><Relationship Id="rId16" Type="http://schemas.openxmlformats.org/officeDocument/2006/relationships/image" Target="media/image11.jpeg"/><Relationship Id="rId17" Type="http://schemas.openxmlformats.org/officeDocument/2006/relationships/image" Target="media/image12.jpeg"/><Relationship Id="rId18" Type="http://schemas.openxmlformats.org/officeDocument/2006/relationships/image" Target="media/image13.jpeg"/><Relationship Id="rId19" Type="http://schemas.openxmlformats.org/officeDocument/2006/relationships/image" Target="media/image14.jpeg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inano_donghq@tongji.edu.cn" TargetMode="Externa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18</Pages>
  <Words>1158</Words>
  <Characters>6605</Characters>
  <Application>Microsoft Macintosh Word</Application>
  <DocSecurity>0</DocSecurity>
  <Lines>55</Lines>
  <Paragraphs>15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Yin weimin</dc:creator>
  <cp:lastModifiedBy>Yin weimin</cp:lastModifiedBy>
  <cp:revision>213</cp:revision>
  <dcterms:created xsi:type="dcterms:W3CDTF">2024-01-07T12:13:00Z</dcterms:created>
  <dcterms:modified xsi:type="dcterms:W3CDTF">2026-03-11T02:44:00Z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eyJoZGlkIjoiNWVkMzUwOWZmNTgyZGFjNmVhNWI4ZjQzNDAwZWM3YzciLCJ1c2VySWQiOiIxNjIzNjEzMDc0In0=</vt:lpwstr>
  </property>
  <property fmtid="{D5CDD505-2E9C-101B-9397-08002B2CF9AE}" pid="3" name="KSOProductBuildVer">
    <vt:lpwstr>2052-12.1.0.23542</vt:lpwstr>
  </property>
  <property fmtid="{D5CDD505-2E9C-101B-9397-08002B2CF9AE}" pid="4" name="ICV">
    <vt:lpwstr>0AC9F96F90BA4B6DB01662931B33764B_13</vt:lpwstr>
  </property>
</Properties>
</file>