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0DDE1">
      <w:pPr>
        <w:spacing w:line="360" w:lineRule="auto"/>
        <w:ind w:firstLine="0" w:firstLineChars="0"/>
        <w:jc w:val="both"/>
        <w:rPr>
          <w:lang w:bidi="ar"/>
        </w:rPr>
      </w:pPr>
      <w:r>
        <w:rPr>
          <w:lang w:bidi="ar"/>
        </w:rPr>
        <w:t>Supplementary In</w:t>
      </w:r>
      <w:r>
        <w:rPr>
          <w:rFonts w:hint="eastAsia"/>
          <w:lang w:bidi="ar"/>
        </w:rPr>
        <w:t>formation</w:t>
      </w:r>
    </w:p>
    <w:p w14:paraId="72563345">
      <w:pPr>
        <w:spacing w:line="360" w:lineRule="auto"/>
        <w:ind w:left="0" w:leftChars="0" w:firstLine="0" w:firstLineChars="0"/>
        <w:jc w:val="both"/>
        <w:rPr>
          <w:rFonts w:hint="eastAsia" w:ascii="Times New Roman" w:hAnsi="Times New Roman"/>
          <w:b/>
          <w:bCs/>
          <w:color w:val="2A2B2E"/>
          <w:sz w:val="28"/>
          <w:szCs w:val="28"/>
          <w:highlight w:val="none"/>
          <w:shd w:val="clear" w:color="auto" w:fill="FFFFFF"/>
        </w:rPr>
      </w:pPr>
      <w:r>
        <w:rPr>
          <w:rFonts w:hint="eastAsia" w:ascii="Times New Roman" w:hAnsi="Times New Roman"/>
          <w:b/>
          <w:bCs/>
          <w:color w:val="2A2B2E"/>
          <w:sz w:val="28"/>
          <w:szCs w:val="28"/>
          <w:highlight w:val="none"/>
          <w:shd w:val="clear" w:color="auto" w:fill="FFFFFF"/>
        </w:rPr>
        <w:t>Dual-Action Selenium Nanodrugs Confer Synergistic Protection against Parkinson's Disease via Mitochondrial-Targeted Antioxidant Therapy and Selenoprotein P-Mediated Selenium Mobilization</w:t>
      </w:r>
    </w:p>
    <w:p w14:paraId="20BBD31E">
      <w:pPr>
        <w:spacing w:line="360" w:lineRule="auto"/>
        <w:rPr>
          <w:rFonts w:ascii="Times New Roman" w:hAnsi="Times New Roman"/>
          <w:color w:val="2A2B2E"/>
          <w:sz w:val="24"/>
          <w:highlight w:val="none"/>
          <w:shd w:val="clear" w:color="auto" w:fill="FFFFFF"/>
        </w:rPr>
      </w:pPr>
    </w:p>
    <w:p w14:paraId="126B2824">
      <w:pPr>
        <w:spacing w:line="360" w:lineRule="auto"/>
        <w:ind w:left="0" w:leftChars="0" w:firstLine="0" w:firstLineChars="0"/>
        <w:jc w:val="both"/>
        <w:rPr>
          <w:rFonts w:ascii="Times New Roman" w:hAnsi="Times New Roman"/>
          <w:color w:val="2A2B2E"/>
          <w:sz w:val="24"/>
          <w:highlight w:val="none"/>
          <w:shd w:val="clear" w:color="auto" w:fill="FFFFFF"/>
          <w:vertAlign w:val="superscript"/>
        </w:rPr>
      </w:pPr>
      <w:r>
        <w:rPr>
          <w:rFonts w:hint="eastAsia" w:ascii="Times New Roman" w:hAnsi="Times New Roman"/>
          <w:color w:val="2A2B2E"/>
          <w:sz w:val="24"/>
          <w:highlight w:val="none"/>
          <w:shd w:val="clear" w:color="auto" w:fill="FFFFFF"/>
        </w:rPr>
        <w:t>Li Lei</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vertAlign w:val="superscript"/>
          <w:lang w:val="en-US" w:eastAsia="zh-CN"/>
        </w:rPr>
        <w:t xml:space="preserve"> 4,</w:t>
      </w:r>
      <w:r>
        <w:rPr>
          <w:rFonts w:hint="eastAsia" w:ascii="Times New Roman" w:hAnsi="Times New Roman"/>
          <w:color w:val="2A2B2E"/>
          <w:sz w:val="24"/>
          <w:highlight w:val="none"/>
          <w:shd w:val="clear" w:color="auto" w:fill="FFFFFF"/>
          <w:vertAlign w:val="superscript"/>
        </w:rPr>
        <w:t xml:space="preserve"> a, *</w:t>
      </w:r>
      <w:r>
        <w:rPr>
          <w:rFonts w:hint="eastAsia" w:ascii="Times New Roman" w:hAnsi="Times New Roman"/>
          <w:color w:val="2A2B2E"/>
          <w:sz w:val="24"/>
          <w:highlight w:val="none"/>
          <w:shd w:val="clear" w:color="auto" w:fill="FFFFFF"/>
        </w:rPr>
        <w:t>, Lingli Song</w:t>
      </w:r>
      <w:r>
        <w:rPr>
          <w:rFonts w:hint="eastAsia" w:ascii="Times New Roman" w:hAnsi="Times New Roman"/>
          <w:color w:val="2A2B2E"/>
          <w:sz w:val="24"/>
          <w:highlight w:val="none"/>
          <w:shd w:val="clear" w:color="auto" w:fill="FFFFFF"/>
          <w:vertAlign w:val="superscript"/>
        </w:rPr>
        <w:t>1, a</w:t>
      </w:r>
      <w:r>
        <w:rPr>
          <w:rFonts w:hint="eastAsia" w:ascii="Times New Roman" w:hAnsi="Times New Roman"/>
          <w:color w:val="2A2B2E"/>
          <w:sz w:val="24"/>
          <w:highlight w:val="none"/>
          <w:shd w:val="clear" w:color="auto" w:fill="FFFFFF"/>
        </w:rPr>
        <w:t>, Qihang Ao</w:t>
      </w:r>
      <w:r>
        <w:rPr>
          <w:rFonts w:hint="eastAsia" w:ascii="Times New Roman" w:hAnsi="Times New Roman"/>
          <w:color w:val="2A2B2E"/>
          <w:sz w:val="24"/>
          <w:highlight w:val="none"/>
          <w:shd w:val="clear" w:color="auto" w:fill="FFFFFF"/>
          <w:vertAlign w:val="superscript"/>
        </w:rPr>
        <w:t>1, a</w:t>
      </w:r>
      <w:r>
        <w:rPr>
          <w:rFonts w:hint="eastAsia" w:ascii="Times New Roman" w:hAnsi="Times New Roman"/>
          <w:color w:val="2A2B2E"/>
          <w:sz w:val="24"/>
          <w:highlight w:val="none"/>
          <w:shd w:val="clear" w:color="auto" w:fill="FFFFFF"/>
        </w:rPr>
        <w:t>, Qian Zhen</w:t>
      </w:r>
      <w:r>
        <w:rPr>
          <w:rFonts w:hint="eastAsia"/>
          <w:color w:val="2A2B2E"/>
          <w:sz w:val="24"/>
          <w:highlight w:val="none"/>
          <w:shd w:val="clear" w:color="auto" w:fill="FFFFFF"/>
          <w:lang w:val="en-US" w:eastAsia="zh-CN"/>
        </w:rPr>
        <w:t>g</w:t>
      </w:r>
      <w:r>
        <w:rPr>
          <w:rFonts w:hint="eastAsia" w:ascii="Times New Roman" w:hAnsi="Times New Roman"/>
          <w:color w:val="2A2B2E"/>
          <w:sz w:val="24"/>
          <w:highlight w:val="none"/>
          <w:shd w:val="clear" w:color="auto" w:fill="FFFFFF"/>
          <w:vertAlign w:val="superscript"/>
        </w:rPr>
        <w:t>3</w:t>
      </w:r>
      <w:r>
        <w:rPr>
          <w:rFonts w:hint="eastAsia" w:ascii="Times New Roman" w:hAnsi="Times New Roman"/>
          <w:color w:val="2A2B2E"/>
          <w:sz w:val="24"/>
          <w:highlight w:val="none"/>
          <w:shd w:val="clear" w:color="auto" w:fill="FFFFFF"/>
        </w:rPr>
        <w:t>, Qiuxia Tu</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We</w:t>
      </w:r>
      <w:r>
        <w:rPr>
          <w:rFonts w:hint="eastAsia" w:ascii="Times New Roman" w:hAnsi="Times New Roman"/>
          <w:color w:val="2A2B2E"/>
          <w:sz w:val="24"/>
          <w:highlight w:val="none"/>
          <w:shd w:val="clear" w:color="auto" w:fill="FFFFFF"/>
          <w:lang w:val="en-US" w:eastAsia="zh-CN"/>
        </w:rPr>
        <w:t>n</w:t>
      </w:r>
      <w:r>
        <w:rPr>
          <w:rFonts w:hint="eastAsia" w:ascii="Times New Roman" w:hAnsi="Times New Roman"/>
          <w:color w:val="2A2B2E"/>
          <w:sz w:val="24"/>
          <w:highlight w:val="none"/>
          <w:shd w:val="clear" w:color="auto" w:fill="FFFFFF"/>
        </w:rPr>
        <w:t xml:space="preserve"> Zheng</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Jiaojiao Wang</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Xincheng Long</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Yongsheng Huang</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Shengkai Li</w:t>
      </w:r>
      <w:r>
        <w:rPr>
          <w:rFonts w:hint="eastAsia" w:ascii="Times New Roman" w:hAnsi="Times New Roman"/>
          <w:color w:val="2A2B2E"/>
          <w:sz w:val="24"/>
          <w:highlight w:val="none"/>
          <w:shd w:val="clear" w:color="auto" w:fill="FFFFFF"/>
          <w:vertAlign w:val="superscript"/>
        </w:rPr>
        <w:t>1</w:t>
      </w:r>
      <w:r>
        <w:rPr>
          <w:rFonts w:hint="eastAsia" w:ascii="Times New Roman" w:hAnsi="Times New Roman"/>
          <w:color w:val="2A2B2E"/>
          <w:sz w:val="24"/>
          <w:highlight w:val="none"/>
          <w:shd w:val="clear" w:color="auto" w:fill="FFFFFF"/>
        </w:rPr>
        <w:t>, Haijun Yu</w:t>
      </w:r>
      <w:r>
        <w:rPr>
          <w:rFonts w:hint="eastAsia" w:ascii="Times New Roman" w:hAnsi="Times New Roman"/>
          <w:color w:val="2A2B2E"/>
          <w:sz w:val="24"/>
          <w:highlight w:val="none"/>
          <w:shd w:val="clear" w:color="auto" w:fill="FFFFFF"/>
          <w:vertAlign w:val="superscript"/>
        </w:rPr>
        <w:t>4, *</w:t>
      </w:r>
      <w:r>
        <w:rPr>
          <w:rFonts w:hint="eastAsia" w:ascii="Times New Roman" w:hAnsi="Times New Roman"/>
          <w:color w:val="2A2B2E"/>
          <w:sz w:val="24"/>
          <w:highlight w:val="none"/>
          <w:shd w:val="clear" w:color="auto" w:fill="FFFFFF"/>
        </w:rPr>
        <w:t>, Lei Tang</w:t>
      </w:r>
      <w:r>
        <w:rPr>
          <w:rFonts w:hint="eastAsia" w:ascii="Times New Roman" w:hAnsi="Times New Roman"/>
          <w:color w:val="2A2B2E"/>
          <w:sz w:val="24"/>
          <w:highlight w:val="none"/>
          <w:shd w:val="clear" w:color="auto" w:fill="FFFFFF"/>
          <w:vertAlign w:val="superscript"/>
        </w:rPr>
        <w:t>2, *</w:t>
      </w:r>
      <w:r>
        <w:rPr>
          <w:rFonts w:hint="eastAsia" w:ascii="Times New Roman" w:hAnsi="Times New Roman"/>
          <w:color w:val="2A2B2E"/>
          <w:sz w:val="24"/>
          <w:highlight w:val="none"/>
          <w:shd w:val="clear" w:color="auto" w:fill="FFFFFF"/>
        </w:rPr>
        <w:t>, Chunlin Zhang</w:t>
      </w:r>
      <w:r>
        <w:rPr>
          <w:rFonts w:hint="eastAsia" w:ascii="Times New Roman" w:hAnsi="Times New Roman"/>
          <w:color w:val="2A2B2E"/>
          <w:sz w:val="24"/>
          <w:highlight w:val="none"/>
          <w:shd w:val="clear" w:color="auto" w:fill="FFFFFF"/>
          <w:vertAlign w:val="superscript"/>
        </w:rPr>
        <w:t>1, *</w:t>
      </w:r>
    </w:p>
    <w:p w14:paraId="5B8C7FF5">
      <w:pPr>
        <w:spacing w:line="360" w:lineRule="auto"/>
        <w:rPr>
          <w:rFonts w:ascii="Times New Roman" w:hAnsi="Times New Roman"/>
          <w:color w:val="2A2B2E"/>
          <w:sz w:val="24"/>
          <w:highlight w:val="none"/>
          <w:shd w:val="clear" w:color="auto" w:fill="FFFFFF"/>
          <w:vertAlign w:val="superscript"/>
        </w:rPr>
      </w:pPr>
    </w:p>
    <w:p w14:paraId="3815B38B">
      <w:pPr>
        <w:spacing w:line="360" w:lineRule="auto"/>
        <w:ind w:left="0" w:leftChars="0" w:firstLine="0" w:firstLineChars="0"/>
        <w:jc w:val="both"/>
        <w:rPr>
          <w:rFonts w:ascii="Times New Roman" w:hAnsi="Times New Roman"/>
          <w:color w:val="333333"/>
          <w:sz w:val="24"/>
          <w:highlight w:val="none"/>
          <w:shd w:val="clear" w:color="auto" w:fill="FFFFFF"/>
        </w:rPr>
      </w:pPr>
      <w:r>
        <w:rPr>
          <w:rFonts w:hint="eastAsia" w:ascii="Times New Roman" w:hAnsi="Times New Roman"/>
          <w:color w:val="333333"/>
          <w:sz w:val="28"/>
          <w:szCs w:val="28"/>
          <w:highlight w:val="none"/>
          <w:shd w:val="clear" w:color="auto" w:fill="FFFFFF"/>
          <w:vertAlign w:val="superscript"/>
        </w:rPr>
        <w:t>1</w:t>
      </w:r>
      <w:r>
        <w:rPr>
          <w:rFonts w:ascii="Times New Roman" w:hAnsi="Times New Roman"/>
          <w:color w:val="333333"/>
          <w:sz w:val="28"/>
          <w:szCs w:val="28"/>
          <w:highlight w:val="none"/>
          <w:shd w:val="clear" w:color="auto" w:fill="FFFFFF"/>
          <w:vertAlign w:val="superscript"/>
        </w:rPr>
        <w:t xml:space="preserve"> </w:t>
      </w:r>
      <w:r>
        <w:rPr>
          <w:rFonts w:ascii="Times New Roman" w:hAnsi="Times New Roman"/>
          <w:color w:val="333333"/>
          <w:sz w:val="24"/>
          <w:highlight w:val="none"/>
          <w:shd w:val="clear" w:color="auto" w:fill="FFFFFF"/>
        </w:rPr>
        <w:t xml:space="preserve">Engineering Research Center for Molecular Medicine, </w:t>
      </w:r>
      <w:r>
        <w:rPr>
          <w:rFonts w:hint="eastAsia" w:ascii="Times New Roman" w:hAnsi="Times New Roman" w:eastAsia="等线"/>
          <w:bCs/>
          <w:color w:val="000000" w:themeColor="text1"/>
          <w:sz w:val="24"/>
          <w:highlight w:val="none"/>
          <w14:textFill>
            <w14:solidFill>
              <w14:schemeClr w14:val="tx1"/>
            </w14:solidFill>
          </w14:textFill>
        </w:rPr>
        <w:t xml:space="preserve">Key Laboratory </w:t>
      </w:r>
      <w:r>
        <w:rPr>
          <w:rFonts w:hint="eastAsia" w:ascii="Times New Roman" w:hAnsi="Times New Roman" w:eastAsia="等线"/>
          <w:bCs/>
          <w:color w:val="000000" w:themeColor="text1"/>
          <w:sz w:val="24"/>
          <w:highlight w:val="none"/>
          <w:lang w:val="en-GB"/>
          <w14:textFill>
            <w14:solidFill>
              <w14:schemeClr w14:val="tx1"/>
            </w14:solidFill>
          </w14:textFill>
        </w:rPr>
        <w:t>of Medical Molecular Biology of Guizhou Province</w:t>
      </w:r>
      <w:r>
        <w:rPr>
          <w:rFonts w:hint="eastAsia" w:ascii="Times New Roman" w:hAnsi="Times New Roman" w:eastAsia="等线"/>
          <w:bCs/>
          <w:color w:val="000000" w:themeColor="text1"/>
          <w:sz w:val="24"/>
          <w:highlight w:val="none"/>
          <w14:textFill>
            <w14:solidFill>
              <w14:schemeClr w14:val="tx1"/>
            </w14:solidFill>
          </w14:textFill>
        </w:rPr>
        <w:t xml:space="preserve">, </w:t>
      </w:r>
      <w:r>
        <w:rPr>
          <w:rFonts w:ascii="Times New Roman" w:hAnsi="Times New Roman"/>
          <w:color w:val="333333"/>
          <w:sz w:val="24"/>
          <w:highlight w:val="none"/>
          <w:shd w:val="clear" w:color="auto" w:fill="FFFFFF"/>
        </w:rPr>
        <w:t xml:space="preserve">School of Basic Medical Science, Guizhou Medical University, </w:t>
      </w:r>
      <w:r>
        <w:rPr>
          <w:rFonts w:hint="eastAsia" w:ascii="Times New Roman" w:hAnsi="Times New Roman"/>
          <w:color w:val="333333"/>
          <w:sz w:val="24"/>
          <w:highlight w:val="none"/>
          <w:shd w:val="clear" w:color="auto" w:fill="FFFFFF"/>
        </w:rPr>
        <w:t>Guiyang 561113, P.R. China.</w:t>
      </w:r>
    </w:p>
    <w:p w14:paraId="3395B7A9">
      <w:pPr>
        <w:spacing w:line="360" w:lineRule="auto"/>
        <w:ind w:left="0" w:leftChars="0" w:firstLine="0" w:firstLineChars="0"/>
        <w:jc w:val="both"/>
        <w:rPr>
          <w:rFonts w:ascii="Times New Roman" w:hAnsi="Times New Roman"/>
          <w:color w:val="333333"/>
          <w:sz w:val="24"/>
          <w:highlight w:val="none"/>
          <w:shd w:val="clear" w:color="auto" w:fill="FFFFFF"/>
        </w:rPr>
      </w:pPr>
      <w:r>
        <w:rPr>
          <w:rFonts w:hint="eastAsia" w:ascii="Times New Roman" w:hAnsi="Times New Roman"/>
          <w:color w:val="333333"/>
          <w:sz w:val="24"/>
          <w:highlight w:val="none"/>
          <w:shd w:val="clear" w:color="auto" w:fill="FFFFFF"/>
          <w:vertAlign w:val="superscript"/>
        </w:rPr>
        <w:t xml:space="preserve">2 </w:t>
      </w:r>
      <w:r>
        <w:rPr>
          <w:rFonts w:hint="eastAsia" w:ascii="Times New Roman" w:hAnsi="Times New Roman"/>
          <w:color w:val="333333"/>
          <w:sz w:val="24"/>
          <w:highlight w:val="none"/>
          <w:shd w:val="clear" w:color="auto" w:fill="FFFFFF"/>
        </w:rPr>
        <w:t>State Key Laboratory of Discovery and Utilization of Functional Components in Traditional ChineseMedicine, Guizhou Medical University, Guiyang 561113, P.R. China.</w:t>
      </w:r>
    </w:p>
    <w:p w14:paraId="11B391E8">
      <w:pPr>
        <w:spacing w:line="360" w:lineRule="auto"/>
        <w:ind w:left="0" w:leftChars="0" w:firstLine="0" w:firstLineChars="0"/>
        <w:jc w:val="both"/>
        <w:rPr>
          <w:rFonts w:ascii="Times New Roman" w:hAnsi="Times New Roman"/>
          <w:color w:val="333333"/>
          <w:sz w:val="24"/>
          <w:highlight w:val="none"/>
          <w:shd w:val="clear" w:color="auto" w:fill="FFFFFF"/>
        </w:rPr>
      </w:pPr>
      <w:r>
        <w:rPr>
          <w:rFonts w:hint="eastAsia" w:ascii="Times New Roman" w:hAnsi="Times New Roman"/>
          <w:color w:val="333333"/>
          <w:sz w:val="28"/>
          <w:szCs w:val="28"/>
          <w:highlight w:val="none"/>
          <w:shd w:val="clear" w:color="auto" w:fill="FFFFFF"/>
          <w:vertAlign w:val="superscript"/>
        </w:rPr>
        <w:t>3</w:t>
      </w:r>
      <w:r>
        <w:rPr>
          <w:rFonts w:ascii="Times New Roman" w:hAnsi="Times New Roman"/>
          <w:color w:val="333333"/>
          <w:sz w:val="28"/>
          <w:szCs w:val="28"/>
          <w:highlight w:val="none"/>
          <w:shd w:val="clear" w:color="auto" w:fill="FFFFFF"/>
          <w:vertAlign w:val="superscript"/>
        </w:rPr>
        <w:t xml:space="preserve"> </w:t>
      </w:r>
      <w:r>
        <w:rPr>
          <w:rFonts w:ascii="Times New Roman" w:hAnsi="Times New Roman"/>
          <w:color w:val="333333"/>
          <w:sz w:val="24"/>
          <w:highlight w:val="none"/>
          <w:shd w:val="clear" w:color="auto" w:fill="FFFFFF"/>
        </w:rPr>
        <w:t>Department of Neurology</w:t>
      </w:r>
      <w:r>
        <w:rPr>
          <w:rFonts w:hint="eastAsia" w:ascii="Times New Roman" w:hAnsi="Times New Roman"/>
          <w:color w:val="333333"/>
          <w:sz w:val="24"/>
          <w:highlight w:val="none"/>
          <w:shd w:val="clear" w:color="auto" w:fill="FFFFFF"/>
        </w:rPr>
        <w:t xml:space="preserve"> &amp; </w:t>
      </w:r>
      <w:r>
        <w:rPr>
          <w:rFonts w:hint="eastAsia" w:ascii="Times New Roman" w:hAnsi="Times New Roman"/>
          <w:sz w:val="24"/>
          <w:highlight w:val="none"/>
        </w:rPr>
        <w:t xml:space="preserve">Department of Neurosurgery, </w:t>
      </w:r>
      <w:r>
        <w:rPr>
          <w:rFonts w:ascii="Times New Roman" w:hAnsi="Times New Roman"/>
          <w:color w:val="333333"/>
          <w:sz w:val="24"/>
          <w:highlight w:val="none"/>
          <w:shd w:val="clear" w:color="auto" w:fill="FFFFFF"/>
        </w:rPr>
        <w:t xml:space="preserve">Affiliated Hospital of Guizhou Medical University, </w:t>
      </w:r>
      <w:r>
        <w:rPr>
          <w:rFonts w:hint="eastAsia" w:ascii="Times New Roman" w:hAnsi="Times New Roman"/>
          <w:color w:val="333333"/>
          <w:sz w:val="24"/>
          <w:highlight w:val="none"/>
          <w:shd w:val="clear" w:color="auto" w:fill="FFFFFF"/>
        </w:rPr>
        <w:t>Guiyang 561113, P.R. China.</w:t>
      </w:r>
    </w:p>
    <w:p w14:paraId="30F13E02">
      <w:pPr>
        <w:widowControl/>
        <w:spacing w:line="480" w:lineRule="auto"/>
        <w:ind w:left="0" w:leftChars="0" w:right="240" w:rightChars="100" w:firstLine="0" w:firstLineChars="0"/>
        <w:jc w:val="both"/>
        <w:rPr>
          <w:rFonts w:ascii="Times New Roman" w:hAnsi="Times New Roman" w:eastAsia="等线"/>
          <w:bCs/>
          <w:sz w:val="24"/>
          <w:highlight w:val="none"/>
        </w:rPr>
      </w:pPr>
      <w:r>
        <w:rPr>
          <w:rFonts w:hint="eastAsia" w:ascii="Times New Roman" w:hAnsi="Times New Roman"/>
          <w:color w:val="333333"/>
          <w:sz w:val="28"/>
          <w:szCs w:val="28"/>
          <w:highlight w:val="none"/>
          <w:shd w:val="clear" w:color="auto" w:fill="FFFFFF"/>
          <w:vertAlign w:val="superscript"/>
        </w:rPr>
        <w:t>4</w:t>
      </w:r>
      <w:r>
        <w:rPr>
          <w:rFonts w:ascii="Times New Roman" w:hAnsi="Times New Roman"/>
          <w:color w:val="333333"/>
          <w:sz w:val="28"/>
          <w:szCs w:val="28"/>
          <w:highlight w:val="none"/>
          <w:shd w:val="clear" w:color="auto" w:fill="FFFFFF"/>
          <w:vertAlign w:val="superscript"/>
        </w:rPr>
        <w:t xml:space="preserve"> </w:t>
      </w:r>
      <w:r>
        <w:rPr>
          <w:rFonts w:ascii="Times New Roman" w:hAnsi="Times New Roman" w:eastAsia="等线"/>
          <w:bCs/>
          <w:color w:val="000000" w:themeColor="text1"/>
          <w:sz w:val="24"/>
          <w:highlight w:val="none"/>
          <w:lang w:val="en-GB"/>
          <w14:textFill>
            <w14:solidFill>
              <w14:schemeClr w14:val="tx1"/>
            </w14:solidFill>
          </w14:textFill>
        </w:rPr>
        <w:t>Center of Pharmaceutics, Shanghai Institute of Materia Medica, Chinese Academy of Sciences, Shanghai 201203, China</w:t>
      </w:r>
      <w:r>
        <w:rPr>
          <w:rFonts w:hint="eastAsia" w:ascii="Times New Roman" w:hAnsi="Times New Roman" w:eastAsia="等线"/>
          <w:bCs/>
          <w:color w:val="000000" w:themeColor="text1"/>
          <w:sz w:val="24"/>
          <w:highlight w:val="none"/>
          <w14:textFill>
            <w14:solidFill>
              <w14:schemeClr w14:val="tx1"/>
            </w14:solidFill>
          </w14:textFill>
        </w:rPr>
        <w:t>.</w:t>
      </w:r>
    </w:p>
    <w:p w14:paraId="4646F386">
      <w:pPr>
        <w:spacing w:line="360" w:lineRule="auto"/>
        <w:ind w:left="0" w:leftChars="0" w:firstLine="0" w:firstLineChars="0"/>
        <w:jc w:val="both"/>
        <w:rPr>
          <w:rFonts w:ascii="Times New Roman" w:hAnsi="Times New Roman"/>
          <w:color w:val="333333"/>
          <w:sz w:val="24"/>
          <w:highlight w:val="none"/>
          <w:shd w:val="clear" w:color="auto" w:fill="FFFFFF"/>
        </w:rPr>
      </w:pPr>
    </w:p>
    <w:p w14:paraId="2CBD0859">
      <w:pPr>
        <w:spacing w:line="360" w:lineRule="auto"/>
        <w:rPr>
          <w:rFonts w:ascii="Times New Roman" w:hAnsi="Times New Roman"/>
          <w:color w:val="333333"/>
          <w:sz w:val="24"/>
          <w:highlight w:val="none"/>
          <w:shd w:val="clear" w:color="auto" w:fill="FFFFFF"/>
        </w:rPr>
      </w:pPr>
    </w:p>
    <w:p w14:paraId="6AF617B8">
      <w:pPr>
        <w:spacing w:line="360" w:lineRule="auto"/>
        <w:ind w:left="0" w:leftChars="0" w:firstLine="0" w:firstLineChars="0"/>
        <w:jc w:val="both"/>
        <w:rPr>
          <w:rFonts w:ascii="Times New Roman" w:hAnsi="Times New Roman"/>
          <w:bCs/>
          <w:sz w:val="24"/>
          <w:highlight w:val="none"/>
          <w:lang w:val="en-GB"/>
        </w:rPr>
      </w:pPr>
      <w:r>
        <w:rPr>
          <w:rFonts w:hint="eastAsia"/>
          <w:iCs/>
          <w:color w:val="000000"/>
          <w:highlight w:val="none"/>
          <w:vertAlign w:val="superscript"/>
        </w:rPr>
        <w:t>a</w:t>
      </w:r>
      <w:r>
        <w:rPr>
          <w:rFonts w:hint="eastAsia" w:ascii="Times New Roman" w:hAnsi="Times New Roman"/>
          <w:color w:val="000000"/>
          <w:kern w:val="0"/>
          <w:sz w:val="24"/>
          <w:highlight w:val="none"/>
          <w:lang w:bidi="ar"/>
        </w:rPr>
        <w:t xml:space="preserve"> Li Lei, </w:t>
      </w:r>
      <w:r>
        <w:rPr>
          <w:rFonts w:hint="eastAsia" w:ascii="Times New Roman" w:hAnsi="Times New Roman"/>
          <w:color w:val="2A2B2E"/>
          <w:sz w:val="24"/>
          <w:highlight w:val="none"/>
          <w:shd w:val="clear" w:color="auto" w:fill="FFFFFF"/>
        </w:rPr>
        <w:t>Lingli Song</w:t>
      </w:r>
      <w:r>
        <w:rPr>
          <w:rFonts w:hint="eastAsia" w:ascii="Times New Roman" w:hAnsi="Times New Roman"/>
          <w:color w:val="000000"/>
          <w:kern w:val="0"/>
          <w:sz w:val="24"/>
          <w:highlight w:val="none"/>
          <w:lang w:bidi="ar"/>
        </w:rPr>
        <w:t xml:space="preserve"> and </w:t>
      </w:r>
      <w:r>
        <w:rPr>
          <w:rFonts w:hint="eastAsia" w:ascii="Times New Roman" w:hAnsi="Times New Roman"/>
          <w:color w:val="2A2B2E"/>
          <w:sz w:val="24"/>
          <w:highlight w:val="none"/>
          <w:shd w:val="clear" w:color="auto" w:fill="FFFFFF"/>
        </w:rPr>
        <w:t>Qihang Ao</w:t>
      </w:r>
      <w:r>
        <w:rPr>
          <w:rFonts w:ascii="Times New Roman" w:hAnsi="Times New Roman"/>
          <w:bCs/>
          <w:sz w:val="24"/>
          <w:highlight w:val="none"/>
          <w:lang w:val="en-GB"/>
        </w:rPr>
        <w:t xml:space="preserve"> contributed equally to this study.</w:t>
      </w:r>
    </w:p>
    <w:p w14:paraId="7DF8E26E">
      <w:pPr>
        <w:spacing w:line="360" w:lineRule="auto"/>
        <w:ind w:left="0" w:leftChars="0" w:firstLine="0" w:firstLineChars="0"/>
        <w:jc w:val="both"/>
        <w:rPr>
          <w:rFonts w:ascii="Times New Roman" w:hAnsi="Times New Roman"/>
          <w:sz w:val="24"/>
          <w:highlight w:val="none"/>
          <w:lang w:val="en-GB"/>
        </w:rPr>
      </w:pPr>
      <w:r>
        <w:rPr>
          <w:rFonts w:ascii="Times New Roman" w:hAnsi="Times New Roman"/>
          <w:sz w:val="24"/>
          <w:highlight w:val="none"/>
          <w:lang w:val="en-GB"/>
        </w:rPr>
        <w:t xml:space="preserve">*Correspondence: </w:t>
      </w:r>
    </w:p>
    <w:p w14:paraId="5013881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ascii="Times New Roman" w:hAnsi="Times New Roman"/>
          <w:sz w:val="24"/>
          <w:highlight w:val="none"/>
        </w:rPr>
      </w:pPr>
      <w:r>
        <w:rPr>
          <w:rFonts w:ascii="Times New Roman" w:hAnsi="Times New Roman"/>
          <w:bCs/>
          <w:sz w:val="24"/>
          <w:highlight w:val="none"/>
        </w:rPr>
        <w:t>Prof</w:t>
      </w:r>
      <w:r>
        <w:rPr>
          <w:rFonts w:hint="eastAsia" w:ascii="Times New Roman" w:hAnsi="Times New Roman"/>
          <w:bCs/>
          <w:sz w:val="24"/>
          <w:highlight w:val="none"/>
        </w:rPr>
        <w:t>.</w:t>
      </w:r>
      <w:r>
        <w:rPr>
          <w:rFonts w:ascii="Times New Roman" w:hAnsi="Times New Roman"/>
          <w:bCs/>
          <w:sz w:val="24"/>
          <w:highlight w:val="none"/>
        </w:rPr>
        <w:t xml:space="preserve"> </w:t>
      </w:r>
      <w:r>
        <w:rPr>
          <w:rFonts w:ascii="Times New Roman" w:hAnsi="Times New Roman"/>
          <w:sz w:val="24"/>
          <w:highlight w:val="none"/>
        </w:rPr>
        <w:t>Chunlin Zhang</w:t>
      </w:r>
      <w:r>
        <w:rPr>
          <w:rFonts w:ascii="Times New Roman" w:hAnsi="Times New Roman"/>
          <w:sz w:val="24"/>
          <w:highlight w:val="none"/>
          <w:lang w:val="en-GB"/>
        </w:rPr>
        <w:t xml:space="preserve"> </w:t>
      </w:r>
      <w:r>
        <w:rPr>
          <w:rFonts w:hint="eastAsia" w:ascii="Times New Roman" w:hAnsi="Times New Roman"/>
          <w:sz w:val="24"/>
          <w:highlight w:val="none"/>
        </w:rPr>
        <w:t xml:space="preserve">  </w:t>
      </w:r>
      <w:r>
        <w:rPr>
          <w:highlight w:val="none"/>
        </w:rPr>
        <w:fldChar w:fldCharType="begin"/>
      </w:r>
      <w:r>
        <w:rPr>
          <w:highlight w:val="none"/>
        </w:rPr>
        <w:instrText xml:space="preserve"> HYPERLINK "mailto:362326474@qq.com" </w:instrText>
      </w:r>
      <w:r>
        <w:rPr>
          <w:highlight w:val="none"/>
        </w:rPr>
        <w:fldChar w:fldCharType="separate"/>
      </w:r>
      <w:r>
        <w:rPr>
          <w:rFonts w:hint="eastAsia" w:ascii="Times New Roman" w:hAnsi="Times New Roman"/>
          <w:sz w:val="24"/>
          <w:highlight w:val="none"/>
        </w:rPr>
        <w:t>362326474@qq.com</w:t>
      </w:r>
      <w:r>
        <w:rPr>
          <w:rFonts w:hint="eastAsia" w:ascii="Times New Roman" w:hAnsi="Times New Roman"/>
          <w:sz w:val="24"/>
          <w:highlight w:val="none"/>
        </w:rPr>
        <w:fldChar w:fldCharType="end"/>
      </w:r>
    </w:p>
    <w:p w14:paraId="1858335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ascii="Times New Roman" w:hAnsi="Times New Roman" w:eastAsia="等线"/>
          <w:bCs/>
          <w:color w:val="000000" w:themeColor="text1"/>
          <w:sz w:val="24"/>
          <w:highlight w:val="none"/>
          <w:lang w:val="en-GB"/>
          <w14:textFill>
            <w14:solidFill>
              <w14:schemeClr w14:val="tx1"/>
            </w14:solidFill>
          </w14:textFill>
        </w:rPr>
      </w:pPr>
      <w:r>
        <w:rPr>
          <w:rFonts w:ascii="Times New Roman" w:hAnsi="Times New Roman"/>
          <w:bCs/>
          <w:sz w:val="24"/>
          <w:highlight w:val="none"/>
        </w:rPr>
        <w:t>Prof</w:t>
      </w:r>
      <w:r>
        <w:rPr>
          <w:rFonts w:hint="eastAsia" w:ascii="Times New Roman" w:hAnsi="Times New Roman"/>
          <w:bCs/>
          <w:sz w:val="24"/>
          <w:highlight w:val="none"/>
        </w:rPr>
        <w:t xml:space="preserve">. </w:t>
      </w:r>
      <w:r>
        <w:rPr>
          <w:rFonts w:hint="eastAsia" w:ascii="Times New Roman" w:hAnsi="Times New Roman" w:eastAsia="等线"/>
          <w:bCs/>
          <w:color w:val="000000" w:themeColor="text1"/>
          <w:sz w:val="24"/>
          <w:highlight w:val="none"/>
          <w14:textFill>
            <w14:solidFill>
              <w14:schemeClr w14:val="tx1"/>
            </w14:solidFill>
          </w14:textFill>
        </w:rPr>
        <w:t xml:space="preserve">Lei Tang        </w:t>
      </w:r>
      <w:r>
        <w:rPr>
          <w:rFonts w:hint="eastAsia" w:ascii="Times New Roman" w:hAnsi="Times New Roman" w:eastAsia="等线"/>
          <w:bCs/>
          <w:color w:val="000000" w:themeColor="text1"/>
          <w:sz w:val="24"/>
          <w:highlight w:val="none"/>
          <w:lang w:val="en-GB"/>
          <w14:textFill>
            <w14:solidFill>
              <w14:schemeClr w14:val="tx1"/>
            </w14:solidFill>
          </w14:textFill>
        </w:rPr>
        <w:t>tlei1974@163.com</w:t>
      </w:r>
    </w:p>
    <w:p w14:paraId="0AB5924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rPr>
          <w:rFonts w:ascii="Times New Roman" w:hAnsi="Times New Roman" w:eastAsia="等线"/>
          <w:bCs/>
          <w:color w:val="000000" w:themeColor="text1"/>
          <w:sz w:val="24"/>
          <w:highlight w:val="none"/>
          <w:lang w:val="en-GB"/>
          <w14:textFill>
            <w14:solidFill>
              <w14:schemeClr w14:val="tx1"/>
            </w14:solidFill>
          </w14:textFill>
        </w:rPr>
      </w:pPr>
      <w:r>
        <w:rPr>
          <w:rFonts w:ascii="Times New Roman" w:hAnsi="Times New Roman" w:eastAsia="等线"/>
          <w:bCs/>
          <w:color w:val="000000" w:themeColor="text1"/>
          <w:sz w:val="24"/>
          <w:highlight w:val="none"/>
          <w:lang w:val="en-GB"/>
          <w14:textFill>
            <w14:solidFill>
              <w14:schemeClr w14:val="tx1"/>
            </w14:solidFill>
          </w14:textFill>
        </w:rPr>
        <w:t xml:space="preserve">Prof. </w:t>
      </w:r>
      <w:r>
        <w:rPr>
          <w:rFonts w:hint="eastAsia" w:ascii="Times New Roman" w:hAnsi="Times New Roman"/>
          <w:bCs/>
          <w:sz w:val="24"/>
          <w:highlight w:val="none"/>
          <w:lang w:val="en-GB"/>
        </w:rPr>
        <w:t>Haijun</w:t>
      </w:r>
      <w:r>
        <w:rPr>
          <w:rFonts w:ascii="Times New Roman" w:hAnsi="Times New Roman"/>
          <w:bCs/>
          <w:sz w:val="24"/>
          <w:highlight w:val="none"/>
          <w:lang w:val="en-GB"/>
        </w:rPr>
        <w:t xml:space="preserve"> </w:t>
      </w:r>
      <w:r>
        <w:rPr>
          <w:rFonts w:hint="eastAsia" w:ascii="Times New Roman" w:hAnsi="Times New Roman"/>
          <w:bCs/>
          <w:sz w:val="24"/>
          <w:highlight w:val="none"/>
          <w:lang w:val="en-GB"/>
        </w:rPr>
        <w:t>Y</w:t>
      </w:r>
      <w:r>
        <w:rPr>
          <w:rFonts w:ascii="Times New Roman" w:hAnsi="Times New Roman"/>
          <w:bCs/>
          <w:sz w:val="24"/>
          <w:highlight w:val="none"/>
          <w:lang w:val="en-GB"/>
        </w:rPr>
        <w:t>u</w:t>
      </w:r>
      <w:r>
        <w:rPr>
          <w:rFonts w:hint="eastAsia" w:ascii="Times New Roman" w:hAnsi="Times New Roman" w:eastAsia="等线"/>
          <w:bCs/>
          <w:color w:val="000000" w:themeColor="text1"/>
          <w:sz w:val="24"/>
          <w:highlight w:val="none"/>
          <w14:textFill>
            <w14:solidFill>
              <w14:schemeClr w14:val="tx1"/>
            </w14:solidFill>
          </w14:textFill>
        </w:rPr>
        <w:t xml:space="preserve">      </w:t>
      </w:r>
      <w:r>
        <w:rPr>
          <w:rFonts w:ascii="Times New Roman" w:hAnsi="Times New Roman" w:eastAsia="等线"/>
          <w:bCs/>
          <w:color w:val="000000" w:themeColor="text1"/>
          <w:sz w:val="24"/>
          <w:highlight w:val="none"/>
          <w:lang w:val="en-GB"/>
          <w14:textFill>
            <w14:solidFill>
              <w14:schemeClr w14:val="tx1"/>
            </w14:solidFill>
          </w14:textFill>
        </w:rPr>
        <w:t xml:space="preserve"> </w:t>
      </w:r>
      <w:r>
        <w:rPr>
          <w:rFonts w:hint="eastAsia" w:ascii="Times New Roman" w:hAnsi="Times New Roman" w:eastAsia="等线"/>
          <w:bCs/>
          <w:color w:val="000000" w:themeColor="text1"/>
          <w:sz w:val="24"/>
          <w:highlight w:val="none"/>
          <w14:textFill>
            <w14:solidFill>
              <w14:schemeClr w14:val="tx1"/>
            </w14:solidFill>
          </w14:textFill>
        </w:rPr>
        <w:t>hjyu@simm.ac.cn</w:t>
      </w:r>
    </w:p>
    <w:p w14:paraId="3C0C69B9">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eastAsia="宋体"/>
          <w:lang w:val="en-US" w:eastAsia="zh-CN" w:bidi="ar"/>
        </w:rPr>
      </w:pPr>
      <w:r>
        <w:rPr>
          <w:rFonts w:hint="eastAsia" w:ascii="Times New Roman" w:hAnsi="Times New Roman"/>
          <w:bCs/>
          <w:sz w:val="24"/>
          <w:highlight w:val="none"/>
        </w:rPr>
        <w:t xml:space="preserve">Dr. Li Lei </w:t>
      </w:r>
      <w:r>
        <w:rPr>
          <w:rFonts w:hint="eastAsia" w:ascii="Times New Roman" w:hAnsi="Times New Roman"/>
          <w:bCs/>
          <w:sz w:val="24"/>
          <w:highlight w:val="none"/>
          <w:lang w:val="en-US" w:eastAsia="zh-CN"/>
        </w:rPr>
        <w:t xml:space="preserve">          </w:t>
      </w:r>
      <w:r>
        <w:rPr>
          <w:rFonts w:hint="eastAsia"/>
          <w:bCs/>
          <w:sz w:val="24"/>
          <w:highlight w:val="none"/>
          <w:lang w:val="en-US" w:eastAsia="zh-CN"/>
        </w:rPr>
        <w:t>1002087851@qq.com</w:t>
      </w:r>
    </w:p>
    <w:p w14:paraId="4340A085">
      <w:pPr>
        <w:spacing w:line="480" w:lineRule="auto"/>
        <w:ind w:firstLine="0" w:firstLineChars="0"/>
        <w:jc w:val="left"/>
        <w:rPr>
          <w:b/>
          <w:bCs/>
          <w:color w:val="1C1D1E"/>
          <w:kern w:val="0"/>
          <w:szCs w:val="22"/>
          <w:lang w:bidi="ar"/>
        </w:rPr>
      </w:pPr>
      <w:r>
        <w:rPr>
          <w:b/>
          <w:bCs/>
          <w:color w:val="1C1D1E"/>
          <w:kern w:val="0"/>
          <w:szCs w:val="22"/>
          <w:lang w:bidi="ar"/>
        </w:rPr>
        <w:t xml:space="preserve">Table of Contents </w:t>
      </w:r>
    </w:p>
    <w:p w14:paraId="215ADEA4">
      <w:pPr>
        <w:spacing w:line="480" w:lineRule="auto"/>
        <w:ind w:firstLine="0" w:firstLineChars="0"/>
        <w:jc w:val="left"/>
        <w:rPr>
          <w:b/>
          <w:bCs/>
          <w:color w:val="1C1D1E"/>
          <w:kern w:val="0"/>
          <w:szCs w:val="22"/>
          <w:lang w:bidi="ar"/>
        </w:rPr>
      </w:pPr>
      <w:r>
        <w:rPr>
          <w:rFonts w:hint="eastAsia"/>
          <w:b/>
          <w:bCs/>
          <w:color w:val="1C1D1E"/>
          <w:kern w:val="0"/>
          <w:szCs w:val="22"/>
          <w:lang w:bidi="ar"/>
        </w:rPr>
        <w:t>1</w:t>
      </w:r>
      <w:r>
        <w:rPr>
          <w:b/>
          <w:bCs/>
          <w:color w:val="1C1D1E"/>
          <w:kern w:val="0"/>
          <w:szCs w:val="22"/>
          <w:lang w:bidi="ar"/>
        </w:rPr>
        <w:t>. Experimental section</w:t>
      </w:r>
    </w:p>
    <w:p w14:paraId="361C08A1">
      <w:pPr>
        <w:spacing w:line="480" w:lineRule="auto"/>
        <w:ind w:firstLine="0" w:firstLineChars="0"/>
        <w:jc w:val="left"/>
        <w:rPr>
          <w:color w:val="1C1D1E"/>
          <w:kern w:val="0"/>
          <w:szCs w:val="22"/>
          <w:lang w:bidi="ar"/>
        </w:rPr>
      </w:pPr>
      <w:r>
        <w:rPr>
          <w:color w:val="1C1D1E"/>
          <w:kern w:val="0"/>
          <w:szCs w:val="22"/>
          <w:lang w:bidi="ar"/>
        </w:rPr>
        <w:t>1.1 Characterization of G-Se NPs</w:t>
      </w:r>
    </w:p>
    <w:p w14:paraId="6C83D42A">
      <w:pPr>
        <w:spacing w:line="480" w:lineRule="auto"/>
        <w:ind w:firstLine="0" w:firstLineChars="0"/>
        <w:jc w:val="left"/>
        <w:rPr>
          <w:color w:val="1C1D1E"/>
          <w:kern w:val="0"/>
          <w:szCs w:val="22"/>
          <w:lang w:bidi="ar"/>
        </w:rPr>
      </w:pPr>
      <w:r>
        <w:rPr>
          <w:color w:val="1C1D1E"/>
          <w:kern w:val="0"/>
          <w:szCs w:val="22"/>
          <w:lang w:bidi="ar"/>
        </w:rPr>
        <w:t xml:space="preserve">1.2 Antioxidant </w:t>
      </w:r>
      <w:r>
        <w:rPr>
          <w:rFonts w:hint="eastAsia"/>
          <w:color w:val="1C1D1E"/>
          <w:kern w:val="0"/>
          <w:szCs w:val="22"/>
          <w:lang w:val="en-US" w:eastAsia="zh-CN" w:bidi="ar"/>
        </w:rPr>
        <w:t>a</w:t>
      </w:r>
      <w:r>
        <w:rPr>
          <w:color w:val="1C1D1E"/>
          <w:kern w:val="0"/>
          <w:szCs w:val="22"/>
          <w:lang w:bidi="ar"/>
        </w:rPr>
        <w:t xml:space="preserve">ctivity of G-Se NPs </w:t>
      </w:r>
    </w:p>
    <w:p w14:paraId="0979F0CB">
      <w:pPr>
        <w:spacing w:line="480" w:lineRule="auto"/>
        <w:ind w:firstLine="0" w:firstLineChars="0"/>
        <w:jc w:val="left"/>
        <w:rPr>
          <w:color w:val="1C1D1E"/>
          <w:kern w:val="0"/>
          <w:szCs w:val="22"/>
          <w:lang w:bidi="ar"/>
        </w:rPr>
      </w:pPr>
      <w:r>
        <w:rPr>
          <w:color w:val="1C1D1E"/>
          <w:kern w:val="0"/>
          <w:szCs w:val="22"/>
          <w:lang w:bidi="ar"/>
        </w:rPr>
        <w:t xml:space="preserve">1.3 Cell Culture </w:t>
      </w:r>
    </w:p>
    <w:p w14:paraId="26174A6E">
      <w:pPr>
        <w:spacing w:line="480" w:lineRule="auto"/>
        <w:ind w:firstLine="0" w:firstLineChars="0"/>
        <w:jc w:val="left"/>
        <w:rPr>
          <w:color w:val="1C1D1E"/>
          <w:kern w:val="0"/>
          <w:szCs w:val="22"/>
          <w:lang w:bidi="ar"/>
        </w:rPr>
      </w:pPr>
      <w:r>
        <w:rPr>
          <w:color w:val="1C1D1E"/>
          <w:kern w:val="0"/>
          <w:szCs w:val="22"/>
          <w:lang w:bidi="ar"/>
        </w:rPr>
        <w:t>1.3.</w:t>
      </w:r>
      <w:r>
        <w:rPr>
          <w:rFonts w:hint="eastAsia"/>
          <w:color w:val="1C1D1E"/>
          <w:kern w:val="0"/>
          <w:szCs w:val="22"/>
          <w:lang w:val="en-US" w:eastAsia="zh-CN" w:bidi="ar"/>
        </w:rPr>
        <w:t>1</w:t>
      </w:r>
      <w:r>
        <w:rPr>
          <w:color w:val="1C1D1E"/>
          <w:kern w:val="0"/>
          <w:szCs w:val="22"/>
          <w:lang w:bidi="ar"/>
        </w:rPr>
        <w:t xml:space="preserve"> Cellular </w:t>
      </w:r>
      <w:r>
        <w:rPr>
          <w:rFonts w:hint="eastAsia"/>
          <w:color w:val="1C1D1E"/>
          <w:kern w:val="0"/>
          <w:szCs w:val="22"/>
          <w:lang w:val="en-US" w:eastAsia="zh-CN" w:bidi="ar"/>
        </w:rPr>
        <w:t>U</w:t>
      </w:r>
      <w:r>
        <w:rPr>
          <w:color w:val="1C1D1E"/>
          <w:kern w:val="0"/>
          <w:szCs w:val="22"/>
          <w:lang w:bidi="ar"/>
        </w:rPr>
        <w:t>ptake</w:t>
      </w:r>
    </w:p>
    <w:p w14:paraId="668F17A7">
      <w:pPr>
        <w:spacing w:line="480" w:lineRule="auto"/>
        <w:ind w:firstLine="0" w:firstLineChars="0"/>
        <w:jc w:val="left"/>
        <w:rPr>
          <w:color w:val="1C1D1E"/>
          <w:kern w:val="0"/>
          <w:szCs w:val="22"/>
          <w:lang w:bidi="ar"/>
        </w:rPr>
      </w:pPr>
      <w:r>
        <w:rPr>
          <w:color w:val="1C1D1E"/>
          <w:kern w:val="0"/>
          <w:szCs w:val="22"/>
          <w:lang w:bidi="ar"/>
        </w:rPr>
        <w:t>1.3.</w:t>
      </w:r>
      <w:r>
        <w:rPr>
          <w:rFonts w:hint="eastAsia"/>
          <w:color w:val="1C1D1E"/>
          <w:kern w:val="0"/>
          <w:szCs w:val="22"/>
          <w:lang w:val="en-US" w:eastAsia="zh-CN" w:bidi="ar"/>
        </w:rPr>
        <w:t>2</w:t>
      </w:r>
      <w:r>
        <w:rPr>
          <w:color w:val="1C1D1E"/>
          <w:kern w:val="0"/>
          <w:szCs w:val="22"/>
          <w:lang w:bidi="ar"/>
        </w:rPr>
        <w:t xml:space="preserve"> ROS </w:t>
      </w:r>
      <w:r>
        <w:rPr>
          <w:rFonts w:hint="eastAsia"/>
          <w:color w:val="1C1D1E"/>
          <w:kern w:val="0"/>
          <w:szCs w:val="22"/>
          <w:lang w:val="en-US" w:eastAsia="zh-CN" w:bidi="ar"/>
        </w:rPr>
        <w:t>D</w:t>
      </w:r>
      <w:r>
        <w:rPr>
          <w:color w:val="1C1D1E"/>
          <w:kern w:val="0"/>
          <w:szCs w:val="22"/>
          <w:lang w:bidi="ar"/>
        </w:rPr>
        <w:t xml:space="preserve">etection </w:t>
      </w:r>
      <w:r>
        <w:rPr>
          <w:rFonts w:hint="eastAsia"/>
          <w:color w:val="1C1D1E"/>
          <w:kern w:val="0"/>
          <w:szCs w:val="22"/>
          <w:lang w:val="en-US" w:eastAsia="zh-CN" w:bidi="ar"/>
        </w:rPr>
        <w:t>I</w:t>
      </w:r>
      <w:r>
        <w:rPr>
          <w:color w:val="1C1D1E"/>
          <w:kern w:val="0"/>
          <w:szCs w:val="22"/>
          <w:lang w:bidi="ar"/>
        </w:rPr>
        <w:t xml:space="preserve">n </w:t>
      </w:r>
      <w:r>
        <w:rPr>
          <w:rFonts w:hint="eastAsia"/>
          <w:color w:val="1C1D1E"/>
          <w:kern w:val="0"/>
          <w:szCs w:val="22"/>
          <w:lang w:val="en-US" w:eastAsia="zh-CN" w:bidi="ar"/>
        </w:rPr>
        <w:t>V</w:t>
      </w:r>
      <w:r>
        <w:rPr>
          <w:color w:val="1C1D1E"/>
          <w:kern w:val="0"/>
          <w:szCs w:val="22"/>
          <w:lang w:bidi="ar"/>
        </w:rPr>
        <w:t xml:space="preserve">itro </w:t>
      </w:r>
    </w:p>
    <w:p w14:paraId="1A8B5CA1">
      <w:pPr>
        <w:spacing w:line="480" w:lineRule="auto"/>
        <w:ind w:firstLine="0" w:firstLineChars="0"/>
        <w:jc w:val="left"/>
        <w:rPr>
          <w:color w:val="1C1D1E"/>
          <w:kern w:val="0"/>
          <w:szCs w:val="22"/>
          <w:lang w:bidi="ar"/>
        </w:rPr>
      </w:pPr>
      <w:r>
        <w:rPr>
          <w:color w:val="1C1D1E"/>
          <w:kern w:val="0"/>
          <w:szCs w:val="22"/>
          <w:lang w:bidi="ar"/>
        </w:rPr>
        <w:t>1.3.</w:t>
      </w:r>
      <w:r>
        <w:rPr>
          <w:rFonts w:hint="eastAsia"/>
          <w:color w:val="1C1D1E"/>
          <w:kern w:val="0"/>
          <w:szCs w:val="22"/>
          <w:lang w:val="en-US" w:eastAsia="zh-CN" w:bidi="ar"/>
        </w:rPr>
        <w:t>3</w:t>
      </w:r>
      <w:r>
        <w:rPr>
          <w:color w:val="1C1D1E"/>
          <w:kern w:val="0"/>
          <w:szCs w:val="22"/>
          <w:lang w:bidi="ar"/>
        </w:rPr>
        <w:t xml:space="preserve"> Assay of Neuronal Mitochondrial Targeting Capability In Vitro</w:t>
      </w:r>
    </w:p>
    <w:p w14:paraId="236C9C2F">
      <w:pPr>
        <w:spacing w:line="480" w:lineRule="auto"/>
        <w:ind w:firstLine="0" w:firstLineChars="0"/>
        <w:jc w:val="left"/>
        <w:rPr>
          <w:color w:val="1C1D1E"/>
          <w:kern w:val="0"/>
          <w:szCs w:val="22"/>
          <w:lang w:bidi="ar"/>
        </w:rPr>
      </w:pPr>
      <w:r>
        <w:rPr>
          <w:color w:val="1C1D1E"/>
          <w:kern w:val="0"/>
          <w:szCs w:val="22"/>
          <w:lang w:bidi="ar"/>
        </w:rPr>
        <w:t>1.3.</w:t>
      </w:r>
      <w:r>
        <w:rPr>
          <w:rFonts w:hint="eastAsia"/>
          <w:color w:val="1C1D1E"/>
          <w:kern w:val="0"/>
          <w:szCs w:val="22"/>
          <w:lang w:val="en-US" w:eastAsia="zh-CN" w:bidi="ar"/>
        </w:rPr>
        <w:t>4</w:t>
      </w:r>
      <w:r>
        <w:rPr>
          <w:color w:val="1C1D1E"/>
          <w:kern w:val="0"/>
          <w:szCs w:val="22"/>
          <w:lang w:bidi="ar"/>
        </w:rPr>
        <w:t xml:space="preserve"> </w:t>
      </w:r>
      <w:r>
        <w:rPr>
          <w:rFonts w:hint="eastAsia"/>
          <w:color w:val="1C1D1E"/>
          <w:kern w:val="0"/>
          <w:szCs w:val="22"/>
          <w:lang w:bidi="ar"/>
        </w:rPr>
        <w:t>Cellular Uptake of Ce6 labelled-G-Se NPs by Flow Cytometry</w:t>
      </w:r>
      <w:r>
        <w:rPr>
          <w:color w:val="1C1D1E"/>
          <w:kern w:val="0"/>
          <w:szCs w:val="22"/>
          <w:lang w:bidi="ar"/>
        </w:rPr>
        <w:t xml:space="preserve"> </w:t>
      </w:r>
    </w:p>
    <w:p w14:paraId="1327730C">
      <w:pPr>
        <w:spacing w:line="480" w:lineRule="auto"/>
        <w:ind w:firstLine="0" w:firstLineChars="0"/>
        <w:jc w:val="left"/>
        <w:rPr>
          <w:color w:val="1C1D1E"/>
          <w:kern w:val="0"/>
          <w:szCs w:val="22"/>
          <w:lang w:bidi="ar"/>
        </w:rPr>
      </w:pPr>
      <w:r>
        <w:rPr>
          <w:color w:val="1C1D1E"/>
          <w:kern w:val="0"/>
          <w:szCs w:val="22"/>
          <w:lang w:bidi="ar"/>
        </w:rPr>
        <w:t>1.3.</w:t>
      </w:r>
      <w:r>
        <w:rPr>
          <w:rFonts w:hint="eastAsia"/>
          <w:color w:val="1C1D1E"/>
          <w:kern w:val="0"/>
          <w:szCs w:val="22"/>
          <w:lang w:val="en-US" w:eastAsia="zh-CN" w:bidi="ar"/>
        </w:rPr>
        <w:t>5</w:t>
      </w:r>
      <w:r>
        <w:rPr>
          <w:color w:val="1C1D1E"/>
          <w:kern w:val="0"/>
          <w:szCs w:val="22"/>
          <w:lang w:bidi="ar"/>
        </w:rPr>
        <w:t xml:space="preserve"> </w:t>
      </w:r>
      <w:r>
        <w:rPr>
          <w:rFonts w:hint="eastAsia"/>
          <w:color w:val="1C1D1E"/>
          <w:kern w:val="0"/>
          <w:szCs w:val="22"/>
          <w:lang w:bidi="ar"/>
        </w:rPr>
        <w:t>Cell Immunofluorescence Assay</w:t>
      </w:r>
      <w:r>
        <w:rPr>
          <w:color w:val="1C1D1E"/>
          <w:kern w:val="0"/>
          <w:szCs w:val="22"/>
          <w:lang w:bidi="ar"/>
        </w:rPr>
        <w:t xml:space="preserve"> </w:t>
      </w:r>
    </w:p>
    <w:p w14:paraId="6B754C27">
      <w:pPr>
        <w:spacing w:line="480" w:lineRule="auto"/>
        <w:ind w:firstLine="0" w:firstLineChars="0"/>
        <w:jc w:val="left"/>
        <w:rPr>
          <w:color w:val="1C1D1E"/>
          <w:kern w:val="0"/>
          <w:szCs w:val="22"/>
          <w:lang w:bidi="ar"/>
        </w:rPr>
      </w:pPr>
      <w:r>
        <w:rPr>
          <w:color w:val="1C1D1E"/>
          <w:kern w:val="0"/>
          <w:szCs w:val="22"/>
          <w:lang w:bidi="ar"/>
        </w:rPr>
        <w:t xml:space="preserve">1.4 Nematode and </w:t>
      </w:r>
      <w:r>
        <w:rPr>
          <w:rFonts w:hint="eastAsia"/>
          <w:color w:val="1C1D1E"/>
          <w:kern w:val="0"/>
          <w:szCs w:val="22"/>
          <w:lang w:val="en-US" w:eastAsia="zh-CN" w:bidi="ar"/>
        </w:rPr>
        <w:t>C</w:t>
      </w:r>
      <w:r>
        <w:rPr>
          <w:color w:val="1C1D1E"/>
          <w:kern w:val="0"/>
          <w:szCs w:val="22"/>
          <w:lang w:bidi="ar"/>
        </w:rPr>
        <w:t xml:space="preserve">ulture </w:t>
      </w:r>
      <w:r>
        <w:rPr>
          <w:rFonts w:hint="eastAsia"/>
          <w:color w:val="1C1D1E"/>
          <w:kern w:val="0"/>
          <w:szCs w:val="22"/>
          <w:lang w:val="en-US" w:eastAsia="zh-CN" w:bidi="ar"/>
        </w:rPr>
        <w:t>C</w:t>
      </w:r>
      <w:r>
        <w:rPr>
          <w:color w:val="1C1D1E"/>
          <w:kern w:val="0"/>
          <w:szCs w:val="22"/>
          <w:lang w:bidi="ar"/>
        </w:rPr>
        <w:t>onditions</w:t>
      </w:r>
    </w:p>
    <w:p w14:paraId="0DF7683C">
      <w:pPr>
        <w:spacing w:line="480" w:lineRule="auto"/>
        <w:ind w:firstLine="0" w:firstLineChars="0"/>
        <w:jc w:val="left"/>
        <w:rPr>
          <w:color w:val="1C1D1E"/>
          <w:kern w:val="0"/>
          <w:szCs w:val="22"/>
          <w:lang w:bidi="ar"/>
        </w:rPr>
      </w:pPr>
      <w:r>
        <w:rPr>
          <w:color w:val="1C1D1E"/>
          <w:kern w:val="0"/>
          <w:szCs w:val="22"/>
          <w:lang w:bidi="ar"/>
        </w:rPr>
        <w:t xml:space="preserve">1.4.1 Uptake of G-Se NPs by </w:t>
      </w:r>
      <w:r>
        <w:rPr>
          <w:rFonts w:hint="eastAsia"/>
          <w:color w:val="1C1D1E"/>
          <w:kern w:val="0"/>
          <w:szCs w:val="22"/>
          <w:lang w:val="en-US" w:eastAsia="zh-CN" w:bidi="ar"/>
        </w:rPr>
        <w:t>N</w:t>
      </w:r>
      <w:r>
        <w:rPr>
          <w:color w:val="1C1D1E"/>
          <w:kern w:val="0"/>
          <w:szCs w:val="22"/>
          <w:lang w:bidi="ar"/>
        </w:rPr>
        <w:t>ematodes</w:t>
      </w:r>
    </w:p>
    <w:p w14:paraId="55F19A47">
      <w:pPr>
        <w:spacing w:line="480" w:lineRule="auto"/>
        <w:ind w:firstLine="0" w:firstLineChars="0"/>
        <w:jc w:val="both"/>
        <w:rPr>
          <w:color w:val="1C1D1E"/>
          <w:kern w:val="0"/>
          <w:szCs w:val="22"/>
          <w:lang w:bidi="ar"/>
        </w:rPr>
      </w:pPr>
      <w:r>
        <w:rPr>
          <w:rFonts w:hint="eastAsia"/>
          <w:color w:val="1C1D1E"/>
          <w:kern w:val="0"/>
          <w:szCs w:val="22"/>
          <w:lang w:bidi="ar"/>
        </w:rPr>
        <w:t xml:space="preserve">1.4.2 Behavioral Changes in </w:t>
      </w:r>
      <w:r>
        <w:rPr>
          <w:rFonts w:hint="eastAsia"/>
          <w:i/>
          <w:iCs/>
          <w:color w:val="1C1D1E"/>
          <w:kern w:val="0"/>
          <w:szCs w:val="22"/>
          <w:lang w:bidi="ar"/>
        </w:rPr>
        <w:t>C. elegans</w:t>
      </w:r>
      <w:r>
        <w:rPr>
          <w:rFonts w:hint="eastAsia"/>
          <w:color w:val="1C1D1E"/>
          <w:kern w:val="0"/>
          <w:szCs w:val="22"/>
          <w:lang w:bidi="ar"/>
        </w:rPr>
        <w:t xml:space="preserve"> and Lifespan Analysis</w:t>
      </w:r>
    </w:p>
    <w:p w14:paraId="67668735">
      <w:pPr>
        <w:spacing w:line="480" w:lineRule="auto"/>
        <w:ind w:firstLine="0" w:firstLineChars="0"/>
        <w:jc w:val="left"/>
        <w:rPr>
          <w:color w:val="1C1D1E"/>
          <w:kern w:val="0"/>
          <w:szCs w:val="22"/>
          <w:lang w:bidi="ar"/>
        </w:rPr>
      </w:pPr>
      <w:r>
        <w:rPr>
          <w:color w:val="1C1D1E"/>
          <w:kern w:val="0"/>
          <w:szCs w:val="22"/>
          <w:lang w:bidi="ar"/>
        </w:rPr>
        <w:t xml:space="preserve">1.5 C57BL/6 </w:t>
      </w:r>
      <w:r>
        <w:rPr>
          <w:rFonts w:hint="eastAsia"/>
          <w:color w:val="1C1D1E"/>
          <w:kern w:val="0"/>
          <w:szCs w:val="22"/>
          <w:lang w:val="en-US" w:eastAsia="zh-CN" w:bidi="ar"/>
        </w:rPr>
        <w:t>M</w:t>
      </w:r>
      <w:r>
        <w:rPr>
          <w:color w:val="1C1D1E"/>
          <w:kern w:val="0"/>
          <w:szCs w:val="22"/>
          <w:lang w:bidi="ar"/>
        </w:rPr>
        <w:t xml:space="preserve">ice </w:t>
      </w:r>
      <w:r>
        <w:rPr>
          <w:rFonts w:hint="eastAsia"/>
          <w:color w:val="1C1D1E"/>
          <w:kern w:val="0"/>
          <w:szCs w:val="22"/>
          <w:lang w:val="en-US" w:eastAsia="zh-CN" w:bidi="ar"/>
        </w:rPr>
        <w:t>R</w:t>
      </w:r>
      <w:r>
        <w:rPr>
          <w:color w:val="1C1D1E"/>
          <w:kern w:val="0"/>
          <w:szCs w:val="22"/>
          <w:lang w:bidi="ar"/>
        </w:rPr>
        <w:t xml:space="preserve">earing and </w:t>
      </w:r>
      <w:r>
        <w:rPr>
          <w:rFonts w:hint="eastAsia"/>
          <w:color w:val="1C1D1E"/>
          <w:kern w:val="0"/>
          <w:szCs w:val="22"/>
          <w:lang w:val="en-US" w:eastAsia="zh-CN" w:bidi="ar"/>
        </w:rPr>
        <w:t>T</w:t>
      </w:r>
      <w:r>
        <w:rPr>
          <w:color w:val="1C1D1E"/>
          <w:kern w:val="0"/>
          <w:szCs w:val="22"/>
          <w:lang w:bidi="ar"/>
        </w:rPr>
        <w:t>reatment</w:t>
      </w:r>
    </w:p>
    <w:p w14:paraId="635DEC0C">
      <w:pPr>
        <w:spacing w:line="480" w:lineRule="auto"/>
        <w:ind w:firstLine="0" w:firstLineChars="0"/>
        <w:jc w:val="left"/>
        <w:rPr>
          <w:color w:val="1C1D1E"/>
          <w:kern w:val="0"/>
          <w:szCs w:val="22"/>
          <w:lang w:bidi="ar"/>
        </w:rPr>
      </w:pPr>
      <w:r>
        <w:rPr>
          <w:color w:val="1C1D1E"/>
          <w:kern w:val="0"/>
          <w:szCs w:val="22"/>
          <w:lang w:bidi="ar"/>
        </w:rPr>
        <w:t>1.5.1 In Vivo Fluorescence Imaging and Biodistribution</w:t>
      </w:r>
    </w:p>
    <w:p w14:paraId="02EA77A0">
      <w:pPr>
        <w:spacing w:line="480" w:lineRule="auto"/>
        <w:ind w:firstLine="0" w:firstLineChars="0"/>
        <w:jc w:val="left"/>
        <w:rPr>
          <w:color w:val="1C1D1E"/>
          <w:kern w:val="0"/>
          <w:szCs w:val="22"/>
          <w:lang w:bidi="ar"/>
        </w:rPr>
      </w:pPr>
      <w:r>
        <w:rPr>
          <w:rFonts w:hint="eastAsia"/>
          <w:color w:val="1C1D1E"/>
          <w:kern w:val="0"/>
          <w:szCs w:val="22"/>
          <w:lang w:bidi="ar"/>
        </w:rPr>
        <w:t>1.5.2 Behavioral Evaluations</w:t>
      </w:r>
    </w:p>
    <w:p w14:paraId="0C108FAF">
      <w:pPr>
        <w:spacing w:line="480" w:lineRule="auto"/>
        <w:ind w:firstLine="0" w:firstLineChars="0"/>
        <w:jc w:val="left"/>
        <w:rPr>
          <w:color w:val="1C1D1E"/>
          <w:kern w:val="0"/>
          <w:szCs w:val="22"/>
          <w:lang w:bidi="ar"/>
        </w:rPr>
      </w:pPr>
      <w:r>
        <w:rPr>
          <w:color w:val="1C1D1E"/>
          <w:kern w:val="0"/>
          <w:szCs w:val="22"/>
          <w:lang w:bidi="ar"/>
        </w:rPr>
        <w:t>1.5.</w:t>
      </w:r>
      <w:r>
        <w:rPr>
          <w:rFonts w:hint="eastAsia"/>
          <w:color w:val="1C1D1E"/>
          <w:kern w:val="0"/>
          <w:szCs w:val="22"/>
          <w:lang w:val="en-US" w:eastAsia="zh-CN" w:bidi="ar"/>
        </w:rPr>
        <w:t>3</w:t>
      </w:r>
      <w:r>
        <w:rPr>
          <w:color w:val="1C1D1E"/>
          <w:kern w:val="0"/>
          <w:szCs w:val="22"/>
          <w:lang w:bidi="ar"/>
        </w:rPr>
        <w:t xml:space="preserve"> In Vivo Biosafety</w:t>
      </w:r>
    </w:p>
    <w:p w14:paraId="7264F57A">
      <w:pPr>
        <w:spacing w:line="480" w:lineRule="auto"/>
        <w:ind w:firstLine="0" w:firstLineChars="0"/>
        <w:jc w:val="left"/>
        <w:rPr>
          <w:color w:val="1C1D1E"/>
          <w:kern w:val="0"/>
          <w:szCs w:val="22"/>
          <w:lang w:bidi="ar"/>
        </w:rPr>
      </w:pPr>
      <w:r>
        <w:rPr>
          <w:color w:val="1C1D1E"/>
          <w:kern w:val="0"/>
          <w:szCs w:val="22"/>
          <w:lang w:bidi="ar"/>
        </w:rPr>
        <w:t>1.5.</w:t>
      </w:r>
      <w:r>
        <w:rPr>
          <w:rFonts w:hint="eastAsia"/>
          <w:color w:val="1C1D1E"/>
          <w:kern w:val="0"/>
          <w:szCs w:val="22"/>
          <w:lang w:val="en-US" w:eastAsia="zh-CN" w:bidi="ar"/>
        </w:rPr>
        <w:t>4</w:t>
      </w:r>
      <w:r>
        <w:rPr>
          <w:color w:val="1C1D1E"/>
          <w:kern w:val="0"/>
          <w:szCs w:val="22"/>
          <w:lang w:bidi="ar"/>
        </w:rPr>
        <w:t xml:space="preserve"> RNA Sequencing</w:t>
      </w:r>
    </w:p>
    <w:p w14:paraId="262A3F69">
      <w:pPr>
        <w:spacing w:line="480" w:lineRule="auto"/>
        <w:ind w:firstLine="0" w:firstLineChars="0"/>
        <w:jc w:val="left"/>
        <w:rPr>
          <w:color w:val="1C1D1E"/>
          <w:kern w:val="0"/>
          <w:szCs w:val="22"/>
          <w:lang w:bidi="ar"/>
        </w:rPr>
      </w:pPr>
      <w:r>
        <w:rPr>
          <w:color w:val="1C1D1E"/>
          <w:kern w:val="0"/>
          <w:szCs w:val="22"/>
          <w:lang w:bidi="ar"/>
        </w:rPr>
        <w:t>1.5.</w:t>
      </w:r>
      <w:r>
        <w:rPr>
          <w:rFonts w:hint="eastAsia"/>
          <w:color w:val="1C1D1E"/>
          <w:kern w:val="0"/>
          <w:szCs w:val="22"/>
          <w:lang w:val="en-US" w:eastAsia="zh-CN" w:bidi="ar"/>
        </w:rPr>
        <w:t>5</w:t>
      </w:r>
      <w:r>
        <w:rPr>
          <w:color w:val="1C1D1E"/>
          <w:kern w:val="0"/>
          <w:szCs w:val="22"/>
          <w:lang w:bidi="ar"/>
        </w:rPr>
        <w:t xml:space="preserve"> Immunohistochemical </w:t>
      </w:r>
    </w:p>
    <w:p w14:paraId="57285DD8">
      <w:pPr>
        <w:spacing w:line="480" w:lineRule="auto"/>
        <w:ind w:firstLine="0" w:firstLineChars="0"/>
        <w:jc w:val="left"/>
        <w:rPr>
          <w:b/>
          <w:bCs/>
          <w:color w:val="1C1D1E"/>
          <w:kern w:val="0"/>
          <w:szCs w:val="22"/>
          <w:lang w:bidi="ar"/>
        </w:rPr>
      </w:pPr>
      <w:r>
        <w:rPr>
          <w:b/>
          <w:bCs/>
          <w:color w:val="1C1D1E"/>
          <w:kern w:val="0"/>
          <w:szCs w:val="22"/>
          <w:lang w:bidi="ar"/>
        </w:rPr>
        <w:t>2. Supplementary T</w:t>
      </w:r>
      <w:r>
        <w:rPr>
          <w:rFonts w:hint="eastAsia"/>
          <w:b/>
          <w:bCs/>
          <w:color w:val="1C1D1E"/>
          <w:kern w:val="0"/>
          <w:szCs w:val="22"/>
          <w:lang w:bidi="ar"/>
        </w:rPr>
        <w:t>able</w:t>
      </w:r>
      <w:r>
        <w:rPr>
          <w:b/>
          <w:bCs/>
          <w:color w:val="1C1D1E"/>
          <w:kern w:val="0"/>
          <w:szCs w:val="22"/>
          <w:lang w:bidi="ar"/>
        </w:rPr>
        <w:t xml:space="preserve">s </w:t>
      </w:r>
    </w:p>
    <w:p w14:paraId="65AFE4A4">
      <w:pPr>
        <w:spacing w:line="480" w:lineRule="auto"/>
        <w:ind w:firstLine="0" w:firstLineChars="0"/>
        <w:jc w:val="left"/>
        <w:rPr>
          <w:rFonts w:hint="eastAsia"/>
          <w:b/>
          <w:bCs/>
        </w:rPr>
      </w:pPr>
      <w:r>
        <w:rPr>
          <w:rFonts w:hint="eastAsia"/>
          <w:b/>
          <w:bCs/>
          <w:color w:val="1C1D1E"/>
          <w:kern w:val="0"/>
          <w:szCs w:val="22"/>
          <w:lang w:bidi="ar"/>
        </w:rPr>
        <w:t>3</w:t>
      </w:r>
      <w:r>
        <w:rPr>
          <w:b/>
          <w:bCs/>
          <w:color w:val="1C1D1E"/>
          <w:kern w:val="0"/>
          <w:szCs w:val="22"/>
          <w:lang w:bidi="ar"/>
        </w:rPr>
        <w:t xml:space="preserve">. Supplementary </w:t>
      </w:r>
      <w:r>
        <w:rPr>
          <w:rFonts w:hint="eastAsia"/>
          <w:b/>
          <w:bCs/>
          <w:color w:val="1C1D1E"/>
          <w:kern w:val="0"/>
          <w:szCs w:val="22"/>
          <w:lang w:bidi="ar"/>
        </w:rPr>
        <w:t>Fig.</w:t>
      </w:r>
      <w:r>
        <w:rPr>
          <w:b/>
          <w:bCs/>
          <w:color w:val="1C1D1E"/>
          <w:kern w:val="0"/>
          <w:szCs w:val="22"/>
          <w:lang w:bidi="ar"/>
        </w:rPr>
        <w:t>s</w:t>
      </w:r>
    </w:p>
    <w:p w14:paraId="515DAC48">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sz w:val="28"/>
          <w:szCs w:val="28"/>
        </w:rPr>
      </w:pPr>
      <w:r>
        <w:rPr>
          <w:rFonts w:hint="eastAsia"/>
          <w:b/>
          <w:bCs/>
          <w:sz w:val="28"/>
          <w:szCs w:val="28"/>
        </w:rPr>
        <w:t>1</w:t>
      </w:r>
      <w:r>
        <w:rPr>
          <w:rFonts w:eastAsia="Times New Roman"/>
          <w:b/>
          <w:bCs/>
          <w:sz w:val="28"/>
          <w:szCs w:val="28"/>
        </w:rPr>
        <w:t>. Experimental section</w:t>
      </w:r>
    </w:p>
    <w:p w14:paraId="11A725B1">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b/>
          <w:bCs/>
        </w:rPr>
        <w:t>1</w:t>
      </w:r>
      <w:r>
        <w:rPr>
          <w:rFonts w:hint="eastAsia" w:eastAsia="Times New Roman"/>
          <w:b/>
          <w:bCs/>
        </w:rPr>
        <w:t>.</w:t>
      </w:r>
      <w:r>
        <w:rPr>
          <w:rFonts w:hint="eastAsia" w:eastAsiaTheme="minorEastAsia"/>
          <w:b/>
          <w:bCs/>
        </w:rPr>
        <w:t>1</w:t>
      </w:r>
      <w:r>
        <w:rPr>
          <w:rFonts w:hint="eastAsia"/>
          <w:color w:val="1C1D1E"/>
          <w:kern w:val="0"/>
          <w:szCs w:val="22"/>
          <w:lang w:bidi="ar"/>
        </w:rPr>
        <w:t xml:space="preserve"> </w:t>
      </w:r>
      <w:r>
        <w:rPr>
          <w:rFonts w:hint="eastAsia" w:eastAsia="Times New Roman"/>
          <w:b/>
          <w:bCs/>
          <w:szCs w:val="24"/>
        </w:rPr>
        <w:t>Characterization of G-Se NPs</w:t>
      </w:r>
    </w:p>
    <w:p w14:paraId="545DC17B">
      <w:pPr>
        <w:keepNext w:val="0"/>
        <w:keepLines w:val="0"/>
        <w:pageBreakBefore w:val="0"/>
        <w:widowControl w:val="0"/>
        <w:overflowPunct/>
        <w:topLinePunct w:val="0"/>
        <w:bidi w:val="0"/>
        <w:adjustRightInd/>
        <w:snapToGrid/>
        <w:spacing w:line="360" w:lineRule="auto"/>
        <w:ind w:firstLine="480" w:firstLineChars="200"/>
        <w:jc w:val="both"/>
        <w:textAlignment w:val="auto"/>
        <w:rPr>
          <w:rFonts w:eastAsia="Times New Roman"/>
          <w:color w:val="000000" w:themeColor="text1"/>
          <w:szCs w:val="24"/>
          <w14:textFill>
            <w14:solidFill>
              <w14:schemeClr w14:val="tx1"/>
            </w14:solidFill>
          </w14:textFill>
        </w:rPr>
      </w:pPr>
      <w:r>
        <w:rPr>
          <w:rFonts w:hint="eastAsia" w:eastAsia="Times New Roman"/>
          <w:color w:val="000000" w:themeColor="text1"/>
          <w:szCs w:val="24"/>
          <w14:textFill>
            <w14:solidFill>
              <w14:schemeClr w14:val="tx1"/>
            </w14:solidFill>
          </w14:textFill>
        </w:rPr>
        <w:t>Transmission electron microscopy (TEM) images were collected on a JEOL-2100F transmission electron microscope (JEOL-2100F, JEOL, Japan). Zeta potential analysis at the zeta potential meter (Zetasizer Nano ZS90, Malvern, UK.)</w:t>
      </w:r>
      <w:r>
        <w:rPr>
          <w:rFonts w:hint="eastAsia"/>
          <w:color w:val="000000" w:themeColor="text1"/>
          <w:szCs w:val="24"/>
          <w14:textFill>
            <w14:solidFill>
              <w14:schemeClr w14:val="tx1"/>
            </w14:solidFill>
          </w14:textFill>
        </w:rPr>
        <w:t>.</w:t>
      </w:r>
      <w:r>
        <w:rPr>
          <w:rFonts w:eastAsia="Segoe UI"/>
          <w:color w:val="000000" w:themeColor="text1"/>
          <w:szCs w:val="24"/>
          <w:shd w:val="clear" w:color="auto" w:fill="FFFFFF"/>
          <w14:textFill>
            <w14:solidFill>
              <w14:schemeClr w14:val="tx1"/>
            </w14:solidFill>
          </w14:textFill>
        </w:rPr>
        <w:t xml:space="preserve"> Scanning electron microscopy (SEM, SU8010, Hitachi, Japan) and high-resolution transmission electron microscopy (HRTEM, JEOL-2100F, JEOL, Japan) were employed to examine the nanoparticle morphology, with TEM samples prepared by depositing dilute dispersions onto carbon-coated copper grids. Three-dimensional topography and height distribution were analyzed by atomic force microscopy (AFM, Dimension Icon, Bruker, USA) in tapping mode with 5 × 5 μm</w:t>
      </w:r>
      <w:r>
        <w:rPr>
          <w:rFonts w:hint="eastAsia"/>
          <w:color w:val="000000" w:themeColor="text1"/>
          <w:szCs w:val="24"/>
          <w:shd w:val="clear" w:color="auto" w:fill="FFFFFF"/>
          <w:vertAlign w:val="superscript"/>
          <w:lang w:val="en-US" w:eastAsia="zh-CN"/>
          <w14:textFill>
            <w14:solidFill>
              <w14:schemeClr w14:val="tx1"/>
            </w14:solidFill>
          </w14:textFill>
        </w:rPr>
        <w:t>2</w:t>
      </w:r>
      <w:r>
        <w:rPr>
          <w:rFonts w:eastAsia="Segoe UI"/>
          <w:color w:val="000000" w:themeColor="text1"/>
          <w:szCs w:val="24"/>
          <w:shd w:val="clear" w:color="auto" w:fill="FFFFFF"/>
          <w14:textFill>
            <w14:solidFill>
              <w14:schemeClr w14:val="tx1"/>
            </w14:solidFill>
          </w14:textFill>
        </w:rPr>
        <w:t xml:space="preserve"> scan areas. Surface chemical composition and elemental oxidation states were determined using X-ray photoelectron spectroscopy (XPS, ESCALAB 250Xi, Thermo Fisher Scientific, USA) with monochromatic Al Kα radiation (1486.6 eV), where binding energies were referenced to the C 1s peak at 284.8 eV. Functional group identification was performed by Fourier transform infrared spectroscopy (FTIR, Nicolet iS50, Thermo Fisher Scientific, USA) in the 400-4000 cm⁻¹ range using KBr pellets. Colloidal properties including hydrodynamic diameter</w:t>
      </w:r>
      <w:r>
        <w:rPr>
          <w:rFonts w:hint="eastAsia"/>
          <w:color w:val="000000" w:themeColor="text1"/>
          <w:szCs w:val="24"/>
          <w:shd w:val="clear" w:color="auto" w:fill="FFFFFF"/>
          <w14:textFill>
            <w14:solidFill>
              <w14:schemeClr w14:val="tx1"/>
            </w14:solidFill>
          </w14:textFill>
        </w:rPr>
        <w:t xml:space="preserve"> was</w:t>
      </w:r>
      <w:r>
        <w:rPr>
          <w:rFonts w:eastAsia="Segoe UI"/>
          <w:color w:val="000000" w:themeColor="text1"/>
          <w:szCs w:val="24"/>
          <w:shd w:val="clear" w:color="auto" w:fill="FFFFFF"/>
          <w14:textFill>
            <w14:solidFill>
              <w14:schemeClr w14:val="tx1"/>
            </w14:solidFill>
          </w14:textFill>
        </w:rPr>
        <w:t xml:space="preserve"> measured at 25°C using dynamic light scattering (DLS, </w:t>
      </w:r>
      <w:r>
        <w:rPr>
          <w:rFonts w:eastAsia="Times New Roman"/>
          <w:color w:val="000000" w:themeColor="text1"/>
          <w:szCs w:val="24"/>
          <w14:textFill>
            <w14:solidFill>
              <w14:schemeClr w14:val="tx1"/>
            </w14:solidFill>
          </w14:textFill>
        </w:rPr>
        <w:t>NanoBrook 90Plus PALS</w:t>
      </w:r>
      <w:r>
        <w:rPr>
          <w:rFonts w:eastAsia="Segoe UI"/>
          <w:color w:val="000000" w:themeColor="text1"/>
          <w:szCs w:val="24"/>
          <w:shd w:val="clear" w:color="auto" w:fill="FFFFFF"/>
          <w14:textFill>
            <w14:solidFill>
              <w14:schemeClr w14:val="tx1"/>
            </w14:solidFill>
          </w14:textFill>
        </w:rPr>
        <w:t>,</w:t>
      </w:r>
      <w:r>
        <w:rPr>
          <w:rFonts w:hint="eastAsia"/>
          <w:color w:val="000000" w:themeColor="text1"/>
          <w:szCs w:val="24"/>
          <w:shd w:val="clear" w:color="auto" w:fill="FFFFFF"/>
          <w:lang w:val="en-US" w:eastAsia="zh-CN"/>
          <w14:textFill>
            <w14:solidFill>
              <w14:schemeClr w14:val="tx1"/>
            </w14:solidFill>
          </w14:textFill>
        </w:rPr>
        <w:t xml:space="preserve"> </w:t>
      </w:r>
      <w:r>
        <w:rPr>
          <w:rFonts w:hint="eastAsia" w:eastAsiaTheme="minorEastAsia"/>
          <w:color w:val="000000" w:themeColor="text1"/>
          <w:szCs w:val="24"/>
          <w:shd w:val="clear" w:color="auto" w:fill="FFFFFF"/>
          <w14:textFill>
            <w14:solidFill>
              <w14:schemeClr w14:val="tx1"/>
            </w14:solidFill>
          </w14:textFill>
        </w:rPr>
        <w:t>B</w:t>
      </w:r>
      <w:r>
        <w:rPr>
          <w:rFonts w:eastAsiaTheme="minorEastAsia"/>
          <w:color w:val="000000" w:themeColor="text1"/>
          <w:szCs w:val="24"/>
          <w:shd w:val="clear" w:color="auto" w:fill="FFFFFF"/>
          <w14:textFill>
            <w14:solidFill>
              <w14:schemeClr w14:val="tx1"/>
            </w14:solidFill>
          </w14:textFill>
        </w:rPr>
        <w:t>rook</w:t>
      </w:r>
      <w:r>
        <w:rPr>
          <w:rFonts w:hint="eastAsia" w:eastAsiaTheme="minorEastAsia"/>
          <w:color w:val="000000" w:themeColor="text1"/>
          <w:szCs w:val="24"/>
          <w:shd w:val="clear" w:color="auto" w:fill="FFFFFF"/>
          <w14:textFill>
            <w14:solidFill>
              <w14:schemeClr w14:val="tx1"/>
            </w14:solidFill>
          </w14:textFill>
        </w:rPr>
        <w:t>haven</w:t>
      </w:r>
      <w:r>
        <w:rPr>
          <w:rFonts w:eastAsia="Segoe UI"/>
          <w:color w:val="000000" w:themeColor="text1"/>
          <w:szCs w:val="24"/>
          <w:shd w:val="clear" w:color="auto" w:fill="FFFFFF"/>
          <w14:textFill>
            <w14:solidFill>
              <w14:schemeClr w14:val="tx1"/>
            </w14:solidFill>
          </w14:textFill>
        </w:rPr>
        <w:t>, UK), with all measurements performed in triplicate to ensure reproducibility.</w:t>
      </w:r>
      <w:r>
        <w:rPr>
          <w:rFonts w:asciiTheme="minorHAnsi" w:hAnsiTheme="minorHAnsi" w:eastAsiaTheme="minorEastAsia" w:cstheme="minorBidi"/>
          <w:color w:val="000000" w:themeColor="text1"/>
          <w:sz w:val="21"/>
          <w:szCs w:val="24"/>
          <w14:textFill>
            <w14:solidFill>
              <w14:schemeClr w14:val="tx1"/>
            </w14:solidFill>
          </w14:textFill>
        </w:rPr>
        <w:t xml:space="preserve"> </w:t>
      </w:r>
      <w:r>
        <w:rPr>
          <w:rFonts w:hint="eastAsia" w:eastAsia="Segoe UI"/>
          <w:color w:val="000000" w:themeColor="text1"/>
          <w:szCs w:val="24"/>
          <w:shd w:val="clear" w:color="auto" w:fill="FFFFFF"/>
          <w:lang w:val="en-US" w:eastAsia="zh-CN"/>
          <w14:textFill>
            <w14:solidFill>
              <w14:schemeClr w14:val="tx1"/>
            </w14:solidFill>
          </w14:textFill>
        </w:rPr>
        <w:t xml:space="preserve">The </w:t>
      </w:r>
      <w:r>
        <w:rPr>
          <w:rFonts w:eastAsia="Segoe UI"/>
          <w:color w:val="000000" w:themeColor="text1"/>
          <w:szCs w:val="24"/>
          <w:shd w:val="clear" w:color="auto" w:fill="FFFFFF"/>
          <w14:textFill>
            <w14:solidFill>
              <w14:schemeClr w14:val="tx1"/>
            </w14:solidFill>
          </w14:textFill>
        </w:rPr>
        <w:t xml:space="preserve">UV–vis spectra were collected </w:t>
      </w:r>
      <w:r>
        <w:rPr>
          <w:rFonts w:hint="eastAsia"/>
          <w:color w:val="000000" w:themeColor="text1"/>
          <w:szCs w:val="24"/>
          <w:shd w:val="clear" w:color="auto" w:fill="FFFFFF"/>
          <w:lang w:val="en-US" w:eastAsia="zh-CN"/>
          <w14:textFill>
            <w14:solidFill>
              <w14:schemeClr w14:val="tx1"/>
            </w14:solidFill>
          </w14:textFill>
        </w:rPr>
        <w:t xml:space="preserve">by </w:t>
      </w:r>
      <w:r>
        <w:rPr>
          <w:rFonts w:eastAsia="Segoe UI"/>
          <w:color w:val="000000" w:themeColor="text1"/>
          <w:szCs w:val="24"/>
          <w:shd w:val="clear" w:color="auto" w:fill="FFFFFF"/>
          <w14:textFill>
            <w14:solidFill>
              <w14:schemeClr w14:val="tx1"/>
            </w14:solidFill>
          </w14:textFill>
        </w:rPr>
        <w:t>using a UV–Vis absorption spectra</w:t>
      </w:r>
      <w:r>
        <w:rPr>
          <w:rFonts w:hint="eastAsia" w:eastAsiaTheme="minorEastAsia"/>
          <w:color w:val="000000" w:themeColor="text1"/>
          <w:szCs w:val="24"/>
          <w:shd w:val="clear" w:color="auto" w:fill="FFFFFF"/>
          <w14:textFill>
            <w14:solidFill>
              <w14:schemeClr w14:val="tx1"/>
            </w14:solidFill>
          </w14:textFill>
        </w:rPr>
        <w:t xml:space="preserve"> (</w:t>
      </w:r>
      <w:r>
        <w:rPr>
          <w:rFonts w:eastAsia="Segoe UI"/>
          <w:color w:val="000000" w:themeColor="text1"/>
          <w:szCs w:val="24"/>
          <w:shd w:val="clear" w:color="auto" w:fill="FFFFFF"/>
          <w14:textFill>
            <w14:solidFill>
              <w14:schemeClr w14:val="tx1"/>
            </w14:solidFill>
          </w14:textFill>
        </w:rPr>
        <w:t>UV</w:t>
      </w:r>
      <w:r>
        <w:rPr>
          <w:rFonts w:hint="eastAsia" w:eastAsiaTheme="minorEastAsia"/>
          <w:color w:val="000000" w:themeColor="text1"/>
          <w:szCs w:val="24"/>
          <w:shd w:val="clear" w:color="auto" w:fill="FFFFFF"/>
          <w14:textFill>
            <w14:solidFill>
              <w14:schemeClr w14:val="tx1"/>
            </w14:solidFill>
          </w14:textFill>
        </w:rPr>
        <w:t>,</w:t>
      </w:r>
      <w:r>
        <w:rPr>
          <w:rFonts w:eastAsia="Segoe UI"/>
          <w:color w:val="000000" w:themeColor="text1"/>
          <w:szCs w:val="24"/>
          <w:shd w:val="clear" w:color="auto" w:fill="FFFFFF"/>
          <w14:textFill>
            <w14:solidFill>
              <w14:schemeClr w14:val="tx1"/>
            </w14:solidFill>
          </w14:textFill>
        </w:rPr>
        <w:t xml:space="preserve"> UV–</w:t>
      </w:r>
      <w:r>
        <w:rPr>
          <w:rFonts w:hint="eastAsia" w:eastAsiaTheme="minorEastAsia"/>
          <w:color w:val="000000" w:themeColor="text1"/>
          <w:szCs w:val="24"/>
          <w:shd w:val="clear" w:color="auto" w:fill="FFFFFF"/>
          <w14:textFill>
            <w14:solidFill>
              <w14:schemeClr w14:val="tx1"/>
            </w14:solidFill>
          </w14:textFill>
        </w:rPr>
        <w:t>2600i,</w:t>
      </w:r>
      <w:r>
        <w:rPr>
          <w:rFonts w:eastAsia="Segoe UI"/>
          <w:color w:val="000000" w:themeColor="text1"/>
          <w:szCs w:val="24"/>
          <w:shd w:val="clear" w:color="auto" w:fill="FFFFFF"/>
          <w14:textFill>
            <w14:solidFill>
              <w14:schemeClr w14:val="tx1"/>
            </w14:solidFill>
          </w14:textFill>
        </w:rPr>
        <w:t xml:space="preserve"> Shimadzu</w:t>
      </w:r>
      <w:r>
        <w:rPr>
          <w:rFonts w:hint="eastAsia" w:eastAsiaTheme="minorEastAsia"/>
          <w:color w:val="000000" w:themeColor="text1"/>
          <w:szCs w:val="24"/>
          <w:shd w:val="clear" w:color="auto" w:fill="FFFFFF"/>
          <w14:textFill>
            <w14:solidFill>
              <w14:schemeClr w14:val="tx1"/>
            </w14:solidFill>
          </w14:textFill>
        </w:rPr>
        <w:t>).</w:t>
      </w:r>
      <w:r>
        <w:rPr>
          <w:rFonts w:hint="eastAsia" w:eastAsia="Times New Roman"/>
          <w:color w:val="000000" w:themeColor="text1"/>
          <w:szCs w:val="24"/>
          <w14:textFill>
            <w14:solidFill>
              <w14:schemeClr w14:val="tx1"/>
            </w14:solidFill>
          </w14:textFill>
        </w:rPr>
        <w:t xml:space="preserve"> After 1 mg of the </w:t>
      </w:r>
      <w:r>
        <w:rPr>
          <w:rFonts w:hint="eastAsia"/>
          <w:color w:val="000000" w:themeColor="text1"/>
          <w:szCs w:val="24"/>
          <w:lang w:eastAsia="zh-CN"/>
          <w14:textFill>
            <w14:solidFill>
              <w14:schemeClr w14:val="tx1"/>
            </w14:solidFill>
          </w14:textFill>
        </w:rPr>
        <w:t>Ge-Se NPs</w:t>
      </w:r>
      <w:r>
        <w:rPr>
          <w:rFonts w:hint="eastAsia" w:eastAsia="Times New Roman"/>
          <w:color w:val="000000" w:themeColor="text1"/>
          <w:szCs w:val="24"/>
          <w14:textFill>
            <w14:solidFill>
              <w14:schemeClr w14:val="tx1"/>
            </w14:solidFill>
          </w14:textFill>
        </w:rPr>
        <w:t xml:space="preserve"> and 2 mL of water were added to a 5 mL centrifuge tube, ultrasonic dispersion was performed for 5 min. After that, 1 mL of the supernatant was collected and slowly added to the sample chamber. The zeta potential of the </w:t>
      </w:r>
      <w:r>
        <w:rPr>
          <w:rFonts w:hint="eastAsia"/>
          <w:color w:val="000000" w:themeColor="text1"/>
          <w:szCs w:val="24"/>
          <w:lang w:eastAsia="zh-CN"/>
          <w14:textFill>
            <w14:solidFill>
              <w14:schemeClr w14:val="tx1"/>
            </w14:solidFill>
          </w14:textFill>
        </w:rPr>
        <w:t>Ge-Se NPs</w:t>
      </w:r>
      <w:r>
        <w:rPr>
          <w:rFonts w:hint="eastAsia" w:eastAsia="Times New Roman"/>
          <w:color w:val="000000" w:themeColor="text1"/>
          <w:szCs w:val="24"/>
          <w14:textFill>
            <w14:solidFill>
              <w14:schemeClr w14:val="tx1"/>
            </w14:solidFill>
          </w14:textFill>
        </w:rPr>
        <w:t xml:space="preserve"> was measured using a </w:t>
      </w:r>
      <w:r>
        <w:rPr>
          <w:rFonts w:eastAsia="Times New Roman"/>
          <w:color w:val="000000" w:themeColor="text1"/>
          <w:szCs w:val="24"/>
          <w14:textFill>
            <w14:solidFill>
              <w14:schemeClr w14:val="tx1"/>
            </w14:solidFill>
          </w14:textFill>
        </w:rPr>
        <w:t>Particle Sizer and Zeta Potential Analyzer</w:t>
      </w:r>
      <w:r>
        <w:rPr>
          <w:rFonts w:hint="eastAsia"/>
          <w:color w:val="000000" w:themeColor="text1"/>
          <w:szCs w:val="24"/>
          <w:lang w:val="en-US" w:eastAsia="zh-CN"/>
          <w14:textFill>
            <w14:solidFill>
              <w14:schemeClr w14:val="tx1"/>
            </w14:solidFill>
          </w14:textFill>
        </w:rPr>
        <w:t xml:space="preserve"> </w:t>
      </w:r>
      <w:r>
        <w:rPr>
          <w:rFonts w:hint="eastAsia" w:eastAsia="Times New Roman"/>
          <w:color w:val="000000" w:themeColor="text1"/>
          <w:szCs w:val="24"/>
          <w:lang w:val="en-US" w:eastAsia="zh-CN"/>
          <w14:textFill>
            <w14:solidFill>
              <w14:schemeClr w14:val="tx1"/>
            </w14:solidFill>
          </w14:textFill>
        </w:rPr>
        <w:t>(</w:t>
      </w:r>
      <w:r>
        <w:rPr>
          <w:rFonts w:eastAsia="Times New Roman"/>
          <w:color w:val="000000" w:themeColor="text1"/>
          <w:szCs w:val="24"/>
          <w14:textFill>
            <w14:solidFill>
              <w14:schemeClr w14:val="tx1"/>
            </w14:solidFill>
          </w14:textFill>
        </w:rPr>
        <w:t>NanoBrook 90Plus PALS</w:t>
      </w:r>
      <w:r>
        <w:rPr>
          <w:rFonts w:hint="eastAsia" w:eastAsia="Times New Roman"/>
          <w:color w:val="000000" w:themeColor="text1"/>
          <w:szCs w:val="24"/>
          <w:lang w:val="en-US" w:eastAsia="zh-CN"/>
          <w14:textFill>
            <w14:solidFill>
              <w14:schemeClr w14:val="tx1"/>
            </w14:solidFill>
          </w14:textFill>
        </w:rPr>
        <w:t>)</w:t>
      </w:r>
      <w:r>
        <w:rPr>
          <w:rFonts w:hint="eastAsia" w:eastAsia="Times New Roman"/>
          <w:color w:val="000000" w:themeColor="text1"/>
          <w:szCs w:val="24"/>
          <w14:textFill>
            <w14:solidFill>
              <w14:schemeClr w14:val="tx1"/>
            </w14:solidFill>
          </w14:textFill>
        </w:rPr>
        <w:t>.</w:t>
      </w:r>
      <w:r>
        <w:rPr>
          <w:rFonts w:ascii="Segoe UI" w:hAnsi="Segoe UI" w:cs="Segoe UI" w:eastAsiaTheme="minorEastAsia"/>
          <w:color w:val="000000" w:themeColor="text1"/>
          <w:sz w:val="21"/>
          <w:szCs w:val="24"/>
          <w:shd w:val="clear" w:color="auto" w:fill="FFFFFF"/>
          <w14:textFill>
            <w14:solidFill>
              <w14:schemeClr w14:val="tx1"/>
            </w14:solidFill>
          </w14:textFill>
        </w:rPr>
        <w:t xml:space="preserve"> </w:t>
      </w:r>
      <w:r>
        <w:rPr>
          <w:rFonts w:eastAsia="Times New Roman"/>
          <w:color w:val="000000" w:themeColor="text1"/>
          <w:szCs w:val="24"/>
          <w14:textFill>
            <w14:solidFill>
              <w14:schemeClr w14:val="tx1"/>
            </w14:solidFill>
          </w14:textFill>
        </w:rPr>
        <w:t xml:space="preserve">DMPO was used as a spin trap to identify the </w:t>
      </w:r>
      <w:r>
        <w:rPr>
          <w:rFonts w:ascii="Times New Roman" w:hAnsi="Times New Roman"/>
          <w:sz w:val="24"/>
          <w:highlight w:val="none"/>
        </w:rPr>
        <w:t>O</w:t>
      </w:r>
      <w:r>
        <w:rPr>
          <w:rFonts w:ascii="Times New Roman" w:hAnsi="Times New Roman"/>
          <w:sz w:val="24"/>
          <w:highlight w:val="none"/>
          <w:vertAlign w:val="subscript"/>
        </w:rPr>
        <w:t>2</w:t>
      </w:r>
      <w:r>
        <w:rPr>
          <w:rFonts w:ascii="Times New Roman" w:hAnsi="Times New Roman"/>
          <w:sz w:val="24"/>
          <w:highlight w:val="none"/>
          <w:vertAlign w:val="superscript"/>
        </w:rPr>
        <w:t>−</w:t>
      </w:r>
      <w:r>
        <w:rPr>
          <w:rFonts w:ascii="Times New Roman" w:hAnsi="Times New Roman"/>
          <w:sz w:val="24"/>
          <w:highlight w:val="none"/>
        </w:rPr>
        <w:t>·</w:t>
      </w:r>
      <w:r>
        <w:rPr>
          <w:rFonts w:eastAsia="Times New Roman"/>
          <w:color w:val="000000" w:themeColor="text1"/>
          <w:szCs w:val="24"/>
          <w14:textFill>
            <w14:solidFill>
              <w14:schemeClr w14:val="tx1"/>
            </w14:solidFill>
          </w14:textFill>
        </w:rPr>
        <w:t xml:space="preserve"> signals of samples with different concentrations dissolved in methanol, as well as the hydroxyl radical (</w:t>
      </w:r>
      <w:r>
        <w:rPr>
          <w:rFonts w:ascii="Times New Roman" w:hAnsi="Times New Roman"/>
          <w:sz w:val="24"/>
          <w:highlight w:val="none"/>
        </w:rPr>
        <w:t>·OH</w:t>
      </w:r>
      <w:r>
        <w:rPr>
          <w:rFonts w:eastAsia="Times New Roman"/>
          <w:color w:val="000000" w:themeColor="text1"/>
          <w:szCs w:val="24"/>
          <w14:textFill>
            <w14:solidFill>
              <w14:schemeClr w14:val="tx1"/>
            </w14:solidFill>
          </w14:textFill>
        </w:rPr>
        <w:t>) electron paramagnetic resonance (EPR) spectra in deionized aqueous solution, under xenon lamp irradiation (100 mW</w:t>
      </w:r>
      <w:r>
        <w:rPr>
          <w:rFonts w:hint="eastAsia"/>
          <w:color w:val="000000" w:themeColor="text1"/>
          <w:szCs w:val="24"/>
          <w:lang w:val="en-US" w:eastAsia="zh-CN"/>
          <w14:textFill>
            <w14:solidFill>
              <w14:schemeClr w14:val="tx1"/>
            </w14:solidFill>
          </w14:textFill>
        </w:rPr>
        <w:t>/</w:t>
      </w:r>
      <w:r>
        <w:rPr>
          <w:rFonts w:eastAsia="Times New Roman"/>
          <w:color w:val="000000" w:themeColor="text1"/>
          <w:szCs w:val="24"/>
          <w14:textFill>
            <w14:solidFill>
              <w14:schemeClr w14:val="tx1"/>
            </w14:solidFill>
          </w14:textFill>
        </w:rPr>
        <w:t>cm)</w:t>
      </w:r>
      <w:r>
        <w:rPr>
          <w:rFonts w:hint="eastAsia"/>
          <w:color w:val="000000" w:themeColor="text1"/>
          <w:szCs w:val="24"/>
          <w:lang w:val="en-US" w:eastAsia="zh-CN"/>
          <w14:textFill>
            <w14:solidFill>
              <w14:schemeClr w14:val="tx1"/>
            </w14:solidFill>
          </w14:textFill>
        </w:rPr>
        <w:t xml:space="preserve">, </w:t>
      </w:r>
      <w:r>
        <w:rPr>
          <w:rFonts w:hint="eastAsia" w:eastAsiaTheme="minorEastAsia"/>
          <w:color w:val="000000" w:themeColor="text1"/>
          <w:szCs w:val="24"/>
          <w14:textFill>
            <w14:solidFill>
              <w14:schemeClr w14:val="tx1"/>
            </w14:solidFill>
          </w14:textFill>
        </w:rPr>
        <w:t>(EPR, JES X320 JEOL</w:t>
      </w:r>
      <w:r>
        <w:rPr>
          <w:rFonts w:hint="eastAsia" w:eastAsiaTheme="minorEastAsia"/>
          <w:color w:val="000000" w:themeColor="text1"/>
          <w:szCs w:val="24"/>
          <w:lang w:val="en-US" w:eastAsia="zh-CN"/>
          <w14:textFill>
            <w14:solidFill>
              <w14:schemeClr w14:val="tx1"/>
            </w14:solidFill>
          </w14:textFill>
        </w:rPr>
        <w:t>,</w:t>
      </w:r>
      <w:r>
        <w:rPr>
          <w:rFonts w:hint="eastAsia" w:eastAsiaTheme="minorEastAsia"/>
          <w:color w:val="000000" w:themeColor="text1"/>
          <w:szCs w:val="24"/>
          <w14:textFill>
            <w14:solidFill>
              <w14:schemeClr w14:val="tx1"/>
            </w14:solidFill>
          </w14:textFill>
        </w:rPr>
        <w:t xml:space="preserve"> Japan).</w:t>
      </w:r>
      <w:r>
        <w:rPr>
          <w:rFonts w:eastAsia="Times New Roman"/>
          <w:color w:val="000000" w:themeColor="text1"/>
          <w:szCs w:val="24"/>
          <w14:textFill>
            <w14:solidFill>
              <w14:schemeClr w14:val="tx1"/>
            </w14:solidFill>
          </w14:textFill>
        </w:rPr>
        <w:t>The digested sample is made up to volume in a 50ml centrifuge tube with ultrapure water for 3 times. Vortex and mix thoroughly for 1 minute, then filter the sample through a 0.22</w:t>
      </w:r>
      <w:r>
        <w:rPr>
          <w:rFonts w:hint="eastAsia"/>
          <w:color w:val="000000" w:themeColor="text1"/>
          <w:szCs w:val="24"/>
          <w:lang w:val="en-US" w:eastAsia="zh-CN"/>
          <w14:textFill>
            <w14:solidFill>
              <w14:schemeClr w14:val="tx1"/>
            </w14:solidFill>
          </w14:textFill>
        </w:rPr>
        <w:t xml:space="preserve"> </w:t>
      </w:r>
      <w:r>
        <w:rPr>
          <w:rFonts w:eastAsia="Times New Roman"/>
          <w:color w:val="000000" w:themeColor="text1"/>
          <w:szCs w:val="24"/>
          <w14:textFill>
            <w14:solidFill>
              <w14:schemeClr w14:val="tx1"/>
            </w14:solidFill>
          </w14:textFill>
        </w:rPr>
        <w:t>μm pore size filter membrane to remove impurities. Dilute the sample according to its concentration, and then load it onto the instrument for analysis. Detect the relevant metal ions using an inductively coupled plasma mass spectrometer (ICP-MS</w:t>
      </w:r>
      <w:r>
        <w:rPr>
          <w:rFonts w:hint="eastAsia"/>
          <w:color w:val="000000" w:themeColor="text1"/>
          <w:szCs w:val="24"/>
          <w:lang w:val="en-US" w:eastAsia="zh-CN"/>
          <w14:textFill>
            <w14:solidFill>
              <w14:schemeClr w14:val="tx1"/>
            </w14:solidFill>
          </w14:textFill>
        </w:rPr>
        <w:t xml:space="preserve">, </w:t>
      </w:r>
      <w:r>
        <w:rPr>
          <w:rFonts w:hint="eastAsia"/>
          <w:color w:val="000000" w:themeColor="text1"/>
          <w:szCs w:val="24"/>
          <w14:textFill>
            <w14:solidFill>
              <w14:schemeClr w14:val="tx1"/>
            </w14:solidFill>
          </w14:textFill>
        </w:rPr>
        <w:t>PE NexION 300D</w:t>
      </w:r>
      <w:r>
        <w:rPr>
          <w:rFonts w:hint="eastAsia"/>
          <w:color w:val="000000" w:themeColor="text1"/>
          <w:szCs w:val="24"/>
          <w:lang w:val="en-US" w:eastAsia="zh-CN"/>
          <w14:textFill>
            <w14:solidFill>
              <w14:schemeClr w14:val="tx1"/>
            </w14:solidFill>
          </w14:textFill>
        </w:rPr>
        <w:t xml:space="preserve">, </w:t>
      </w:r>
      <w:r>
        <w:rPr>
          <w:rFonts w:hint="eastAsia"/>
          <w:color w:val="000000" w:themeColor="text1"/>
          <w:szCs w:val="24"/>
          <w14:textFill>
            <w14:solidFill>
              <w14:schemeClr w14:val="tx1"/>
            </w14:solidFill>
          </w14:textFill>
        </w:rPr>
        <w:t>USA</w:t>
      </w:r>
      <w:r>
        <w:rPr>
          <w:rFonts w:eastAsia="Times New Roman"/>
          <w:color w:val="000000" w:themeColor="text1"/>
          <w:szCs w:val="24"/>
          <w14:textFill>
            <w14:solidFill>
              <w14:schemeClr w14:val="tx1"/>
            </w14:solidFill>
          </w14:textFill>
        </w:rPr>
        <w:t>).</w:t>
      </w:r>
    </w:p>
    <w:p w14:paraId="2BD45EC8">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b/>
          <w:bCs/>
        </w:rPr>
        <w:t>1</w:t>
      </w:r>
      <w:r>
        <w:rPr>
          <w:rFonts w:hint="eastAsia" w:eastAsia="Times New Roman"/>
          <w:b/>
          <w:bCs/>
        </w:rPr>
        <w:t>.</w:t>
      </w:r>
      <w:r>
        <w:rPr>
          <w:rFonts w:hint="eastAsia" w:eastAsiaTheme="minorEastAsia"/>
          <w:b/>
          <w:bCs/>
        </w:rPr>
        <w:t>2</w:t>
      </w:r>
      <w:r>
        <w:rPr>
          <w:rFonts w:hint="eastAsia" w:eastAsia="Times New Roman"/>
          <w:b/>
          <w:bCs/>
        </w:rPr>
        <w:t xml:space="preserve"> Antioxidant </w:t>
      </w:r>
      <w:r>
        <w:rPr>
          <w:rFonts w:hint="eastAsia"/>
          <w:b/>
          <w:bCs/>
          <w:lang w:val="en-US" w:eastAsia="zh-CN"/>
        </w:rPr>
        <w:t>A</w:t>
      </w:r>
      <w:r>
        <w:rPr>
          <w:rFonts w:hint="eastAsia" w:eastAsia="Times New Roman"/>
          <w:b/>
          <w:bCs/>
        </w:rPr>
        <w:t xml:space="preserve">ctivity of </w:t>
      </w:r>
      <w:r>
        <w:rPr>
          <w:rFonts w:hint="eastAsia"/>
          <w:b/>
          <w:bCs/>
        </w:rPr>
        <w:t>G-Se NPs</w:t>
      </w:r>
      <w:r>
        <w:rPr>
          <w:rFonts w:hint="eastAsia" w:eastAsia="Times New Roman"/>
          <w:b/>
          <w:bCs/>
        </w:rPr>
        <w:t xml:space="preserve"> </w:t>
      </w:r>
    </w:p>
    <w:p w14:paraId="0D44E2FF">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 xml:space="preserve">The </w:t>
      </w:r>
      <w:r>
        <w:rPr>
          <w:rFonts w:ascii="Times New Roman" w:hAnsi="Times New Roman"/>
          <w:sz w:val="24"/>
          <w:highlight w:val="none"/>
        </w:rPr>
        <w:t>O</w:t>
      </w:r>
      <w:r>
        <w:rPr>
          <w:rFonts w:ascii="Times New Roman" w:hAnsi="Times New Roman"/>
          <w:sz w:val="24"/>
          <w:highlight w:val="none"/>
          <w:vertAlign w:val="subscript"/>
        </w:rPr>
        <w:t>2</w:t>
      </w:r>
      <w:r>
        <w:rPr>
          <w:rFonts w:ascii="Times New Roman" w:hAnsi="Times New Roman"/>
          <w:sz w:val="24"/>
          <w:highlight w:val="none"/>
          <w:vertAlign w:val="superscript"/>
        </w:rPr>
        <w:t>−</w:t>
      </w:r>
      <w:r>
        <w:rPr>
          <w:rFonts w:ascii="Times New Roman" w:hAnsi="Times New Roman"/>
          <w:sz w:val="24"/>
          <w:highlight w:val="none"/>
        </w:rPr>
        <w:t>·</w:t>
      </w:r>
      <w:r>
        <w:rPr>
          <w:rFonts w:eastAsia="Times New Roman"/>
        </w:rPr>
        <w:t xml:space="preserve"> scavenging activity was determined by assessing the inhibition ratio of the photoreduction of NBT. Initially, a mixture of 3.1 mM methionine, 5 μM riboflavin, 19 μM NBT and </w:t>
      </w:r>
      <w:r>
        <w:rPr>
          <w:rFonts w:hint="eastAsia" w:eastAsia="Times New Roman"/>
        </w:rPr>
        <w:t>different</w:t>
      </w:r>
      <w:r>
        <w:rPr>
          <w:rFonts w:eastAsia="Times New Roman"/>
        </w:rPr>
        <w:t xml:space="preserve"> liposomes was prepared. The mixture was then irradiated under UV light for 5 minutes, and the absorbance of the supernatant at 560 nm in each group was measured. The inhibition ratio was calculated using equation: </w:t>
      </w:r>
    </w:p>
    <w:p w14:paraId="26C4F6ED">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ascii="Times New Roman" w:hAnsi="Times New Roman"/>
          <w:sz w:val="24"/>
          <w:highlight w:val="none"/>
        </w:rPr>
        <w:t>O</w:t>
      </w:r>
      <w:r>
        <w:rPr>
          <w:rFonts w:ascii="Times New Roman" w:hAnsi="Times New Roman"/>
          <w:sz w:val="24"/>
          <w:highlight w:val="none"/>
          <w:vertAlign w:val="subscript"/>
        </w:rPr>
        <w:t>2</w:t>
      </w:r>
      <w:r>
        <w:rPr>
          <w:rFonts w:ascii="Times New Roman" w:hAnsi="Times New Roman"/>
          <w:sz w:val="24"/>
          <w:highlight w:val="none"/>
          <w:vertAlign w:val="superscript"/>
        </w:rPr>
        <w:t>−</w:t>
      </w:r>
      <w:r>
        <w:rPr>
          <w:rFonts w:ascii="Times New Roman" w:hAnsi="Times New Roman"/>
          <w:sz w:val="24"/>
          <w:highlight w:val="none"/>
        </w:rPr>
        <w:t>·</w:t>
      </w:r>
      <w:r>
        <w:rPr>
          <w:rFonts w:hint="eastAsia" w:eastAsia="Times New Roman"/>
        </w:rPr>
        <w:t xml:space="preserve"> </w:t>
      </w:r>
      <w:r>
        <w:rPr>
          <w:rFonts w:eastAsia="Times New Roman"/>
        </w:rPr>
        <w:t>scavenging</w:t>
      </w:r>
      <w:r>
        <w:rPr>
          <w:rFonts w:hint="eastAsia" w:eastAsia="Times New Roman"/>
        </w:rPr>
        <w:t xml:space="preserve"> ratio</w:t>
      </w:r>
      <w:r>
        <w:rPr>
          <w:rFonts w:eastAsia="Times New Roman"/>
        </w:rPr>
        <w:t xml:space="preserve"> (%) = (A</w:t>
      </w:r>
      <w:r>
        <w:rPr>
          <w:rFonts w:hint="eastAsia" w:eastAsia="Times New Roman"/>
        </w:rPr>
        <w:t>1</w:t>
      </w:r>
      <w:r>
        <w:rPr>
          <w:rFonts w:eastAsia="Times New Roman"/>
        </w:rPr>
        <w:t>-A</w:t>
      </w:r>
      <w:r>
        <w:rPr>
          <w:rFonts w:hint="eastAsia" w:eastAsia="Times New Roman"/>
        </w:rPr>
        <w:t>2</w:t>
      </w:r>
      <w:r>
        <w:rPr>
          <w:rFonts w:eastAsia="Times New Roman"/>
        </w:rPr>
        <w:t>)/(A</w:t>
      </w:r>
      <w:r>
        <w:rPr>
          <w:rFonts w:hint="eastAsia" w:eastAsia="Times New Roman"/>
        </w:rPr>
        <w:t>3</w:t>
      </w:r>
      <w:r>
        <w:rPr>
          <w:rFonts w:eastAsia="Times New Roman"/>
        </w:rPr>
        <w:t>-A</w:t>
      </w:r>
      <w:r>
        <w:rPr>
          <w:rFonts w:hint="eastAsia" w:eastAsia="Times New Roman"/>
        </w:rPr>
        <w:t>2</w:t>
      </w:r>
      <w:r>
        <w:rPr>
          <w:rFonts w:eastAsia="Times New Roman"/>
        </w:rPr>
        <w:t>)×100%</w:t>
      </w:r>
      <w:r>
        <w:rPr>
          <w:rFonts w:hint="eastAsia" w:eastAsia="Times New Roman"/>
        </w:rPr>
        <w:t xml:space="preserve">                         </w:t>
      </w:r>
    </w:p>
    <w:p w14:paraId="6D41B4F7">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 xml:space="preserve">where </w:t>
      </w:r>
      <w:r>
        <w:rPr>
          <w:rFonts w:hint="eastAsia" w:eastAsia="Times New Roman"/>
        </w:rPr>
        <w:t xml:space="preserve">the </w:t>
      </w:r>
      <w:r>
        <w:rPr>
          <w:rFonts w:eastAsia="Times New Roman"/>
        </w:rPr>
        <w:t>A1, A2, and A3 represent the absorbance values of the sample group, negative control and positive control, respectively.</w:t>
      </w:r>
    </w:p>
    <w:p w14:paraId="0CC863E4">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 xml:space="preserve">The ·OH scavenging efficiency of the samples </w:t>
      </w:r>
      <w:r>
        <w:rPr>
          <w:rFonts w:hint="eastAsia" w:eastAsia="Times New Roman"/>
        </w:rPr>
        <w:t>wa</w:t>
      </w:r>
      <w:r>
        <w:rPr>
          <w:rFonts w:eastAsia="Times New Roman"/>
        </w:rPr>
        <w:t xml:space="preserve">s characterized by measuring the fluorescence intensity of 2-hydroxyterephthalic acid generated by the capture of ·OH by 2-hydroxyterephthalic acid (TA). Different liposomes </w:t>
      </w:r>
      <w:r>
        <w:rPr>
          <w:rFonts w:hint="eastAsia" w:eastAsia="Times New Roman"/>
        </w:rPr>
        <w:t>were</w:t>
      </w:r>
      <w:r>
        <w:rPr>
          <w:rFonts w:eastAsia="Times New Roman"/>
        </w:rPr>
        <w:t xml:space="preserve"> added to PBS containing TA (0.5 mM) and H</w:t>
      </w:r>
      <w:r>
        <w:rPr>
          <w:rFonts w:eastAsia="Times New Roman"/>
          <w:vertAlign w:val="subscript"/>
        </w:rPr>
        <w:t>2</w:t>
      </w:r>
      <w:r>
        <w:rPr>
          <w:rFonts w:eastAsia="Times New Roman"/>
        </w:rPr>
        <w:t>O</w:t>
      </w:r>
      <w:r>
        <w:rPr>
          <w:rFonts w:eastAsia="Times New Roman"/>
          <w:vertAlign w:val="subscript"/>
        </w:rPr>
        <w:t>2</w:t>
      </w:r>
      <w:r>
        <w:rPr>
          <w:rFonts w:eastAsia="Times New Roman"/>
        </w:rPr>
        <w:t xml:space="preserve"> (1 mM) and incubated at 37°C for 12 h. Finally, the fluorescence intensity of the supernatant in each group</w:t>
      </w:r>
      <w:r>
        <w:rPr>
          <w:rFonts w:hint="eastAsia" w:eastAsia="Times New Roman"/>
        </w:rPr>
        <w:t xml:space="preserve"> wa</w:t>
      </w:r>
      <w:r>
        <w:rPr>
          <w:rFonts w:eastAsia="Times New Roman"/>
        </w:rPr>
        <w:t>s measured (λ</w:t>
      </w:r>
      <w:r>
        <w:rPr>
          <w:rFonts w:eastAsia="Times New Roman"/>
          <w:vertAlign w:val="subscript"/>
        </w:rPr>
        <w:t>ex</w:t>
      </w:r>
      <w:r>
        <w:rPr>
          <w:rFonts w:eastAsia="Times New Roman"/>
        </w:rPr>
        <w:t xml:space="preserve">=315 nm). The inhibition ratio was calculated using equation: </w:t>
      </w:r>
    </w:p>
    <w:p w14:paraId="7EACD48D">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·OH scavenging</w:t>
      </w:r>
      <w:r>
        <w:rPr>
          <w:rFonts w:hint="eastAsia" w:eastAsia="Times New Roman"/>
        </w:rPr>
        <w:t xml:space="preserve"> ratio</w:t>
      </w:r>
      <w:r>
        <w:rPr>
          <w:rFonts w:eastAsia="Times New Roman"/>
        </w:rPr>
        <w:t xml:space="preserve"> (%) =</w:t>
      </w:r>
      <w:r>
        <w:rPr>
          <w:rFonts w:hint="eastAsia" w:eastAsia="Times New Roman"/>
        </w:rPr>
        <w:t xml:space="preserve"> </w:t>
      </w:r>
      <w:r>
        <w:rPr>
          <w:rFonts w:eastAsia="Times New Roman"/>
        </w:rPr>
        <w:t>(</w:t>
      </w:r>
      <w:r>
        <w:rPr>
          <w:rFonts w:hint="eastAsia" w:eastAsia="Times New Roman"/>
        </w:rPr>
        <w:t>B2</w:t>
      </w:r>
      <w:r>
        <w:rPr>
          <w:rFonts w:eastAsia="Times New Roman"/>
        </w:rPr>
        <w:t>-</w:t>
      </w:r>
      <w:r>
        <w:rPr>
          <w:rFonts w:hint="eastAsia" w:eastAsia="Times New Roman"/>
        </w:rPr>
        <w:t>B1</w:t>
      </w:r>
      <w:r>
        <w:rPr>
          <w:rFonts w:eastAsia="Times New Roman"/>
        </w:rPr>
        <w:t>)/</w:t>
      </w:r>
      <w:r>
        <w:rPr>
          <w:rFonts w:hint="eastAsia" w:eastAsia="Times New Roman"/>
        </w:rPr>
        <w:t>B2</w:t>
      </w:r>
      <w:r>
        <w:rPr>
          <w:rFonts w:eastAsia="Times New Roman"/>
        </w:rPr>
        <w:t>×100%</w:t>
      </w:r>
      <w:r>
        <w:rPr>
          <w:rFonts w:hint="eastAsia" w:eastAsia="Times New Roman"/>
        </w:rPr>
        <w:t xml:space="preserve">                             </w:t>
      </w:r>
    </w:p>
    <w:p w14:paraId="4763244D">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where</w:t>
      </w:r>
      <w:r>
        <w:rPr>
          <w:rFonts w:hint="eastAsia" w:eastAsia="Times New Roman"/>
        </w:rPr>
        <w:t xml:space="preserve"> the</w:t>
      </w:r>
      <w:r>
        <w:rPr>
          <w:rFonts w:eastAsia="Times New Roman"/>
        </w:rPr>
        <w:t xml:space="preserve"> </w:t>
      </w:r>
      <w:r>
        <w:rPr>
          <w:rFonts w:hint="eastAsia" w:eastAsia="Times New Roman"/>
        </w:rPr>
        <w:t>B</w:t>
      </w:r>
      <w:r>
        <w:rPr>
          <w:rFonts w:hint="eastAsia" w:eastAsia="Times New Roman"/>
          <w:vertAlign w:val="subscript"/>
        </w:rPr>
        <w:t>1</w:t>
      </w:r>
      <w:r>
        <w:rPr>
          <w:rFonts w:hint="eastAsia" w:eastAsia="Times New Roman"/>
        </w:rPr>
        <w:t xml:space="preserve"> and</w:t>
      </w:r>
      <w:r>
        <w:rPr>
          <w:rFonts w:eastAsia="Times New Roman"/>
        </w:rPr>
        <w:t xml:space="preserve"> </w:t>
      </w:r>
      <w:r>
        <w:rPr>
          <w:rFonts w:hint="eastAsia" w:eastAsia="Times New Roman"/>
        </w:rPr>
        <w:t>B</w:t>
      </w:r>
      <w:r>
        <w:rPr>
          <w:rFonts w:hint="eastAsia" w:eastAsia="Times New Roman"/>
          <w:vertAlign w:val="subscript"/>
        </w:rPr>
        <w:t>2</w:t>
      </w:r>
      <w:r>
        <w:rPr>
          <w:rFonts w:hint="eastAsia" w:eastAsia="Times New Roman"/>
        </w:rPr>
        <w:t xml:space="preserve"> </w:t>
      </w:r>
      <w:r>
        <w:rPr>
          <w:rFonts w:eastAsia="Times New Roman"/>
        </w:rPr>
        <w:t>represent the absorbance values of the sample group</w:t>
      </w:r>
      <w:r>
        <w:rPr>
          <w:rFonts w:hint="eastAsia" w:eastAsia="Times New Roman"/>
        </w:rPr>
        <w:t xml:space="preserve"> and</w:t>
      </w:r>
      <w:r>
        <w:rPr>
          <w:rFonts w:eastAsia="Times New Roman"/>
        </w:rPr>
        <w:t xml:space="preserve"> positive control, respectively.</w:t>
      </w:r>
    </w:p>
    <w:p w14:paraId="41747A36">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To measure the H</w:t>
      </w:r>
      <w:r>
        <w:rPr>
          <w:rFonts w:hint="eastAsia" w:eastAsia="Times New Roman"/>
          <w:vertAlign w:val="subscript"/>
        </w:rPr>
        <w:t>2</w:t>
      </w:r>
      <w:r>
        <w:rPr>
          <w:rFonts w:eastAsia="Times New Roman"/>
        </w:rPr>
        <w:t>O</w:t>
      </w:r>
      <w:r>
        <w:rPr>
          <w:rFonts w:hint="eastAsia" w:eastAsia="Times New Roman"/>
          <w:vertAlign w:val="subscript"/>
        </w:rPr>
        <w:t>2</w:t>
      </w:r>
      <w:r>
        <w:rPr>
          <w:rFonts w:eastAsia="Times New Roman"/>
        </w:rPr>
        <w:t xml:space="preserve"> scavenging activity of liposome samples using</w:t>
      </w:r>
      <w:r>
        <w:rPr>
          <w:rFonts w:hint="eastAsia" w:eastAsia="Times New Roman"/>
        </w:rPr>
        <w:t xml:space="preserve"> the</w:t>
      </w:r>
      <w:r>
        <w:rPr>
          <w:rFonts w:eastAsia="Times New Roman"/>
        </w:rPr>
        <w:t xml:space="preserve"> titanium sulfate colorimetric method, different liposomes were first added to 1 mM H</w:t>
      </w:r>
      <w:r>
        <w:rPr>
          <w:rFonts w:eastAsia="Times New Roman"/>
          <w:vertAlign w:val="subscript"/>
        </w:rPr>
        <w:t>2</w:t>
      </w:r>
      <w:r>
        <w:rPr>
          <w:rFonts w:eastAsia="Times New Roman"/>
        </w:rPr>
        <w:t>O</w:t>
      </w:r>
      <w:r>
        <w:rPr>
          <w:rFonts w:eastAsia="Times New Roman"/>
          <w:vertAlign w:val="subscript"/>
        </w:rPr>
        <w:t>2</w:t>
      </w:r>
      <w:r>
        <w:rPr>
          <w:rFonts w:eastAsia="Times New Roman"/>
        </w:rPr>
        <w:t xml:space="preserve"> and incubated in the dark for 4 hours. Afterward, 1 mL of the supernatant from each group w</w:t>
      </w:r>
      <w:r>
        <w:rPr>
          <w:rFonts w:hint="eastAsia" w:eastAsia="Times New Roman"/>
        </w:rPr>
        <w:t>ere</w:t>
      </w:r>
      <w:r>
        <w:rPr>
          <w:rFonts w:eastAsia="Times New Roman"/>
        </w:rPr>
        <w:t xml:space="preserve"> taken and mixed with 2 mL of Ti(SO</w:t>
      </w:r>
      <w:r>
        <w:rPr>
          <w:rFonts w:eastAsia="Times New Roman"/>
          <w:vertAlign w:val="subscript"/>
        </w:rPr>
        <w:t>4</w:t>
      </w:r>
      <w:r>
        <w:rPr>
          <w:rFonts w:eastAsia="Times New Roman"/>
        </w:rPr>
        <w:t>)</w:t>
      </w:r>
      <w:r>
        <w:rPr>
          <w:rFonts w:eastAsia="Times New Roman"/>
          <w:vertAlign w:val="subscript"/>
        </w:rPr>
        <w:t>2</w:t>
      </w:r>
      <w:r>
        <w:rPr>
          <w:rFonts w:eastAsia="Times New Roman"/>
        </w:rPr>
        <w:t xml:space="preserve"> solution. The mixture was then incubated for 0.5 h, and the absorbance at 405 nm was measured. The inhibition ratio was calculated using equation:</w:t>
      </w:r>
      <w:r>
        <w:rPr>
          <w:rFonts w:hint="eastAsia" w:eastAsia="Times New Roman"/>
        </w:rPr>
        <w:t xml:space="preserve"> </w:t>
      </w:r>
    </w:p>
    <w:p w14:paraId="2C813419">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H</w:t>
      </w:r>
      <w:r>
        <w:rPr>
          <w:rFonts w:eastAsia="Times New Roman"/>
          <w:vertAlign w:val="subscript"/>
        </w:rPr>
        <w:t>2</w:t>
      </w:r>
      <w:r>
        <w:rPr>
          <w:rFonts w:eastAsia="Times New Roman"/>
        </w:rPr>
        <w:t>O</w:t>
      </w:r>
      <w:r>
        <w:rPr>
          <w:rFonts w:eastAsia="Times New Roman"/>
          <w:vertAlign w:val="subscript"/>
        </w:rPr>
        <w:t>2</w:t>
      </w:r>
      <w:r>
        <w:rPr>
          <w:rFonts w:eastAsia="Times New Roman"/>
        </w:rPr>
        <w:t xml:space="preserve"> scavenging</w:t>
      </w:r>
      <w:r>
        <w:rPr>
          <w:rFonts w:hint="eastAsia" w:eastAsia="Times New Roman"/>
        </w:rPr>
        <w:t xml:space="preserve"> ratio</w:t>
      </w:r>
      <w:r>
        <w:rPr>
          <w:rFonts w:eastAsia="Times New Roman"/>
        </w:rPr>
        <w:t xml:space="preserve"> (%) =</w:t>
      </w:r>
      <w:r>
        <w:rPr>
          <w:rFonts w:hint="eastAsia" w:eastAsia="Times New Roman"/>
        </w:rPr>
        <w:t xml:space="preserve"> </w:t>
      </w:r>
      <w:r>
        <w:rPr>
          <w:rFonts w:eastAsia="Times New Roman"/>
        </w:rPr>
        <w:t>(</w:t>
      </w:r>
      <w:r>
        <w:rPr>
          <w:rFonts w:hint="eastAsia" w:eastAsia="Times New Roman"/>
        </w:rPr>
        <w:t>C2</w:t>
      </w:r>
      <w:r>
        <w:rPr>
          <w:rFonts w:eastAsia="Times New Roman"/>
        </w:rPr>
        <w:t>-</w:t>
      </w:r>
      <w:r>
        <w:rPr>
          <w:rFonts w:hint="eastAsia" w:eastAsia="Times New Roman"/>
        </w:rPr>
        <w:t>C1</w:t>
      </w:r>
      <w:r>
        <w:rPr>
          <w:rFonts w:eastAsia="Times New Roman"/>
        </w:rPr>
        <w:t>)/</w:t>
      </w:r>
      <w:r>
        <w:rPr>
          <w:rFonts w:hint="eastAsia" w:eastAsia="Times New Roman"/>
        </w:rPr>
        <w:t>C</w:t>
      </w:r>
      <w:r>
        <w:rPr>
          <w:rFonts w:eastAsia="Times New Roman"/>
        </w:rPr>
        <w:t>2×100%</w:t>
      </w:r>
      <w:r>
        <w:rPr>
          <w:rFonts w:hint="eastAsia" w:eastAsia="Times New Roman"/>
        </w:rPr>
        <w:t xml:space="preserve">                             </w:t>
      </w:r>
    </w:p>
    <w:p w14:paraId="73B86BAF">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where</w:t>
      </w:r>
      <w:r>
        <w:rPr>
          <w:rFonts w:hint="eastAsia" w:eastAsia="Times New Roman"/>
        </w:rPr>
        <w:t xml:space="preserve"> the</w:t>
      </w:r>
      <w:r>
        <w:rPr>
          <w:rFonts w:eastAsia="Times New Roman"/>
        </w:rPr>
        <w:t xml:space="preserve"> </w:t>
      </w:r>
      <w:r>
        <w:rPr>
          <w:rFonts w:hint="eastAsia" w:eastAsia="Times New Roman"/>
        </w:rPr>
        <w:t>C1 and</w:t>
      </w:r>
      <w:r>
        <w:rPr>
          <w:rFonts w:eastAsia="Times New Roman"/>
        </w:rPr>
        <w:t xml:space="preserve"> </w:t>
      </w:r>
      <w:r>
        <w:rPr>
          <w:rFonts w:hint="eastAsia" w:eastAsia="Times New Roman"/>
        </w:rPr>
        <w:t xml:space="preserve">C2 </w:t>
      </w:r>
      <w:r>
        <w:rPr>
          <w:rFonts w:eastAsia="Times New Roman"/>
        </w:rPr>
        <w:t>represent the absorbance values of the sample group</w:t>
      </w:r>
      <w:r>
        <w:rPr>
          <w:rFonts w:hint="eastAsia" w:eastAsia="Times New Roman"/>
        </w:rPr>
        <w:t xml:space="preserve"> and</w:t>
      </w:r>
      <w:r>
        <w:rPr>
          <w:rFonts w:eastAsia="Times New Roman"/>
        </w:rPr>
        <w:t xml:space="preserve"> positive control, respectively.</w:t>
      </w:r>
    </w:p>
    <w:p w14:paraId="05081928">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 xml:space="preserve">1, 1-diphenyl-2-picrylhydrazyl hydrate (DPPH radical scavenging capacity) was used to measure the antioxidant strength of the </w:t>
      </w:r>
      <w:r>
        <w:rPr>
          <w:rFonts w:hint="eastAsia"/>
        </w:rPr>
        <w:t>G-Se NPs</w:t>
      </w:r>
      <w:r>
        <w:rPr>
          <w:rFonts w:eastAsia="Times New Roman"/>
        </w:rPr>
        <w:t>. The assay mixture was formed by adding 3 m</w:t>
      </w:r>
      <w:r>
        <w:rPr>
          <w:rFonts w:hint="eastAsia"/>
          <w:lang w:val="en-US" w:eastAsia="zh-CN"/>
        </w:rPr>
        <w:t>L</w:t>
      </w:r>
      <w:r>
        <w:rPr>
          <w:rFonts w:eastAsia="Times New Roman"/>
        </w:rPr>
        <w:t xml:space="preserve"> of DPPH ethanol solution (0.1 M) to 1 m</w:t>
      </w:r>
      <w:r>
        <w:rPr>
          <w:rFonts w:hint="eastAsia"/>
          <w:lang w:val="en-US" w:eastAsia="zh-CN"/>
        </w:rPr>
        <w:t>L</w:t>
      </w:r>
      <w:r>
        <w:rPr>
          <w:rFonts w:eastAsia="Times New Roman"/>
        </w:rPr>
        <w:t xml:space="preserve"> of different concentrations (5, 10, </w:t>
      </w:r>
      <w:r>
        <w:rPr>
          <w:rFonts w:hint="eastAsia" w:eastAsia="Times New Roman"/>
        </w:rPr>
        <w:t>20</w:t>
      </w:r>
      <w:r>
        <w:rPr>
          <w:rFonts w:eastAsia="Times New Roman"/>
        </w:rPr>
        <w:t> </w:t>
      </w:r>
      <w:r>
        <w:rPr>
          <w:rFonts w:hint="eastAsia" w:eastAsia="Times New Roman"/>
        </w:rPr>
        <w:t>μ</w:t>
      </w:r>
      <w:r>
        <w:rPr>
          <w:rFonts w:eastAsia="Times New Roman"/>
        </w:rPr>
        <w:t>g/m</w:t>
      </w:r>
      <w:r>
        <w:rPr>
          <w:rFonts w:hint="eastAsia"/>
          <w:lang w:val="en-US" w:eastAsia="zh-CN"/>
        </w:rPr>
        <w:t>L</w:t>
      </w:r>
      <w:r>
        <w:rPr>
          <w:rFonts w:eastAsia="Times New Roman"/>
        </w:rPr>
        <w:t>) of sample in separate test tubes and incubated at 37 °C for a period of 30 min. The reaction mixture's absorbance has been determined at 517 </w:t>
      </w:r>
      <w:r>
        <w:rPr>
          <w:rFonts w:hint="eastAsia"/>
          <w:lang w:val="en-US" w:eastAsia="zh-CN"/>
        </w:rPr>
        <w:t>nm</w:t>
      </w:r>
      <w:r>
        <w:rPr>
          <w:rFonts w:eastAsia="Times New Roman"/>
        </w:rPr>
        <w:t>, and the percentage of damaging </w:t>
      </w:r>
      <w:r>
        <w:fldChar w:fldCharType="begin"/>
      </w:r>
      <w:r>
        <w:instrText xml:space="preserve"> HYPERLINK "https://www.sciencedirect.com/topics/pharmacology-toxicology-and-pharmaceutical-science/free-radical" \o "Learn more about free radicals from ScienceDirect's AI-generated Topic Pages" </w:instrText>
      </w:r>
      <w:r>
        <w:fldChar w:fldCharType="separate"/>
      </w:r>
      <w:r>
        <w:rPr>
          <w:rFonts w:eastAsia="Times New Roman"/>
        </w:rPr>
        <w:t>free radicals</w:t>
      </w:r>
      <w:r>
        <w:rPr>
          <w:rFonts w:eastAsia="Times New Roman"/>
        </w:rPr>
        <w:fldChar w:fldCharType="end"/>
      </w:r>
      <w:r>
        <w:rPr>
          <w:rFonts w:eastAsia="Times New Roman"/>
        </w:rPr>
        <w:t> that the sample scavenged was estimated by using the formulas given below:</w:t>
      </w:r>
    </w:p>
    <w:p w14:paraId="22B9BB52">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eastAsia="Times New Roman"/>
        </w:rPr>
        <w:t>Radical Scavenging activity (%) = (</w:t>
      </w:r>
      <w:r>
        <w:rPr>
          <w:rFonts w:hint="eastAsia"/>
        </w:rPr>
        <w:t>D1</w:t>
      </w:r>
      <w:r>
        <w:rPr>
          <w:rFonts w:eastAsia="Times New Roman"/>
        </w:rPr>
        <w:t xml:space="preserve"> – </w:t>
      </w:r>
      <w:r>
        <w:rPr>
          <w:rFonts w:hint="eastAsia"/>
        </w:rPr>
        <w:t>D2</w:t>
      </w:r>
      <w:r>
        <w:rPr>
          <w:rFonts w:eastAsia="Times New Roman"/>
        </w:rPr>
        <w:t xml:space="preserve">) / </w:t>
      </w:r>
      <w:r>
        <w:rPr>
          <w:rFonts w:hint="eastAsia"/>
        </w:rPr>
        <w:t>D1</w:t>
      </w:r>
      <w:r>
        <w:rPr>
          <w:rFonts w:eastAsia="Times New Roman"/>
        </w:rPr>
        <w:t xml:space="preserve">×100% </w:t>
      </w:r>
      <w:r>
        <w:rPr>
          <w:rFonts w:hint="eastAsia" w:eastAsia="Times New Roman"/>
        </w:rPr>
        <w:t>.</w:t>
      </w:r>
    </w:p>
    <w:p w14:paraId="4A53FD93">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rPr>
      </w:pPr>
      <w:r>
        <w:rPr>
          <w:rFonts w:hint="eastAsia"/>
        </w:rPr>
        <w:t>Where the D1 and D2 represent the a</w:t>
      </w:r>
      <w:r>
        <w:rPr>
          <w:rFonts w:eastAsia="Times New Roman"/>
        </w:rPr>
        <w:t xml:space="preserve">bsorbance </w:t>
      </w:r>
      <w:r>
        <w:rPr>
          <w:rFonts w:hint="eastAsia"/>
        </w:rPr>
        <w:t xml:space="preserve">values </w:t>
      </w:r>
      <w:r>
        <w:rPr>
          <w:rFonts w:eastAsia="Times New Roman"/>
        </w:rPr>
        <w:t xml:space="preserve">of </w:t>
      </w:r>
      <w:r>
        <w:rPr>
          <w:rFonts w:hint="eastAsia"/>
        </w:rPr>
        <w:t>c</w:t>
      </w:r>
      <w:r>
        <w:rPr>
          <w:rFonts w:eastAsia="Times New Roman"/>
        </w:rPr>
        <w:t>ontrol</w:t>
      </w:r>
      <w:r>
        <w:rPr>
          <w:rFonts w:hint="eastAsia"/>
        </w:rPr>
        <w:t xml:space="preserve"> group and sample group</w:t>
      </w:r>
      <w:r>
        <w:rPr>
          <w:rFonts w:eastAsia="Times New Roman"/>
        </w:rPr>
        <w:t xml:space="preserve">. </w:t>
      </w:r>
    </w:p>
    <w:p w14:paraId="1333C081">
      <w:pPr>
        <w:keepNext w:val="0"/>
        <w:keepLines w:val="0"/>
        <w:pageBreakBefore w:val="0"/>
        <w:overflowPunct/>
        <w:topLinePunct w:val="0"/>
        <w:bidi w:val="0"/>
        <w:adjustRightInd/>
        <w:snapToGrid/>
        <w:spacing w:line="360" w:lineRule="auto"/>
        <w:ind w:firstLine="0" w:firstLineChars="0"/>
        <w:jc w:val="both"/>
        <w:textAlignment w:val="auto"/>
        <w:rPr>
          <w:rFonts w:eastAsia="Times New Roman"/>
        </w:rPr>
      </w:pPr>
      <w:r>
        <w:rPr>
          <w:rFonts w:hint="eastAsia"/>
          <w:b/>
          <w:bCs/>
        </w:rPr>
        <w:t>1</w:t>
      </w:r>
      <w:r>
        <w:rPr>
          <w:rFonts w:hint="eastAsia" w:eastAsia="Times New Roman"/>
          <w:b/>
          <w:bCs/>
        </w:rPr>
        <w:t>.</w:t>
      </w:r>
      <w:r>
        <w:rPr>
          <w:rFonts w:hint="eastAsia" w:eastAsiaTheme="minorEastAsia"/>
          <w:b/>
          <w:bCs/>
        </w:rPr>
        <w:t>3</w:t>
      </w:r>
      <w:r>
        <w:rPr>
          <w:rFonts w:hint="eastAsia" w:eastAsia="Times New Roman"/>
          <w:b/>
          <w:bCs/>
        </w:rPr>
        <w:t xml:space="preserve"> C</w:t>
      </w:r>
      <w:r>
        <w:rPr>
          <w:rFonts w:eastAsia="Times New Roman"/>
          <w:b/>
          <w:bCs/>
        </w:rPr>
        <w:t>ell</w:t>
      </w:r>
      <w:r>
        <w:rPr>
          <w:rFonts w:hint="eastAsia" w:eastAsia="Times New Roman"/>
          <w:b/>
          <w:bCs/>
        </w:rPr>
        <w:t xml:space="preserve"> </w:t>
      </w:r>
      <w:r>
        <w:rPr>
          <w:rFonts w:eastAsia="Times New Roman"/>
          <w:b/>
          <w:bCs/>
        </w:rPr>
        <w:t>C</w:t>
      </w:r>
      <w:r>
        <w:rPr>
          <w:rFonts w:hint="eastAsia" w:eastAsia="Times New Roman"/>
          <w:b/>
          <w:bCs/>
        </w:rPr>
        <w:t>ulture</w:t>
      </w:r>
      <w:r>
        <w:rPr>
          <w:rFonts w:eastAsia="Times New Roman"/>
          <w:b/>
          <w:bCs/>
        </w:rPr>
        <w:t xml:space="preserve"> </w:t>
      </w:r>
      <w:r>
        <w:rPr>
          <w:rFonts w:eastAsia="Times New Roman"/>
        </w:rPr>
        <w:t xml:space="preserve"> </w:t>
      </w:r>
    </w:p>
    <w:p w14:paraId="436CCF02">
      <w:pPr>
        <w:keepNext w:val="0"/>
        <w:keepLines w:val="0"/>
        <w:pageBreakBefore w:val="0"/>
        <w:overflowPunct/>
        <w:topLinePunct w:val="0"/>
        <w:bidi w:val="0"/>
        <w:adjustRightInd/>
        <w:snapToGrid/>
        <w:spacing w:line="360" w:lineRule="auto"/>
        <w:ind w:firstLine="480" w:firstLineChars="200"/>
        <w:jc w:val="both"/>
        <w:textAlignment w:val="auto"/>
        <w:rPr>
          <w:rFonts w:hint="eastAsia" w:eastAsia="Times New Roman"/>
        </w:rPr>
      </w:pPr>
      <w:r>
        <w:rPr>
          <w:rFonts w:hint="eastAsia" w:eastAsia="Times New Roman"/>
        </w:rPr>
        <w:t xml:space="preserve">PC12 cells were purchased from the Cell Bank of the Chinese Academy of Science (Shanghai, China). The </w:t>
      </w:r>
      <w:r>
        <w:rPr>
          <w:rFonts w:eastAsia="Times New Roman"/>
        </w:rPr>
        <w:t xml:space="preserve">PC12 cells were </w:t>
      </w:r>
      <w:r>
        <w:rPr>
          <w:rFonts w:hint="eastAsia" w:eastAsia="Times New Roman"/>
        </w:rPr>
        <w:t>maintained in DMEM (22.5 mM glucose) containing 10% FBS, 30</w:t>
      </w:r>
      <w:r>
        <w:rPr>
          <w:rFonts w:hint="eastAsia"/>
          <w:lang w:val="en-US" w:eastAsia="zh-CN"/>
        </w:rPr>
        <w:t xml:space="preserve">  </w:t>
      </w:r>
      <w:r>
        <w:rPr>
          <w:rFonts w:hint="eastAsia" w:eastAsia="Times New Roman"/>
        </w:rPr>
        <w:t xml:space="preserve"> μg/mL penicillin, and 100 μg/mL streptomycin at 37℃ under 5% CO</w:t>
      </w:r>
      <w:r>
        <w:rPr>
          <w:rFonts w:hint="eastAsia" w:eastAsia="Times New Roman"/>
          <w:vertAlign w:val="subscript"/>
        </w:rPr>
        <w:t>2</w:t>
      </w:r>
      <w:r>
        <w:rPr>
          <w:rFonts w:hint="eastAsia" w:eastAsia="Times New Roman"/>
        </w:rPr>
        <w:t xml:space="preserve"> atmosphere. The medium was exchanged every </w:t>
      </w:r>
      <w:r>
        <w:rPr>
          <w:rFonts w:hint="eastAsia" w:eastAsiaTheme="minorEastAsia"/>
        </w:rPr>
        <w:t>36</w:t>
      </w:r>
      <w:r>
        <w:rPr>
          <w:rFonts w:hint="eastAsia" w:eastAsia="Times New Roman"/>
        </w:rPr>
        <w:t xml:space="preserve"> h. For all experiments, cells were grown on </w:t>
      </w:r>
      <w:r>
        <w:rPr>
          <w:rFonts w:hint="eastAsia" w:eastAsiaTheme="minorEastAsia"/>
        </w:rPr>
        <w:t>100</w:t>
      </w:r>
      <w:r>
        <w:rPr>
          <w:rFonts w:hint="eastAsia" w:eastAsiaTheme="minorEastAsia"/>
          <w:lang w:val="en-US" w:eastAsia="zh-CN"/>
        </w:rPr>
        <w:t xml:space="preserve"> </w:t>
      </w:r>
      <w:r>
        <w:rPr>
          <w:rFonts w:hint="eastAsia" w:eastAsiaTheme="minorEastAsia"/>
        </w:rPr>
        <w:t>mm</w:t>
      </w:r>
      <w:r>
        <w:rPr>
          <w:rFonts w:hint="eastAsia" w:eastAsiaTheme="minorEastAsia"/>
          <w:lang w:val="en-US" w:eastAsia="zh-CN"/>
        </w:rPr>
        <w:t xml:space="preserve"> </w:t>
      </w:r>
      <w:r>
        <w:rPr>
          <w:rFonts w:eastAsia="Times New Roman"/>
        </w:rPr>
        <w:t>×</w:t>
      </w:r>
      <w:r>
        <w:rPr>
          <w:rFonts w:hint="eastAsia"/>
          <w:lang w:val="en-US" w:eastAsia="zh-CN"/>
        </w:rPr>
        <w:t xml:space="preserve"> </w:t>
      </w:r>
      <w:r>
        <w:rPr>
          <w:rFonts w:hint="eastAsia" w:eastAsiaTheme="minorEastAsia"/>
        </w:rPr>
        <w:t>20</w:t>
      </w:r>
      <w:r>
        <w:rPr>
          <w:rFonts w:hint="eastAsia" w:eastAsiaTheme="minorEastAsia"/>
          <w:lang w:val="en-US" w:eastAsia="zh-CN"/>
        </w:rPr>
        <w:t xml:space="preserve"> </w:t>
      </w:r>
      <w:r>
        <w:rPr>
          <w:rFonts w:hint="eastAsia" w:eastAsiaTheme="minorEastAsia"/>
        </w:rPr>
        <w:t>mm</w:t>
      </w:r>
      <w:r>
        <w:rPr>
          <w:rFonts w:hint="eastAsia" w:eastAsia="Times New Roman"/>
        </w:rPr>
        <w:t xml:space="preserve"> plates at a density of </w:t>
      </w:r>
      <w:r>
        <w:rPr>
          <w:rFonts w:hint="eastAsia" w:eastAsiaTheme="minorEastAsia"/>
        </w:rPr>
        <w:t>1</w:t>
      </w:r>
      <w:r>
        <w:rPr>
          <w:rFonts w:eastAsia="Times New Roman"/>
        </w:rPr>
        <w:t>×</w:t>
      </w:r>
      <w:r>
        <w:rPr>
          <w:rFonts w:hint="eastAsia" w:eastAsia="Times New Roman"/>
        </w:rPr>
        <w:t>10</w:t>
      </w:r>
      <w:r>
        <w:rPr>
          <w:rFonts w:hint="eastAsia" w:eastAsiaTheme="minorEastAsia"/>
          <w:vertAlign w:val="superscript"/>
        </w:rPr>
        <w:t>6</w:t>
      </w:r>
      <w:r>
        <w:rPr>
          <w:rFonts w:hint="eastAsia" w:eastAsia="Times New Roman"/>
        </w:rPr>
        <w:t xml:space="preserve"> cells per well in 3 mL growth medium, or on 96-well plates at a density of 5</w:t>
      </w:r>
      <w:r>
        <w:rPr>
          <w:rFonts w:eastAsia="Times New Roman"/>
        </w:rPr>
        <w:t>×</w:t>
      </w:r>
      <w:r>
        <w:rPr>
          <w:rFonts w:hint="eastAsia" w:eastAsia="Times New Roman"/>
        </w:rPr>
        <w:t>10</w:t>
      </w:r>
      <w:r>
        <w:rPr>
          <w:rFonts w:hint="eastAsia" w:eastAsia="Times New Roman"/>
          <w:vertAlign w:val="superscript"/>
        </w:rPr>
        <w:t>3</w:t>
      </w:r>
      <w:r>
        <w:rPr>
          <w:rFonts w:hint="eastAsia" w:eastAsia="Times New Roman"/>
        </w:rPr>
        <w:t xml:space="preserve"> cells per well in 0.2 mL growth medium. Three days after plating,</w:t>
      </w:r>
      <w:r>
        <w:rPr>
          <w:rFonts w:hint="eastAsia"/>
          <w:lang w:val="en-US" w:eastAsia="zh-CN"/>
        </w:rPr>
        <w:t xml:space="preserve"> </w:t>
      </w:r>
      <w:r>
        <w:rPr>
          <w:rFonts w:hint="eastAsia" w:eastAsia="Times New Roman"/>
        </w:rPr>
        <w:t>cells typically reached 50-70% confluence (Day 0). Differentiation was then induced by switching to DMEM (22.5 mM glucose) supplemented with 100 ng/mL NGF,</w:t>
      </w:r>
      <w:r>
        <w:rPr>
          <w:rFonts w:hint="eastAsia"/>
          <w:lang w:val="en-US" w:eastAsia="zh-CN"/>
        </w:rPr>
        <w:t xml:space="preserve"> </w:t>
      </w:r>
      <w:r>
        <w:rPr>
          <w:rFonts w:hint="eastAsia" w:eastAsia="Times New Roman"/>
        </w:rPr>
        <w:t>30 μg/mL penicillin, and 100 μg/mL streptomycin.</w:t>
      </w:r>
    </w:p>
    <w:p w14:paraId="2F7D31CF">
      <w:pPr>
        <w:keepNext w:val="0"/>
        <w:keepLines w:val="0"/>
        <w:pageBreakBefore w:val="0"/>
        <w:overflowPunct/>
        <w:topLinePunct w:val="0"/>
        <w:bidi w:val="0"/>
        <w:adjustRightInd/>
        <w:snapToGrid/>
        <w:spacing w:line="360" w:lineRule="auto"/>
        <w:ind w:firstLine="480" w:firstLineChars="200"/>
        <w:jc w:val="both"/>
        <w:textAlignment w:val="auto"/>
        <w:rPr>
          <w:rFonts w:hint="eastAsia" w:eastAsia="Times New Roman"/>
        </w:rPr>
      </w:pPr>
    </w:p>
    <w:p w14:paraId="19E09439">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Theme="minorEastAsia"/>
          <w:b/>
          <w:bCs/>
        </w:rPr>
        <w:t>3.</w:t>
      </w:r>
      <w:r>
        <w:rPr>
          <w:rFonts w:hint="eastAsia" w:eastAsiaTheme="minorEastAsia"/>
          <w:b/>
          <w:bCs/>
          <w:lang w:val="en-US" w:eastAsia="zh-CN"/>
        </w:rPr>
        <w:t>1</w:t>
      </w:r>
      <w:r>
        <w:rPr>
          <w:rFonts w:hint="eastAsia" w:eastAsia="Times New Roman"/>
          <w:b/>
          <w:bCs/>
        </w:rPr>
        <w:t xml:space="preserve"> </w:t>
      </w:r>
      <w:r>
        <w:rPr>
          <w:rFonts w:eastAsia="Times New Roman"/>
          <w:b/>
          <w:bCs/>
        </w:rPr>
        <w:t xml:space="preserve">Cellular </w:t>
      </w:r>
      <w:r>
        <w:rPr>
          <w:rFonts w:hint="eastAsia"/>
          <w:b/>
          <w:bCs/>
          <w:lang w:val="en-US" w:eastAsia="zh-CN"/>
        </w:rPr>
        <w:t>U</w:t>
      </w:r>
      <w:r>
        <w:rPr>
          <w:rFonts w:eastAsia="Times New Roman"/>
          <w:b/>
          <w:bCs/>
        </w:rPr>
        <w:t>ptake</w:t>
      </w:r>
    </w:p>
    <w:p w14:paraId="57A3167D">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szCs w:val="24"/>
        </w:rPr>
      </w:pPr>
      <w:r>
        <w:rPr>
          <w:rFonts w:eastAsia="Times New Roman"/>
          <w:szCs w:val="24"/>
        </w:rPr>
        <w:t xml:space="preserve">To assess the cellular uptake behavior of </w:t>
      </w:r>
      <w:r>
        <w:rPr>
          <w:rFonts w:hint="eastAsia"/>
        </w:rPr>
        <w:t>G-Se NPs</w:t>
      </w:r>
      <w:r>
        <w:rPr>
          <w:rFonts w:eastAsia="Times New Roman"/>
          <w:szCs w:val="24"/>
        </w:rPr>
        <w:t xml:space="preserve">, the </w:t>
      </w:r>
      <w:r>
        <w:rPr>
          <w:rFonts w:hint="eastAsia"/>
        </w:rPr>
        <w:t>G-Se NPs</w:t>
      </w:r>
      <w:r>
        <w:rPr>
          <w:rFonts w:eastAsia="Times New Roman"/>
          <w:szCs w:val="24"/>
        </w:rPr>
        <w:t xml:space="preserve"> were labeled with Chlorin e6 (Ce6) for visualization. Briefly, 1 mL of </w:t>
      </w:r>
      <w:r>
        <w:rPr>
          <w:rFonts w:hint="eastAsia"/>
        </w:rPr>
        <w:t>G-Se NPs</w:t>
      </w:r>
      <w:r>
        <w:rPr>
          <w:rFonts w:eastAsia="Times New Roman"/>
          <w:szCs w:val="24"/>
        </w:rPr>
        <w:t xml:space="preserve"> solution (0.</w:t>
      </w:r>
      <w:r>
        <w:rPr>
          <w:rFonts w:hint="eastAsia" w:eastAsia="Times New Roman"/>
          <w:szCs w:val="24"/>
        </w:rPr>
        <w:t>3</w:t>
      </w:r>
      <w:r>
        <w:rPr>
          <w:rFonts w:eastAsia="Times New Roman"/>
          <w:szCs w:val="24"/>
        </w:rPr>
        <w:t xml:space="preserve"> mg/mL) was added to 1 mL of Ce6 aqueous solution (0.2 mg/mL). The mixture was stirred at room temperature overnight. The final Ce6 labeled </w:t>
      </w:r>
      <w:r>
        <w:rPr>
          <w:rFonts w:hint="eastAsia"/>
        </w:rPr>
        <w:t>G-Se NPs</w:t>
      </w:r>
      <w:r>
        <w:rPr>
          <w:rFonts w:eastAsia="Times New Roman"/>
          <w:szCs w:val="24"/>
        </w:rPr>
        <w:t xml:space="preserve"> were washed with PBS three times, collected by centrifugation, and stored at </w:t>
      </w:r>
      <w:r>
        <w:rPr>
          <w:rFonts w:hint="eastAsia" w:eastAsia="Times New Roman"/>
          <w:szCs w:val="24"/>
        </w:rPr>
        <w:t>－</w:t>
      </w:r>
      <w:r>
        <w:rPr>
          <w:rFonts w:eastAsia="Times New Roman"/>
          <w:szCs w:val="24"/>
        </w:rPr>
        <w:t xml:space="preserve">20 </w:t>
      </w:r>
      <w:r>
        <w:rPr>
          <w:rFonts w:hint="eastAsia" w:eastAsia="Times New Roman"/>
          <w:szCs w:val="24"/>
        </w:rPr>
        <w:t>℃</w:t>
      </w:r>
      <w:r>
        <w:rPr>
          <w:rFonts w:eastAsia="Times New Roman"/>
          <w:szCs w:val="24"/>
        </w:rPr>
        <w:t>. Then PC12 cells (</w:t>
      </w:r>
      <w:r>
        <w:rPr>
          <w:rFonts w:hint="eastAsia" w:eastAsiaTheme="minorEastAsia"/>
          <w:szCs w:val="24"/>
        </w:rPr>
        <w:t>1</w:t>
      </w:r>
      <w:r>
        <w:rPr>
          <w:rFonts w:eastAsia="Times New Roman"/>
          <w:szCs w:val="24"/>
        </w:rPr>
        <w:t>×10</w:t>
      </w:r>
      <w:r>
        <w:rPr>
          <w:rFonts w:eastAsia="Times New Roman"/>
          <w:szCs w:val="24"/>
          <w:vertAlign w:val="superscript"/>
        </w:rPr>
        <w:t xml:space="preserve">5 </w:t>
      </w:r>
      <w:r>
        <w:rPr>
          <w:rFonts w:eastAsia="Times New Roman"/>
          <w:szCs w:val="24"/>
        </w:rPr>
        <w:t xml:space="preserve">/mL) were seeded in </w:t>
      </w:r>
      <w:r>
        <w:rPr>
          <w:rFonts w:hint="eastAsia" w:eastAsiaTheme="minorEastAsia"/>
          <w:szCs w:val="24"/>
        </w:rPr>
        <w:t>1000</w:t>
      </w:r>
      <w:r>
        <w:rPr>
          <w:rFonts w:eastAsia="Times New Roman"/>
          <w:szCs w:val="24"/>
        </w:rPr>
        <w:t xml:space="preserve"> μL of medium in a confocal dish. Another 2 mL medium was added to the dish after cell adhesion and cultured overnight. Ce6-labeled </w:t>
      </w:r>
      <w:r>
        <w:rPr>
          <w:rFonts w:hint="eastAsia"/>
        </w:rPr>
        <w:t>G-Se NPs</w:t>
      </w:r>
      <w:r>
        <w:rPr>
          <w:rFonts w:eastAsia="Times New Roman"/>
          <w:szCs w:val="24"/>
        </w:rPr>
        <w:t xml:space="preserve"> (10 μg/mL) were added to the confocal dishes. 24 h after incubation, the cells were washed with PBS three times to remove the </w:t>
      </w:r>
      <w:r>
        <w:rPr>
          <w:rFonts w:hint="eastAsia"/>
        </w:rPr>
        <w:t>G-Se NPs</w:t>
      </w:r>
      <w:r>
        <w:rPr>
          <w:rFonts w:eastAsia="Times New Roman"/>
          <w:szCs w:val="24"/>
        </w:rPr>
        <w:t xml:space="preserve"> that were not taken up by cells. Then the cells were fixed with 4% paraformaldehyde for 15 min and incubated with DAPI (0.5 μg/mL) for 5 min. Cellular uptake of Ce6 labeled </w:t>
      </w:r>
      <w:r>
        <w:rPr>
          <w:rFonts w:hint="eastAsia"/>
        </w:rPr>
        <w:t>G-Se NPs</w:t>
      </w:r>
      <w:r>
        <w:rPr>
          <w:rFonts w:eastAsia="Times New Roman"/>
          <w:szCs w:val="24"/>
        </w:rPr>
        <w:t xml:space="preserve"> was evaluated by observing the characteristic red fluorescence of Ce6 using CLSM (FV1200, Olympus, Japan</w:t>
      </w:r>
      <w:r>
        <w:rPr>
          <w:rFonts w:hint="eastAsia" w:eastAsiaTheme="minorEastAsia"/>
          <w:szCs w:val="24"/>
        </w:rPr>
        <w:t>)</w:t>
      </w:r>
      <w:r>
        <w:rPr>
          <w:rFonts w:eastAsia="Times New Roman"/>
          <w:szCs w:val="24"/>
        </w:rPr>
        <w:t>.</w:t>
      </w:r>
    </w:p>
    <w:p w14:paraId="26A293B3">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Theme="minorEastAsia"/>
          <w:b/>
          <w:bCs/>
        </w:rPr>
        <w:t>3.</w:t>
      </w:r>
      <w:r>
        <w:rPr>
          <w:rFonts w:hint="eastAsia" w:eastAsiaTheme="minorEastAsia"/>
          <w:b/>
          <w:bCs/>
          <w:lang w:val="en-US" w:eastAsia="zh-CN"/>
        </w:rPr>
        <w:t>2</w:t>
      </w:r>
      <w:r>
        <w:rPr>
          <w:rFonts w:hint="eastAsia" w:eastAsia="Times New Roman"/>
          <w:b/>
          <w:bCs/>
        </w:rPr>
        <w:t xml:space="preserve"> ROS</w:t>
      </w:r>
      <w:r>
        <w:rPr>
          <w:rFonts w:hint="eastAsia" w:eastAsiaTheme="minorEastAsia"/>
          <w:b/>
          <w:bCs/>
        </w:rPr>
        <w:t xml:space="preserve"> </w:t>
      </w:r>
      <w:r>
        <w:rPr>
          <w:rFonts w:hint="eastAsia"/>
          <w:b/>
          <w:bCs/>
          <w:lang w:val="en-US" w:eastAsia="zh-CN"/>
        </w:rPr>
        <w:t>D</w:t>
      </w:r>
      <w:r>
        <w:rPr>
          <w:rFonts w:hint="eastAsia" w:eastAsia="Times New Roman"/>
          <w:b/>
          <w:bCs/>
        </w:rPr>
        <w:t xml:space="preserve">etection </w:t>
      </w:r>
      <w:r>
        <w:rPr>
          <w:rFonts w:hint="eastAsia"/>
          <w:b/>
          <w:bCs/>
          <w:lang w:val="en-US" w:eastAsia="zh-CN"/>
        </w:rPr>
        <w:t>I</w:t>
      </w:r>
      <w:r>
        <w:rPr>
          <w:rFonts w:hint="eastAsia" w:eastAsia="Times New Roman"/>
          <w:b/>
          <w:bCs/>
        </w:rPr>
        <w:t xml:space="preserve">n </w:t>
      </w:r>
      <w:r>
        <w:rPr>
          <w:rFonts w:hint="eastAsia"/>
          <w:b/>
          <w:bCs/>
          <w:lang w:val="en-US" w:eastAsia="zh-CN"/>
        </w:rPr>
        <w:t>V</w:t>
      </w:r>
      <w:r>
        <w:rPr>
          <w:rFonts w:hint="eastAsia" w:eastAsia="Times New Roman"/>
          <w:b/>
          <w:bCs/>
        </w:rPr>
        <w:t xml:space="preserve">itro </w:t>
      </w:r>
    </w:p>
    <w:p w14:paraId="46090F25">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szCs w:val="24"/>
        </w:rPr>
      </w:pPr>
      <w:r>
        <w:rPr>
          <w:rFonts w:hint="eastAsia" w:eastAsia="Times New Roman"/>
          <w:szCs w:val="24"/>
        </w:rPr>
        <w:t>ROS assay kit was used to identify ROS levels through detecting the fluorescence intensity of DCF produced by the oxidation of intracellular DCFH</w:t>
      </w:r>
      <w:r>
        <w:rPr>
          <w:rFonts w:hint="eastAsia"/>
          <w:szCs w:val="24"/>
          <w:lang w:val="en-US" w:eastAsia="zh-CN"/>
        </w:rPr>
        <w:t>-DA</w:t>
      </w:r>
      <w:r>
        <w:rPr>
          <w:rFonts w:hint="eastAsia" w:eastAsia="Times New Roman"/>
          <w:szCs w:val="24"/>
        </w:rPr>
        <w:t xml:space="preserve"> in the presence of ROS. </w:t>
      </w:r>
      <w:r>
        <w:rPr>
          <w:rFonts w:eastAsia="Times New Roman"/>
          <w:szCs w:val="24"/>
        </w:rPr>
        <w:t xml:space="preserve">PC12 cells were seeded into confocal dishes and </w:t>
      </w:r>
      <w:r>
        <w:rPr>
          <w:rFonts w:hint="eastAsia" w:eastAsia="Times New Roman"/>
          <w:szCs w:val="24"/>
        </w:rPr>
        <w:t>treated</w:t>
      </w:r>
      <w:r>
        <w:rPr>
          <w:rFonts w:eastAsia="Times New Roman"/>
          <w:szCs w:val="24"/>
        </w:rPr>
        <w:t xml:space="preserve"> with </w:t>
      </w:r>
      <w:r>
        <w:rPr>
          <w:rFonts w:hint="eastAsia" w:eastAsia="Times New Roman"/>
          <w:szCs w:val="24"/>
        </w:rPr>
        <w:t>6-OHDA</w:t>
      </w:r>
      <w:r>
        <w:rPr>
          <w:rFonts w:eastAsia="Times New Roman"/>
          <w:szCs w:val="24"/>
        </w:rPr>
        <w:t xml:space="preserve"> (</w:t>
      </w:r>
      <w:r>
        <w:rPr>
          <w:rFonts w:hint="eastAsia" w:eastAsia="Times New Roman"/>
          <w:szCs w:val="24"/>
        </w:rPr>
        <w:t>300</w:t>
      </w:r>
      <w:r>
        <w:rPr>
          <w:rFonts w:eastAsia="Times New Roman"/>
          <w:szCs w:val="24"/>
        </w:rPr>
        <w:t xml:space="preserve"> μ</w:t>
      </w:r>
      <w:r>
        <w:rPr>
          <w:rFonts w:hint="eastAsia" w:eastAsia="Times New Roman"/>
          <w:szCs w:val="24"/>
        </w:rPr>
        <w:t>M</w:t>
      </w:r>
      <w:r>
        <w:rPr>
          <w:rFonts w:eastAsia="Times New Roman"/>
          <w:szCs w:val="24"/>
        </w:rPr>
        <w:t xml:space="preserve">) with/without </w:t>
      </w:r>
      <w:r>
        <w:rPr>
          <w:rFonts w:hint="eastAsia"/>
          <w:szCs w:val="24"/>
        </w:rPr>
        <w:t>G-Se NPs</w:t>
      </w:r>
      <w:r>
        <w:rPr>
          <w:rFonts w:eastAsia="Times New Roman"/>
          <w:szCs w:val="24"/>
        </w:rPr>
        <w:t>, then incubated with 2 μL of</w:t>
      </w:r>
      <w:r>
        <w:rPr>
          <w:rFonts w:hint="eastAsia" w:eastAsia="Times New Roman"/>
          <w:szCs w:val="24"/>
        </w:rPr>
        <w:t xml:space="preserve"> </w:t>
      </w:r>
      <w:r>
        <w:rPr>
          <w:rFonts w:eastAsia="Times New Roman"/>
          <w:szCs w:val="24"/>
        </w:rPr>
        <w:t>DCFH-DA (10 μm)</w:t>
      </w:r>
      <w:r>
        <w:rPr>
          <w:rFonts w:hint="eastAsia" w:eastAsia="Times New Roman"/>
          <w:szCs w:val="24"/>
        </w:rPr>
        <w:t xml:space="preserve"> </w:t>
      </w:r>
      <w:r>
        <w:rPr>
          <w:rFonts w:eastAsia="Times New Roman"/>
          <w:szCs w:val="24"/>
        </w:rPr>
        <w:t xml:space="preserve">for 30 min at 37 </w:t>
      </w:r>
      <w:r>
        <w:rPr>
          <w:rFonts w:hint="eastAsia" w:eastAsia="Times New Roman"/>
          <w:szCs w:val="24"/>
        </w:rPr>
        <w:t>℃</w:t>
      </w:r>
      <w:r>
        <w:rPr>
          <w:rFonts w:eastAsia="Times New Roman"/>
          <w:szCs w:val="24"/>
        </w:rPr>
        <w:t>. Last, the change of ROS</w:t>
      </w:r>
      <w:r>
        <w:rPr>
          <w:rFonts w:hint="eastAsia" w:eastAsia="Times New Roman"/>
          <w:szCs w:val="24"/>
        </w:rPr>
        <w:t xml:space="preserve"> </w:t>
      </w:r>
      <w:r>
        <w:rPr>
          <w:rFonts w:eastAsia="Times New Roman"/>
          <w:szCs w:val="24"/>
        </w:rPr>
        <w:t xml:space="preserve">was examined by the </w:t>
      </w:r>
      <w:r>
        <w:rPr>
          <w:rFonts w:hint="eastAsia" w:eastAsiaTheme="minorEastAsia"/>
          <w:szCs w:val="24"/>
        </w:rPr>
        <w:t>Ti-U-DS-</w:t>
      </w:r>
      <w:r>
        <w:rPr>
          <w:rFonts w:hint="eastAsia" w:eastAsia="Times New Roman"/>
          <w:szCs w:val="24"/>
        </w:rPr>
        <w:t>RI2</w:t>
      </w:r>
      <w:r>
        <w:rPr>
          <w:rFonts w:eastAsia="Times New Roman"/>
          <w:szCs w:val="24"/>
        </w:rPr>
        <w:t xml:space="preserve"> Inverted fluorescence microscope</w:t>
      </w:r>
      <w:r>
        <w:rPr>
          <w:rFonts w:hint="eastAsia" w:eastAsiaTheme="minorEastAsia"/>
          <w:szCs w:val="24"/>
        </w:rPr>
        <w:t>.</w:t>
      </w:r>
      <w:r>
        <w:rPr>
          <w:rFonts w:eastAsia="Times New Roman"/>
          <w:szCs w:val="24"/>
        </w:rPr>
        <w:t xml:space="preserve"> </w:t>
      </w:r>
    </w:p>
    <w:p w14:paraId="6496E577">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Theme="minorEastAsia"/>
          <w:b/>
          <w:bCs/>
        </w:rPr>
        <w:t>3.</w:t>
      </w:r>
      <w:r>
        <w:rPr>
          <w:rFonts w:hint="eastAsia" w:eastAsiaTheme="minorEastAsia"/>
          <w:b/>
          <w:bCs/>
          <w:lang w:val="en-US" w:eastAsia="zh-CN"/>
        </w:rPr>
        <w:t>3</w:t>
      </w:r>
      <w:r>
        <w:rPr>
          <w:rFonts w:hint="eastAsia" w:eastAsia="Times New Roman"/>
          <w:b/>
          <w:bCs/>
        </w:rPr>
        <w:t xml:space="preserve"> Assay of Neuronal Mitochondrial Targeting Capability In Vitro</w:t>
      </w:r>
    </w:p>
    <w:p w14:paraId="0BEDFD12">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szCs w:val="24"/>
        </w:rPr>
      </w:pPr>
      <w:r>
        <w:rPr>
          <w:rFonts w:hint="eastAsia" w:eastAsiaTheme="minorEastAsia"/>
          <w:szCs w:val="24"/>
        </w:rPr>
        <w:t>PC12</w:t>
      </w:r>
      <w:r>
        <w:rPr>
          <w:rFonts w:eastAsia="Times New Roman"/>
          <w:szCs w:val="24"/>
        </w:rPr>
        <w:t xml:space="preserve"> cells (</w:t>
      </w:r>
      <w:r>
        <w:rPr>
          <w:rFonts w:hint="eastAsia" w:eastAsiaTheme="minorEastAsia"/>
          <w:szCs w:val="24"/>
        </w:rPr>
        <w:t>1</w:t>
      </w:r>
      <w:r>
        <w:rPr>
          <w:rFonts w:eastAsia="Times New Roman"/>
          <w:szCs w:val="24"/>
        </w:rPr>
        <w:t xml:space="preserve"> </w:t>
      </w:r>
      <w:r>
        <w:rPr>
          <w:rFonts w:hint="eastAsia" w:eastAsia="Times New Roman"/>
          <w:szCs w:val="24"/>
        </w:rPr>
        <w:t xml:space="preserve">× </w:t>
      </w:r>
      <w:r>
        <w:rPr>
          <w:rFonts w:eastAsia="Times New Roman"/>
          <w:szCs w:val="24"/>
        </w:rPr>
        <w:t>10</w:t>
      </w:r>
      <w:r>
        <w:rPr>
          <w:rFonts w:hint="eastAsia" w:eastAsiaTheme="minorEastAsia"/>
          <w:szCs w:val="24"/>
          <w:vertAlign w:val="superscript"/>
        </w:rPr>
        <w:t>6</w:t>
      </w:r>
      <w:r>
        <w:rPr>
          <w:rFonts w:hint="eastAsia" w:eastAsiaTheme="minorEastAsia"/>
          <w:szCs w:val="24"/>
        </w:rPr>
        <w:t xml:space="preserve"> </w:t>
      </w:r>
      <w:r>
        <w:rPr>
          <w:rFonts w:eastAsia="Times New Roman"/>
          <w:szCs w:val="24"/>
        </w:rPr>
        <w:t>cells per well) were seeded in con</w:t>
      </w:r>
      <w:r>
        <w:rPr>
          <w:rFonts w:hint="eastAsia" w:eastAsia="Times New Roman"/>
          <w:szCs w:val="24"/>
        </w:rPr>
        <w:t xml:space="preserve"> </w:t>
      </w:r>
      <w:r>
        <w:rPr>
          <w:rFonts w:eastAsia="Times New Roman"/>
          <w:szCs w:val="24"/>
        </w:rPr>
        <w:t>focal dishes and cultured for 24 h, respectively. After being incubated with</w:t>
      </w:r>
      <w:r>
        <w:rPr>
          <w:rFonts w:hint="eastAsia" w:eastAsia="Times New Roman"/>
          <w:szCs w:val="24"/>
        </w:rPr>
        <w:t xml:space="preserve"> G-Se </w:t>
      </w:r>
      <w:r>
        <w:rPr>
          <w:rFonts w:eastAsia="Times New Roman"/>
          <w:szCs w:val="24"/>
        </w:rPr>
        <w:t>NPs for 1, 2,</w:t>
      </w:r>
      <w:r>
        <w:rPr>
          <w:rFonts w:hint="eastAsia" w:eastAsia="Times New Roman"/>
          <w:szCs w:val="24"/>
        </w:rPr>
        <w:t xml:space="preserve"> 3,</w:t>
      </w:r>
      <w:r>
        <w:rPr>
          <w:rFonts w:eastAsia="Times New Roman"/>
          <w:szCs w:val="24"/>
        </w:rPr>
        <w:t xml:space="preserve"> </w:t>
      </w:r>
      <w:r>
        <w:rPr>
          <w:rFonts w:hint="eastAsia" w:eastAsia="Times New Roman"/>
          <w:szCs w:val="24"/>
        </w:rPr>
        <w:t>6</w:t>
      </w:r>
      <w:r>
        <w:rPr>
          <w:rFonts w:eastAsia="Times New Roman"/>
          <w:szCs w:val="24"/>
        </w:rPr>
        <w:t xml:space="preserve"> h, cells were incubated with 100 </w:t>
      </w:r>
      <w:r>
        <w:rPr>
          <w:rFonts w:hint="eastAsia" w:eastAsia="Times New Roman"/>
          <w:szCs w:val="24"/>
        </w:rPr>
        <w:t>μ</w:t>
      </w:r>
      <w:r>
        <w:rPr>
          <w:rFonts w:eastAsia="Times New Roman"/>
          <w:szCs w:val="24"/>
        </w:rPr>
        <w:t xml:space="preserve">L MitoTracker Red CMXRos working solution (Cat. no. C1049B, Beyotime) for 30 min at 37 °C. After washing three times with fresh medium, the fluorescence of cells were observed with a CLSM (FV1200, Olympus, Japan, excitation: 549 nm, 488 nm, emission: 599 nm and 516 nm, respectively). </w:t>
      </w:r>
      <w:r>
        <w:rPr>
          <w:rFonts w:hint="eastAsia" w:eastAsia="Times New Roman"/>
          <w:szCs w:val="24"/>
        </w:rPr>
        <w:t xml:space="preserve"> </w:t>
      </w:r>
    </w:p>
    <w:p w14:paraId="44125229">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Theme="minorEastAsia"/>
          <w:b/>
          <w:bCs/>
        </w:rPr>
        <w:t>.3.</w:t>
      </w:r>
      <w:r>
        <w:rPr>
          <w:rFonts w:hint="eastAsia" w:eastAsiaTheme="minorEastAsia"/>
          <w:b/>
          <w:bCs/>
          <w:lang w:val="en-US" w:eastAsia="zh-CN"/>
        </w:rPr>
        <w:t>4</w:t>
      </w:r>
      <w:r>
        <w:rPr>
          <w:rFonts w:hint="eastAsia" w:eastAsia="Times New Roman"/>
          <w:b/>
          <w:bCs/>
        </w:rPr>
        <w:t xml:space="preserve"> Cellular Uptake of Ce6</w:t>
      </w:r>
      <w:r>
        <w:rPr>
          <w:rFonts w:hint="eastAsia" w:eastAsia="宋体"/>
          <w:b/>
          <w:bCs/>
          <w:lang w:val="en-US" w:eastAsia="zh-CN"/>
        </w:rPr>
        <w:t xml:space="preserve"> </w:t>
      </w:r>
      <w:r>
        <w:rPr>
          <w:rFonts w:hint="eastAsia" w:eastAsia="Times New Roman"/>
          <w:b/>
          <w:bCs/>
        </w:rPr>
        <w:t>labelled-G-Se NPs by Flow Cytometry</w:t>
      </w:r>
    </w:p>
    <w:p w14:paraId="0DE6D8B2">
      <w:pPr>
        <w:keepNext w:val="0"/>
        <w:keepLines w:val="0"/>
        <w:pageBreakBefore w:val="0"/>
        <w:overflowPunct/>
        <w:topLinePunct w:val="0"/>
        <w:bidi w:val="0"/>
        <w:adjustRightInd/>
        <w:snapToGrid/>
        <w:spacing w:line="360" w:lineRule="auto"/>
        <w:ind w:firstLine="480" w:firstLineChars="200"/>
        <w:jc w:val="both"/>
        <w:textAlignment w:val="auto"/>
        <w:rPr>
          <w:rFonts w:eastAsiaTheme="minorEastAsia"/>
          <w:szCs w:val="24"/>
        </w:rPr>
      </w:pPr>
      <w:r>
        <w:rPr>
          <w:rFonts w:hint="eastAsia" w:eastAsia="Times New Roman"/>
          <w:szCs w:val="24"/>
        </w:rPr>
        <w:t xml:space="preserve">Following the same treatment protocol as the mitochondrial targeting assay, </w:t>
      </w:r>
      <w:r>
        <w:rPr>
          <w:rFonts w:hint="eastAsia" w:eastAsiaTheme="minorEastAsia"/>
          <w:szCs w:val="24"/>
        </w:rPr>
        <w:t>PC12</w:t>
      </w:r>
      <w:r>
        <w:rPr>
          <w:rFonts w:hint="eastAsia" w:eastAsia="Times New Roman"/>
          <w:szCs w:val="24"/>
        </w:rPr>
        <w:t xml:space="preserve"> cells (</w:t>
      </w:r>
      <w:r>
        <w:rPr>
          <w:rFonts w:hint="eastAsia" w:eastAsiaTheme="minorEastAsia"/>
          <w:szCs w:val="24"/>
        </w:rPr>
        <w:t>1</w:t>
      </w:r>
      <w:r>
        <w:rPr>
          <w:rFonts w:hint="eastAsia" w:eastAsia="Times New Roman"/>
          <w:szCs w:val="24"/>
        </w:rPr>
        <w:t xml:space="preserve"> × 10</w:t>
      </w:r>
      <w:r>
        <w:rPr>
          <w:rFonts w:hint="eastAsia" w:eastAsiaTheme="minorEastAsia"/>
          <w:szCs w:val="24"/>
          <w:vertAlign w:val="superscript"/>
        </w:rPr>
        <w:t>6</w:t>
      </w:r>
      <w:r>
        <w:rPr>
          <w:rFonts w:hint="eastAsia" w:eastAsia="Times New Roman"/>
          <w:szCs w:val="24"/>
          <w:vertAlign w:val="superscript"/>
        </w:rPr>
        <w:t xml:space="preserve"> </w:t>
      </w:r>
      <w:r>
        <w:rPr>
          <w:rFonts w:hint="eastAsia" w:eastAsia="Times New Roman"/>
          <w:szCs w:val="24"/>
        </w:rPr>
        <w:t xml:space="preserve">cells/well) were incubated with Ce6 </w:t>
      </w:r>
      <w:r>
        <w:rPr>
          <w:rFonts w:hint="eastAsia" w:eastAsia="宋体"/>
          <w:szCs w:val="24"/>
          <w:lang w:val="en-US" w:eastAsia="zh-CN"/>
        </w:rPr>
        <w:t>labelled-</w:t>
      </w:r>
      <w:r>
        <w:rPr>
          <w:rFonts w:hint="eastAsia" w:eastAsia="Times New Roman"/>
          <w:szCs w:val="24"/>
        </w:rPr>
        <w:t xml:space="preserve">G-Se NPs for 0, 1, 2, 3, and 6 h. Cells were then trypsinized, washed twice with ice-cold PBS, and resuspended in 300 μL </w:t>
      </w:r>
      <w:r>
        <w:rPr>
          <w:rFonts w:hint="eastAsia"/>
          <w:szCs w:val="24"/>
          <w:lang w:val="en-US" w:eastAsia="zh-CN"/>
        </w:rPr>
        <w:t xml:space="preserve">of </w:t>
      </w:r>
      <w:r>
        <w:rPr>
          <w:rFonts w:hint="eastAsia" w:eastAsia="Times New Roman"/>
          <w:szCs w:val="24"/>
        </w:rPr>
        <w:t>PBS containing 1% FBS. The Ce6 fluorescence intensity was immediately analyzed using a flow cytometer with 488 nm excitation and 670±15 nm emission filters. A minimum of 10,000 events were acquired per sample, and data were processed with FlowJo software (version 10.8, BD Life Sciences). Untreated cells served as autofluorescence controls.</w:t>
      </w:r>
    </w:p>
    <w:p w14:paraId="6C13EA6C">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szCs w:val="24"/>
        </w:rPr>
      </w:pPr>
      <w:r>
        <w:rPr>
          <w:rFonts w:hint="eastAsia"/>
          <w:b/>
          <w:bCs/>
          <w:szCs w:val="24"/>
        </w:rPr>
        <w:t>1.3.</w:t>
      </w:r>
      <w:r>
        <w:rPr>
          <w:rFonts w:hint="eastAsia"/>
          <w:b/>
          <w:bCs/>
          <w:szCs w:val="24"/>
          <w:lang w:val="en-US" w:eastAsia="zh-CN"/>
        </w:rPr>
        <w:t>5</w:t>
      </w:r>
      <w:r>
        <w:rPr>
          <w:rFonts w:hint="eastAsia" w:eastAsia="Times New Roman"/>
          <w:b/>
          <w:bCs/>
          <w:szCs w:val="24"/>
        </w:rPr>
        <w:t xml:space="preserve"> </w:t>
      </w:r>
      <w:r>
        <w:rPr>
          <w:rFonts w:hint="eastAsia" w:eastAsiaTheme="minorEastAsia"/>
          <w:b/>
          <w:bCs/>
          <w:szCs w:val="24"/>
        </w:rPr>
        <w:t xml:space="preserve">Cell </w:t>
      </w:r>
      <w:r>
        <w:rPr>
          <w:rFonts w:hint="eastAsia" w:eastAsiaTheme="minorEastAsia"/>
          <w:b/>
          <w:bCs/>
          <w:szCs w:val="24"/>
          <w:lang w:val="en-US" w:eastAsia="zh-CN"/>
        </w:rPr>
        <w:t>I</w:t>
      </w:r>
      <w:r>
        <w:rPr>
          <w:rFonts w:hint="eastAsia" w:eastAsiaTheme="minorEastAsia"/>
          <w:b/>
          <w:bCs/>
          <w:szCs w:val="24"/>
        </w:rPr>
        <w:t>mmunofluorescence</w:t>
      </w:r>
      <w:r>
        <w:rPr>
          <w:rFonts w:hint="eastAsia" w:eastAsia="Times New Roman"/>
          <w:b/>
          <w:bCs/>
          <w:szCs w:val="24"/>
        </w:rPr>
        <w:t xml:space="preserve"> </w:t>
      </w:r>
      <w:r>
        <w:rPr>
          <w:rFonts w:hint="eastAsia"/>
          <w:b/>
          <w:bCs/>
          <w:szCs w:val="24"/>
          <w:lang w:val="en-US" w:eastAsia="zh-CN"/>
        </w:rPr>
        <w:t>A</w:t>
      </w:r>
      <w:r>
        <w:rPr>
          <w:rFonts w:hint="eastAsia" w:eastAsia="Times New Roman"/>
          <w:b/>
          <w:bCs/>
          <w:szCs w:val="24"/>
        </w:rPr>
        <w:t>ssay</w:t>
      </w:r>
    </w:p>
    <w:p w14:paraId="53150F32">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szCs w:val="24"/>
        </w:rPr>
      </w:pPr>
      <w:r>
        <w:rPr>
          <w:rFonts w:eastAsia="Times New Roman"/>
          <w:szCs w:val="24"/>
        </w:rPr>
        <w:t xml:space="preserve">PC12 cells were fixed in 4% paraformaldehyde (PFA) at </w:t>
      </w:r>
      <w:r>
        <w:rPr>
          <w:rFonts w:hint="eastAsia" w:eastAsia="Times New Roman"/>
          <w:szCs w:val="24"/>
        </w:rPr>
        <w:t>ambient temperature</w:t>
      </w:r>
      <w:r>
        <w:rPr>
          <w:rFonts w:eastAsia="Times New Roman"/>
          <w:szCs w:val="24"/>
        </w:rPr>
        <w:t xml:space="preserve"> for 20 min and washed 3 times with PBS for 5 min each time. The PC12 cells were then permeabilized in PBS containing 1% Triton X-100 at </w:t>
      </w:r>
      <w:r>
        <w:rPr>
          <w:rFonts w:hint="eastAsia" w:eastAsia="Times New Roman"/>
          <w:szCs w:val="24"/>
        </w:rPr>
        <w:t>ambient temperature</w:t>
      </w:r>
      <w:r>
        <w:rPr>
          <w:rFonts w:eastAsia="Times New Roman"/>
          <w:szCs w:val="24"/>
        </w:rPr>
        <w:t xml:space="preserve"> for 20 min and washed 3 times with PBS for 5 min each time. Cells were blocked with 3% BSA for 30 min at </w:t>
      </w:r>
      <w:r>
        <w:rPr>
          <w:rFonts w:hint="eastAsia" w:eastAsia="Times New Roman"/>
          <w:szCs w:val="24"/>
        </w:rPr>
        <w:t>ambient temperature</w:t>
      </w:r>
      <w:r>
        <w:rPr>
          <w:rFonts w:eastAsia="Times New Roman"/>
          <w:szCs w:val="24"/>
        </w:rPr>
        <w:t>, immunostained with primary antibodies overnight at 4 °C, and then washed 3 times with PBS for 5 min each time. Then, the cells were incubated with Alexa Fluor 488- or 555-conjugated secondary antibodies (1:100; YEASEN Biotech, China) and DAPI</w:t>
      </w:r>
      <w:r>
        <w:rPr>
          <w:rFonts w:hint="eastAsia"/>
          <w:szCs w:val="24"/>
          <w:lang w:val="en-US" w:eastAsia="zh-CN"/>
        </w:rPr>
        <w:t xml:space="preserve"> </w:t>
      </w:r>
      <w:r>
        <w:rPr>
          <w:rFonts w:eastAsia="Times New Roman"/>
          <w:szCs w:val="24"/>
        </w:rPr>
        <w:t>(1:1000) at 37 °C for 1 h; again, the cells were washed 3 times with PBS for 5 min each time. Cell</w:t>
      </w:r>
      <w:r>
        <w:rPr>
          <w:rFonts w:hint="eastAsia" w:eastAsia="Times New Roman"/>
          <w:szCs w:val="24"/>
        </w:rPr>
        <w:t>s</w:t>
      </w:r>
      <w:r>
        <w:rPr>
          <w:rFonts w:eastAsia="Times New Roman"/>
          <w:szCs w:val="24"/>
        </w:rPr>
        <w:t xml:space="preserve"> were examined and photographed using a Nikon DS-Ri2 digital fluorescence microscope or an Olympus FV1000 confocal laser scanning microscope.</w:t>
      </w:r>
    </w:p>
    <w:p w14:paraId="69F4C29C">
      <w:pPr>
        <w:keepNext w:val="0"/>
        <w:keepLines w:val="0"/>
        <w:pageBreakBefore w:val="0"/>
        <w:wordWrap w:val="0"/>
        <w:overflowPunct/>
        <w:topLinePunct w:val="0"/>
        <w:autoSpaceDE w:val="0"/>
        <w:autoSpaceDN w:val="0"/>
        <w:bidi w:val="0"/>
        <w:adjustRightInd/>
        <w:snapToGrid/>
        <w:spacing w:line="360" w:lineRule="auto"/>
        <w:ind w:firstLine="480" w:firstLineChars="200"/>
        <w:jc w:val="both"/>
        <w:textAlignment w:val="auto"/>
        <w:rPr>
          <w:rFonts w:eastAsiaTheme="minorEastAsia"/>
          <w:szCs w:val="24"/>
        </w:rPr>
      </w:pPr>
      <w:r>
        <w:rPr>
          <w:rFonts w:hint="eastAsia"/>
          <w:szCs w:val="24"/>
          <w:lang w:val="en-US" w:eastAsia="zh-CN"/>
        </w:rPr>
        <w:t>All</w:t>
      </w:r>
      <w:r>
        <w:rPr>
          <w:rFonts w:eastAsia="Times New Roman"/>
          <w:szCs w:val="24"/>
        </w:rPr>
        <w:t xml:space="preserve"> primary antibodies used for immunofluorescence staining are as follows: TH Rabbit Polyclonal Antibody, α-Synuclein Rabbit Polyclonal Antibody</w:t>
      </w:r>
      <w:r>
        <w:rPr>
          <w:rFonts w:hint="eastAsia" w:eastAsiaTheme="minorEastAsia"/>
          <w:szCs w:val="24"/>
          <w:lang w:val="en-US" w:eastAsia="zh-CN"/>
        </w:rPr>
        <w:t xml:space="preserve">, </w:t>
      </w:r>
      <w:r>
        <w:rPr>
          <w:rFonts w:hint="eastAsia" w:eastAsiaTheme="minorEastAsia"/>
          <w:szCs w:val="24"/>
        </w:rPr>
        <w:t>8-OHDG</w:t>
      </w:r>
      <w:r>
        <w:rPr>
          <w:rFonts w:eastAsia="Times New Roman"/>
          <w:szCs w:val="24"/>
        </w:rPr>
        <w:t xml:space="preserve"> Rabbit Polyclonal Antibody</w:t>
      </w:r>
      <w:r>
        <w:rPr>
          <w:rFonts w:hint="eastAsia" w:eastAsiaTheme="minorEastAsia"/>
          <w:szCs w:val="24"/>
        </w:rPr>
        <w:t>.</w:t>
      </w:r>
    </w:p>
    <w:p w14:paraId="0E04DD96">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宋体"/>
          <w:b/>
          <w:bCs/>
          <w:lang w:val="en-US" w:eastAsia="zh-CN"/>
        </w:rPr>
        <w:t>4</w:t>
      </w:r>
      <w:r>
        <w:rPr>
          <w:rFonts w:hint="eastAsia" w:eastAsia="Times New Roman"/>
          <w:b/>
          <w:bCs/>
        </w:rPr>
        <w:t xml:space="preserve"> Nematode and </w:t>
      </w:r>
      <w:r>
        <w:rPr>
          <w:rFonts w:hint="eastAsia"/>
          <w:b/>
          <w:bCs/>
          <w:lang w:val="en-US" w:eastAsia="zh-CN"/>
        </w:rPr>
        <w:t>C</w:t>
      </w:r>
      <w:r>
        <w:rPr>
          <w:rFonts w:hint="eastAsia" w:eastAsia="Times New Roman"/>
          <w:b/>
          <w:bCs/>
        </w:rPr>
        <w:t xml:space="preserve">ulture </w:t>
      </w:r>
      <w:r>
        <w:rPr>
          <w:rFonts w:hint="eastAsia"/>
          <w:b/>
          <w:bCs/>
          <w:lang w:val="en-US" w:eastAsia="zh-CN"/>
        </w:rPr>
        <w:t>C</w:t>
      </w:r>
      <w:r>
        <w:rPr>
          <w:rFonts w:hint="eastAsia" w:eastAsia="Times New Roman"/>
          <w:b/>
          <w:bCs/>
        </w:rPr>
        <w:t>onditions</w:t>
      </w:r>
    </w:p>
    <w:p w14:paraId="6BB57671">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b/>
          <w:bCs/>
        </w:rPr>
      </w:pPr>
      <w:r>
        <w:rPr>
          <w:rFonts w:hint="eastAsia" w:eastAsia="Times New Roman"/>
          <w:i/>
          <w:iCs/>
          <w:szCs w:val="24"/>
        </w:rPr>
        <w:t>C. elegans</w:t>
      </w:r>
      <w:r>
        <w:rPr>
          <w:rFonts w:hint="eastAsia" w:eastAsia="Times New Roman"/>
          <w:szCs w:val="24"/>
        </w:rPr>
        <w:t xml:space="preserve"> wild-type Bristol (N2) strains were acquired from the Caenorhabditis Genet</w:t>
      </w:r>
      <w:r>
        <w:rPr>
          <w:rFonts w:eastAsia="Times New Roman"/>
          <w:szCs w:val="24"/>
        </w:rPr>
        <w:t>ics Center (University of Minnesota, Saint Paul, MN, USA). The nematode transgenic BZ555 strain [Pdat-1::GFP] was acquired from the Caenorhabditis Genetics Center (University of Minnesota).T</w:t>
      </w:r>
      <w:r>
        <w:rPr>
          <w:rFonts w:hint="eastAsia" w:eastAsia="Times New Roman"/>
          <w:szCs w:val="24"/>
        </w:rPr>
        <w:t>he transgenic nematode</w:t>
      </w:r>
      <w:bookmarkStart w:id="0" w:name="OLE_LINK132"/>
      <w:r>
        <w:rPr>
          <w:rFonts w:hint="eastAsia" w:eastAsia="Times New Roman"/>
          <w:szCs w:val="24"/>
        </w:rPr>
        <w:t xml:space="preserve"> PD4251</w:t>
      </w:r>
      <w:bookmarkEnd w:id="0"/>
      <w:r>
        <w:rPr>
          <w:rFonts w:hint="eastAsia" w:eastAsia="Times New Roman"/>
          <w:szCs w:val="24"/>
        </w:rPr>
        <w:t xml:space="preserve"> [myo-3p::mitochondrial GFP] </w:t>
      </w:r>
      <w:r>
        <w:rPr>
          <w:rFonts w:eastAsia="Times New Roman"/>
          <w:szCs w:val="24"/>
        </w:rPr>
        <w:t>was acquired from the Caenorhabditis Genetics Center (University of Minnesota)</w:t>
      </w:r>
      <w:r>
        <w:rPr>
          <w:rFonts w:hint="eastAsia" w:eastAsia="Times New Roman"/>
          <w:szCs w:val="24"/>
        </w:rPr>
        <w:t xml:space="preserve">. </w:t>
      </w:r>
      <w:r>
        <w:rPr>
          <w:rFonts w:eastAsia="Times New Roman"/>
          <w:szCs w:val="24"/>
        </w:rPr>
        <w:t xml:space="preserve">All nematodes were cultured on nematode growth medium (NGM) agar plates seeded with the uracil auxotroph Escherichia </w:t>
      </w:r>
      <w:r>
        <w:rPr>
          <w:rFonts w:eastAsia="Times New Roman"/>
          <w:i/>
          <w:iCs/>
          <w:szCs w:val="24"/>
        </w:rPr>
        <w:t xml:space="preserve">coli </w:t>
      </w:r>
      <w:r>
        <w:rPr>
          <w:rFonts w:eastAsia="Times New Roman"/>
          <w:szCs w:val="24"/>
        </w:rPr>
        <w:t>OP50 (serving as a food source) at 20 ℃.</w:t>
      </w:r>
    </w:p>
    <w:p w14:paraId="2B8DBAAC">
      <w:pPr>
        <w:keepNext w:val="0"/>
        <w:keepLines w:val="0"/>
        <w:pageBreakBefore w:val="0"/>
        <w:overflowPunct/>
        <w:topLinePunct w:val="0"/>
        <w:bidi w:val="0"/>
        <w:adjustRightInd/>
        <w:snapToGrid/>
        <w:spacing w:line="360" w:lineRule="auto"/>
        <w:ind w:firstLine="0" w:firstLineChars="0"/>
        <w:jc w:val="both"/>
        <w:textAlignment w:val="auto"/>
        <w:rPr>
          <w:rFonts w:eastAsia="Times New Roman"/>
          <w:b/>
          <w:bCs/>
        </w:rPr>
      </w:pPr>
      <w:r>
        <w:rPr>
          <w:rFonts w:hint="eastAsia" w:eastAsia="Times New Roman"/>
          <w:b/>
          <w:bCs/>
        </w:rPr>
        <w:t>1.</w:t>
      </w:r>
      <w:r>
        <w:rPr>
          <w:rFonts w:hint="eastAsia" w:eastAsiaTheme="minorEastAsia"/>
          <w:b/>
          <w:bCs/>
        </w:rPr>
        <w:t>4.1</w:t>
      </w:r>
      <w:r>
        <w:rPr>
          <w:rFonts w:hint="eastAsia" w:eastAsia="Times New Roman"/>
          <w:b/>
          <w:bCs/>
        </w:rPr>
        <w:t xml:space="preserve"> </w:t>
      </w:r>
      <w:r>
        <w:rPr>
          <w:rFonts w:eastAsia="Times New Roman"/>
          <w:b/>
          <w:bCs/>
        </w:rPr>
        <w:t xml:space="preserve">Uptake of </w:t>
      </w:r>
      <w:r>
        <w:rPr>
          <w:rFonts w:hint="eastAsia" w:eastAsia="Times New Roman"/>
          <w:b/>
          <w:bCs/>
        </w:rPr>
        <w:t>G-Se NPs</w:t>
      </w:r>
      <w:r>
        <w:rPr>
          <w:rFonts w:eastAsia="Times New Roman"/>
          <w:b/>
          <w:bCs/>
        </w:rPr>
        <w:t xml:space="preserve"> by </w:t>
      </w:r>
      <w:r>
        <w:rPr>
          <w:rFonts w:hint="eastAsia"/>
          <w:b/>
          <w:bCs/>
          <w:lang w:val="en-US" w:eastAsia="zh-CN"/>
        </w:rPr>
        <w:t>N</w:t>
      </w:r>
      <w:r>
        <w:rPr>
          <w:rFonts w:eastAsia="Times New Roman"/>
          <w:b/>
          <w:bCs/>
        </w:rPr>
        <w:t>ematodes</w:t>
      </w:r>
    </w:p>
    <w:p w14:paraId="773F286E">
      <w:pPr>
        <w:keepNext w:val="0"/>
        <w:keepLines w:val="0"/>
        <w:pageBreakBefore w:val="0"/>
        <w:overflowPunct/>
        <w:topLinePunct w:val="0"/>
        <w:bidi w:val="0"/>
        <w:adjustRightInd/>
        <w:snapToGrid/>
        <w:spacing w:line="360" w:lineRule="auto"/>
        <w:ind w:firstLine="480" w:firstLineChars="200"/>
        <w:jc w:val="both"/>
        <w:textAlignment w:val="auto"/>
        <w:rPr>
          <w:rFonts w:hint="eastAsia" w:eastAsia="Times New Roman"/>
          <w:szCs w:val="24"/>
        </w:rPr>
      </w:pPr>
      <w:r>
        <w:rPr>
          <w:rFonts w:hint="eastAsia" w:eastAsia="Times New Roman"/>
          <w:szCs w:val="24"/>
        </w:rPr>
        <w:t xml:space="preserve">The assessment of nematode uptake of </w:t>
      </w:r>
      <w:r>
        <w:rPr>
          <w:rFonts w:hint="eastAsia"/>
        </w:rPr>
        <w:t>G-Se NPs</w:t>
      </w:r>
      <w:r>
        <w:rPr>
          <w:rFonts w:hint="eastAsia" w:eastAsia="Times New Roman"/>
          <w:szCs w:val="24"/>
        </w:rPr>
        <w:t xml:space="preserve"> was performed on N2 strains. Newly hatched larvae, up to the L1 stage, were placed onto NGM plates coated with a bacterial solution containing varied concentrations (</w:t>
      </w:r>
      <w:r>
        <w:rPr>
          <w:rFonts w:hint="eastAsia"/>
          <w:szCs w:val="24"/>
        </w:rPr>
        <w:t>0</w:t>
      </w:r>
      <w:r>
        <w:rPr>
          <w:rFonts w:hint="eastAsia" w:eastAsia="Times New Roman"/>
          <w:szCs w:val="24"/>
        </w:rPr>
        <w:t>,</w:t>
      </w:r>
      <w:r>
        <w:rPr>
          <w:rFonts w:hint="eastAsia"/>
          <w:szCs w:val="24"/>
          <w:lang w:val="en-US" w:eastAsia="zh-CN"/>
        </w:rPr>
        <w:t xml:space="preserve"> </w:t>
      </w:r>
      <w:r>
        <w:rPr>
          <w:rFonts w:hint="eastAsia" w:eastAsia="Times New Roman"/>
          <w:szCs w:val="24"/>
        </w:rPr>
        <w:t>1,</w:t>
      </w:r>
      <w:r>
        <w:rPr>
          <w:rFonts w:hint="eastAsia"/>
          <w:szCs w:val="24"/>
          <w:lang w:val="en-US" w:eastAsia="zh-CN"/>
        </w:rPr>
        <w:t xml:space="preserve"> </w:t>
      </w:r>
      <w:r>
        <w:rPr>
          <w:rFonts w:hint="eastAsia" w:eastAsia="Times New Roman"/>
          <w:szCs w:val="24"/>
        </w:rPr>
        <w:t>5,</w:t>
      </w:r>
      <w:r>
        <w:rPr>
          <w:rFonts w:hint="eastAsia"/>
          <w:szCs w:val="24"/>
          <w:lang w:val="en-US" w:eastAsia="zh-CN"/>
        </w:rPr>
        <w:t xml:space="preserve"> </w:t>
      </w:r>
      <w:r>
        <w:rPr>
          <w:rFonts w:hint="eastAsia"/>
          <w:szCs w:val="24"/>
        </w:rPr>
        <w:t>1</w:t>
      </w:r>
      <w:r>
        <w:rPr>
          <w:rFonts w:hint="eastAsia" w:eastAsia="Times New Roman"/>
          <w:szCs w:val="24"/>
        </w:rPr>
        <w:t>0</w:t>
      </w:r>
      <w:r>
        <w:rPr>
          <w:rFonts w:hint="eastAsia"/>
          <w:szCs w:val="24"/>
        </w:rPr>
        <w:t xml:space="preserve"> and 20</w:t>
      </w:r>
      <w:r>
        <w:rPr>
          <w:rFonts w:hint="eastAsia"/>
          <w:szCs w:val="24"/>
          <w:lang w:val="en-US" w:eastAsia="zh-CN"/>
        </w:rPr>
        <w:t xml:space="preserve"> </w:t>
      </w:r>
      <w:r>
        <w:rPr>
          <w:rFonts w:hint="eastAsia" w:eastAsia="Times New Roman"/>
          <w:szCs w:val="24"/>
        </w:rPr>
        <w:t xml:space="preserve">μg/mL) of </w:t>
      </w:r>
      <w:r>
        <w:rPr>
          <w:rFonts w:eastAsia="Times New Roman"/>
          <w:szCs w:val="24"/>
        </w:rPr>
        <w:t xml:space="preserve">Ce6-labeled </w:t>
      </w:r>
      <w:r>
        <w:rPr>
          <w:rFonts w:hint="eastAsia"/>
        </w:rPr>
        <w:t>G-Se NPs</w:t>
      </w:r>
      <w:r>
        <w:rPr>
          <w:rFonts w:hint="eastAsia" w:eastAsia="Times New Roman"/>
          <w:szCs w:val="24"/>
        </w:rPr>
        <w:t xml:space="preserve"> for </w:t>
      </w:r>
      <w:r>
        <w:rPr>
          <w:rFonts w:hint="eastAsia"/>
          <w:szCs w:val="24"/>
        </w:rPr>
        <w:t>0,</w:t>
      </w:r>
      <w:r>
        <w:rPr>
          <w:rFonts w:hint="eastAsia"/>
          <w:szCs w:val="24"/>
          <w:lang w:val="en-US" w:eastAsia="zh-CN"/>
        </w:rPr>
        <w:t xml:space="preserve"> </w:t>
      </w:r>
      <w:r>
        <w:rPr>
          <w:rFonts w:hint="eastAsia"/>
          <w:szCs w:val="24"/>
        </w:rPr>
        <w:t>1,</w:t>
      </w:r>
      <w:r>
        <w:rPr>
          <w:rFonts w:hint="eastAsia"/>
          <w:szCs w:val="24"/>
          <w:lang w:val="en-US" w:eastAsia="zh-CN"/>
        </w:rPr>
        <w:t xml:space="preserve"> 2</w:t>
      </w:r>
      <w:r>
        <w:rPr>
          <w:rFonts w:hint="eastAsia"/>
          <w:szCs w:val="24"/>
        </w:rPr>
        <w:t>,</w:t>
      </w:r>
      <w:r>
        <w:rPr>
          <w:rFonts w:hint="eastAsia"/>
          <w:szCs w:val="24"/>
          <w:lang w:val="en-US" w:eastAsia="zh-CN"/>
        </w:rPr>
        <w:t xml:space="preserve"> 3</w:t>
      </w:r>
      <w:r>
        <w:rPr>
          <w:rFonts w:hint="eastAsia"/>
          <w:szCs w:val="24"/>
        </w:rPr>
        <w:t xml:space="preserve"> and </w:t>
      </w:r>
      <w:r>
        <w:rPr>
          <w:rFonts w:hint="eastAsia"/>
          <w:szCs w:val="24"/>
          <w:lang w:val="en-US" w:eastAsia="zh-CN"/>
        </w:rPr>
        <w:t>6</w:t>
      </w:r>
      <w:r>
        <w:rPr>
          <w:rFonts w:hint="eastAsia"/>
          <w:szCs w:val="24"/>
        </w:rPr>
        <w:t xml:space="preserve"> </w:t>
      </w:r>
      <w:r>
        <w:rPr>
          <w:rFonts w:hint="eastAsia" w:eastAsia="Times New Roman"/>
          <w:szCs w:val="24"/>
        </w:rPr>
        <w:t xml:space="preserve">h. The ingestion of </w:t>
      </w:r>
      <w:r>
        <w:rPr>
          <w:rFonts w:hint="eastAsia"/>
        </w:rPr>
        <w:t>G-Se NPs</w:t>
      </w:r>
      <w:r>
        <w:rPr>
          <w:rFonts w:hint="eastAsia" w:eastAsia="Times New Roman"/>
          <w:szCs w:val="24"/>
        </w:rPr>
        <w:t xml:space="preserve"> by the nematodes was meticulously observed using an inverted microscope once they had reached the L4 stage.</w:t>
      </w:r>
    </w:p>
    <w:p w14:paraId="153E34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eastAsia" w:ascii="Times New Roman" w:hAnsi="Times New Roman" w:eastAsia="宋体"/>
          <w:b/>
          <w:bCs/>
          <w:color w:val="auto"/>
          <w:sz w:val="24"/>
          <w:highlight w:val="none"/>
          <w:lang w:val="en-US" w:eastAsia="zh-CN"/>
        </w:rPr>
      </w:pPr>
      <w:r>
        <w:rPr>
          <w:rFonts w:hint="eastAsia" w:eastAsia="宋体"/>
          <w:b/>
          <w:bCs/>
          <w:color w:val="auto"/>
          <w:sz w:val="24"/>
          <w:highlight w:val="none"/>
          <w:lang w:val="en-US" w:eastAsia="zh-CN"/>
        </w:rPr>
        <w:t>1</w:t>
      </w:r>
      <w:r>
        <w:rPr>
          <w:rFonts w:ascii="Times New Roman" w:hAnsi="Times New Roman" w:eastAsia="Times New Roman"/>
          <w:b/>
          <w:bCs/>
          <w:color w:val="auto"/>
          <w:sz w:val="24"/>
          <w:highlight w:val="none"/>
        </w:rPr>
        <w:t>.4</w:t>
      </w:r>
      <w:r>
        <w:rPr>
          <w:rFonts w:hint="eastAsia" w:eastAsia="宋体"/>
          <w:b/>
          <w:bCs/>
          <w:color w:val="auto"/>
          <w:sz w:val="24"/>
          <w:highlight w:val="none"/>
          <w:lang w:val="en-US" w:eastAsia="zh-CN"/>
        </w:rPr>
        <w:t>.2</w:t>
      </w:r>
      <w:r>
        <w:rPr>
          <w:rFonts w:ascii="Times New Roman" w:hAnsi="Times New Roman" w:eastAsia="Times New Roman"/>
          <w:b/>
          <w:bCs/>
          <w:color w:val="auto"/>
          <w:sz w:val="24"/>
          <w:highlight w:val="none"/>
        </w:rPr>
        <w:t xml:space="preserve"> Behavioral </w:t>
      </w:r>
      <w:r>
        <w:rPr>
          <w:rFonts w:hint="eastAsia" w:ascii="Times New Roman" w:hAnsi="Times New Roman" w:eastAsia="宋体"/>
          <w:b/>
          <w:bCs/>
          <w:color w:val="auto"/>
          <w:sz w:val="24"/>
          <w:highlight w:val="none"/>
          <w:lang w:val="en-US" w:eastAsia="zh-CN"/>
        </w:rPr>
        <w:t>C</w:t>
      </w:r>
      <w:r>
        <w:rPr>
          <w:rFonts w:ascii="Times New Roman" w:hAnsi="Times New Roman" w:eastAsia="Times New Roman"/>
          <w:b/>
          <w:bCs/>
          <w:color w:val="auto"/>
          <w:sz w:val="24"/>
          <w:highlight w:val="none"/>
        </w:rPr>
        <w:t xml:space="preserve">hanges in </w:t>
      </w:r>
      <w:r>
        <w:rPr>
          <w:rFonts w:ascii="Times New Roman" w:hAnsi="Times New Roman"/>
          <w:b/>
          <w:i/>
          <w:color w:val="auto"/>
          <w:sz w:val="24"/>
          <w:highlight w:val="none"/>
        </w:rPr>
        <w:t>C. elegans</w:t>
      </w:r>
      <w:r>
        <w:rPr>
          <w:rFonts w:ascii="Times New Roman" w:hAnsi="Times New Roman" w:eastAsia="Times New Roman"/>
          <w:b/>
          <w:bCs/>
          <w:color w:val="auto"/>
          <w:sz w:val="24"/>
          <w:highlight w:val="none"/>
        </w:rPr>
        <w:t xml:space="preserve"> and </w:t>
      </w:r>
      <w:r>
        <w:rPr>
          <w:rFonts w:hint="eastAsia" w:ascii="Times New Roman" w:hAnsi="Times New Roman" w:eastAsia="宋体"/>
          <w:b/>
          <w:bCs/>
          <w:color w:val="auto"/>
          <w:sz w:val="24"/>
          <w:highlight w:val="none"/>
          <w:lang w:val="en-US" w:eastAsia="zh-CN"/>
        </w:rPr>
        <w:t>L</w:t>
      </w:r>
      <w:r>
        <w:rPr>
          <w:rFonts w:ascii="Times New Roman" w:hAnsi="Times New Roman" w:eastAsia="Times New Roman"/>
          <w:b/>
          <w:bCs/>
          <w:color w:val="auto"/>
          <w:sz w:val="24"/>
          <w:highlight w:val="none"/>
        </w:rPr>
        <w:t xml:space="preserve">ifespan </w:t>
      </w:r>
      <w:r>
        <w:rPr>
          <w:rFonts w:hint="eastAsia" w:ascii="Times New Roman" w:hAnsi="Times New Roman" w:eastAsia="宋体"/>
          <w:b/>
          <w:bCs/>
          <w:color w:val="auto"/>
          <w:sz w:val="24"/>
          <w:highlight w:val="none"/>
          <w:lang w:val="en-US" w:eastAsia="zh-CN"/>
        </w:rPr>
        <w:t>A</w:t>
      </w:r>
      <w:r>
        <w:rPr>
          <w:rFonts w:ascii="Times New Roman" w:hAnsi="Times New Roman" w:eastAsia="Times New Roman"/>
          <w:b/>
          <w:bCs/>
          <w:color w:val="auto"/>
          <w:sz w:val="24"/>
          <w:highlight w:val="none"/>
        </w:rPr>
        <w:t>nalysis</w:t>
      </w:r>
    </w:p>
    <w:p w14:paraId="4C5DB91E">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sz w:val="24"/>
          <w:highlight w:val="none"/>
        </w:rPr>
      </w:pPr>
      <w:r>
        <w:rPr>
          <w:rFonts w:ascii="Times New Roman" w:hAnsi="Times New Roman" w:eastAsia="Times New Roman"/>
          <w:color w:val="auto"/>
          <w:sz w:val="24"/>
          <w:highlight w:val="none"/>
        </w:rPr>
        <w:t xml:space="preserve">Synchronized L1 larvae of the N2 strain were cultured on nematode growth medium (NGM) plates pre-seeded with </w:t>
      </w:r>
      <w:r>
        <w:rPr>
          <w:rFonts w:ascii="Times New Roman" w:hAnsi="Times New Roman"/>
          <w:i/>
          <w:iCs/>
          <w:color w:val="auto"/>
          <w:sz w:val="24"/>
          <w:highlight w:val="none"/>
        </w:rPr>
        <w:t>E. coli</w:t>
      </w:r>
      <w:r>
        <w:rPr>
          <w:rFonts w:ascii="Times New Roman" w:hAnsi="Times New Roman" w:eastAsia="Times New Roman"/>
          <w:color w:val="auto"/>
          <w:sz w:val="24"/>
          <w:highlight w:val="none"/>
        </w:rPr>
        <w:t xml:space="preserve"> OP50 and maintained at 20°C for 1 day to facilitate transition to the L2 developmental stage. Following cultivation, nematodes were collected by centrifugation at 3000 rpm for 1 min and randoml</w:t>
      </w:r>
      <w:r>
        <w:rPr>
          <w:rFonts w:ascii="Times New Roman" w:hAnsi="Times New Roman" w:eastAsia="Times New Roman"/>
          <w:sz w:val="24"/>
          <w:highlight w:val="none"/>
        </w:rPr>
        <w:t xml:space="preserve">y assigned to either the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lesion or control groups. The experimental groups were treated with </w:t>
      </w:r>
      <w:r>
        <w:rPr>
          <w:rFonts w:hint="eastAsia" w:ascii="Times New Roman" w:hAnsi="Times New Roman" w:eastAsia="宋体"/>
          <w:sz w:val="24"/>
          <w:highlight w:val="none"/>
          <w:lang w:val="en-US" w:eastAsia="zh-CN"/>
        </w:rPr>
        <w:t xml:space="preserve">300 </w:t>
      </w:r>
      <w:r>
        <w:rPr>
          <w:rFonts w:ascii="Times New Roman" w:hAnsi="Times New Roman"/>
          <w:sz w:val="24"/>
          <w:highlight w:val="none"/>
        </w:rPr>
        <w:t>μM</w:t>
      </w:r>
      <w:r>
        <w:rPr>
          <w:rFonts w:ascii="Times New Roman" w:hAnsi="Times New Roman" w:eastAsia="Times New Roman"/>
          <w:sz w:val="24"/>
          <w:highlight w:val="none"/>
        </w:rPr>
        <w:t xml:space="preserve">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with or without </w:t>
      </w:r>
      <w:r>
        <w:rPr>
          <w:rFonts w:hint="eastAsia" w:ascii="Times New Roman" w:hAnsi="Times New Roman" w:eastAsia="宋体"/>
          <w:sz w:val="24"/>
          <w:highlight w:val="none"/>
          <w:lang w:eastAsia="zh-CN"/>
        </w:rPr>
        <w:t>G-Se NPs</w:t>
      </w:r>
      <w:r>
        <w:rPr>
          <w:rFonts w:ascii="Times New Roman" w:hAnsi="Times New Roman" w:eastAsia="Times New Roman"/>
          <w:sz w:val="24"/>
          <w:highlight w:val="none"/>
        </w:rPr>
        <w:t>, in a light-protected environment, while the control group received 20 mM ascorbic acid. After 1 h of incubation, nematodes were thoroughly washed by replacing the M9 buffer three times. They were then transferred to Petri dishes containing the respective treatment substances and standard agar plates, where they were maintained for 48 h prior to behavioral assessments.</w:t>
      </w:r>
    </w:p>
    <w:p w14:paraId="298DE028">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sz w:val="24"/>
          <w:highlight w:val="none"/>
        </w:rPr>
      </w:pPr>
      <w:r>
        <w:rPr>
          <w:rFonts w:ascii="Times New Roman" w:hAnsi="Times New Roman"/>
          <w:sz w:val="24"/>
          <w:highlight w:val="none"/>
        </w:rPr>
        <w:t xml:space="preserve">For lifespan analysis, after 24 h of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w:t>
      </w:r>
      <w:bookmarkStart w:id="1" w:name="OLE_LINK40"/>
      <w:r>
        <w:rPr>
          <w:rFonts w:ascii="Times New Roman" w:hAnsi="Times New Roman"/>
          <w:sz w:val="24"/>
          <w:highlight w:val="none"/>
        </w:rPr>
        <w:t>exposure</w:t>
      </w:r>
      <w:r>
        <w:rPr>
          <w:rFonts w:ascii="Times New Roman" w:hAnsi="Times New Roman" w:eastAsia="Times New Roman"/>
          <w:sz w:val="24"/>
          <w:highlight w:val="none"/>
        </w:rPr>
        <w:t xml:space="preserve">, </w:t>
      </w:r>
      <w:r>
        <w:rPr>
          <w:rFonts w:ascii="Times New Roman" w:hAnsi="Times New Roman"/>
          <w:sz w:val="24"/>
          <w:highlight w:val="none"/>
        </w:rPr>
        <w:t>L4</w:t>
      </w:r>
      <w:r>
        <w:rPr>
          <w:rFonts w:ascii="Times New Roman" w:hAnsi="Times New Roman" w:eastAsia="Times New Roman"/>
          <w:sz w:val="24"/>
          <w:highlight w:val="none"/>
        </w:rPr>
        <w:t xml:space="preserve">-stage nematodes </w:t>
      </w:r>
      <w:r>
        <w:rPr>
          <w:rFonts w:ascii="Times New Roman" w:hAnsi="Times New Roman"/>
          <w:sz w:val="24"/>
          <w:highlight w:val="none"/>
        </w:rPr>
        <w:t xml:space="preserve">(n = </w:t>
      </w:r>
      <w:r>
        <w:rPr>
          <w:rFonts w:hint="eastAsia" w:ascii="Times New Roman" w:hAnsi="Times New Roman"/>
          <w:sz w:val="24"/>
          <w:highlight w:val="none"/>
          <w:lang w:val="en-US" w:eastAsia="zh-CN"/>
        </w:rPr>
        <w:t>10</w:t>
      </w:r>
      <w:r>
        <w:rPr>
          <w:rFonts w:ascii="Times New Roman" w:hAnsi="Times New Roman"/>
          <w:sz w:val="24"/>
          <w:highlight w:val="none"/>
        </w:rPr>
        <w:t xml:space="preserve">0) from the control, model, </w:t>
      </w:r>
      <w:r>
        <w:rPr>
          <w:rFonts w:ascii="Times New Roman" w:hAnsi="Times New Roman" w:eastAsia="Times New Roman"/>
          <w:sz w:val="24"/>
          <w:highlight w:val="none"/>
        </w:rPr>
        <w:t xml:space="preserve">and </w:t>
      </w:r>
      <w:r>
        <w:rPr>
          <w:rFonts w:hint="eastAsia" w:ascii="Times New Roman" w:hAnsi="Times New Roman" w:eastAsia="宋体"/>
          <w:sz w:val="24"/>
          <w:highlight w:val="none"/>
          <w:lang w:eastAsia="zh-CN"/>
        </w:rPr>
        <w:t>G-Se NPs</w:t>
      </w:r>
      <w:r>
        <w:rPr>
          <w:rFonts w:ascii="Times New Roman" w:hAnsi="Times New Roman"/>
          <w:sz w:val="24"/>
          <w:highlight w:val="none"/>
        </w:rPr>
        <w:t xml:space="preserve"> </w:t>
      </w:r>
      <w:r>
        <w:rPr>
          <w:rFonts w:ascii="Times New Roman" w:hAnsi="Times New Roman" w:eastAsia="Times New Roman"/>
          <w:sz w:val="24"/>
          <w:highlight w:val="none"/>
        </w:rPr>
        <w:t xml:space="preserve">treatment groups </w:t>
      </w:r>
      <w:r>
        <w:rPr>
          <w:rFonts w:ascii="Times New Roman" w:hAnsi="Times New Roman"/>
          <w:sz w:val="24"/>
          <w:highlight w:val="none"/>
        </w:rPr>
        <w:t>(1,</w:t>
      </w:r>
      <w:r>
        <w:rPr>
          <w:rFonts w:ascii="Times New Roman" w:hAnsi="Times New Roman" w:eastAsia="Times New Roman"/>
          <w:sz w:val="24"/>
          <w:highlight w:val="none"/>
        </w:rPr>
        <w:t xml:space="preserve"> </w:t>
      </w:r>
      <w:r>
        <w:rPr>
          <w:rFonts w:ascii="Times New Roman" w:hAnsi="Times New Roman"/>
          <w:sz w:val="24"/>
          <w:highlight w:val="none"/>
        </w:rPr>
        <w:t>5</w:t>
      </w:r>
      <w:r>
        <w:rPr>
          <w:rFonts w:ascii="Times New Roman" w:hAnsi="Times New Roman" w:eastAsia="Times New Roman"/>
          <w:sz w:val="24"/>
          <w:highlight w:val="none"/>
        </w:rPr>
        <w:t>,</w:t>
      </w:r>
      <w:r>
        <w:rPr>
          <w:rFonts w:ascii="Times New Roman" w:hAnsi="Times New Roman"/>
          <w:sz w:val="24"/>
          <w:highlight w:val="none"/>
        </w:rPr>
        <w:t xml:space="preserve"> and 10 μg/mL)</w:t>
      </w:r>
      <w:bookmarkEnd w:id="1"/>
      <w:r>
        <w:rPr>
          <w:rFonts w:ascii="Times New Roman" w:hAnsi="Times New Roman"/>
          <w:sz w:val="24"/>
          <w:highlight w:val="none"/>
        </w:rPr>
        <w:t xml:space="preserve"> were randomly selected. The numbers of surviving, </w:t>
      </w:r>
      <w:r>
        <w:rPr>
          <w:rFonts w:ascii="Times New Roman" w:hAnsi="Times New Roman" w:eastAsia="Times New Roman"/>
          <w:sz w:val="24"/>
          <w:highlight w:val="none"/>
        </w:rPr>
        <w:t>dead</w:t>
      </w:r>
      <w:r>
        <w:rPr>
          <w:rFonts w:ascii="Times New Roman" w:hAnsi="Times New Roman"/>
          <w:sz w:val="24"/>
          <w:highlight w:val="none"/>
        </w:rPr>
        <w:t xml:space="preserve">, and lost nematodes were </w:t>
      </w:r>
      <w:r>
        <w:rPr>
          <w:rFonts w:ascii="Times New Roman" w:hAnsi="Times New Roman" w:eastAsia="Times New Roman"/>
          <w:sz w:val="24"/>
          <w:highlight w:val="none"/>
        </w:rPr>
        <w:t xml:space="preserve">recorded daily for </w:t>
      </w:r>
      <w:r>
        <w:rPr>
          <w:rFonts w:ascii="Times New Roman" w:hAnsi="Times New Roman"/>
          <w:sz w:val="24"/>
          <w:highlight w:val="none"/>
        </w:rPr>
        <w:t>each group</w:t>
      </w:r>
      <w:r>
        <w:rPr>
          <w:rFonts w:ascii="Times New Roman" w:hAnsi="Times New Roman" w:eastAsia="Times New Roman"/>
          <w:sz w:val="24"/>
          <w:highlight w:val="none"/>
        </w:rPr>
        <w:t>. Surviving</w:t>
      </w:r>
      <w:r>
        <w:rPr>
          <w:rFonts w:ascii="Times New Roman" w:hAnsi="Times New Roman"/>
          <w:sz w:val="24"/>
          <w:highlight w:val="none"/>
        </w:rPr>
        <w:t xml:space="preserve"> nematodes were transferred to </w:t>
      </w:r>
      <w:r>
        <w:rPr>
          <w:rFonts w:ascii="Times New Roman" w:hAnsi="Times New Roman" w:eastAsia="Times New Roman"/>
          <w:sz w:val="24"/>
          <w:highlight w:val="none"/>
        </w:rPr>
        <w:t>fresh</w:t>
      </w:r>
      <w:r>
        <w:rPr>
          <w:rFonts w:ascii="Times New Roman" w:hAnsi="Times New Roman"/>
          <w:sz w:val="24"/>
          <w:highlight w:val="none"/>
        </w:rPr>
        <w:t xml:space="preserve"> plates</w:t>
      </w:r>
      <w:r>
        <w:rPr>
          <w:rFonts w:ascii="Times New Roman" w:hAnsi="Times New Roman" w:eastAsia="Times New Roman"/>
          <w:sz w:val="24"/>
          <w:highlight w:val="none"/>
        </w:rPr>
        <w:t xml:space="preserve"> each day</w:t>
      </w:r>
      <w:r>
        <w:rPr>
          <w:rFonts w:ascii="Times New Roman" w:hAnsi="Times New Roman"/>
          <w:sz w:val="24"/>
          <w:highlight w:val="none"/>
        </w:rPr>
        <w:t xml:space="preserve">, and the effects of </w:t>
      </w:r>
      <w:r>
        <w:rPr>
          <w:rFonts w:hint="eastAsia" w:ascii="Times New Roman" w:hAnsi="Times New Roman"/>
          <w:sz w:val="24"/>
          <w:highlight w:val="none"/>
          <w:lang w:eastAsia="zh-CN"/>
        </w:rPr>
        <w:t>G-Se NPs</w:t>
      </w:r>
      <w:r>
        <w:rPr>
          <w:rFonts w:ascii="Times New Roman" w:hAnsi="Times New Roman"/>
          <w:sz w:val="24"/>
          <w:highlight w:val="none"/>
        </w:rPr>
        <w:t xml:space="preserve"> (1,</w:t>
      </w:r>
      <w:r>
        <w:rPr>
          <w:rFonts w:ascii="Times New Roman" w:hAnsi="Times New Roman" w:eastAsia="Times New Roman"/>
          <w:sz w:val="24"/>
          <w:highlight w:val="none"/>
        </w:rPr>
        <w:t xml:space="preserve"> </w:t>
      </w:r>
      <w:r>
        <w:rPr>
          <w:rFonts w:ascii="Times New Roman" w:hAnsi="Times New Roman"/>
          <w:sz w:val="24"/>
          <w:highlight w:val="none"/>
        </w:rPr>
        <w:t>5</w:t>
      </w:r>
      <w:r>
        <w:rPr>
          <w:rFonts w:ascii="Times New Roman" w:hAnsi="Times New Roman" w:eastAsia="Times New Roman"/>
          <w:sz w:val="24"/>
          <w:highlight w:val="none"/>
        </w:rPr>
        <w:t>,</w:t>
      </w:r>
      <w:r>
        <w:rPr>
          <w:rFonts w:ascii="Times New Roman" w:hAnsi="Times New Roman"/>
          <w:sz w:val="24"/>
          <w:highlight w:val="none"/>
        </w:rPr>
        <w:t xml:space="preserve"> and 10 μg/mL) on normal lifespan were evaluated. </w:t>
      </w:r>
      <w:r>
        <w:rPr>
          <w:rFonts w:ascii="Times New Roman" w:hAnsi="Times New Roman" w:eastAsia="Times New Roman"/>
          <w:sz w:val="24"/>
          <w:highlight w:val="none"/>
        </w:rPr>
        <w:t>Specifically</w:t>
      </w:r>
      <w:r>
        <w:rPr>
          <w:rFonts w:ascii="Times New Roman" w:hAnsi="Times New Roman"/>
          <w:sz w:val="24"/>
          <w:highlight w:val="none"/>
        </w:rPr>
        <w:t xml:space="preserve">, nematodes from each group were </w:t>
      </w:r>
      <w:r>
        <w:rPr>
          <w:rFonts w:ascii="Times New Roman" w:hAnsi="Times New Roman" w:eastAsia="Times New Roman"/>
          <w:sz w:val="24"/>
          <w:highlight w:val="none"/>
        </w:rPr>
        <w:t xml:space="preserve">maintained on </w:t>
      </w:r>
      <w:r>
        <w:rPr>
          <w:rFonts w:ascii="Times New Roman" w:hAnsi="Times New Roman"/>
          <w:sz w:val="24"/>
          <w:highlight w:val="none"/>
        </w:rPr>
        <w:t>NGM plates</w:t>
      </w:r>
      <w:r>
        <w:rPr>
          <w:rFonts w:ascii="Times New Roman" w:hAnsi="Times New Roman" w:eastAsia="Times New Roman"/>
          <w:sz w:val="24"/>
          <w:highlight w:val="none"/>
        </w:rPr>
        <w:t xml:space="preserve"> and transferred daily to fresh plates during</w:t>
      </w:r>
      <w:r>
        <w:rPr>
          <w:rFonts w:ascii="Times New Roman" w:hAnsi="Times New Roman"/>
          <w:sz w:val="24"/>
          <w:highlight w:val="none"/>
        </w:rPr>
        <w:t xml:space="preserve"> the reproductive phase</w:t>
      </w:r>
      <w:r>
        <w:rPr>
          <w:rFonts w:ascii="Times New Roman" w:hAnsi="Times New Roman" w:eastAsia="Times New Roman"/>
          <w:sz w:val="24"/>
          <w:highlight w:val="none"/>
        </w:rPr>
        <w:t xml:space="preserve"> to prevent interference from </w:t>
      </w:r>
      <w:r>
        <w:rPr>
          <w:rFonts w:ascii="Times New Roman" w:hAnsi="Times New Roman"/>
          <w:sz w:val="24"/>
          <w:highlight w:val="none"/>
        </w:rPr>
        <w:t xml:space="preserve">newly hatched </w:t>
      </w:r>
      <w:r>
        <w:rPr>
          <w:rFonts w:ascii="Times New Roman" w:hAnsi="Times New Roman" w:eastAsia="Times New Roman"/>
          <w:sz w:val="24"/>
          <w:highlight w:val="none"/>
        </w:rPr>
        <w:t>progeny. Survival</w:t>
      </w:r>
      <w:r>
        <w:rPr>
          <w:rFonts w:ascii="Times New Roman" w:hAnsi="Times New Roman"/>
          <w:sz w:val="24"/>
          <w:highlight w:val="none"/>
        </w:rPr>
        <w:t xml:space="preserve"> monitoring continued </w:t>
      </w:r>
      <w:r>
        <w:rPr>
          <w:rFonts w:ascii="Times New Roman" w:hAnsi="Times New Roman" w:eastAsia="Times New Roman"/>
          <w:sz w:val="24"/>
          <w:highlight w:val="none"/>
        </w:rPr>
        <w:t xml:space="preserve">daily </w:t>
      </w:r>
      <w:r>
        <w:rPr>
          <w:rFonts w:ascii="Times New Roman" w:hAnsi="Times New Roman"/>
          <w:sz w:val="24"/>
          <w:highlight w:val="none"/>
        </w:rPr>
        <w:t xml:space="preserve">until </w:t>
      </w:r>
      <w:r>
        <w:rPr>
          <w:rFonts w:ascii="Times New Roman" w:hAnsi="Times New Roman" w:eastAsia="Times New Roman"/>
          <w:sz w:val="24"/>
          <w:highlight w:val="none"/>
        </w:rPr>
        <w:t xml:space="preserve">all nematodes </w:t>
      </w:r>
      <w:r>
        <w:rPr>
          <w:rFonts w:ascii="Times New Roman" w:hAnsi="Times New Roman"/>
          <w:sz w:val="24"/>
          <w:highlight w:val="none"/>
        </w:rPr>
        <w:t xml:space="preserve">had </w:t>
      </w:r>
      <w:r>
        <w:rPr>
          <w:rFonts w:ascii="Times New Roman" w:hAnsi="Times New Roman" w:eastAsia="Times New Roman"/>
          <w:sz w:val="24"/>
          <w:highlight w:val="none"/>
        </w:rPr>
        <w:t>died</w:t>
      </w:r>
      <w:r>
        <w:rPr>
          <w:rFonts w:ascii="Times New Roman" w:hAnsi="Times New Roman"/>
          <w:sz w:val="24"/>
          <w:highlight w:val="none"/>
        </w:rPr>
        <w:t xml:space="preserve">. Nematodes </w:t>
      </w:r>
      <w:r>
        <w:rPr>
          <w:rFonts w:ascii="Times New Roman" w:hAnsi="Times New Roman" w:eastAsia="Times New Roman"/>
          <w:sz w:val="24"/>
          <w:highlight w:val="none"/>
        </w:rPr>
        <w:t>unresponsive</w:t>
      </w:r>
      <w:r>
        <w:rPr>
          <w:rFonts w:ascii="Times New Roman" w:hAnsi="Times New Roman"/>
          <w:sz w:val="24"/>
          <w:highlight w:val="none"/>
        </w:rPr>
        <w:t xml:space="preserve"> to mechanical stimulation were </w:t>
      </w:r>
      <w:r>
        <w:rPr>
          <w:rFonts w:ascii="Times New Roman" w:hAnsi="Times New Roman" w:eastAsia="Times New Roman"/>
          <w:sz w:val="24"/>
          <w:highlight w:val="none"/>
        </w:rPr>
        <w:t>classified</w:t>
      </w:r>
      <w:r>
        <w:rPr>
          <w:rFonts w:ascii="Times New Roman" w:hAnsi="Times New Roman"/>
          <w:sz w:val="24"/>
          <w:highlight w:val="none"/>
        </w:rPr>
        <w:t xml:space="preserve"> as dead.</w:t>
      </w:r>
    </w:p>
    <w:p w14:paraId="3FB16660">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sz w:val="24"/>
          <w:highlight w:val="none"/>
        </w:rPr>
      </w:pPr>
      <w:r>
        <w:rPr>
          <w:rFonts w:ascii="Times New Roman" w:hAnsi="Times New Roman"/>
          <w:sz w:val="24"/>
          <w:highlight w:val="none"/>
        </w:rPr>
        <w:t xml:space="preserve">To </w:t>
      </w:r>
      <w:r>
        <w:rPr>
          <w:rFonts w:ascii="Times New Roman" w:hAnsi="Times New Roman" w:eastAsia="Times New Roman"/>
          <w:sz w:val="24"/>
          <w:highlight w:val="none"/>
        </w:rPr>
        <w:t>evaluate abnormal reversal and steering (</w:t>
      </w:r>
      <w:r>
        <w:rPr>
          <w:rFonts w:ascii="Times New Roman" w:hAnsi="Times New Roman"/>
          <w:sz w:val="24"/>
          <w:highlight w:val="none"/>
        </w:rPr>
        <w:t>ARS</w:t>
      </w:r>
      <w:r>
        <w:rPr>
          <w:rFonts w:ascii="Times New Roman" w:hAnsi="Times New Roman" w:eastAsia="Times New Roman"/>
          <w:sz w:val="24"/>
          <w:highlight w:val="none"/>
        </w:rPr>
        <w:t>)</w:t>
      </w:r>
      <w:r>
        <w:rPr>
          <w:rFonts w:ascii="Times New Roman" w:hAnsi="Times New Roman"/>
          <w:sz w:val="24"/>
          <w:highlight w:val="none"/>
        </w:rPr>
        <w:t xml:space="preserve"> behavior, adult nematodes at day 1 of adulthood </w:t>
      </w:r>
      <w:r>
        <w:rPr>
          <w:rFonts w:ascii="Times New Roman" w:hAnsi="Times New Roman" w:eastAsia="Times New Roman"/>
          <w:sz w:val="24"/>
          <w:highlight w:val="none"/>
        </w:rPr>
        <w:t xml:space="preserve">were used following 24 h of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exposure. A total</w:t>
      </w:r>
      <w:r>
        <w:rPr>
          <w:rFonts w:ascii="Times New Roman" w:hAnsi="Times New Roman"/>
          <w:sz w:val="24"/>
          <w:highlight w:val="none"/>
        </w:rPr>
        <w:t xml:space="preserve"> of 1</w:t>
      </w:r>
      <w:r>
        <w:rPr>
          <w:rFonts w:hint="eastAsia" w:ascii="Times New Roman" w:hAnsi="Times New Roman"/>
          <w:sz w:val="24"/>
          <w:highlight w:val="none"/>
          <w:lang w:val="en-US" w:eastAsia="zh-CN"/>
        </w:rPr>
        <w:t>0</w:t>
      </w:r>
      <w:r>
        <w:rPr>
          <w:rFonts w:ascii="Times New Roman" w:hAnsi="Times New Roman"/>
          <w:sz w:val="24"/>
          <w:highlight w:val="none"/>
        </w:rPr>
        <w:t>0</w:t>
      </w:r>
      <w:r>
        <w:rPr>
          <w:rFonts w:ascii="Times New Roman" w:hAnsi="Times New Roman" w:eastAsia="Times New Roman"/>
          <w:sz w:val="24"/>
          <w:highlight w:val="none"/>
        </w:rPr>
        <w:t xml:space="preserve"> nematodes</w:t>
      </w:r>
      <w:r>
        <w:rPr>
          <w:rFonts w:ascii="Times New Roman" w:hAnsi="Times New Roman"/>
          <w:sz w:val="24"/>
          <w:highlight w:val="none"/>
        </w:rPr>
        <w:t xml:space="preserve"> from each experimental group were </w:t>
      </w:r>
      <w:r>
        <w:rPr>
          <w:rFonts w:ascii="Times New Roman" w:hAnsi="Times New Roman" w:eastAsia="Times New Roman"/>
          <w:sz w:val="24"/>
          <w:highlight w:val="none"/>
        </w:rPr>
        <w:t>transferred</w:t>
      </w:r>
      <w:r>
        <w:rPr>
          <w:rFonts w:ascii="Times New Roman" w:hAnsi="Times New Roman"/>
          <w:sz w:val="24"/>
          <w:highlight w:val="none"/>
        </w:rPr>
        <w:t xml:space="preserve"> onto fresh 60 mm NGM assay plates. </w:t>
      </w:r>
      <w:r>
        <w:rPr>
          <w:rFonts w:ascii="Times New Roman" w:hAnsi="Times New Roman" w:eastAsia="Times New Roman"/>
          <w:sz w:val="24"/>
          <w:highlight w:val="none"/>
        </w:rPr>
        <w:t>Video</w:t>
      </w:r>
      <w:r>
        <w:rPr>
          <w:rFonts w:ascii="Times New Roman" w:hAnsi="Times New Roman"/>
          <w:sz w:val="24"/>
          <w:highlight w:val="none"/>
        </w:rPr>
        <w:t xml:space="preserve"> recordings were </w:t>
      </w:r>
      <w:r>
        <w:rPr>
          <w:rFonts w:ascii="Times New Roman" w:hAnsi="Times New Roman" w:eastAsia="Times New Roman"/>
          <w:sz w:val="24"/>
          <w:highlight w:val="none"/>
        </w:rPr>
        <w:t>performed</w:t>
      </w:r>
      <w:r>
        <w:rPr>
          <w:rFonts w:ascii="Times New Roman" w:hAnsi="Times New Roman"/>
          <w:sz w:val="24"/>
          <w:highlight w:val="none"/>
        </w:rPr>
        <w:t>, capturing 1</w:t>
      </w:r>
      <w:r>
        <w:rPr>
          <w:rFonts w:ascii="Times New Roman" w:hAnsi="Times New Roman" w:eastAsia="Times New Roman"/>
          <w:sz w:val="24"/>
          <w:highlight w:val="none"/>
        </w:rPr>
        <w:t>-</w:t>
      </w:r>
      <w:r>
        <w:rPr>
          <w:rFonts w:ascii="Times New Roman" w:hAnsi="Times New Roman"/>
          <w:sz w:val="24"/>
          <w:highlight w:val="none"/>
        </w:rPr>
        <w:t xml:space="preserve">min </w:t>
      </w:r>
      <w:r>
        <w:rPr>
          <w:rFonts w:ascii="Times New Roman" w:hAnsi="Times New Roman" w:eastAsia="Times New Roman"/>
          <w:sz w:val="24"/>
          <w:highlight w:val="none"/>
        </w:rPr>
        <w:t xml:space="preserve">behavioral </w:t>
      </w:r>
      <w:r>
        <w:rPr>
          <w:rFonts w:ascii="Times New Roman" w:hAnsi="Times New Roman"/>
          <w:sz w:val="24"/>
          <w:highlight w:val="none"/>
        </w:rPr>
        <w:t>segments at 5 and 30 min after placement</w:t>
      </w:r>
      <w:r>
        <w:rPr>
          <w:rFonts w:ascii="Times New Roman" w:hAnsi="Times New Roman" w:eastAsia="Times New Roman"/>
          <w:sz w:val="24"/>
          <w:highlight w:val="none"/>
        </w:rPr>
        <w:t>.</w:t>
      </w:r>
      <w:r>
        <w:rPr>
          <w:rFonts w:ascii="Times New Roman" w:hAnsi="Times New Roman"/>
          <w:sz w:val="24"/>
          <w:highlight w:val="none"/>
        </w:rPr>
        <w:t xml:space="preserve"> Individual nematode trajectories were </w:t>
      </w:r>
      <w:r>
        <w:rPr>
          <w:rFonts w:ascii="Times New Roman" w:hAnsi="Times New Roman" w:eastAsia="Times New Roman"/>
          <w:sz w:val="24"/>
          <w:highlight w:val="none"/>
        </w:rPr>
        <w:t>analyzed</w:t>
      </w:r>
      <w:r>
        <w:rPr>
          <w:rFonts w:ascii="Times New Roman" w:hAnsi="Times New Roman"/>
          <w:sz w:val="24"/>
          <w:highlight w:val="none"/>
        </w:rPr>
        <w:t xml:space="preserve">, and </w:t>
      </w:r>
      <w:r>
        <w:rPr>
          <w:rFonts w:ascii="Times New Roman" w:hAnsi="Times New Roman" w:eastAsia="Times New Roman"/>
          <w:sz w:val="24"/>
          <w:highlight w:val="none"/>
        </w:rPr>
        <w:t>turns</w:t>
      </w:r>
      <w:r>
        <w:rPr>
          <w:rFonts w:ascii="Times New Roman" w:hAnsi="Times New Roman"/>
          <w:sz w:val="24"/>
          <w:highlight w:val="none"/>
        </w:rPr>
        <w:t xml:space="preserve"> exceeding 90° from </w:t>
      </w:r>
      <w:r>
        <w:rPr>
          <w:rFonts w:ascii="Times New Roman" w:hAnsi="Times New Roman" w:eastAsia="Times New Roman"/>
          <w:sz w:val="24"/>
          <w:highlight w:val="none"/>
        </w:rPr>
        <w:t>the original</w:t>
      </w:r>
      <w:r>
        <w:rPr>
          <w:rFonts w:ascii="Times New Roman" w:hAnsi="Times New Roman"/>
          <w:sz w:val="24"/>
          <w:highlight w:val="none"/>
        </w:rPr>
        <w:t xml:space="preserve"> path were </w:t>
      </w:r>
      <w:r>
        <w:rPr>
          <w:rFonts w:ascii="Times New Roman" w:hAnsi="Times New Roman" w:eastAsia="Times New Roman"/>
          <w:sz w:val="24"/>
          <w:highlight w:val="none"/>
        </w:rPr>
        <w:t>recorded</w:t>
      </w:r>
      <w:r>
        <w:rPr>
          <w:rFonts w:ascii="Times New Roman" w:hAnsi="Times New Roman"/>
          <w:sz w:val="24"/>
          <w:highlight w:val="none"/>
        </w:rPr>
        <w:t xml:space="preserve">. The ARS ratio was </w:t>
      </w:r>
      <w:r>
        <w:rPr>
          <w:rFonts w:ascii="Times New Roman" w:hAnsi="Times New Roman" w:eastAsia="Times New Roman"/>
          <w:sz w:val="24"/>
          <w:highlight w:val="none"/>
        </w:rPr>
        <w:t>calculated</w:t>
      </w:r>
      <w:r>
        <w:rPr>
          <w:rFonts w:ascii="Times New Roman" w:hAnsi="Times New Roman"/>
          <w:sz w:val="24"/>
          <w:highlight w:val="none"/>
        </w:rPr>
        <w:t xml:space="preserve"> by dividing the number of turns per nematode at the 5</w:t>
      </w:r>
      <w:r>
        <w:rPr>
          <w:rFonts w:ascii="Times New Roman" w:hAnsi="Times New Roman" w:eastAsia="Times New Roman"/>
          <w:sz w:val="24"/>
          <w:highlight w:val="none"/>
        </w:rPr>
        <w:t>-</w:t>
      </w:r>
      <w:r>
        <w:rPr>
          <w:rFonts w:ascii="Times New Roman" w:hAnsi="Times New Roman"/>
          <w:sz w:val="24"/>
          <w:highlight w:val="none"/>
        </w:rPr>
        <w:t xml:space="preserve">min </w:t>
      </w:r>
      <w:r>
        <w:rPr>
          <w:rFonts w:ascii="Times New Roman" w:hAnsi="Times New Roman" w:eastAsia="Times New Roman"/>
          <w:sz w:val="24"/>
          <w:highlight w:val="none"/>
        </w:rPr>
        <w:t>interval</w:t>
      </w:r>
      <w:r>
        <w:rPr>
          <w:rFonts w:ascii="Times New Roman" w:hAnsi="Times New Roman"/>
          <w:sz w:val="24"/>
          <w:highlight w:val="none"/>
        </w:rPr>
        <w:t xml:space="preserve"> by the corresponding </w:t>
      </w:r>
      <w:r>
        <w:rPr>
          <w:rFonts w:ascii="Times New Roman" w:hAnsi="Times New Roman" w:eastAsia="Times New Roman"/>
          <w:sz w:val="24"/>
          <w:highlight w:val="none"/>
        </w:rPr>
        <w:t>number</w:t>
      </w:r>
      <w:r>
        <w:rPr>
          <w:rFonts w:ascii="Times New Roman" w:hAnsi="Times New Roman"/>
          <w:sz w:val="24"/>
          <w:highlight w:val="none"/>
        </w:rPr>
        <w:t xml:space="preserve"> at 30 min</w:t>
      </w:r>
      <w:r>
        <w:rPr>
          <w:rFonts w:ascii="Times New Roman" w:hAnsi="Times New Roman" w:eastAsia="Times New Roman"/>
          <w:sz w:val="24"/>
          <w:highlight w:val="none"/>
        </w:rPr>
        <w:t>. Each experiment</w:t>
      </w:r>
      <w:r>
        <w:rPr>
          <w:rFonts w:ascii="Times New Roman" w:hAnsi="Times New Roman"/>
          <w:sz w:val="24"/>
          <w:highlight w:val="none"/>
        </w:rPr>
        <w:t xml:space="preserve"> was </w:t>
      </w:r>
      <w:r>
        <w:rPr>
          <w:rFonts w:ascii="Times New Roman" w:hAnsi="Times New Roman" w:eastAsia="Times New Roman"/>
          <w:sz w:val="24"/>
          <w:highlight w:val="none"/>
        </w:rPr>
        <w:t>repeated at least</w:t>
      </w:r>
      <w:r>
        <w:rPr>
          <w:rFonts w:ascii="Times New Roman" w:hAnsi="Times New Roman"/>
          <w:sz w:val="24"/>
          <w:highlight w:val="none"/>
        </w:rPr>
        <w:t xml:space="preserve"> three </w:t>
      </w:r>
      <w:r>
        <w:rPr>
          <w:rFonts w:ascii="Times New Roman" w:hAnsi="Times New Roman" w:eastAsia="Times New Roman"/>
          <w:sz w:val="24"/>
          <w:highlight w:val="none"/>
        </w:rPr>
        <w:t>times</w:t>
      </w:r>
      <w:r>
        <w:rPr>
          <w:rFonts w:ascii="Times New Roman" w:hAnsi="Times New Roman"/>
          <w:sz w:val="24"/>
          <w:highlight w:val="none"/>
        </w:rPr>
        <w:t xml:space="preserve"> for </w:t>
      </w:r>
      <w:r>
        <w:rPr>
          <w:rFonts w:ascii="Times New Roman" w:hAnsi="Times New Roman" w:eastAsia="Times New Roman"/>
          <w:sz w:val="24"/>
          <w:highlight w:val="none"/>
        </w:rPr>
        <w:t>every</w:t>
      </w:r>
      <w:r>
        <w:rPr>
          <w:rFonts w:ascii="Times New Roman" w:hAnsi="Times New Roman"/>
          <w:sz w:val="24"/>
          <w:highlight w:val="none"/>
        </w:rPr>
        <w:t xml:space="preserve"> strain.</w:t>
      </w:r>
    </w:p>
    <w:p w14:paraId="14302C68">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Times New Roman"/>
          <w:sz w:val="24"/>
          <w:highlight w:val="none"/>
        </w:rPr>
      </w:pPr>
      <w:r>
        <w:rPr>
          <w:rFonts w:ascii="Times New Roman" w:hAnsi="Times New Roman" w:eastAsia="Times New Roman"/>
          <w:sz w:val="24"/>
          <w:highlight w:val="none"/>
        </w:rPr>
        <w:t xml:space="preserve">To evaluate ethanol avoidance behavior, day 1 adult nematodes (n = </w:t>
      </w:r>
      <w:r>
        <w:rPr>
          <w:rFonts w:hint="eastAsia" w:ascii="Times New Roman" w:hAnsi="Times New Roman" w:eastAsia="宋体"/>
          <w:sz w:val="24"/>
          <w:highlight w:val="none"/>
          <w:lang w:val="en-US" w:eastAsia="zh-CN"/>
        </w:rPr>
        <w:t>10</w:t>
      </w:r>
      <w:r>
        <w:rPr>
          <w:rFonts w:ascii="Times New Roman" w:hAnsi="Times New Roman" w:eastAsia="Times New Roman"/>
          <w:sz w:val="24"/>
          <w:highlight w:val="none"/>
        </w:rPr>
        <w:t xml:space="preserve">0) from each experimental group were collected following 24 h of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exposure and placed onto assay plates divided into four quadrants. Two quadrants served as controls, while the other two were supplemented with 50 μL of ethanol. Nematodes were positioned at the center of each plate and allowed to move freely for 30 min. Plates were then imaged, and the distribution of nematodes across the quadrants was recorded. Ethanol avoidance was quantified using the preference index (PI), calculated as: PI = (number of nematodes in the control quadrants) - (number of nematodes in the ethanol quadrants))/total number of nematodes.</w:t>
      </w:r>
    </w:p>
    <w:p w14:paraId="0931FA88">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eastAsia="Times New Roman"/>
          <w:szCs w:val="24"/>
        </w:rPr>
      </w:pPr>
      <w:r>
        <w:rPr>
          <w:rFonts w:ascii="Times New Roman" w:hAnsi="Times New Roman" w:eastAsia="Times New Roman"/>
          <w:sz w:val="24"/>
          <w:highlight w:val="none"/>
        </w:rPr>
        <w:t xml:space="preserve">To assess </w:t>
      </w:r>
      <w:r>
        <w:rPr>
          <w:rFonts w:ascii="Times New Roman" w:hAnsi="Times New Roman"/>
          <w:sz w:val="24"/>
          <w:highlight w:val="none"/>
        </w:rPr>
        <w:t>basal slowing, adult nematodes (n = 1</w:t>
      </w:r>
      <w:r>
        <w:rPr>
          <w:rFonts w:hint="eastAsia" w:ascii="Times New Roman" w:hAnsi="Times New Roman"/>
          <w:sz w:val="24"/>
          <w:highlight w:val="none"/>
          <w:lang w:val="en-US" w:eastAsia="zh-CN"/>
        </w:rPr>
        <w:t>0</w:t>
      </w:r>
      <w:r>
        <w:rPr>
          <w:rFonts w:ascii="Times New Roman" w:hAnsi="Times New Roman"/>
          <w:sz w:val="24"/>
          <w:highlight w:val="none"/>
        </w:rPr>
        <w:t xml:space="preserve">0) from each group were </w:t>
      </w:r>
      <w:r>
        <w:rPr>
          <w:rFonts w:ascii="Times New Roman" w:hAnsi="Times New Roman" w:eastAsia="Times New Roman"/>
          <w:sz w:val="24"/>
          <w:highlight w:val="none"/>
        </w:rPr>
        <w:t>exposed</w:t>
      </w:r>
      <w:r>
        <w:rPr>
          <w:rFonts w:ascii="Times New Roman" w:hAnsi="Times New Roman"/>
          <w:sz w:val="24"/>
          <w:highlight w:val="none"/>
        </w:rPr>
        <w:t xml:space="preserve"> to </w:t>
      </w:r>
      <w:r>
        <w:rPr>
          <w:rFonts w:hint="eastAsia" w:ascii="Times New Roman" w:hAnsi="Times New Roman" w:eastAsia="宋体"/>
          <w:sz w:val="24"/>
          <w:highlight w:val="none"/>
          <w:lang w:eastAsia="zh-CN"/>
        </w:rPr>
        <w:t>6-OHDA</w:t>
      </w:r>
      <w:r>
        <w:rPr>
          <w:rFonts w:ascii="Times New Roman" w:hAnsi="Times New Roman" w:eastAsia="Times New Roman"/>
          <w:sz w:val="24"/>
          <w:highlight w:val="none"/>
        </w:rPr>
        <w:t xml:space="preserve"> for</w:t>
      </w:r>
      <w:r>
        <w:rPr>
          <w:rFonts w:ascii="Times New Roman" w:hAnsi="Times New Roman"/>
          <w:sz w:val="24"/>
          <w:highlight w:val="none"/>
        </w:rPr>
        <w:t xml:space="preserve"> 24 h</w:t>
      </w:r>
      <w:r>
        <w:rPr>
          <w:rFonts w:ascii="Times New Roman" w:hAnsi="Times New Roman" w:eastAsia="Times New Roman"/>
          <w:sz w:val="24"/>
          <w:highlight w:val="none"/>
        </w:rPr>
        <w:t>. After</w:t>
      </w:r>
      <w:r>
        <w:rPr>
          <w:rFonts w:ascii="Times New Roman" w:hAnsi="Times New Roman"/>
          <w:sz w:val="24"/>
          <w:highlight w:val="none"/>
        </w:rPr>
        <w:t xml:space="preserve"> exposure</w:t>
      </w:r>
      <w:r>
        <w:rPr>
          <w:rFonts w:ascii="Times New Roman" w:hAnsi="Times New Roman" w:eastAsia="Times New Roman"/>
          <w:sz w:val="24"/>
          <w:highlight w:val="none"/>
        </w:rPr>
        <w:t>,</w:t>
      </w:r>
      <w:r>
        <w:rPr>
          <w:rFonts w:ascii="Times New Roman" w:hAnsi="Times New Roman"/>
          <w:sz w:val="24"/>
          <w:highlight w:val="none"/>
        </w:rPr>
        <w:t xml:space="preserve"> nematodes were thoroughly washed with M9 buffer to </w:t>
      </w:r>
      <w:r>
        <w:rPr>
          <w:rFonts w:ascii="Times New Roman" w:hAnsi="Times New Roman" w:eastAsia="Times New Roman"/>
          <w:sz w:val="24"/>
          <w:highlight w:val="none"/>
        </w:rPr>
        <w:t>remove residual</w:t>
      </w:r>
      <w:r>
        <w:rPr>
          <w:rFonts w:ascii="Times New Roman" w:hAnsi="Times New Roman"/>
          <w:sz w:val="24"/>
          <w:highlight w:val="none"/>
        </w:rPr>
        <w:t xml:space="preserve"> bacteria. </w:t>
      </w:r>
      <w:r>
        <w:rPr>
          <w:rFonts w:ascii="Times New Roman" w:hAnsi="Times New Roman" w:eastAsia="Times New Roman"/>
          <w:sz w:val="24"/>
          <w:highlight w:val="none"/>
        </w:rPr>
        <w:t>They</w:t>
      </w:r>
      <w:r>
        <w:rPr>
          <w:rFonts w:ascii="Times New Roman" w:hAnsi="Times New Roman"/>
          <w:sz w:val="24"/>
          <w:highlight w:val="none"/>
        </w:rPr>
        <w:t xml:space="preserve"> were then </w:t>
      </w:r>
      <w:r>
        <w:rPr>
          <w:rFonts w:ascii="Times New Roman" w:hAnsi="Times New Roman" w:eastAsia="Times New Roman"/>
          <w:sz w:val="24"/>
          <w:highlight w:val="none"/>
        </w:rPr>
        <w:t>placed</w:t>
      </w:r>
      <w:r>
        <w:rPr>
          <w:rFonts w:ascii="Times New Roman" w:hAnsi="Times New Roman"/>
          <w:sz w:val="24"/>
          <w:highlight w:val="none"/>
        </w:rPr>
        <w:t xml:space="preserve"> onto </w:t>
      </w:r>
      <w:r>
        <w:rPr>
          <w:rFonts w:ascii="Times New Roman" w:hAnsi="Times New Roman" w:eastAsia="Times New Roman"/>
          <w:sz w:val="24"/>
          <w:highlight w:val="none"/>
        </w:rPr>
        <w:t xml:space="preserve">two types of </w:t>
      </w:r>
      <w:r>
        <w:rPr>
          <w:rFonts w:ascii="Times New Roman" w:hAnsi="Times New Roman"/>
          <w:sz w:val="24"/>
          <w:highlight w:val="none"/>
        </w:rPr>
        <w:t>NGM plates: unseeded plates (OP50</w:t>
      </w:r>
      <w:r>
        <w:rPr>
          <w:rFonts w:ascii="Times New Roman" w:hAnsi="Times New Roman" w:eastAsia="Times New Roman"/>
          <w:sz w:val="24"/>
          <w:highlight w:val="none"/>
        </w:rPr>
        <w:t>–)</w:t>
      </w:r>
      <w:r>
        <w:rPr>
          <w:rFonts w:ascii="Times New Roman" w:hAnsi="Times New Roman"/>
          <w:sz w:val="24"/>
          <w:highlight w:val="none"/>
        </w:rPr>
        <w:t xml:space="preserve"> and plates seeded with OP50 bacteria (OP50+). </w:t>
      </w:r>
      <w:r>
        <w:rPr>
          <w:rFonts w:ascii="Times New Roman" w:hAnsi="Times New Roman" w:eastAsia="Times New Roman"/>
          <w:sz w:val="24"/>
          <w:highlight w:val="none"/>
        </w:rPr>
        <w:t>After</w:t>
      </w:r>
      <w:r>
        <w:rPr>
          <w:rFonts w:ascii="Times New Roman" w:hAnsi="Times New Roman"/>
          <w:sz w:val="24"/>
          <w:highlight w:val="none"/>
        </w:rPr>
        <w:t xml:space="preserve"> a 5 min </w:t>
      </w:r>
      <w:r>
        <w:rPr>
          <w:rFonts w:ascii="Times New Roman" w:hAnsi="Times New Roman" w:eastAsia="Times New Roman"/>
          <w:sz w:val="24"/>
          <w:highlight w:val="none"/>
        </w:rPr>
        <w:t>acclimation period,</w:t>
      </w:r>
      <w:r>
        <w:rPr>
          <w:rFonts w:ascii="Times New Roman" w:hAnsi="Times New Roman"/>
          <w:sz w:val="24"/>
          <w:highlight w:val="none"/>
        </w:rPr>
        <w:t xml:space="preserve"> nematodes were </w:t>
      </w:r>
      <w:r>
        <w:rPr>
          <w:rFonts w:ascii="Times New Roman" w:hAnsi="Times New Roman" w:eastAsia="Times New Roman"/>
          <w:sz w:val="24"/>
          <w:highlight w:val="none"/>
        </w:rPr>
        <w:t>evaluated</w:t>
      </w:r>
      <w:r>
        <w:rPr>
          <w:rFonts w:ascii="Times New Roman" w:hAnsi="Times New Roman"/>
          <w:sz w:val="24"/>
          <w:highlight w:val="none"/>
        </w:rPr>
        <w:t xml:space="preserve"> in a randomized manner </w:t>
      </w:r>
      <w:r>
        <w:rPr>
          <w:rFonts w:ascii="Times New Roman" w:hAnsi="Times New Roman" w:eastAsia="Times New Roman"/>
          <w:sz w:val="24"/>
          <w:highlight w:val="none"/>
        </w:rPr>
        <w:t>by counting</w:t>
      </w:r>
      <w:r>
        <w:rPr>
          <w:rFonts w:ascii="Times New Roman" w:hAnsi="Times New Roman"/>
          <w:sz w:val="24"/>
          <w:highlight w:val="none"/>
        </w:rPr>
        <w:t xml:space="preserve"> the </w:t>
      </w:r>
      <w:r>
        <w:rPr>
          <w:rFonts w:ascii="Times New Roman" w:hAnsi="Times New Roman" w:eastAsia="Times New Roman"/>
          <w:sz w:val="24"/>
          <w:highlight w:val="none"/>
        </w:rPr>
        <w:t>number</w:t>
      </w:r>
      <w:r>
        <w:rPr>
          <w:rFonts w:ascii="Times New Roman" w:hAnsi="Times New Roman"/>
          <w:sz w:val="24"/>
          <w:highlight w:val="none"/>
        </w:rPr>
        <w:t xml:space="preserve"> of sinusoidal </w:t>
      </w:r>
      <w:r>
        <w:rPr>
          <w:rFonts w:ascii="Times New Roman" w:hAnsi="Times New Roman" w:eastAsia="Times New Roman"/>
          <w:sz w:val="24"/>
          <w:highlight w:val="none"/>
        </w:rPr>
        <w:t>body bends</w:t>
      </w:r>
      <w:r>
        <w:rPr>
          <w:rFonts w:ascii="Times New Roman" w:hAnsi="Times New Roman"/>
          <w:sz w:val="24"/>
          <w:highlight w:val="none"/>
        </w:rPr>
        <w:t xml:space="preserve"> within a 30 s observation </w:t>
      </w:r>
      <w:r>
        <w:rPr>
          <w:rFonts w:ascii="Times New Roman" w:hAnsi="Times New Roman" w:eastAsia="Times New Roman"/>
          <w:sz w:val="24"/>
          <w:highlight w:val="none"/>
        </w:rPr>
        <w:t>interval</w:t>
      </w:r>
      <w:r>
        <w:rPr>
          <w:rFonts w:ascii="Times New Roman" w:hAnsi="Times New Roman"/>
          <w:sz w:val="24"/>
          <w:highlight w:val="none"/>
        </w:rPr>
        <w:t xml:space="preserve">. Each nematode </w:t>
      </w:r>
      <w:r>
        <w:rPr>
          <w:rFonts w:ascii="Times New Roman" w:hAnsi="Times New Roman" w:eastAsia="Times New Roman"/>
          <w:sz w:val="24"/>
          <w:highlight w:val="none"/>
        </w:rPr>
        <w:t>was assessed over</w:t>
      </w:r>
      <w:r>
        <w:rPr>
          <w:rFonts w:ascii="Times New Roman" w:hAnsi="Times New Roman"/>
          <w:sz w:val="24"/>
          <w:highlight w:val="none"/>
        </w:rPr>
        <w:t xml:space="preserve"> three consecutive 30 s </w:t>
      </w:r>
      <w:r>
        <w:rPr>
          <w:rFonts w:ascii="Times New Roman" w:hAnsi="Times New Roman" w:eastAsia="Times New Roman"/>
          <w:sz w:val="24"/>
          <w:highlight w:val="none"/>
        </w:rPr>
        <w:t>periods</w:t>
      </w:r>
      <w:r>
        <w:rPr>
          <w:rFonts w:ascii="Times New Roman" w:hAnsi="Times New Roman"/>
          <w:sz w:val="24"/>
          <w:highlight w:val="none"/>
        </w:rPr>
        <w:t xml:space="preserve">, and the average </w:t>
      </w:r>
      <w:r>
        <w:rPr>
          <w:rFonts w:ascii="Times New Roman" w:hAnsi="Times New Roman" w:eastAsia="Times New Roman"/>
          <w:sz w:val="24"/>
          <w:highlight w:val="none"/>
        </w:rPr>
        <w:t>value</w:t>
      </w:r>
      <w:r>
        <w:rPr>
          <w:rFonts w:ascii="Times New Roman" w:hAnsi="Times New Roman"/>
          <w:sz w:val="24"/>
          <w:highlight w:val="none"/>
        </w:rPr>
        <w:t xml:space="preserve"> was recorded as a singl</w:t>
      </w:r>
      <w:r>
        <w:rPr>
          <w:rFonts w:ascii="Times New Roman" w:hAnsi="Times New Roman" w:eastAsia="Times New Roman"/>
          <w:sz w:val="24"/>
          <w:highlight w:val="none"/>
        </w:rPr>
        <w:t>e</w:t>
      </w:r>
      <w:r>
        <w:rPr>
          <w:rFonts w:ascii="Times New Roman" w:hAnsi="Times New Roman"/>
          <w:sz w:val="24"/>
          <w:highlight w:val="none"/>
        </w:rPr>
        <w:t xml:space="preserve"> data point. </w:t>
      </w:r>
      <w:r>
        <w:rPr>
          <w:rFonts w:ascii="Times New Roman" w:hAnsi="Times New Roman" w:eastAsia="Times New Roman"/>
          <w:sz w:val="24"/>
          <w:highlight w:val="none"/>
        </w:rPr>
        <w:t>Crawling</w:t>
      </w:r>
      <w:r>
        <w:rPr>
          <w:rFonts w:ascii="Times New Roman" w:hAnsi="Times New Roman"/>
          <w:sz w:val="24"/>
          <w:highlight w:val="none"/>
        </w:rPr>
        <w:t xml:space="preserve"> speed </w:t>
      </w:r>
      <w:r>
        <w:rPr>
          <w:rFonts w:ascii="Times New Roman" w:hAnsi="Times New Roman" w:eastAsia="Times New Roman"/>
          <w:sz w:val="24"/>
          <w:highlight w:val="none"/>
        </w:rPr>
        <w:t>was compared across</w:t>
      </w:r>
      <w:r>
        <w:rPr>
          <w:rFonts w:ascii="Times New Roman" w:hAnsi="Times New Roman"/>
          <w:sz w:val="24"/>
          <w:highlight w:val="none"/>
        </w:rPr>
        <w:t xml:space="preserve"> groups </w:t>
      </w:r>
      <w:r>
        <w:rPr>
          <w:rFonts w:ascii="Times New Roman" w:hAnsi="Times New Roman" w:eastAsia="Times New Roman"/>
          <w:sz w:val="24"/>
          <w:highlight w:val="none"/>
        </w:rPr>
        <w:t>under</w:t>
      </w:r>
      <w:r>
        <w:rPr>
          <w:rFonts w:ascii="Times New Roman" w:hAnsi="Times New Roman"/>
          <w:sz w:val="24"/>
          <w:highlight w:val="none"/>
        </w:rPr>
        <w:t xml:space="preserve"> both bacterial and sterile </w:t>
      </w:r>
      <w:r>
        <w:rPr>
          <w:rFonts w:ascii="Times New Roman" w:hAnsi="Times New Roman" w:eastAsia="Times New Roman"/>
          <w:sz w:val="24"/>
          <w:highlight w:val="none"/>
        </w:rPr>
        <w:t>conditions. Basal slowing was quantified using the following</w:t>
      </w:r>
      <w:r>
        <w:rPr>
          <w:rFonts w:ascii="Times New Roman" w:hAnsi="Times New Roman"/>
          <w:sz w:val="24"/>
          <w:highlight w:val="none"/>
        </w:rPr>
        <w:t xml:space="preserve"> formula: </w:t>
      </w:r>
      <w:r>
        <w:rPr>
          <w:rFonts w:ascii="Times New Roman" w:hAnsi="Times New Roman" w:eastAsia="Times New Roman"/>
          <w:sz w:val="24"/>
          <w:highlight w:val="none"/>
        </w:rPr>
        <w:t>(movement rate without food - movement rate with food) / movement rate with food.</w:t>
      </w:r>
    </w:p>
    <w:p w14:paraId="4CFEFCE5">
      <w:pPr>
        <w:keepNext w:val="0"/>
        <w:keepLines w:val="0"/>
        <w:pageBreakBefore w:val="0"/>
        <w:overflowPunct/>
        <w:topLinePunct w:val="0"/>
        <w:bidi w:val="0"/>
        <w:adjustRightInd/>
        <w:snapToGrid/>
        <w:spacing w:line="360" w:lineRule="auto"/>
        <w:ind w:firstLine="0" w:firstLineChars="0"/>
        <w:jc w:val="both"/>
        <w:textAlignment w:val="auto"/>
        <w:rPr>
          <w:b/>
          <w:bCs/>
          <w:color w:val="000000"/>
          <w:kern w:val="0"/>
        </w:rPr>
      </w:pPr>
      <w:r>
        <w:rPr>
          <w:rFonts w:hint="eastAsia"/>
          <w:b/>
          <w:bCs/>
          <w:color w:val="000000"/>
          <w:kern w:val="0"/>
        </w:rPr>
        <w:t xml:space="preserve">1.5 </w:t>
      </w:r>
      <w:r>
        <w:rPr>
          <w:b/>
          <w:bCs/>
          <w:color w:val="000000"/>
          <w:kern w:val="0"/>
        </w:rPr>
        <w:t xml:space="preserve">C57BL/6 </w:t>
      </w:r>
      <w:r>
        <w:rPr>
          <w:rFonts w:hint="eastAsia"/>
          <w:b/>
          <w:bCs/>
          <w:color w:val="000000"/>
          <w:kern w:val="0"/>
          <w:lang w:val="en-US" w:eastAsia="zh-CN"/>
        </w:rPr>
        <w:t>M</w:t>
      </w:r>
      <w:r>
        <w:rPr>
          <w:b/>
          <w:bCs/>
          <w:color w:val="000000"/>
          <w:kern w:val="0"/>
        </w:rPr>
        <w:t xml:space="preserve">ice </w:t>
      </w:r>
      <w:r>
        <w:rPr>
          <w:rFonts w:hint="eastAsia"/>
          <w:b/>
          <w:bCs/>
          <w:color w:val="000000"/>
          <w:kern w:val="0"/>
          <w:lang w:val="en-US" w:eastAsia="zh-CN"/>
        </w:rPr>
        <w:t>R</w:t>
      </w:r>
      <w:r>
        <w:rPr>
          <w:b/>
          <w:bCs/>
          <w:color w:val="000000"/>
          <w:kern w:val="0"/>
        </w:rPr>
        <w:t xml:space="preserve">earing and </w:t>
      </w:r>
      <w:r>
        <w:rPr>
          <w:rFonts w:hint="eastAsia"/>
          <w:b/>
          <w:bCs/>
          <w:color w:val="000000"/>
          <w:kern w:val="0"/>
          <w:lang w:val="en-US" w:eastAsia="zh-CN"/>
        </w:rPr>
        <w:t>T</w:t>
      </w:r>
      <w:r>
        <w:rPr>
          <w:b/>
          <w:bCs/>
          <w:color w:val="000000"/>
          <w:kern w:val="0"/>
        </w:rPr>
        <w:t>reatment</w:t>
      </w:r>
    </w:p>
    <w:p w14:paraId="6D38BD9F">
      <w:pPr>
        <w:keepNext w:val="0"/>
        <w:keepLines w:val="0"/>
        <w:pageBreakBefore w:val="0"/>
        <w:overflowPunct/>
        <w:topLinePunct w:val="0"/>
        <w:bidi w:val="0"/>
        <w:adjustRightInd/>
        <w:snapToGrid/>
        <w:spacing w:line="360" w:lineRule="auto"/>
        <w:ind w:firstLine="480" w:firstLineChars="200"/>
        <w:jc w:val="both"/>
        <w:textAlignment w:val="auto"/>
        <w:rPr>
          <w:rFonts w:hint="eastAsia" w:eastAsia="Times New Roman"/>
          <w:szCs w:val="24"/>
        </w:rPr>
      </w:pPr>
      <w:r>
        <w:rPr>
          <w:rFonts w:hint="eastAsia" w:eastAsia="Times New Roman"/>
          <w:szCs w:val="24"/>
        </w:rPr>
        <w:t xml:space="preserve">All animal procedures were carried out under the guidelines </w:t>
      </w:r>
      <w:r>
        <w:rPr>
          <w:rFonts w:eastAsia="Times New Roman"/>
          <w:szCs w:val="24"/>
        </w:rPr>
        <w:t xml:space="preserve">approved by </w:t>
      </w:r>
      <w:r>
        <w:rPr>
          <w:rFonts w:hint="eastAsia" w:eastAsia="Times New Roman"/>
          <w:szCs w:val="24"/>
        </w:rPr>
        <w:t xml:space="preserve">the </w:t>
      </w:r>
      <w:r>
        <w:rPr>
          <w:rFonts w:eastAsia="Times New Roman"/>
          <w:szCs w:val="24"/>
        </w:rPr>
        <w:t>Institutional</w:t>
      </w:r>
      <w:r>
        <w:rPr>
          <w:rFonts w:hint="eastAsia" w:eastAsia="Times New Roman"/>
          <w:szCs w:val="24"/>
        </w:rPr>
        <w:t xml:space="preserve"> Animal Care and Use Committee of Guizhou Medical University</w:t>
      </w:r>
      <w:r>
        <w:rPr>
          <w:rFonts w:eastAsia="Times New Roman"/>
          <w:szCs w:val="24"/>
        </w:rPr>
        <w:t xml:space="preserve"> (</w:t>
      </w:r>
      <w:r>
        <w:rPr>
          <w:rFonts w:hint="eastAsia" w:eastAsia="Times New Roman"/>
          <w:szCs w:val="24"/>
        </w:rPr>
        <w:t>No 2200002</w:t>
      </w:r>
      <w:r>
        <w:rPr>
          <w:rFonts w:eastAsia="Times New Roman"/>
          <w:szCs w:val="24"/>
        </w:rPr>
        <w:t>).</w:t>
      </w:r>
      <w:r>
        <w:rPr>
          <w:rFonts w:hint="eastAsia" w:eastAsia="Times New Roman"/>
          <w:szCs w:val="24"/>
        </w:rPr>
        <w:t xml:space="preserve"> The study utilized male C57BL/6 mice (weighing approximately 22 g)</w:t>
      </w:r>
      <w:r>
        <w:rPr>
          <w:rFonts w:hint="eastAsia"/>
          <w:szCs w:val="24"/>
        </w:rPr>
        <w:t xml:space="preserve"> </w:t>
      </w:r>
      <w:r>
        <w:rPr>
          <w:rFonts w:hint="eastAsia" w:eastAsia="Times New Roman"/>
          <w:szCs w:val="24"/>
        </w:rPr>
        <w:t xml:space="preserve">were sourced from the Laboratory Animal Center of Guizhou Medical University in Guiyang, China. The mice were kept under controlled environmental conditions, with cages maintained at a temperature of 21 ± 2°C. A well-controlled light/dark cycle of 12 h was followed, along with controlled humidity levels. The mice were also provided with ad libitum access to both food and water. A period of 3 days was allotted to ensure proper acclimatization of all mice prior to the commencement of the experiment. Among the mice, those that exhibited similar </w:t>
      </w:r>
      <w:r>
        <w:rPr>
          <w:rFonts w:hint="eastAsia"/>
          <w:szCs w:val="24"/>
          <w:lang w:eastAsia="zh-CN"/>
        </w:rPr>
        <w:t>duration</w:t>
      </w:r>
      <w:r>
        <w:rPr>
          <w:rFonts w:hint="eastAsia" w:eastAsia="Times New Roman"/>
          <w:szCs w:val="24"/>
        </w:rPr>
        <w:t xml:space="preserve"> on the rotating rod during pre</w:t>
      </w:r>
      <w:r>
        <w:rPr>
          <w:rFonts w:hint="eastAsia"/>
          <w:szCs w:val="24"/>
          <w:lang w:val="en-US" w:eastAsia="zh-CN"/>
        </w:rPr>
        <w:t>-</w:t>
      </w:r>
      <w:r>
        <w:rPr>
          <w:rFonts w:hint="eastAsia" w:eastAsia="Times New Roman"/>
          <w:szCs w:val="24"/>
        </w:rPr>
        <w:t xml:space="preserve">training were chosen for subsequent investigations. To establish the in vivo model of PD, mice were subjected to intraperitoneal injections of MPTP </w:t>
      </w:r>
      <w:r>
        <w:rPr>
          <w:rFonts w:hint="eastAsia"/>
          <w:szCs w:val="24"/>
          <w:lang w:val="en-US" w:eastAsia="zh-CN"/>
        </w:rPr>
        <w:t>five</w:t>
      </w:r>
      <w:r>
        <w:rPr>
          <w:rFonts w:hint="eastAsia" w:eastAsia="Times New Roman"/>
          <w:szCs w:val="24"/>
        </w:rPr>
        <w:t xml:space="preserve"> times at a dosage of 30 mg/kg per injection per day. </w:t>
      </w:r>
      <w:r>
        <w:rPr>
          <w:rFonts w:hint="eastAsia"/>
        </w:rPr>
        <w:t>G-Se NPs (10 mg/kg)</w:t>
      </w:r>
      <w:r>
        <w:rPr>
          <w:rFonts w:hint="eastAsia" w:eastAsia="Times New Roman"/>
          <w:szCs w:val="24"/>
        </w:rPr>
        <w:t xml:space="preserve"> were administered intravenously every other day for a total of 12 days starting on the day of MPTP induction. To ensure the precise dosage of each nanosheet batch, the </w:t>
      </w:r>
      <w:r>
        <w:rPr>
          <w:rFonts w:hint="eastAsia"/>
        </w:rPr>
        <w:t xml:space="preserve">G-Se NPs </w:t>
      </w:r>
      <w:r>
        <w:rPr>
          <w:rFonts w:hint="eastAsia" w:eastAsia="Times New Roman"/>
          <w:szCs w:val="24"/>
        </w:rPr>
        <w:t xml:space="preserve">concentration was determined using the established methodology. The animals underwent behavioral testing 48 h after the </w:t>
      </w:r>
      <w:r>
        <w:rPr>
          <w:rFonts w:hint="eastAsia"/>
          <w:szCs w:val="24"/>
          <w:lang w:val="en-US" w:eastAsia="zh-CN"/>
        </w:rPr>
        <w:t>final</w:t>
      </w:r>
      <w:r>
        <w:rPr>
          <w:rFonts w:hint="eastAsia" w:eastAsia="Times New Roman"/>
          <w:szCs w:val="24"/>
        </w:rPr>
        <w:t xml:space="preserve"> injection and then euthanized. Subsequently, blood samples, along with organs and brains, were collected from the mice for further analysis and subsequent investigations.</w:t>
      </w:r>
    </w:p>
    <w:p w14:paraId="32591322">
      <w:pPr>
        <w:keepNext w:val="0"/>
        <w:keepLines w:val="0"/>
        <w:pageBreakBefore w:val="0"/>
        <w:overflowPunct/>
        <w:topLinePunct w:val="0"/>
        <w:bidi w:val="0"/>
        <w:adjustRightInd/>
        <w:snapToGrid/>
        <w:spacing w:line="360" w:lineRule="auto"/>
        <w:ind w:firstLine="480" w:firstLineChars="200"/>
        <w:jc w:val="both"/>
        <w:textAlignment w:val="auto"/>
        <w:rPr>
          <w:rFonts w:hint="eastAsia" w:eastAsia="Times New Roman"/>
          <w:szCs w:val="24"/>
        </w:rPr>
      </w:pPr>
    </w:p>
    <w:p w14:paraId="34CF7433">
      <w:pPr>
        <w:keepNext w:val="0"/>
        <w:keepLines w:val="0"/>
        <w:pageBreakBefore w:val="0"/>
        <w:overflowPunct/>
        <w:topLinePunct w:val="0"/>
        <w:bidi w:val="0"/>
        <w:adjustRightInd/>
        <w:snapToGrid/>
        <w:spacing w:line="360" w:lineRule="auto"/>
        <w:ind w:firstLine="0" w:firstLineChars="0"/>
        <w:jc w:val="both"/>
        <w:textAlignment w:val="auto"/>
        <w:rPr>
          <w:b/>
          <w:bCs/>
          <w:color w:val="000000"/>
          <w:kern w:val="0"/>
        </w:rPr>
      </w:pPr>
      <w:r>
        <w:rPr>
          <w:rFonts w:hint="eastAsia"/>
          <w:b/>
          <w:bCs/>
          <w:color w:val="000000"/>
          <w:kern w:val="0"/>
        </w:rPr>
        <w:t>1.5.1 In Vivo Fluorescence Imaging and Biodistribution</w:t>
      </w:r>
    </w:p>
    <w:p w14:paraId="7A76E794">
      <w:pPr>
        <w:keepNext w:val="0"/>
        <w:keepLines w:val="0"/>
        <w:pageBreakBefore w:val="0"/>
        <w:overflowPunct/>
        <w:topLinePunct w:val="0"/>
        <w:bidi w:val="0"/>
        <w:adjustRightInd/>
        <w:snapToGrid/>
        <w:spacing w:line="360" w:lineRule="auto"/>
        <w:ind w:firstLine="480" w:firstLineChars="200"/>
        <w:jc w:val="both"/>
        <w:textAlignment w:val="auto"/>
        <w:rPr>
          <w:rFonts w:eastAsia="Times New Roman"/>
          <w:strike/>
          <w:dstrike w:val="0"/>
          <w:color w:val="auto"/>
          <w:szCs w:val="24"/>
        </w:rPr>
      </w:pPr>
      <w:r>
        <w:rPr>
          <w:rFonts w:hint="eastAsia" w:eastAsia="Times New Roman"/>
          <w:szCs w:val="24"/>
        </w:rPr>
        <w:t>C57BL/6 mice (male, 8 weeks old) were intranasally administrated with Ce6-labeled G-Se NPs (2.5 mg</w:t>
      </w:r>
      <w:r>
        <w:rPr>
          <w:rFonts w:hint="eastAsia"/>
          <w:szCs w:val="24"/>
          <w:lang w:val="en-US" w:eastAsia="zh-CN"/>
        </w:rPr>
        <w:t>/</w:t>
      </w:r>
      <w:r>
        <w:rPr>
          <w:rFonts w:hint="eastAsia" w:eastAsia="Times New Roman"/>
          <w:szCs w:val="24"/>
        </w:rPr>
        <w:t>kg) and observed under an in vivo imaging system at indicated time points (30 min, 1 h, 3 h, 6 h, 12 h,24  h,36 h) after administration. Brain, heart, liver, spleen, lung, and kidney were collected for in vitro fluorescence imaging at 3 and 36 h after administration. At 3 h postadministration, brain tissues were collected to prepare frozen brain slices, which were stained with TH antibody</w:t>
      </w:r>
      <w:r>
        <w:rPr>
          <w:rFonts w:hint="eastAsia" w:eastAsiaTheme="minorEastAsia"/>
          <w:szCs w:val="24"/>
        </w:rPr>
        <w:t xml:space="preserve"> and</w:t>
      </w:r>
      <w:r>
        <w:rPr>
          <w:rFonts w:eastAsiaTheme="minorEastAsia"/>
          <w:szCs w:val="24"/>
        </w:rPr>
        <w:t xml:space="preserve"> MitoTracker® </w:t>
      </w:r>
      <w:r>
        <w:rPr>
          <w:rFonts w:hint="eastAsia" w:eastAsiaTheme="minorEastAsia"/>
          <w:szCs w:val="24"/>
        </w:rPr>
        <w:t xml:space="preserve">Green </w:t>
      </w:r>
      <w:r>
        <w:rPr>
          <w:rFonts w:hint="eastAsia" w:eastAsia="Times New Roman"/>
          <w:szCs w:val="24"/>
        </w:rPr>
        <w:t xml:space="preserve">at 4 °C overnight and stained with DAPI for CLSM </w:t>
      </w:r>
      <w:r>
        <w:rPr>
          <w:rFonts w:hint="eastAsia" w:eastAsia="Times New Roman"/>
          <w:color w:val="auto"/>
          <w:szCs w:val="24"/>
        </w:rPr>
        <w:t xml:space="preserve">observation. The fluorescence intensities were quantified with Kuant Plant software.  </w:t>
      </w:r>
    </w:p>
    <w:p w14:paraId="6C05DA07">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b/>
          <w:bCs/>
          <w:color w:val="auto"/>
          <w:kern w:val="0"/>
          <w:sz w:val="24"/>
          <w:highlight w:val="none"/>
          <w:lang w:val="en-US" w:eastAsia="zh-CN"/>
        </w:rPr>
      </w:pPr>
      <w:r>
        <w:rPr>
          <w:rFonts w:hint="eastAsia"/>
          <w:b/>
          <w:bCs/>
          <w:color w:val="auto"/>
          <w:kern w:val="0"/>
          <w:sz w:val="24"/>
          <w:highlight w:val="none"/>
          <w:lang w:val="en-US" w:eastAsia="zh-CN"/>
        </w:rPr>
        <w:t>1</w:t>
      </w:r>
      <w:r>
        <w:rPr>
          <w:rFonts w:ascii="Times New Roman" w:hAnsi="Times New Roman"/>
          <w:b/>
          <w:bCs/>
          <w:color w:val="auto"/>
          <w:kern w:val="0"/>
          <w:sz w:val="24"/>
          <w:highlight w:val="none"/>
        </w:rPr>
        <w:t>.</w:t>
      </w:r>
      <w:r>
        <w:rPr>
          <w:rFonts w:hint="eastAsia"/>
          <w:b/>
          <w:bCs/>
          <w:color w:val="auto"/>
          <w:kern w:val="0"/>
          <w:sz w:val="24"/>
          <w:highlight w:val="none"/>
          <w:lang w:val="en-US" w:eastAsia="zh-CN"/>
        </w:rPr>
        <w:t>5.2</w:t>
      </w:r>
      <w:r>
        <w:rPr>
          <w:rFonts w:ascii="Times New Roman" w:hAnsi="Times New Roman"/>
          <w:b/>
          <w:bCs/>
          <w:color w:val="auto"/>
          <w:kern w:val="0"/>
          <w:sz w:val="24"/>
          <w:highlight w:val="none"/>
        </w:rPr>
        <w:t xml:space="preserve"> Behavioral </w:t>
      </w:r>
      <w:r>
        <w:rPr>
          <w:rFonts w:hint="eastAsia" w:ascii="Times New Roman" w:hAnsi="Times New Roman"/>
          <w:b/>
          <w:bCs/>
          <w:color w:val="auto"/>
          <w:kern w:val="0"/>
          <w:sz w:val="24"/>
          <w:highlight w:val="none"/>
          <w:lang w:val="en-US" w:eastAsia="zh-CN"/>
        </w:rPr>
        <w:t>E</w:t>
      </w:r>
      <w:r>
        <w:rPr>
          <w:rFonts w:ascii="Times New Roman" w:hAnsi="Times New Roman"/>
          <w:b/>
          <w:bCs/>
          <w:color w:val="auto"/>
          <w:kern w:val="0"/>
          <w:sz w:val="24"/>
          <w:highlight w:val="none"/>
        </w:rPr>
        <w:t>valuations</w:t>
      </w:r>
    </w:p>
    <w:p w14:paraId="0882FF64">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Times New Roman"/>
          <w:sz w:val="24"/>
          <w:highlight w:val="none"/>
        </w:rPr>
      </w:pPr>
      <w:r>
        <w:rPr>
          <w:rFonts w:ascii="Times New Roman" w:hAnsi="Times New Roman"/>
          <w:b/>
          <w:bCs/>
          <w:color w:val="auto"/>
          <w:kern w:val="0"/>
          <w:sz w:val="24"/>
          <w:highlight w:val="none"/>
        </w:rPr>
        <w:t xml:space="preserve">Rotarod </w:t>
      </w:r>
      <w:r>
        <w:rPr>
          <w:rFonts w:hint="eastAsia" w:ascii="Times New Roman" w:hAnsi="Times New Roman"/>
          <w:b/>
          <w:bCs/>
          <w:color w:val="auto"/>
          <w:kern w:val="0"/>
          <w:sz w:val="24"/>
          <w:highlight w:val="none"/>
          <w:lang w:val="en-US" w:eastAsia="zh-CN"/>
        </w:rPr>
        <w:t>T</w:t>
      </w:r>
      <w:r>
        <w:rPr>
          <w:rFonts w:ascii="Times New Roman" w:hAnsi="Times New Roman"/>
          <w:b/>
          <w:bCs/>
          <w:color w:val="auto"/>
          <w:kern w:val="0"/>
          <w:sz w:val="24"/>
          <w:highlight w:val="none"/>
        </w:rPr>
        <w:t>est</w:t>
      </w:r>
      <w:bookmarkStart w:id="2" w:name="OLE_LINK42"/>
      <w:r>
        <w:rPr>
          <w:rFonts w:hint="eastAsia"/>
          <w:b/>
          <w:bCs/>
          <w:color w:val="auto"/>
          <w:kern w:val="0"/>
          <w:sz w:val="24"/>
          <w:highlight w:val="none"/>
          <w:lang w:val="en-US" w:eastAsia="zh-CN"/>
        </w:rPr>
        <w:t xml:space="preserve">: </w:t>
      </w:r>
      <w:r>
        <w:rPr>
          <w:rFonts w:ascii="Times New Roman" w:hAnsi="Times New Roman" w:eastAsia="Times New Roman"/>
          <w:color w:val="auto"/>
          <w:sz w:val="24"/>
          <w:highlight w:val="none"/>
        </w:rPr>
        <w:t>Mice from each experimental group were subjected to a rotarod test to evaluate motor coordination and balance.</w:t>
      </w:r>
      <w:r>
        <w:rPr>
          <w:rFonts w:ascii="Times New Roman" w:hAnsi="Times New Roman" w:eastAsia="Times New Roman"/>
          <w:sz w:val="24"/>
          <w:highlight w:val="none"/>
        </w:rPr>
        <w:t xml:space="preserve"> Each mouse was placed on a rotating rod, and the time they were able to maintain balance was recorded. Three trials were performed per mouse, with a 20 min intertrial interval. The final performance score was calculated as the average time across the three trials. The apparatus (Shandong Medical Academy of Sciences, China) featured a rod with a diameter of 3 cm rotating at a constant speed of 40 rpm.</w:t>
      </w:r>
    </w:p>
    <w:p w14:paraId="75135346">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Times New Roman"/>
          <w:sz w:val="24"/>
          <w:highlight w:val="none"/>
        </w:rPr>
      </w:pPr>
      <w:r>
        <w:rPr>
          <w:rFonts w:ascii="Times New Roman" w:hAnsi="Times New Roman"/>
          <w:b/>
          <w:bCs/>
          <w:sz w:val="24"/>
          <w:highlight w:val="none"/>
        </w:rPr>
        <w:t>Pole-</w:t>
      </w:r>
      <w:r>
        <w:rPr>
          <w:rFonts w:hint="eastAsia" w:ascii="Times New Roman" w:hAnsi="Times New Roman"/>
          <w:b/>
          <w:bCs/>
          <w:sz w:val="24"/>
          <w:highlight w:val="none"/>
          <w:lang w:val="en-US" w:eastAsia="zh-CN"/>
        </w:rPr>
        <w:t>C</w:t>
      </w:r>
      <w:r>
        <w:rPr>
          <w:rFonts w:ascii="Times New Roman" w:hAnsi="Times New Roman"/>
          <w:b/>
          <w:bCs/>
          <w:sz w:val="24"/>
          <w:highlight w:val="none"/>
        </w:rPr>
        <w:t xml:space="preserve">limbing </w:t>
      </w:r>
      <w:bookmarkEnd w:id="2"/>
      <w:r>
        <w:rPr>
          <w:rFonts w:hint="eastAsia" w:ascii="Times New Roman" w:hAnsi="Times New Roman"/>
          <w:b/>
          <w:bCs/>
          <w:sz w:val="24"/>
          <w:highlight w:val="none"/>
          <w:lang w:val="en-US" w:eastAsia="zh-CN"/>
        </w:rPr>
        <w:t>T</w:t>
      </w:r>
      <w:r>
        <w:rPr>
          <w:rFonts w:ascii="Times New Roman" w:hAnsi="Times New Roman"/>
          <w:b/>
          <w:bCs/>
          <w:sz w:val="24"/>
          <w:highlight w:val="none"/>
        </w:rPr>
        <w:t>est</w:t>
      </w:r>
      <w:r>
        <w:rPr>
          <w:rFonts w:hint="eastAsia"/>
          <w:b/>
          <w:bCs/>
          <w:sz w:val="24"/>
          <w:highlight w:val="none"/>
          <w:lang w:val="en-US" w:eastAsia="zh-CN"/>
        </w:rPr>
        <w:t xml:space="preserve">: </w:t>
      </w:r>
      <w:r>
        <w:rPr>
          <w:rFonts w:ascii="Times New Roman" w:hAnsi="Times New Roman" w:eastAsia="Times New Roman"/>
          <w:sz w:val="24"/>
          <w:highlight w:val="none"/>
        </w:rPr>
        <w:t>In the pole-climbing test, mice were placed on a vertical pole with a rough surface (50 cm in height, 1 cm in diameter). Two parameters were recorded: the time required for each mouse to perform a downward head turn (T-turn) and the total time taken to descend to the base of the pole (T-total).</w:t>
      </w:r>
    </w:p>
    <w:p w14:paraId="34BD456D">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sz w:val="24"/>
          <w:highlight w:val="none"/>
        </w:rPr>
      </w:pPr>
      <w:r>
        <w:rPr>
          <w:rFonts w:ascii="Times New Roman" w:hAnsi="Times New Roman"/>
          <w:b/>
          <w:bCs/>
          <w:color w:val="000000"/>
          <w:kern w:val="0"/>
          <w:sz w:val="24"/>
          <w:highlight w:val="none"/>
          <w:lang w:bidi="ar"/>
        </w:rPr>
        <w:t xml:space="preserve">Open </w:t>
      </w:r>
      <w:r>
        <w:rPr>
          <w:rFonts w:hint="eastAsia" w:ascii="Times New Roman" w:hAnsi="Times New Roman"/>
          <w:b/>
          <w:bCs/>
          <w:color w:val="000000"/>
          <w:kern w:val="0"/>
          <w:sz w:val="24"/>
          <w:highlight w:val="none"/>
          <w:lang w:val="en-US" w:eastAsia="zh-CN" w:bidi="ar"/>
        </w:rPr>
        <w:t>F</w:t>
      </w:r>
      <w:r>
        <w:rPr>
          <w:rFonts w:ascii="Times New Roman" w:hAnsi="Times New Roman"/>
          <w:b/>
          <w:bCs/>
          <w:color w:val="000000"/>
          <w:kern w:val="0"/>
          <w:sz w:val="24"/>
          <w:highlight w:val="none"/>
          <w:lang w:bidi="ar"/>
        </w:rPr>
        <w:t xml:space="preserve">ield </w:t>
      </w:r>
      <w:r>
        <w:rPr>
          <w:rFonts w:hint="eastAsia" w:ascii="Times New Roman" w:hAnsi="Times New Roman"/>
          <w:b/>
          <w:bCs/>
          <w:color w:val="000000"/>
          <w:kern w:val="0"/>
          <w:sz w:val="24"/>
          <w:highlight w:val="none"/>
          <w:lang w:val="en-US" w:eastAsia="zh-CN" w:bidi="ar"/>
        </w:rPr>
        <w:t>T</w:t>
      </w:r>
      <w:r>
        <w:rPr>
          <w:rFonts w:ascii="Times New Roman" w:hAnsi="Times New Roman"/>
          <w:b/>
          <w:bCs/>
          <w:color w:val="000000"/>
          <w:kern w:val="0"/>
          <w:sz w:val="24"/>
          <w:highlight w:val="none"/>
          <w:lang w:bidi="ar"/>
        </w:rPr>
        <w:t>est</w:t>
      </w:r>
      <w:r>
        <w:rPr>
          <w:rFonts w:hint="eastAsia"/>
          <w:b/>
          <w:bCs/>
          <w:color w:val="000000"/>
          <w:kern w:val="0"/>
          <w:sz w:val="24"/>
          <w:highlight w:val="none"/>
          <w:lang w:val="en-US" w:eastAsia="zh-CN" w:bidi="ar"/>
        </w:rPr>
        <w:t xml:space="preserve">: </w:t>
      </w:r>
      <w:r>
        <w:rPr>
          <w:rFonts w:ascii="Times New Roman" w:hAnsi="Times New Roman" w:eastAsia="Times New Roman"/>
          <w:sz w:val="24"/>
          <w:highlight w:val="none"/>
        </w:rPr>
        <w:t>The open</w:t>
      </w:r>
      <w:r>
        <w:rPr>
          <w:rFonts w:ascii="Times New Roman" w:hAnsi="Times New Roman"/>
          <w:sz w:val="24"/>
          <w:highlight w:val="none"/>
        </w:rPr>
        <w:t xml:space="preserve"> field test (OFT) was </w:t>
      </w:r>
      <w:r>
        <w:rPr>
          <w:rFonts w:ascii="Times New Roman" w:hAnsi="Times New Roman" w:eastAsia="Times New Roman"/>
          <w:sz w:val="24"/>
          <w:highlight w:val="none"/>
        </w:rPr>
        <w:t>employed</w:t>
      </w:r>
      <w:r>
        <w:rPr>
          <w:rFonts w:ascii="Times New Roman" w:hAnsi="Times New Roman"/>
          <w:sz w:val="24"/>
          <w:highlight w:val="none"/>
        </w:rPr>
        <w:t xml:space="preserve"> to </w:t>
      </w:r>
      <w:r>
        <w:rPr>
          <w:rFonts w:ascii="Times New Roman" w:hAnsi="Times New Roman" w:eastAsia="Times New Roman"/>
          <w:sz w:val="24"/>
          <w:highlight w:val="none"/>
        </w:rPr>
        <w:t>assess spontaneous activity and anxiety-related</w:t>
      </w:r>
      <w:r>
        <w:rPr>
          <w:rFonts w:ascii="Times New Roman" w:hAnsi="Times New Roman"/>
          <w:sz w:val="24"/>
          <w:highlight w:val="none"/>
        </w:rPr>
        <w:t xml:space="preserve"> behavior in </w:t>
      </w:r>
      <w:r>
        <w:rPr>
          <w:rFonts w:ascii="Times New Roman" w:hAnsi="Times New Roman" w:eastAsia="Times New Roman"/>
          <w:sz w:val="24"/>
          <w:highlight w:val="none"/>
        </w:rPr>
        <w:t>mice when exposed to a novel</w:t>
      </w:r>
      <w:r>
        <w:rPr>
          <w:rFonts w:ascii="Times New Roman" w:hAnsi="Times New Roman"/>
          <w:sz w:val="24"/>
          <w:highlight w:val="none"/>
        </w:rPr>
        <w:t xml:space="preserve"> environment. The experimental </w:t>
      </w:r>
      <w:r>
        <w:rPr>
          <w:rFonts w:ascii="Times New Roman" w:hAnsi="Times New Roman" w:eastAsia="Times New Roman"/>
          <w:sz w:val="24"/>
          <w:highlight w:val="none"/>
        </w:rPr>
        <w:t>system comprised</w:t>
      </w:r>
      <w:r>
        <w:rPr>
          <w:rFonts w:ascii="Times New Roman" w:hAnsi="Times New Roman"/>
          <w:sz w:val="24"/>
          <w:highlight w:val="none"/>
        </w:rPr>
        <w:t xml:space="preserve"> an open field reaction chamber and a data acquisition and processing </w:t>
      </w:r>
      <w:r>
        <w:rPr>
          <w:rFonts w:ascii="Times New Roman" w:hAnsi="Times New Roman" w:eastAsia="Times New Roman"/>
          <w:sz w:val="24"/>
          <w:highlight w:val="none"/>
        </w:rPr>
        <w:t>unit. Prior to testing, mice</w:t>
      </w:r>
      <w:r>
        <w:rPr>
          <w:rFonts w:ascii="Times New Roman" w:hAnsi="Times New Roman"/>
          <w:sz w:val="24"/>
          <w:highlight w:val="none"/>
        </w:rPr>
        <w:t xml:space="preserve"> were </w:t>
      </w:r>
      <w:r>
        <w:rPr>
          <w:rFonts w:ascii="Times New Roman" w:hAnsi="Times New Roman" w:eastAsia="Times New Roman"/>
          <w:sz w:val="24"/>
          <w:highlight w:val="none"/>
        </w:rPr>
        <w:t>acclimatized</w:t>
      </w:r>
      <w:r>
        <w:rPr>
          <w:rFonts w:ascii="Times New Roman" w:hAnsi="Times New Roman"/>
          <w:sz w:val="24"/>
          <w:highlight w:val="none"/>
        </w:rPr>
        <w:t xml:space="preserve"> in a quiet</w:t>
      </w:r>
      <w:r>
        <w:rPr>
          <w:rFonts w:ascii="Times New Roman" w:hAnsi="Times New Roman" w:eastAsia="Times New Roman"/>
          <w:sz w:val="24"/>
          <w:highlight w:val="none"/>
        </w:rPr>
        <w:t>, well-lit environment</w:t>
      </w:r>
      <w:r>
        <w:rPr>
          <w:rFonts w:ascii="Times New Roman" w:hAnsi="Times New Roman"/>
          <w:sz w:val="24"/>
          <w:highlight w:val="none"/>
        </w:rPr>
        <w:t xml:space="preserve"> for 15 min</w:t>
      </w:r>
      <w:r>
        <w:rPr>
          <w:rFonts w:ascii="Times New Roman" w:hAnsi="Times New Roman" w:eastAsia="Times New Roman"/>
          <w:sz w:val="24"/>
          <w:highlight w:val="none"/>
        </w:rPr>
        <w:t>.</w:t>
      </w:r>
      <w:r>
        <w:rPr>
          <w:rFonts w:ascii="Times New Roman" w:hAnsi="Times New Roman"/>
          <w:sz w:val="24"/>
          <w:highlight w:val="none"/>
        </w:rPr>
        <w:t xml:space="preserve"> The experiment was </w:t>
      </w:r>
      <w:r>
        <w:rPr>
          <w:rFonts w:ascii="Times New Roman" w:hAnsi="Times New Roman" w:eastAsia="Times New Roman"/>
          <w:sz w:val="24"/>
          <w:highlight w:val="none"/>
        </w:rPr>
        <w:t xml:space="preserve">conducted under </w:t>
      </w:r>
      <w:r>
        <w:rPr>
          <w:rFonts w:ascii="Times New Roman" w:hAnsi="Times New Roman"/>
          <w:sz w:val="24"/>
          <w:highlight w:val="none"/>
        </w:rPr>
        <w:t xml:space="preserve">artificial </w:t>
      </w:r>
      <w:r>
        <w:rPr>
          <w:rFonts w:ascii="Times New Roman" w:hAnsi="Times New Roman" w:eastAsia="Times New Roman"/>
          <w:sz w:val="24"/>
          <w:highlight w:val="none"/>
        </w:rPr>
        <w:t xml:space="preserve">illumination </w:t>
      </w:r>
      <w:r>
        <w:rPr>
          <w:rFonts w:ascii="Times New Roman" w:hAnsi="Times New Roman"/>
          <w:sz w:val="24"/>
          <w:highlight w:val="none"/>
        </w:rPr>
        <w:t xml:space="preserve">in a square </w:t>
      </w:r>
      <w:r>
        <w:rPr>
          <w:rFonts w:ascii="Times New Roman" w:hAnsi="Times New Roman" w:eastAsia="Times New Roman"/>
          <w:sz w:val="24"/>
          <w:highlight w:val="none"/>
        </w:rPr>
        <w:t>white</w:t>
      </w:r>
      <w:r>
        <w:rPr>
          <w:rFonts w:ascii="Times New Roman" w:hAnsi="Times New Roman"/>
          <w:sz w:val="24"/>
          <w:highlight w:val="none"/>
        </w:rPr>
        <w:t xml:space="preserve"> chamber (40 cm × 40 cm × 30 cm</w:t>
      </w:r>
      <w:r>
        <w:rPr>
          <w:rFonts w:ascii="Times New Roman" w:hAnsi="Times New Roman" w:eastAsia="Times New Roman"/>
          <w:sz w:val="24"/>
          <w:highlight w:val="none"/>
        </w:rPr>
        <w:t>, with</w:t>
      </w:r>
      <w:r>
        <w:rPr>
          <w:rFonts w:ascii="Times New Roman" w:hAnsi="Times New Roman"/>
          <w:sz w:val="24"/>
          <w:highlight w:val="none"/>
        </w:rPr>
        <w:t xml:space="preserve"> white </w:t>
      </w:r>
      <w:r>
        <w:rPr>
          <w:rFonts w:ascii="Times New Roman" w:hAnsi="Times New Roman" w:eastAsia="Times New Roman"/>
          <w:sz w:val="24"/>
          <w:highlight w:val="none"/>
        </w:rPr>
        <w:t>walls</w:t>
      </w:r>
      <w:r>
        <w:rPr>
          <w:rFonts w:ascii="Times New Roman" w:hAnsi="Times New Roman"/>
          <w:sz w:val="24"/>
          <w:highlight w:val="none"/>
        </w:rPr>
        <w:t xml:space="preserve"> and </w:t>
      </w:r>
      <w:r>
        <w:rPr>
          <w:rFonts w:ascii="Times New Roman" w:hAnsi="Times New Roman" w:eastAsia="Times New Roman"/>
          <w:sz w:val="24"/>
          <w:highlight w:val="none"/>
        </w:rPr>
        <w:t xml:space="preserve">floor). Mouse </w:t>
      </w:r>
      <w:r>
        <w:rPr>
          <w:rFonts w:ascii="Times New Roman" w:hAnsi="Times New Roman"/>
          <w:sz w:val="24"/>
          <w:highlight w:val="none"/>
        </w:rPr>
        <w:t xml:space="preserve">behavior </w:t>
      </w:r>
      <w:r>
        <w:rPr>
          <w:rFonts w:ascii="Times New Roman" w:hAnsi="Times New Roman" w:eastAsia="Times New Roman"/>
          <w:sz w:val="24"/>
          <w:highlight w:val="none"/>
        </w:rPr>
        <w:t>was recorded for 15 min using</w:t>
      </w:r>
      <w:r>
        <w:rPr>
          <w:rFonts w:ascii="Times New Roman" w:hAnsi="Times New Roman"/>
          <w:sz w:val="24"/>
          <w:highlight w:val="none"/>
        </w:rPr>
        <w:t xml:space="preserve"> an infrared camera </w:t>
      </w:r>
      <w:r>
        <w:rPr>
          <w:rFonts w:ascii="Times New Roman" w:hAnsi="Times New Roman" w:eastAsia="Times New Roman"/>
          <w:sz w:val="24"/>
          <w:highlight w:val="none"/>
        </w:rPr>
        <w:t>positioned above</w:t>
      </w:r>
      <w:r>
        <w:rPr>
          <w:rFonts w:ascii="Times New Roman" w:hAnsi="Times New Roman"/>
          <w:sz w:val="24"/>
          <w:highlight w:val="none"/>
        </w:rPr>
        <w:t xml:space="preserve"> the chamber</w:t>
      </w:r>
      <w:r>
        <w:rPr>
          <w:rFonts w:ascii="Times New Roman" w:hAnsi="Times New Roman" w:eastAsia="Times New Roman"/>
          <w:sz w:val="24"/>
          <w:highlight w:val="none"/>
        </w:rPr>
        <w:t>. Analysis</w:t>
      </w:r>
      <w:r>
        <w:rPr>
          <w:rFonts w:ascii="Times New Roman" w:hAnsi="Times New Roman"/>
          <w:sz w:val="24"/>
          <w:highlight w:val="none"/>
        </w:rPr>
        <w:t xml:space="preserve"> software automatically divided </w:t>
      </w:r>
      <w:r>
        <w:rPr>
          <w:rFonts w:ascii="Times New Roman" w:hAnsi="Times New Roman" w:eastAsia="Times New Roman"/>
          <w:sz w:val="24"/>
          <w:highlight w:val="none"/>
        </w:rPr>
        <w:t>the field</w:t>
      </w:r>
      <w:r>
        <w:rPr>
          <w:rFonts w:ascii="Times New Roman" w:hAnsi="Times New Roman"/>
          <w:sz w:val="24"/>
          <w:highlight w:val="none"/>
        </w:rPr>
        <w:t xml:space="preserve"> into nine </w:t>
      </w:r>
      <w:r>
        <w:rPr>
          <w:rFonts w:ascii="Times New Roman" w:hAnsi="Times New Roman" w:eastAsia="Times New Roman"/>
          <w:sz w:val="24"/>
          <w:highlight w:val="none"/>
        </w:rPr>
        <w:t xml:space="preserve">equal </w:t>
      </w:r>
      <w:r>
        <w:rPr>
          <w:rFonts w:ascii="Times New Roman" w:hAnsi="Times New Roman"/>
          <w:sz w:val="24"/>
          <w:highlight w:val="none"/>
        </w:rPr>
        <w:t xml:space="preserve">squares and tracked </w:t>
      </w:r>
      <w:r>
        <w:rPr>
          <w:rFonts w:ascii="Times New Roman" w:hAnsi="Times New Roman" w:eastAsia="Times New Roman"/>
          <w:sz w:val="24"/>
          <w:highlight w:val="none"/>
        </w:rPr>
        <w:t>locomotor activity</w:t>
      </w:r>
      <w:r>
        <w:rPr>
          <w:rFonts w:ascii="Times New Roman" w:hAnsi="Times New Roman"/>
          <w:sz w:val="24"/>
          <w:highlight w:val="none"/>
        </w:rPr>
        <w:t xml:space="preserve"> in real time.</w:t>
      </w:r>
    </w:p>
    <w:p w14:paraId="661CF84B">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Times New Roman"/>
          <w:sz w:val="24"/>
          <w:highlight w:val="none"/>
        </w:rPr>
      </w:pPr>
      <w:r>
        <w:rPr>
          <w:rFonts w:ascii="Times New Roman" w:hAnsi="Times New Roman"/>
          <w:b/>
          <w:bCs/>
          <w:sz w:val="24"/>
          <w:highlight w:val="none"/>
        </w:rPr>
        <w:t xml:space="preserve">Water </w:t>
      </w:r>
      <w:r>
        <w:rPr>
          <w:rFonts w:hint="eastAsia" w:ascii="Times New Roman" w:hAnsi="Times New Roman"/>
          <w:b/>
          <w:bCs/>
          <w:sz w:val="24"/>
          <w:highlight w:val="none"/>
          <w:lang w:val="en-US" w:eastAsia="zh-CN"/>
        </w:rPr>
        <w:t>M</w:t>
      </w:r>
      <w:r>
        <w:rPr>
          <w:rFonts w:ascii="Times New Roman" w:hAnsi="Times New Roman"/>
          <w:b/>
          <w:bCs/>
          <w:sz w:val="24"/>
          <w:highlight w:val="none"/>
        </w:rPr>
        <w:t xml:space="preserve">aze </w:t>
      </w:r>
      <w:r>
        <w:rPr>
          <w:rFonts w:hint="eastAsia" w:ascii="Times New Roman" w:hAnsi="Times New Roman"/>
          <w:b/>
          <w:bCs/>
          <w:sz w:val="24"/>
          <w:highlight w:val="none"/>
          <w:lang w:val="en-US" w:eastAsia="zh-CN"/>
        </w:rPr>
        <w:t>T</w:t>
      </w:r>
      <w:r>
        <w:rPr>
          <w:rFonts w:ascii="Times New Roman" w:hAnsi="Times New Roman"/>
          <w:b/>
          <w:bCs/>
          <w:sz w:val="24"/>
          <w:highlight w:val="none"/>
        </w:rPr>
        <w:t>est</w:t>
      </w:r>
      <w:r>
        <w:rPr>
          <w:rFonts w:hint="eastAsia"/>
          <w:b/>
          <w:bCs/>
          <w:sz w:val="24"/>
          <w:highlight w:val="none"/>
          <w:lang w:val="en-US" w:eastAsia="zh-CN"/>
        </w:rPr>
        <w:t xml:space="preserve">: </w:t>
      </w:r>
      <w:r>
        <w:rPr>
          <w:rFonts w:ascii="Times New Roman" w:hAnsi="Times New Roman" w:eastAsia="Times New Roman"/>
          <w:sz w:val="24"/>
          <w:highlight w:val="none"/>
        </w:rPr>
        <w:t>The water maze test (WMT), a classic paradigm for evaluating hippocampal-dependent spatial learning and memory, was used to assess cognitive function in mice. The test was conducted over six consecutive days. Mice were introduced into the water facing the wall of the circular pool from four different entry points, and the latency to locate the hidden platform was recorded using an invisible infrared grid system. Each mouse underwent four trials per day, with a 20 min intertrial interval. On the sixth day, the hidden platform was removed, and memory retention was assessed by recording the number of times each mouse crossed the original platform location. All tests were performed at a fixed time each day. The water was rendered opaque using non-toxic white children’s paint and maintained at 20°C. The escape platform, positioned in the center of the first quadrant, was submerged 1 cm below the water surface.</w:t>
      </w:r>
    </w:p>
    <w:p w14:paraId="23C58A4E">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Times New Roman"/>
          <w:sz w:val="24"/>
          <w:highlight w:val="none"/>
        </w:rPr>
      </w:pPr>
      <w:r>
        <w:rPr>
          <w:rFonts w:ascii="Times New Roman" w:hAnsi="Times New Roman"/>
          <w:b/>
          <w:bCs/>
          <w:sz w:val="24"/>
          <w:highlight w:val="none"/>
        </w:rPr>
        <w:t>Y-</w:t>
      </w:r>
      <w:r>
        <w:rPr>
          <w:rFonts w:hint="eastAsia" w:ascii="Times New Roman" w:hAnsi="Times New Roman"/>
          <w:b/>
          <w:bCs/>
          <w:sz w:val="24"/>
          <w:highlight w:val="none"/>
          <w:lang w:val="en-US" w:eastAsia="zh-CN"/>
        </w:rPr>
        <w:t>M</w:t>
      </w:r>
      <w:r>
        <w:rPr>
          <w:rFonts w:ascii="Times New Roman" w:hAnsi="Times New Roman"/>
          <w:b/>
          <w:bCs/>
          <w:sz w:val="24"/>
          <w:highlight w:val="none"/>
        </w:rPr>
        <w:t xml:space="preserve">aze </w:t>
      </w:r>
      <w:r>
        <w:rPr>
          <w:rFonts w:hint="eastAsia" w:ascii="Times New Roman" w:hAnsi="Times New Roman"/>
          <w:b/>
          <w:bCs/>
          <w:sz w:val="24"/>
          <w:highlight w:val="none"/>
          <w:lang w:val="en-US" w:eastAsia="zh-CN"/>
        </w:rPr>
        <w:t>T</w:t>
      </w:r>
      <w:r>
        <w:rPr>
          <w:rFonts w:ascii="Times New Roman" w:hAnsi="Times New Roman"/>
          <w:b/>
          <w:bCs/>
          <w:sz w:val="24"/>
          <w:highlight w:val="none"/>
        </w:rPr>
        <w:t>est</w:t>
      </w:r>
      <w:r>
        <w:rPr>
          <w:rFonts w:hint="eastAsia"/>
          <w:b/>
          <w:bCs/>
          <w:sz w:val="24"/>
          <w:highlight w:val="none"/>
          <w:lang w:val="en-US" w:eastAsia="zh-CN"/>
        </w:rPr>
        <w:t xml:space="preserve">: </w:t>
      </w:r>
      <w:r>
        <w:rPr>
          <w:rFonts w:ascii="Times New Roman" w:hAnsi="Times New Roman" w:eastAsia="Times New Roman"/>
          <w:sz w:val="24"/>
          <w:highlight w:val="none"/>
        </w:rPr>
        <w:t>The Y-maze test was conducted in a Y-shaped apparatus with identical arms (45 cm long × 14 cm wide × 16 cm high), positioned at 120° angles from each other. The three arms were clearly labeled as "I," "II," and "III." Before testing, mice were dark-adapted for 20 min, and the experiment was carried out under quiet, dark conditions. Each mouse was placed in one arm of the maze, and the number of arm entries and alternations (triads) was recorded over a 10 min session. An entry was defined as the placement of all four limbs into an arm. Alternation was defined as entry into a new arm that differed from the two previously visited arms, while a return to either of the last two arms was recorded as an error. The percent relative alternation was calculated from the ratio of the number of alternations divided by the number of total entries and multiplying this value by 100.</w:t>
      </w:r>
    </w:p>
    <w:p w14:paraId="0488A57C">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eastAsia="Times New Roman"/>
          <w:strike/>
          <w:dstrike w:val="0"/>
          <w:szCs w:val="24"/>
        </w:rPr>
      </w:pPr>
      <w:r>
        <w:rPr>
          <w:rFonts w:ascii="Times New Roman" w:hAnsi="Times New Roman"/>
          <w:b/>
          <w:bCs/>
          <w:sz w:val="24"/>
          <w:highlight w:val="none"/>
        </w:rPr>
        <w:t xml:space="preserve">Elevated </w:t>
      </w:r>
      <w:r>
        <w:rPr>
          <w:rFonts w:hint="eastAsia" w:ascii="Times New Roman" w:hAnsi="Times New Roman"/>
          <w:b/>
          <w:bCs/>
          <w:sz w:val="24"/>
          <w:highlight w:val="none"/>
          <w:lang w:val="en-US" w:eastAsia="zh-CN"/>
        </w:rPr>
        <w:t>P</w:t>
      </w:r>
      <w:r>
        <w:rPr>
          <w:rFonts w:ascii="Times New Roman" w:hAnsi="Times New Roman"/>
          <w:b/>
          <w:bCs/>
          <w:sz w:val="24"/>
          <w:highlight w:val="none"/>
        </w:rPr>
        <w:t>ulse-</w:t>
      </w:r>
      <w:r>
        <w:rPr>
          <w:rFonts w:hint="eastAsia" w:ascii="Times New Roman" w:hAnsi="Times New Roman"/>
          <w:b/>
          <w:bCs/>
          <w:sz w:val="24"/>
          <w:highlight w:val="none"/>
          <w:lang w:val="en-US" w:eastAsia="zh-CN"/>
        </w:rPr>
        <w:t>M</w:t>
      </w:r>
      <w:r>
        <w:rPr>
          <w:rFonts w:ascii="Times New Roman" w:hAnsi="Times New Roman"/>
          <w:b/>
          <w:bCs/>
          <w:sz w:val="24"/>
          <w:highlight w:val="none"/>
        </w:rPr>
        <w:t xml:space="preserve">aze </w:t>
      </w:r>
      <w:r>
        <w:rPr>
          <w:rFonts w:hint="eastAsia" w:ascii="Times New Roman" w:hAnsi="Times New Roman"/>
          <w:b/>
          <w:bCs/>
          <w:sz w:val="24"/>
          <w:highlight w:val="none"/>
          <w:lang w:val="en-US" w:eastAsia="zh-CN"/>
        </w:rPr>
        <w:t>T</w:t>
      </w:r>
      <w:r>
        <w:rPr>
          <w:rFonts w:ascii="Times New Roman" w:hAnsi="Times New Roman"/>
          <w:b/>
          <w:bCs/>
          <w:sz w:val="24"/>
          <w:highlight w:val="none"/>
        </w:rPr>
        <w:t>est</w:t>
      </w:r>
      <w:r>
        <w:rPr>
          <w:rFonts w:hint="eastAsia"/>
          <w:b/>
          <w:bCs/>
          <w:sz w:val="24"/>
          <w:highlight w:val="none"/>
          <w:lang w:val="en-US" w:eastAsia="zh-CN"/>
        </w:rPr>
        <w:t xml:space="preserve">: </w:t>
      </w:r>
      <w:r>
        <w:rPr>
          <w:rFonts w:ascii="Times New Roman" w:hAnsi="Times New Roman"/>
          <w:sz w:val="24"/>
          <w:highlight w:val="none"/>
        </w:rPr>
        <w:t xml:space="preserve">The elevated plus-maze </w:t>
      </w:r>
      <w:r>
        <w:rPr>
          <w:rFonts w:ascii="Times New Roman" w:hAnsi="Times New Roman" w:eastAsia="Times New Roman"/>
          <w:sz w:val="24"/>
          <w:highlight w:val="none"/>
        </w:rPr>
        <w:t xml:space="preserve">(EPM) </w:t>
      </w:r>
      <w:r>
        <w:rPr>
          <w:rFonts w:ascii="Times New Roman" w:hAnsi="Times New Roman"/>
          <w:sz w:val="24"/>
          <w:highlight w:val="none"/>
        </w:rPr>
        <w:t xml:space="preserve">test was </w:t>
      </w:r>
      <w:r>
        <w:rPr>
          <w:rFonts w:ascii="Times New Roman" w:hAnsi="Times New Roman" w:eastAsia="Times New Roman"/>
          <w:sz w:val="24"/>
          <w:highlight w:val="none"/>
        </w:rPr>
        <w:t xml:space="preserve">used to assess anxiety-related behavior in mice, </w:t>
      </w:r>
      <w:r>
        <w:rPr>
          <w:rFonts w:ascii="Times New Roman" w:hAnsi="Times New Roman"/>
          <w:sz w:val="24"/>
          <w:highlight w:val="none"/>
        </w:rPr>
        <w:t xml:space="preserve">based on the </w:t>
      </w:r>
      <w:r>
        <w:rPr>
          <w:rFonts w:ascii="Times New Roman" w:hAnsi="Times New Roman" w:eastAsia="Times New Roman"/>
          <w:sz w:val="24"/>
          <w:highlight w:val="none"/>
        </w:rPr>
        <w:t>conflict</w:t>
      </w:r>
      <w:r>
        <w:rPr>
          <w:rFonts w:ascii="Times New Roman" w:hAnsi="Times New Roman"/>
          <w:sz w:val="24"/>
          <w:highlight w:val="none"/>
        </w:rPr>
        <w:t xml:space="preserve"> between </w:t>
      </w:r>
      <w:r>
        <w:rPr>
          <w:rFonts w:ascii="Times New Roman" w:hAnsi="Times New Roman" w:eastAsia="Times New Roman"/>
          <w:sz w:val="24"/>
          <w:highlight w:val="none"/>
        </w:rPr>
        <w:t xml:space="preserve">their natural aversion to </w:t>
      </w:r>
      <w:r>
        <w:rPr>
          <w:rFonts w:ascii="Times New Roman" w:hAnsi="Times New Roman"/>
          <w:sz w:val="24"/>
          <w:highlight w:val="none"/>
        </w:rPr>
        <w:t>open</w:t>
      </w:r>
      <w:r>
        <w:rPr>
          <w:rFonts w:ascii="Times New Roman" w:hAnsi="Times New Roman" w:eastAsia="Times New Roman"/>
          <w:sz w:val="24"/>
          <w:highlight w:val="none"/>
        </w:rPr>
        <w:t>, elevated spaces</w:t>
      </w:r>
      <w:r>
        <w:rPr>
          <w:rFonts w:ascii="Times New Roman" w:hAnsi="Times New Roman"/>
          <w:sz w:val="24"/>
          <w:highlight w:val="none"/>
        </w:rPr>
        <w:t xml:space="preserve"> and their </w:t>
      </w:r>
      <w:r>
        <w:rPr>
          <w:rFonts w:ascii="Times New Roman" w:hAnsi="Times New Roman" w:eastAsia="Times New Roman"/>
          <w:sz w:val="24"/>
          <w:highlight w:val="none"/>
        </w:rPr>
        <w:t>drive</w:t>
      </w:r>
      <w:r>
        <w:rPr>
          <w:rFonts w:ascii="Times New Roman" w:hAnsi="Times New Roman"/>
          <w:sz w:val="24"/>
          <w:highlight w:val="none"/>
        </w:rPr>
        <w:t xml:space="preserve"> to explore </w:t>
      </w:r>
      <w:r>
        <w:rPr>
          <w:rFonts w:ascii="Times New Roman" w:hAnsi="Times New Roman" w:eastAsia="Times New Roman"/>
          <w:sz w:val="24"/>
          <w:highlight w:val="none"/>
        </w:rPr>
        <w:t>novel environments.</w:t>
      </w:r>
      <w:r>
        <w:rPr>
          <w:rFonts w:ascii="Times New Roman" w:hAnsi="Times New Roman"/>
          <w:sz w:val="24"/>
          <w:highlight w:val="none"/>
        </w:rPr>
        <w:t xml:space="preserve"> The </w:t>
      </w:r>
      <w:r>
        <w:rPr>
          <w:rFonts w:ascii="Times New Roman" w:hAnsi="Times New Roman" w:eastAsia="Times New Roman"/>
          <w:sz w:val="24"/>
          <w:highlight w:val="none"/>
        </w:rPr>
        <w:t xml:space="preserve">apparatus consisted of two </w:t>
      </w:r>
      <w:r>
        <w:rPr>
          <w:rFonts w:ascii="Times New Roman" w:hAnsi="Times New Roman"/>
          <w:sz w:val="24"/>
          <w:highlight w:val="none"/>
        </w:rPr>
        <w:t xml:space="preserve">open </w:t>
      </w:r>
      <w:r>
        <w:rPr>
          <w:rFonts w:ascii="Times New Roman" w:hAnsi="Times New Roman" w:eastAsia="Times New Roman"/>
          <w:sz w:val="24"/>
          <w:highlight w:val="none"/>
        </w:rPr>
        <w:t xml:space="preserve">arms </w:t>
      </w:r>
      <w:r>
        <w:rPr>
          <w:rFonts w:ascii="Times New Roman" w:hAnsi="Times New Roman"/>
          <w:sz w:val="24"/>
          <w:highlight w:val="none"/>
        </w:rPr>
        <w:t xml:space="preserve">and </w:t>
      </w:r>
      <w:r>
        <w:rPr>
          <w:rFonts w:ascii="Times New Roman" w:hAnsi="Times New Roman" w:eastAsia="Times New Roman"/>
          <w:sz w:val="24"/>
          <w:highlight w:val="none"/>
        </w:rPr>
        <w:t xml:space="preserve">two </w:t>
      </w:r>
      <w:r>
        <w:rPr>
          <w:rFonts w:ascii="Times New Roman" w:hAnsi="Times New Roman"/>
          <w:sz w:val="24"/>
          <w:highlight w:val="none"/>
        </w:rPr>
        <w:t>closed arms</w:t>
      </w:r>
      <w:r>
        <w:rPr>
          <w:rFonts w:ascii="Times New Roman" w:hAnsi="Times New Roman" w:eastAsia="Times New Roman"/>
          <w:sz w:val="24"/>
          <w:highlight w:val="none"/>
        </w:rPr>
        <w:t>,</w:t>
      </w:r>
      <w:r>
        <w:rPr>
          <w:rFonts w:ascii="Times New Roman" w:hAnsi="Times New Roman"/>
          <w:sz w:val="24"/>
          <w:highlight w:val="none"/>
        </w:rPr>
        <w:t xml:space="preserve"> each 65 cm in length, </w:t>
      </w:r>
      <w:r>
        <w:rPr>
          <w:rFonts w:ascii="Times New Roman" w:hAnsi="Times New Roman" w:eastAsia="Times New Roman"/>
          <w:sz w:val="24"/>
          <w:highlight w:val="none"/>
        </w:rPr>
        <w:t>arranged in a plus configuration. Each</w:t>
      </w:r>
      <w:r>
        <w:rPr>
          <w:rFonts w:ascii="Times New Roman" w:hAnsi="Times New Roman"/>
          <w:sz w:val="24"/>
          <w:highlight w:val="none"/>
        </w:rPr>
        <w:t xml:space="preserve"> mouse was placed in the centr</w:t>
      </w:r>
      <w:r>
        <w:rPr>
          <w:rFonts w:ascii="Times New Roman" w:hAnsi="Times New Roman" w:eastAsia="Times New Roman"/>
          <w:sz w:val="24"/>
          <w:highlight w:val="none"/>
        </w:rPr>
        <w:t>al</w:t>
      </w:r>
      <w:r>
        <w:rPr>
          <w:rFonts w:ascii="Times New Roman" w:hAnsi="Times New Roman"/>
          <w:sz w:val="24"/>
          <w:highlight w:val="none"/>
        </w:rPr>
        <w:t xml:space="preserve"> zone </w:t>
      </w:r>
      <w:r>
        <w:rPr>
          <w:rFonts w:ascii="Times New Roman" w:hAnsi="Times New Roman" w:eastAsia="Times New Roman"/>
          <w:sz w:val="24"/>
          <w:highlight w:val="none"/>
        </w:rPr>
        <w:t xml:space="preserve">facing a </w:t>
      </w:r>
      <w:r>
        <w:rPr>
          <w:rFonts w:ascii="Times New Roman" w:hAnsi="Times New Roman"/>
          <w:sz w:val="24"/>
          <w:highlight w:val="none"/>
        </w:rPr>
        <w:t>closed arm</w:t>
      </w:r>
      <w:r>
        <w:rPr>
          <w:rFonts w:ascii="Times New Roman" w:hAnsi="Times New Roman" w:eastAsia="Times New Roman"/>
          <w:sz w:val="24"/>
          <w:highlight w:val="none"/>
        </w:rPr>
        <w:t xml:space="preserve">, and its movements were </w:t>
      </w:r>
      <w:r>
        <w:rPr>
          <w:rFonts w:ascii="Times New Roman" w:hAnsi="Times New Roman"/>
          <w:sz w:val="24"/>
          <w:highlight w:val="none"/>
        </w:rPr>
        <w:t xml:space="preserve">recorded for 5 min </w:t>
      </w:r>
      <w:r>
        <w:rPr>
          <w:rFonts w:ascii="Times New Roman" w:hAnsi="Times New Roman" w:eastAsia="Times New Roman"/>
          <w:sz w:val="24"/>
          <w:highlight w:val="none"/>
        </w:rPr>
        <w:t xml:space="preserve">using the </w:t>
      </w:r>
      <w:r>
        <w:rPr>
          <w:rFonts w:ascii="Times New Roman" w:hAnsi="Times New Roman"/>
          <w:sz w:val="24"/>
          <w:highlight w:val="none"/>
        </w:rPr>
        <w:t>SuperMaze Morris Video Analysis System. The number of entries into the open arm</w:t>
      </w:r>
      <w:r>
        <w:rPr>
          <w:rFonts w:ascii="Times New Roman" w:hAnsi="Times New Roman" w:eastAsia="Times New Roman"/>
          <w:sz w:val="24"/>
          <w:highlight w:val="none"/>
        </w:rPr>
        <w:t>s</w:t>
      </w:r>
      <w:r>
        <w:rPr>
          <w:rFonts w:ascii="Times New Roman" w:hAnsi="Times New Roman"/>
          <w:sz w:val="24"/>
          <w:highlight w:val="none"/>
        </w:rPr>
        <w:t xml:space="preserve"> and the </w:t>
      </w:r>
      <w:r>
        <w:rPr>
          <w:rFonts w:ascii="Times New Roman" w:hAnsi="Times New Roman" w:eastAsia="Times New Roman"/>
          <w:sz w:val="24"/>
          <w:highlight w:val="none"/>
        </w:rPr>
        <w:t xml:space="preserve">duration of </w:t>
      </w:r>
      <w:r>
        <w:rPr>
          <w:rFonts w:ascii="Times New Roman" w:hAnsi="Times New Roman"/>
          <w:sz w:val="24"/>
          <w:highlight w:val="none"/>
        </w:rPr>
        <w:t>time spent in the open arm</w:t>
      </w:r>
      <w:r>
        <w:rPr>
          <w:rFonts w:ascii="Times New Roman" w:hAnsi="Times New Roman" w:eastAsia="Times New Roman"/>
          <w:sz w:val="24"/>
          <w:highlight w:val="none"/>
        </w:rPr>
        <w:t>s</w:t>
      </w:r>
      <w:r>
        <w:rPr>
          <w:rFonts w:ascii="Times New Roman" w:hAnsi="Times New Roman"/>
          <w:sz w:val="24"/>
          <w:highlight w:val="none"/>
        </w:rPr>
        <w:t xml:space="preserve"> were </w:t>
      </w:r>
      <w:r>
        <w:rPr>
          <w:rFonts w:ascii="Times New Roman" w:hAnsi="Times New Roman" w:eastAsia="Times New Roman"/>
          <w:sz w:val="24"/>
          <w:highlight w:val="none"/>
        </w:rPr>
        <w:t>quantified</w:t>
      </w:r>
      <w:r>
        <w:rPr>
          <w:rFonts w:ascii="Times New Roman" w:hAnsi="Times New Roman"/>
          <w:sz w:val="24"/>
          <w:highlight w:val="none"/>
        </w:rPr>
        <w:t xml:space="preserve"> and analyzed</w:t>
      </w:r>
      <w:r>
        <w:rPr>
          <w:rFonts w:ascii="Times New Roman" w:hAnsi="Times New Roman" w:eastAsia="Times New Roman"/>
          <w:sz w:val="24"/>
          <w:highlight w:val="none"/>
        </w:rPr>
        <w:t xml:space="preserve"> as measures of anxiety</w:t>
      </w:r>
      <w:r>
        <w:rPr>
          <w:rFonts w:ascii="Times New Roman" w:hAnsi="Times New Roman"/>
          <w:sz w:val="24"/>
          <w:highlight w:val="none"/>
        </w:rPr>
        <w:t>.</w:t>
      </w:r>
    </w:p>
    <w:p w14:paraId="3E9F245C">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b/>
          <w:bCs/>
          <w:szCs w:val="24"/>
        </w:rPr>
      </w:pPr>
      <w:r>
        <w:rPr>
          <w:rFonts w:hint="eastAsia"/>
          <w:b/>
          <w:bCs/>
          <w:szCs w:val="24"/>
        </w:rPr>
        <w:t>1.5.3 In Vivo Biosafety</w:t>
      </w:r>
    </w:p>
    <w:p w14:paraId="7A42A0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eastAsia="Times New Roman"/>
          <w:szCs w:val="24"/>
        </w:rPr>
      </w:pPr>
      <w:r>
        <w:rPr>
          <w:rFonts w:hint="eastAsia" w:eastAsia="Times New Roman"/>
          <w:szCs w:val="24"/>
        </w:rPr>
        <w:t>After all the treatments, blood samples of mice were collected to analyze routine blood parameters, including aspartate transaminase (AST), aminotransferase (ALT), total bilirubin (T-Bil), creatinine (CR), blood urea nitrogen (BUN), and albumin (ALB), and serum enzyme levels, including white blood cells (WBCs), lymphocytes (Lymph), monocytes (Mons), granulocytes (Grans), red blood cells (RBCs), hemoglobin (HGB), hematocrit (HCT), mean corpuscular volume (MCV), mean corpuscular hemoglobin (MCH), mean corpuscular hemoglobin concentration (MCHC), red blood cell distribution width (RDW), platelets (PLTs), and mean platelet volume (MPV).Then, major organs (heart, liver, spleen, lungs, and kidneys)</w:t>
      </w:r>
      <w:r>
        <w:rPr>
          <w:rFonts w:eastAsia="Times New Roman"/>
          <w:szCs w:val="24"/>
        </w:rPr>
        <w:t> and brain tissues (substantia nigra, striatum, and cortex) were collected and fixed with 4% paraformaldehyde to prepare paraffin-embedded tissue sections. For brain sections, Nissl staining was performed using 0.1% cresyl violet to evaluate neuronal morphology and density in PD-relevant regions. After staining with H&amp;E (for organs) or Nissl (for brain), the images were observed under a Pannoramic digital scanner (Olympus SLIDEVIEW VS200, Günthersleben).</w:t>
      </w:r>
    </w:p>
    <w:p w14:paraId="6907FED8">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b/>
          <w:bCs/>
          <w:color w:val="000000"/>
          <w:kern w:val="0"/>
        </w:rPr>
      </w:pPr>
      <w:r>
        <w:rPr>
          <w:rFonts w:hint="eastAsia"/>
          <w:b/>
          <w:bCs/>
          <w:color w:val="000000"/>
          <w:kern w:val="0"/>
        </w:rPr>
        <w:t>1.5.4 RNA Sequencing</w:t>
      </w:r>
    </w:p>
    <w:p w14:paraId="72C88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eastAsia="Times New Roman"/>
          <w:szCs w:val="24"/>
        </w:rPr>
      </w:pPr>
      <w:r>
        <w:rPr>
          <w:rFonts w:hint="eastAsia" w:eastAsia="Times New Roman"/>
          <w:szCs w:val="24"/>
        </w:rPr>
        <w:t xml:space="preserve">Midbrain tissue samples were obtained from mice. Sequencing and analyses were performed by </w:t>
      </w:r>
      <w:r>
        <w:rPr>
          <w:rFonts w:eastAsia="Times New Roman"/>
          <w:szCs w:val="24"/>
        </w:rPr>
        <w:t>Majorbio Bio-Pharm Technology Co., Ltd.</w:t>
      </w:r>
      <w:r>
        <w:rPr>
          <w:rFonts w:hint="eastAsia" w:eastAsia="Times New Roman"/>
          <w:szCs w:val="24"/>
        </w:rPr>
        <w:t xml:space="preserve"> (Shanghai, China).</w:t>
      </w:r>
      <w:r>
        <w:rPr>
          <w:rFonts w:hint="eastAsia"/>
          <w:szCs w:val="24"/>
          <w:lang w:val="en-US" w:eastAsia="zh-CN"/>
        </w:rPr>
        <w:t xml:space="preserve"> </w:t>
      </w:r>
      <w:r>
        <w:rPr>
          <w:rFonts w:hint="eastAsia" w:eastAsia="Times New Roman"/>
          <w:szCs w:val="24"/>
        </w:rPr>
        <w:t>Briefly, RNA was extracted from the midbrain sample and tested for RNA quality using NanoDrop2000, and an example library was constructed for the samples that passed the test. Eukaryotic mRNA was enriched with magnetic beads with Oligo (dT). mRNA was subsequently randomly interrupted by adding a fragmentation buffer.The first strand of cDNA was synthesized using random hexamers as atemplate, followed by the second strand of cDNA with the addition ofbuffers, dNTPs, and DNA polymerase I. The purified double-stranded cDNA was then end-repaired, a-tailed, and ligated with sequencing junctions, followed by fragment size selection using AM Pure XP beads. PCR enrichment was performed to obtain the final cDNA library. After the library construction was completed, the quality of the library was checked, and sequencing was carried out only after the results met the requirements.</w:t>
      </w:r>
    </w:p>
    <w:p w14:paraId="11156934">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b/>
          <w:bCs/>
          <w:color w:val="000000"/>
          <w:kern w:val="0"/>
        </w:rPr>
      </w:pPr>
      <w:r>
        <w:rPr>
          <w:rFonts w:hint="eastAsia"/>
          <w:b/>
          <w:bCs/>
          <w:color w:val="000000"/>
          <w:kern w:val="0"/>
        </w:rPr>
        <w:t xml:space="preserve">1.5.5 Immunohistochemical </w:t>
      </w:r>
    </w:p>
    <w:p w14:paraId="7D7197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eastAsia="Times New Roman"/>
          <w:szCs w:val="24"/>
        </w:rPr>
      </w:pPr>
      <w:r>
        <w:rPr>
          <w:rFonts w:hint="eastAsia" w:eastAsia="Times New Roman"/>
          <w:szCs w:val="24"/>
        </w:rPr>
        <w:t>Brain tissue samples were fixed in 4% paraformaldehyde, embedded in paraffin, and sectioned at 4-5 μm thickness. After deparaffinization and rehydration, endogenous peroxidase activity was blocked with 3% H₂O₂ for 10 min at room temperature. Antigen retrieval was performed in citrate buffer (pH 6.0) at 95°C for 15 min. Sections were then blocked with 5% BSA for 30 min at room temperature and incubated overnight at 4°C with primary anti-TH</w:t>
      </w:r>
      <w:r>
        <w:rPr>
          <w:rFonts w:hint="eastAsia" w:ascii="宋体" w:hAnsi="宋体" w:eastAsia="宋体" w:cs="宋体"/>
          <w:szCs w:val="24"/>
          <w:lang w:val="en-US" w:eastAsia="zh-CN"/>
        </w:rPr>
        <w:t>,</w:t>
      </w:r>
      <w:r>
        <w:rPr>
          <w:rFonts w:hint="eastAsia" w:eastAsiaTheme="minorEastAsia"/>
          <w:szCs w:val="24"/>
        </w:rPr>
        <w:t>GFAP</w:t>
      </w:r>
      <w:r>
        <w:rPr>
          <w:rFonts w:hint="eastAsia" w:eastAsia="Times New Roman"/>
          <w:szCs w:val="24"/>
        </w:rPr>
        <w:t>antibody (1:500; specify company/catalog number). Following PBS washes, sections were incubated with HRP-conjugated secondary antibody (1:200) for 1 h at room temperature. The immunoreactivity was visualized using DAB substrate, followed by hematoxylin counter staining and mounting with neutral balsam. Images were acquired using a Pannoramic digital scanner (</w:t>
      </w:r>
      <w:r>
        <w:rPr>
          <w:rFonts w:eastAsia="Times New Roman"/>
          <w:szCs w:val="24"/>
        </w:rPr>
        <w:t>Olympus SLIDEVIEW VS200, Günthersleben</w:t>
      </w:r>
      <w:r>
        <w:rPr>
          <w:rFonts w:hint="eastAsia" w:eastAsia="Times New Roman"/>
          <w:szCs w:val="24"/>
        </w:rPr>
        <w:t>), and quantitative analysis was performed using Image-Pro Plus software.</w:t>
      </w:r>
    </w:p>
    <w:p w14:paraId="1D05BC8C">
      <w:pPr>
        <w:spacing w:line="288" w:lineRule="auto"/>
        <w:ind w:firstLine="480" w:firstLineChars="200"/>
        <w:jc w:val="both"/>
        <w:rPr>
          <w:rFonts w:eastAsiaTheme="minorEastAsia"/>
          <w:szCs w:val="24"/>
        </w:rPr>
      </w:pPr>
    </w:p>
    <w:p w14:paraId="21302FCA">
      <w:pPr>
        <w:spacing w:line="288" w:lineRule="auto"/>
        <w:ind w:firstLine="0" w:firstLineChars="0"/>
        <w:jc w:val="both"/>
        <w:rPr>
          <w:rFonts w:eastAsiaTheme="minorEastAsia"/>
          <w:color w:val="1C1D1E"/>
          <w:kern w:val="0"/>
          <w:lang w:bidi="ar"/>
        </w:rPr>
      </w:pPr>
    </w:p>
    <w:p w14:paraId="0F89E036">
      <w:pPr>
        <w:spacing w:line="360" w:lineRule="auto"/>
        <w:ind w:firstLine="0" w:firstLineChars="0"/>
        <w:jc w:val="both"/>
        <w:rPr>
          <w:rFonts w:hint="eastAsia"/>
          <w:b/>
          <w:bCs/>
          <w:sz w:val="28"/>
          <w:szCs w:val="28"/>
          <w:lang w:bidi="ar"/>
        </w:rPr>
      </w:pPr>
    </w:p>
    <w:p w14:paraId="17B7F3E7">
      <w:pPr>
        <w:spacing w:line="360" w:lineRule="auto"/>
        <w:ind w:firstLine="0" w:firstLineChars="0"/>
        <w:jc w:val="both"/>
        <w:rPr>
          <w:rFonts w:hint="eastAsia"/>
          <w:b/>
          <w:bCs/>
          <w:sz w:val="28"/>
          <w:szCs w:val="28"/>
          <w:lang w:bidi="ar"/>
        </w:rPr>
      </w:pPr>
    </w:p>
    <w:p w14:paraId="4ADC3072">
      <w:pPr>
        <w:spacing w:line="360" w:lineRule="auto"/>
        <w:ind w:firstLine="0" w:firstLineChars="0"/>
        <w:jc w:val="both"/>
        <w:rPr>
          <w:rFonts w:hint="eastAsia"/>
          <w:b/>
          <w:bCs/>
          <w:sz w:val="28"/>
          <w:szCs w:val="28"/>
          <w:lang w:bidi="ar"/>
        </w:rPr>
      </w:pPr>
    </w:p>
    <w:p w14:paraId="2FEDEFFA">
      <w:pPr>
        <w:spacing w:line="360" w:lineRule="auto"/>
        <w:ind w:firstLine="0" w:firstLineChars="0"/>
        <w:jc w:val="both"/>
        <w:rPr>
          <w:rFonts w:hint="eastAsia"/>
          <w:b/>
          <w:bCs/>
          <w:sz w:val="28"/>
          <w:szCs w:val="28"/>
          <w:lang w:bidi="ar"/>
        </w:rPr>
      </w:pPr>
    </w:p>
    <w:p w14:paraId="2A1B736B">
      <w:pPr>
        <w:spacing w:line="360" w:lineRule="auto"/>
        <w:ind w:firstLine="0" w:firstLineChars="0"/>
        <w:jc w:val="both"/>
        <w:rPr>
          <w:rFonts w:hint="eastAsia"/>
          <w:b/>
          <w:bCs/>
          <w:sz w:val="28"/>
          <w:szCs w:val="28"/>
          <w:lang w:bidi="ar"/>
        </w:rPr>
      </w:pPr>
    </w:p>
    <w:p w14:paraId="567FDBDC">
      <w:pPr>
        <w:spacing w:line="360" w:lineRule="auto"/>
        <w:ind w:firstLine="0" w:firstLineChars="0"/>
        <w:jc w:val="both"/>
        <w:rPr>
          <w:rFonts w:hint="eastAsia"/>
          <w:b/>
          <w:bCs/>
          <w:sz w:val="28"/>
          <w:szCs w:val="28"/>
          <w:lang w:bidi="ar"/>
        </w:rPr>
      </w:pPr>
    </w:p>
    <w:p w14:paraId="32CF2BFB">
      <w:pPr>
        <w:spacing w:line="360" w:lineRule="auto"/>
        <w:ind w:firstLine="0" w:firstLineChars="0"/>
        <w:jc w:val="both"/>
        <w:rPr>
          <w:rFonts w:hint="eastAsia"/>
          <w:b/>
          <w:bCs/>
          <w:sz w:val="28"/>
          <w:szCs w:val="28"/>
          <w:lang w:bidi="ar"/>
        </w:rPr>
      </w:pPr>
    </w:p>
    <w:p w14:paraId="26CD3BF7">
      <w:pPr>
        <w:spacing w:line="360" w:lineRule="auto"/>
        <w:ind w:firstLine="0" w:firstLineChars="0"/>
        <w:jc w:val="both"/>
        <w:rPr>
          <w:b/>
          <w:bCs/>
          <w:lang w:bidi="ar"/>
        </w:rPr>
      </w:pPr>
      <w:r>
        <w:rPr>
          <w:rFonts w:hint="eastAsia"/>
          <w:b/>
          <w:bCs/>
          <w:sz w:val="28"/>
          <w:szCs w:val="28"/>
          <w:lang w:bidi="ar"/>
        </w:rPr>
        <w:t xml:space="preserve">2. </w:t>
      </w:r>
      <w:r>
        <w:rPr>
          <w:b/>
          <w:bCs/>
          <w:sz w:val="28"/>
          <w:szCs w:val="28"/>
          <w:lang w:bidi="ar"/>
        </w:rPr>
        <w:t>Supplementary T</w:t>
      </w:r>
      <w:r>
        <w:rPr>
          <w:rFonts w:hint="eastAsia"/>
          <w:b/>
          <w:bCs/>
          <w:sz w:val="28"/>
          <w:szCs w:val="28"/>
          <w:lang w:bidi="ar"/>
        </w:rPr>
        <w:t>able</w:t>
      </w:r>
      <w:r>
        <w:rPr>
          <w:b/>
          <w:bCs/>
          <w:sz w:val="28"/>
          <w:szCs w:val="28"/>
          <w:lang w:bidi="ar"/>
        </w:rPr>
        <w:t xml:space="preserve">s </w:t>
      </w:r>
    </w:p>
    <w:p w14:paraId="2A82333F">
      <w:pPr>
        <w:spacing w:line="360" w:lineRule="auto"/>
        <w:ind w:firstLine="0" w:firstLineChars="0"/>
        <w:rPr>
          <w:lang w:bidi="ar"/>
        </w:rPr>
      </w:pPr>
      <w:r>
        <w:rPr>
          <w:b/>
          <w:bCs/>
          <w:lang w:bidi="ar"/>
        </w:rPr>
        <w:t>Table S1.</w:t>
      </w:r>
      <w:r>
        <w:rPr>
          <w:lang w:bidi="ar"/>
        </w:rPr>
        <w:t xml:space="preserve"> Hemolysis </w:t>
      </w:r>
      <w:r>
        <w:rPr>
          <w:rFonts w:hint="eastAsia"/>
          <w:lang w:bidi="ar"/>
        </w:rPr>
        <w:t>a</w:t>
      </w:r>
      <w:r>
        <w:rPr>
          <w:lang w:bidi="ar"/>
        </w:rPr>
        <w:t>ssay of G-Se NPs</w:t>
      </w:r>
      <w:r>
        <w:rPr>
          <w:rFonts w:hint="eastAsia"/>
          <w:lang w:bidi="ar"/>
        </w:rPr>
        <w:t>.</w:t>
      </w:r>
    </w:p>
    <w:tbl>
      <w:tblPr>
        <w:tblStyle w:val="12"/>
        <w:tblW w:w="8326" w:type="dxa"/>
        <w:jc w:val="center"/>
        <w:tblLayout w:type="fixed"/>
        <w:tblCellMar>
          <w:top w:w="64" w:type="dxa"/>
          <w:left w:w="128" w:type="dxa"/>
          <w:bottom w:w="64" w:type="dxa"/>
          <w:right w:w="128" w:type="dxa"/>
        </w:tblCellMar>
      </w:tblPr>
      <w:tblGrid>
        <w:gridCol w:w="4391"/>
        <w:gridCol w:w="3935"/>
      </w:tblGrid>
      <w:tr w14:paraId="101EE5EB">
        <w:tblPrEx>
          <w:tblCellMar>
            <w:top w:w="64" w:type="dxa"/>
            <w:left w:w="128" w:type="dxa"/>
            <w:bottom w:w="64" w:type="dxa"/>
            <w:right w:w="128" w:type="dxa"/>
          </w:tblCellMar>
        </w:tblPrEx>
        <w:trPr>
          <w:jc w:val="center"/>
        </w:trPr>
        <w:tc>
          <w:tcPr>
            <w:tcW w:w="4391" w:type="dxa"/>
            <w:tcBorders>
              <w:top w:val="single" w:color="000008" w:sz="12" w:space="0"/>
              <w:left w:val="nil"/>
              <w:bottom w:val="single" w:color="auto" w:sz="12" w:space="0"/>
              <w:right w:val="nil"/>
            </w:tcBorders>
          </w:tcPr>
          <w:p w14:paraId="5FF4BA6C">
            <w:pPr>
              <w:snapToGrid w:val="0"/>
              <w:spacing w:line="360" w:lineRule="auto"/>
              <w:ind w:firstLine="0" w:firstLineChars="0"/>
              <w:rPr>
                <w:b/>
                <w:bCs/>
                <w:lang w:bidi="ar"/>
              </w:rPr>
            </w:pPr>
            <w:r>
              <w:rPr>
                <w:b/>
                <w:bCs/>
                <w:lang w:bidi="ar"/>
              </w:rPr>
              <w:t>Concentration (μg/mL)</w:t>
            </w:r>
          </w:p>
        </w:tc>
        <w:tc>
          <w:tcPr>
            <w:tcW w:w="3935" w:type="dxa"/>
            <w:tcBorders>
              <w:top w:val="single" w:color="000008" w:sz="12" w:space="0"/>
              <w:left w:val="nil"/>
              <w:bottom w:val="single" w:color="auto" w:sz="12" w:space="0"/>
              <w:right w:val="nil"/>
            </w:tcBorders>
          </w:tcPr>
          <w:p w14:paraId="4AA0A676">
            <w:pPr>
              <w:snapToGrid w:val="0"/>
              <w:spacing w:line="360" w:lineRule="auto"/>
              <w:ind w:firstLine="0" w:firstLineChars="0"/>
              <w:rPr>
                <w:b/>
                <w:bCs/>
                <w:lang w:bidi="ar"/>
              </w:rPr>
            </w:pPr>
            <w:r>
              <w:rPr>
                <w:b/>
                <w:bCs/>
                <w:lang w:bidi="ar"/>
              </w:rPr>
              <w:t>Mean value of hemolysis (%)</w:t>
            </w:r>
          </w:p>
        </w:tc>
      </w:tr>
      <w:tr w14:paraId="4F376E4C">
        <w:tblPrEx>
          <w:tblCellMar>
            <w:top w:w="64" w:type="dxa"/>
            <w:left w:w="128" w:type="dxa"/>
            <w:bottom w:w="64" w:type="dxa"/>
            <w:right w:w="128" w:type="dxa"/>
          </w:tblCellMar>
        </w:tblPrEx>
        <w:trPr>
          <w:jc w:val="center"/>
        </w:trPr>
        <w:tc>
          <w:tcPr>
            <w:tcW w:w="4391" w:type="dxa"/>
            <w:tcBorders>
              <w:top w:val="single" w:color="auto" w:sz="12" w:space="0"/>
              <w:left w:val="nil"/>
              <w:bottom w:val="nil"/>
              <w:right w:val="nil"/>
            </w:tcBorders>
          </w:tcPr>
          <w:p w14:paraId="0C67352D">
            <w:pPr>
              <w:snapToGrid w:val="0"/>
              <w:spacing w:line="360" w:lineRule="auto"/>
              <w:ind w:firstLine="0" w:firstLineChars="0"/>
              <w:rPr>
                <w:lang w:bidi="ar"/>
              </w:rPr>
            </w:pPr>
            <w:r>
              <w:rPr>
                <w:lang w:bidi="ar"/>
              </w:rPr>
              <w:t>0.9% NaCl solution</w:t>
            </w:r>
          </w:p>
        </w:tc>
        <w:tc>
          <w:tcPr>
            <w:tcW w:w="3935" w:type="dxa"/>
            <w:tcBorders>
              <w:top w:val="single" w:color="auto" w:sz="12" w:space="0"/>
              <w:left w:val="nil"/>
              <w:bottom w:val="nil"/>
              <w:right w:val="nil"/>
            </w:tcBorders>
          </w:tcPr>
          <w:p w14:paraId="6E6FB9CA">
            <w:pPr>
              <w:snapToGrid w:val="0"/>
              <w:spacing w:line="360" w:lineRule="auto"/>
              <w:ind w:firstLine="0" w:firstLineChars="0"/>
              <w:rPr>
                <w:lang w:bidi="ar"/>
              </w:rPr>
            </w:pPr>
            <w:r>
              <w:rPr>
                <w:lang w:bidi="ar"/>
              </w:rPr>
              <w:t>17</w:t>
            </w:r>
          </w:p>
        </w:tc>
      </w:tr>
      <w:tr w14:paraId="1D0CD92B">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1C8F3373">
            <w:pPr>
              <w:snapToGrid w:val="0"/>
              <w:spacing w:line="360" w:lineRule="auto"/>
              <w:ind w:firstLine="0" w:firstLineChars="0"/>
              <w:rPr>
                <w:lang w:bidi="ar"/>
              </w:rPr>
            </w:pPr>
            <w:r>
              <w:rPr>
                <w:lang w:bidi="ar"/>
              </w:rPr>
              <w:t>H</w:t>
            </w:r>
            <w:r>
              <w:rPr>
                <w:vertAlign w:val="subscript"/>
                <w:lang w:bidi="ar"/>
              </w:rPr>
              <w:t>2</w:t>
            </w:r>
            <w:r>
              <w:rPr>
                <w:lang w:bidi="ar"/>
              </w:rPr>
              <w:t>O</w:t>
            </w:r>
          </w:p>
        </w:tc>
        <w:tc>
          <w:tcPr>
            <w:tcW w:w="3935" w:type="dxa"/>
            <w:tcBorders>
              <w:top w:val="nil"/>
              <w:left w:val="nil"/>
              <w:bottom w:val="nil"/>
              <w:right w:val="nil"/>
            </w:tcBorders>
          </w:tcPr>
          <w:p w14:paraId="3CB59473">
            <w:pPr>
              <w:snapToGrid w:val="0"/>
              <w:spacing w:line="360" w:lineRule="auto"/>
              <w:ind w:firstLine="0" w:firstLineChars="0"/>
              <w:rPr>
                <w:lang w:bidi="ar"/>
              </w:rPr>
            </w:pPr>
            <w:r>
              <w:rPr>
                <w:lang w:bidi="ar"/>
              </w:rPr>
              <w:t>100</w:t>
            </w:r>
          </w:p>
        </w:tc>
      </w:tr>
      <w:tr w14:paraId="22E10A79">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10F414D9">
            <w:pPr>
              <w:snapToGrid w:val="0"/>
              <w:spacing w:line="360" w:lineRule="auto"/>
              <w:ind w:firstLine="0" w:firstLineChars="0"/>
              <w:rPr>
                <w:lang w:bidi="ar"/>
              </w:rPr>
            </w:pPr>
            <w:r>
              <w:rPr>
                <w:lang w:bidi="ar"/>
              </w:rPr>
              <w:t>0.3</w:t>
            </w:r>
          </w:p>
        </w:tc>
        <w:tc>
          <w:tcPr>
            <w:tcW w:w="3935" w:type="dxa"/>
            <w:tcBorders>
              <w:top w:val="nil"/>
              <w:left w:val="nil"/>
              <w:bottom w:val="nil"/>
              <w:right w:val="nil"/>
            </w:tcBorders>
          </w:tcPr>
          <w:p w14:paraId="7ED09495">
            <w:pPr>
              <w:snapToGrid w:val="0"/>
              <w:spacing w:line="360" w:lineRule="auto"/>
              <w:ind w:firstLine="0" w:firstLineChars="0"/>
              <w:rPr>
                <w:lang w:bidi="ar"/>
              </w:rPr>
            </w:pPr>
            <w:r>
              <w:rPr>
                <w:lang w:bidi="ar"/>
              </w:rPr>
              <w:t>17</w:t>
            </w:r>
          </w:p>
        </w:tc>
      </w:tr>
      <w:tr w14:paraId="640AFB87">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2E5B7EA1">
            <w:pPr>
              <w:snapToGrid w:val="0"/>
              <w:spacing w:line="360" w:lineRule="auto"/>
              <w:ind w:firstLine="0" w:firstLineChars="0"/>
              <w:rPr>
                <w:lang w:bidi="ar"/>
              </w:rPr>
            </w:pPr>
            <w:r>
              <w:rPr>
                <w:lang w:bidi="ar"/>
              </w:rPr>
              <w:t>0.5</w:t>
            </w:r>
          </w:p>
        </w:tc>
        <w:tc>
          <w:tcPr>
            <w:tcW w:w="3935" w:type="dxa"/>
            <w:tcBorders>
              <w:top w:val="nil"/>
              <w:left w:val="nil"/>
              <w:bottom w:val="nil"/>
              <w:right w:val="nil"/>
            </w:tcBorders>
          </w:tcPr>
          <w:p w14:paraId="0715A296">
            <w:pPr>
              <w:snapToGrid w:val="0"/>
              <w:spacing w:line="360" w:lineRule="auto"/>
              <w:ind w:firstLine="0" w:firstLineChars="0"/>
              <w:rPr>
                <w:lang w:bidi="ar"/>
              </w:rPr>
            </w:pPr>
            <w:r>
              <w:rPr>
                <w:lang w:bidi="ar"/>
              </w:rPr>
              <w:t>18</w:t>
            </w:r>
          </w:p>
        </w:tc>
      </w:tr>
      <w:tr w14:paraId="768A21C8">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14605C3D">
            <w:pPr>
              <w:snapToGrid w:val="0"/>
              <w:spacing w:line="360" w:lineRule="auto"/>
              <w:ind w:firstLine="0" w:firstLineChars="0"/>
              <w:rPr>
                <w:lang w:bidi="ar"/>
              </w:rPr>
            </w:pPr>
            <w:r>
              <w:rPr>
                <w:lang w:bidi="ar"/>
              </w:rPr>
              <w:t>0.8</w:t>
            </w:r>
          </w:p>
        </w:tc>
        <w:tc>
          <w:tcPr>
            <w:tcW w:w="3935" w:type="dxa"/>
            <w:tcBorders>
              <w:top w:val="nil"/>
              <w:left w:val="nil"/>
              <w:bottom w:val="nil"/>
              <w:right w:val="nil"/>
            </w:tcBorders>
          </w:tcPr>
          <w:p w14:paraId="4FBF3CBE">
            <w:pPr>
              <w:snapToGrid w:val="0"/>
              <w:spacing w:line="360" w:lineRule="auto"/>
              <w:ind w:firstLine="0" w:firstLineChars="0"/>
              <w:rPr>
                <w:lang w:bidi="ar"/>
              </w:rPr>
            </w:pPr>
            <w:r>
              <w:rPr>
                <w:lang w:bidi="ar"/>
              </w:rPr>
              <w:t>17</w:t>
            </w:r>
          </w:p>
        </w:tc>
      </w:tr>
      <w:tr w14:paraId="5BC695B2">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2C3EF0EA">
            <w:pPr>
              <w:snapToGrid w:val="0"/>
              <w:spacing w:line="360" w:lineRule="auto"/>
              <w:ind w:firstLine="0" w:firstLineChars="0"/>
              <w:rPr>
                <w:lang w:bidi="ar"/>
              </w:rPr>
            </w:pPr>
            <w:r>
              <w:rPr>
                <w:lang w:bidi="ar"/>
              </w:rPr>
              <w:t>1</w:t>
            </w:r>
          </w:p>
        </w:tc>
        <w:tc>
          <w:tcPr>
            <w:tcW w:w="3935" w:type="dxa"/>
            <w:tcBorders>
              <w:top w:val="nil"/>
              <w:left w:val="nil"/>
              <w:bottom w:val="nil"/>
              <w:right w:val="nil"/>
            </w:tcBorders>
          </w:tcPr>
          <w:p w14:paraId="05AD1335">
            <w:pPr>
              <w:snapToGrid w:val="0"/>
              <w:spacing w:line="360" w:lineRule="auto"/>
              <w:ind w:firstLine="0" w:firstLineChars="0"/>
              <w:rPr>
                <w:lang w:bidi="ar"/>
              </w:rPr>
            </w:pPr>
            <w:r>
              <w:rPr>
                <w:lang w:bidi="ar"/>
              </w:rPr>
              <w:t>18</w:t>
            </w:r>
          </w:p>
        </w:tc>
      </w:tr>
      <w:tr w14:paraId="63FEB95E">
        <w:tblPrEx>
          <w:tblCellMar>
            <w:top w:w="64" w:type="dxa"/>
            <w:left w:w="128" w:type="dxa"/>
            <w:bottom w:w="64" w:type="dxa"/>
            <w:right w:w="128" w:type="dxa"/>
          </w:tblCellMar>
        </w:tblPrEx>
        <w:trPr>
          <w:jc w:val="center"/>
        </w:trPr>
        <w:tc>
          <w:tcPr>
            <w:tcW w:w="4391" w:type="dxa"/>
            <w:tcBorders>
              <w:top w:val="nil"/>
              <w:left w:val="nil"/>
              <w:bottom w:val="nil"/>
              <w:right w:val="nil"/>
            </w:tcBorders>
          </w:tcPr>
          <w:p w14:paraId="6C69A567">
            <w:pPr>
              <w:snapToGrid w:val="0"/>
              <w:spacing w:line="360" w:lineRule="auto"/>
              <w:ind w:firstLine="0" w:firstLineChars="0"/>
              <w:rPr>
                <w:lang w:bidi="ar"/>
              </w:rPr>
            </w:pPr>
            <w:r>
              <w:rPr>
                <w:lang w:bidi="ar"/>
              </w:rPr>
              <w:t>5</w:t>
            </w:r>
          </w:p>
        </w:tc>
        <w:tc>
          <w:tcPr>
            <w:tcW w:w="3935" w:type="dxa"/>
            <w:tcBorders>
              <w:top w:val="nil"/>
              <w:left w:val="nil"/>
              <w:bottom w:val="nil"/>
              <w:right w:val="nil"/>
            </w:tcBorders>
          </w:tcPr>
          <w:p w14:paraId="2BFB5528">
            <w:pPr>
              <w:snapToGrid w:val="0"/>
              <w:spacing w:line="360" w:lineRule="auto"/>
              <w:ind w:firstLine="0" w:firstLineChars="0"/>
              <w:rPr>
                <w:lang w:bidi="ar"/>
              </w:rPr>
            </w:pPr>
            <w:r>
              <w:rPr>
                <w:lang w:bidi="ar"/>
              </w:rPr>
              <w:t>16</w:t>
            </w:r>
          </w:p>
        </w:tc>
      </w:tr>
      <w:tr w14:paraId="08461276">
        <w:tblPrEx>
          <w:tblCellMar>
            <w:top w:w="64" w:type="dxa"/>
            <w:left w:w="128" w:type="dxa"/>
            <w:bottom w:w="64" w:type="dxa"/>
            <w:right w:w="128" w:type="dxa"/>
          </w:tblCellMar>
        </w:tblPrEx>
        <w:trPr>
          <w:jc w:val="center"/>
        </w:trPr>
        <w:tc>
          <w:tcPr>
            <w:tcW w:w="4391" w:type="dxa"/>
            <w:tcBorders>
              <w:top w:val="nil"/>
              <w:left w:val="nil"/>
              <w:right w:val="nil"/>
            </w:tcBorders>
          </w:tcPr>
          <w:p w14:paraId="3E1A432F">
            <w:pPr>
              <w:snapToGrid w:val="0"/>
              <w:spacing w:line="360" w:lineRule="auto"/>
              <w:ind w:firstLine="0" w:firstLineChars="0"/>
              <w:rPr>
                <w:lang w:bidi="ar"/>
              </w:rPr>
            </w:pPr>
            <w:r>
              <w:rPr>
                <w:lang w:bidi="ar"/>
              </w:rPr>
              <w:t>10</w:t>
            </w:r>
          </w:p>
        </w:tc>
        <w:tc>
          <w:tcPr>
            <w:tcW w:w="3935" w:type="dxa"/>
            <w:tcBorders>
              <w:top w:val="nil"/>
              <w:left w:val="nil"/>
              <w:right w:val="nil"/>
            </w:tcBorders>
          </w:tcPr>
          <w:p w14:paraId="10903B78">
            <w:pPr>
              <w:snapToGrid w:val="0"/>
              <w:spacing w:line="360" w:lineRule="auto"/>
              <w:ind w:firstLine="0" w:firstLineChars="0"/>
              <w:rPr>
                <w:lang w:bidi="ar"/>
              </w:rPr>
            </w:pPr>
            <w:r>
              <w:rPr>
                <w:lang w:bidi="ar"/>
              </w:rPr>
              <w:t>18</w:t>
            </w:r>
          </w:p>
        </w:tc>
      </w:tr>
      <w:tr w14:paraId="68AB5286">
        <w:tblPrEx>
          <w:tblCellMar>
            <w:top w:w="64" w:type="dxa"/>
            <w:left w:w="128" w:type="dxa"/>
            <w:bottom w:w="64" w:type="dxa"/>
            <w:right w:w="128" w:type="dxa"/>
          </w:tblCellMar>
        </w:tblPrEx>
        <w:trPr>
          <w:jc w:val="center"/>
        </w:trPr>
        <w:tc>
          <w:tcPr>
            <w:tcW w:w="4391" w:type="dxa"/>
            <w:tcBorders>
              <w:top w:val="nil"/>
              <w:left w:val="nil"/>
              <w:bottom w:val="single" w:color="auto" w:sz="12" w:space="0"/>
              <w:right w:val="nil"/>
            </w:tcBorders>
          </w:tcPr>
          <w:p w14:paraId="033EDE43">
            <w:pPr>
              <w:snapToGrid w:val="0"/>
              <w:spacing w:line="360" w:lineRule="auto"/>
              <w:ind w:firstLine="0" w:firstLineChars="0"/>
              <w:rPr>
                <w:lang w:bidi="ar"/>
              </w:rPr>
            </w:pPr>
            <w:r>
              <w:rPr>
                <w:lang w:bidi="ar"/>
              </w:rPr>
              <w:t>20</w:t>
            </w:r>
          </w:p>
        </w:tc>
        <w:tc>
          <w:tcPr>
            <w:tcW w:w="3935" w:type="dxa"/>
            <w:tcBorders>
              <w:top w:val="nil"/>
              <w:left w:val="nil"/>
              <w:bottom w:val="single" w:color="auto" w:sz="12" w:space="0"/>
              <w:right w:val="nil"/>
            </w:tcBorders>
          </w:tcPr>
          <w:p w14:paraId="1DE155F5">
            <w:pPr>
              <w:snapToGrid w:val="0"/>
              <w:spacing w:line="360" w:lineRule="auto"/>
              <w:ind w:firstLine="0" w:firstLineChars="0"/>
              <w:rPr>
                <w:lang w:bidi="ar"/>
              </w:rPr>
            </w:pPr>
            <w:r>
              <w:rPr>
                <w:lang w:bidi="ar"/>
              </w:rPr>
              <w:t>19</w:t>
            </w:r>
          </w:p>
        </w:tc>
      </w:tr>
    </w:tbl>
    <w:p w14:paraId="0F89CA34">
      <w:pPr>
        <w:spacing w:line="360" w:lineRule="auto"/>
        <w:ind w:firstLine="0" w:firstLineChars="0"/>
        <w:jc w:val="both"/>
        <w:rPr>
          <w:b/>
          <w:bCs/>
          <w:lang w:bidi="ar"/>
        </w:rPr>
      </w:pPr>
    </w:p>
    <w:p w14:paraId="341EF978">
      <w:pPr>
        <w:spacing w:line="360" w:lineRule="auto"/>
        <w:ind w:firstLine="0" w:firstLineChars="0"/>
        <w:jc w:val="both"/>
        <w:rPr>
          <w:lang w:bidi="ar"/>
        </w:rPr>
      </w:pPr>
      <w:r>
        <w:rPr>
          <w:b/>
          <w:bCs/>
          <w:lang w:bidi="ar"/>
        </w:rPr>
        <w:t>Table S</w:t>
      </w:r>
      <w:r>
        <w:rPr>
          <w:rFonts w:hint="eastAsia"/>
          <w:b/>
          <w:bCs/>
          <w:lang w:bidi="ar"/>
        </w:rPr>
        <w:t>2</w:t>
      </w:r>
      <w:r>
        <w:rPr>
          <w:b/>
          <w:bCs/>
          <w:lang w:bidi="ar"/>
        </w:rPr>
        <w:t xml:space="preserve">. </w:t>
      </w:r>
      <w:r>
        <w:rPr>
          <w:lang w:bidi="ar"/>
        </w:rPr>
        <w:t xml:space="preserve">Number of </w:t>
      </w:r>
      <w:r>
        <w:rPr>
          <w:rFonts w:hint="eastAsia"/>
          <w:lang w:bidi="ar"/>
        </w:rPr>
        <w:t>dopaminergic</w:t>
      </w:r>
      <w:r>
        <w:rPr>
          <w:lang w:bidi="ar"/>
        </w:rPr>
        <w:t xml:space="preserve"> neurons in the head of </w:t>
      </w:r>
      <w:r>
        <w:rPr>
          <w:rFonts w:hint="eastAsia"/>
          <w:lang w:bidi="ar"/>
        </w:rPr>
        <w:t>6-OHDA with o</w:t>
      </w:r>
      <w:r>
        <w:rPr>
          <w:lang w:bidi="ar"/>
        </w:rPr>
        <w:t>r without G-Se NPs, and G-Se NPs treated BZ555 nematode (n=10).</w:t>
      </w:r>
    </w:p>
    <w:tbl>
      <w:tblPr>
        <w:tblStyle w:val="13"/>
        <w:tblW w:w="8453" w:type="dxa"/>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45" w:type="dxa"/>
          <w:left w:w="96" w:type="dxa"/>
          <w:bottom w:w="45" w:type="dxa"/>
          <w:right w:w="96" w:type="dxa"/>
        </w:tblCellMar>
      </w:tblPr>
      <w:tblGrid>
        <w:gridCol w:w="1223"/>
        <w:gridCol w:w="1338"/>
        <w:gridCol w:w="2280"/>
        <w:gridCol w:w="2435"/>
        <w:gridCol w:w="1177"/>
      </w:tblGrid>
      <w:tr w14:paraId="312DCC1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tblHeader/>
          <w:jc w:val="center"/>
        </w:trPr>
        <w:tc>
          <w:tcPr>
            <w:tcW w:w="1223" w:type="dxa"/>
            <w:tcBorders>
              <w:top w:val="single" w:color="auto" w:sz="12" w:space="0"/>
              <w:left w:val="nil"/>
              <w:bottom w:val="single" w:color="auto" w:sz="4" w:space="0"/>
              <w:right w:val="nil"/>
            </w:tcBorders>
            <w:vAlign w:val="center"/>
          </w:tcPr>
          <w:p w14:paraId="23553C80">
            <w:pPr>
              <w:snapToGrid w:val="0"/>
              <w:spacing w:line="360" w:lineRule="auto"/>
              <w:ind w:firstLine="0" w:firstLineChars="0"/>
              <w:rPr>
                <w:rFonts w:hint="eastAsia" w:eastAsia="宋体"/>
                <w:b/>
                <w:lang w:eastAsia="zh-CN" w:bidi="ar"/>
              </w:rPr>
            </w:pPr>
            <w:r>
              <w:rPr>
                <w:rFonts w:hint="eastAsia"/>
                <w:b/>
                <w:lang w:eastAsia="zh-CN" w:bidi="ar"/>
              </w:rPr>
              <w:t>PBS</w:t>
            </w:r>
          </w:p>
        </w:tc>
        <w:tc>
          <w:tcPr>
            <w:tcW w:w="1338" w:type="dxa"/>
            <w:tcBorders>
              <w:top w:val="single" w:color="auto" w:sz="12" w:space="0"/>
              <w:left w:val="nil"/>
              <w:bottom w:val="single" w:color="auto" w:sz="4" w:space="0"/>
              <w:right w:val="nil"/>
            </w:tcBorders>
            <w:vAlign w:val="center"/>
          </w:tcPr>
          <w:p w14:paraId="17FEAE0E">
            <w:pPr>
              <w:snapToGrid w:val="0"/>
              <w:spacing w:line="360" w:lineRule="auto"/>
              <w:ind w:firstLine="0" w:firstLineChars="0"/>
              <w:rPr>
                <w:rFonts w:hint="eastAsia" w:eastAsia="宋体"/>
                <w:b/>
                <w:lang w:eastAsia="zh-CN" w:bidi="ar"/>
              </w:rPr>
            </w:pPr>
            <w:r>
              <w:rPr>
                <w:b/>
                <w:bCs/>
                <w:lang w:bidi="ar"/>
              </w:rPr>
              <w:t xml:space="preserve"> </w:t>
            </w:r>
            <w:r>
              <w:rPr>
                <w:rFonts w:hint="eastAsia"/>
                <w:b/>
                <w:bCs/>
                <w:lang w:bidi="ar"/>
              </w:rPr>
              <w:t>6-OHDA</w:t>
            </w:r>
          </w:p>
        </w:tc>
        <w:tc>
          <w:tcPr>
            <w:tcW w:w="2280" w:type="dxa"/>
            <w:tcBorders>
              <w:top w:val="single" w:color="auto" w:sz="12" w:space="0"/>
              <w:left w:val="nil"/>
              <w:bottom w:val="single" w:color="auto" w:sz="4" w:space="0"/>
              <w:right w:val="nil"/>
            </w:tcBorders>
            <w:vAlign w:val="center"/>
          </w:tcPr>
          <w:p w14:paraId="2068015D">
            <w:pPr>
              <w:snapToGrid w:val="0"/>
              <w:spacing w:line="360" w:lineRule="auto"/>
              <w:ind w:firstLine="0" w:firstLineChars="0"/>
              <w:rPr>
                <w:rFonts w:hint="eastAsia" w:eastAsia="宋体"/>
                <w:b/>
                <w:lang w:eastAsia="zh-CN" w:bidi="ar"/>
              </w:rPr>
            </w:pPr>
            <w:r>
              <w:rPr>
                <w:rFonts w:hint="eastAsia"/>
                <w:b/>
                <w:lang w:eastAsia="zh-CN" w:bidi="ar"/>
              </w:rPr>
              <w:t>G-Se NPs +PD</w:t>
            </w:r>
          </w:p>
        </w:tc>
        <w:tc>
          <w:tcPr>
            <w:tcW w:w="2435" w:type="dxa"/>
            <w:tcBorders>
              <w:top w:val="single" w:color="auto" w:sz="12" w:space="0"/>
              <w:left w:val="nil"/>
              <w:bottom w:val="single" w:color="auto" w:sz="4" w:space="0"/>
              <w:right w:val="nil"/>
            </w:tcBorders>
            <w:vAlign w:val="center"/>
          </w:tcPr>
          <w:p w14:paraId="5109220E">
            <w:pPr>
              <w:snapToGrid w:val="0"/>
              <w:spacing w:line="360" w:lineRule="auto"/>
              <w:ind w:firstLine="0" w:firstLineChars="0"/>
              <w:rPr>
                <w:rFonts w:hint="eastAsia" w:eastAsia="宋体"/>
                <w:b/>
                <w:lang w:eastAsia="zh-CN" w:bidi="ar"/>
              </w:rPr>
            </w:pPr>
            <w:r>
              <w:rPr>
                <w:rFonts w:hint="eastAsia"/>
                <w:b/>
                <w:lang w:eastAsia="zh-CN" w:bidi="ar"/>
              </w:rPr>
              <w:t>G-Se NPs</w:t>
            </w:r>
          </w:p>
        </w:tc>
        <w:tc>
          <w:tcPr>
            <w:tcW w:w="1177" w:type="dxa"/>
            <w:tcBorders>
              <w:top w:val="single" w:color="auto" w:sz="12" w:space="0"/>
              <w:left w:val="nil"/>
              <w:bottom w:val="single" w:color="auto" w:sz="4" w:space="0"/>
              <w:right w:val="nil"/>
            </w:tcBorders>
            <w:vAlign w:val="center"/>
          </w:tcPr>
          <w:p w14:paraId="73078B4D">
            <w:pPr>
              <w:snapToGrid w:val="0"/>
              <w:spacing w:line="360" w:lineRule="auto"/>
              <w:ind w:firstLine="0" w:firstLineChars="0"/>
              <w:rPr>
                <w:rFonts w:hint="default"/>
                <w:b/>
                <w:lang w:val="en-US" w:eastAsia="zh-CN" w:bidi="ar"/>
              </w:rPr>
            </w:pPr>
            <w:r>
              <w:rPr>
                <w:rFonts w:hint="eastAsia"/>
                <w:b/>
                <w:lang w:val="en-US" w:eastAsia="zh-CN" w:bidi="ar"/>
              </w:rPr>
              <w:t>NAC</w:t>
            </w:r>
          </w:p>
        </w:tc>
      </w:tr>
      <w:tr w14:paraId="526EA05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single" w:color="auto" w:sz="4" w:space="0"/>
              <w:left w:val="nil"/>
              <w:bottom w:val="nil"/>
              <w:right w:val="nil"/>
            </w:tcBorders>
            <w:vAlign w:val="center"/>
          </w:tcPr>
          <w:p w14:paraId="6220C52B">
            <w:pPr>
              <w:snapToGrid w:val="0"/>
              <w:spacing w:line="360" w:lineRule="auto"/>
              <w:ind w:firstLine="0" w:firstLineChars="0"/>
              <w:rPr>
                <w:lang w:bidi="ar"/>
              </w:rPr>
            </w:pPr>
            <w:r>
              <w:rPr>
                <w:lang w:bidi="ar"/>
              </w:rPr>
              <w:t>6</w:t>
            </w:r>
          </w:p>
        </w:tc>
        <w:tc>
          <w:tcPr>
            <w:tcW w:w="1338" w:type="dxa"/>
            <w:tcBorders>
              <w:top w:val="single" w:color="auto" w:sz="4" w:space="0"/>
              <w:left w:val="nil"/>
              <w:bottom w:val="nil"/>
              <w:right w:val="nil"/>
            </w:tcBorders>
            <w:vAlign w:val="center"/>
          </w:tcPr>
          <w:p w14:paraId="1E38E05C">
            <w:pPr>
              <w:snapToGrid w:val="0"/>
              <w:spacing w:line="360" w:lineRule="auto"/>
              <w:ind w:firstLine="0" w:firstLineChars="0"/>
              <w:rPr>
                <w:lang w:bidi="ar"/>
              </w:rPr>
            </w:pPr>
            <w:r>
              <w:rPr>
                <w:lang w:bidi="ar"/>
              </w:rPr>
              <w:t>6</w:t>
            </w:r>
          </w:p>
        </w:tc>
        <w:tc>
          <w:tcPr>
            <w:tcW w:w="2280" w:type="dxa"/>
            <w:tcBorders>
              <w:top w:val="single" w:color="auto" w:sz="4" w:space="0"/>
              <w:left w:val="nil"/>
              <w:bottom w:val="nil"/>
              <w:right w:val="nil"/>
            </w:tcBorders>
            <w:vAlign w:val="center"/>
          </w:tcPr>
          <w:p w14:paraId="0703E5D1">
            <w:pPr>
              <w:snapToGrid w:val="0"/>
              <w:spacing w:line="360" w:lineRule="auto"/>
              <w:ind w:firstLine="0" w:firstLineChars="0"/>
              <w:rPr>
                <w:lang w:bidi="ar"/>
              </w:rPr>
            </w:pPr>
            <w:r>
              <w:rPr>
                <w:lang w:bidi="ar"/>
              </w:rPr>
              <w:t>6</w:t>
            </w:r>
          </w:p>
        </w:tc>
        <w:tc>
          <w:tcPr>
            <w:tcW w:w="2435" w:type="dxa"/>
            <w:tcBorders>
              <w:top w:val="single" w:color="auto" w:sz="4" w:space="0"/>
              <w:left w:val="nil"/>
              <w:bottom w:val="nil"/>
              <w:right w:val="nil"/>
            </w:tcBorders>
            <w:vAlign w:val="center"/>
          </w:tcPr>
          <w:p w14:paraId="3B9445D6">
            <w:pPr>
              <w:snapToGrid w:val="0"/>
              <w:spacing w:line="360" w:lineRule="auto"/>
              <w:ind w:firstLine="0" w:firstLineChars="0"/>
              <w:rPr>
                <w:lang w:bidi="ar"/>
              </w:rPr>
            </w:pPr>
            <w:r>
              <w:rPr>
                <w:lang w:bidi="ar"/>
              </w:rPr>
              <w:t>5</w:t>
            </w:r>
          </w:p>
        </w:tc>
        <w:tc>
          <w:tcPr>
            <w:tcW w:w="1177" w:type="dxa"/>
            <w:tcBorders>
              <w:top w:val="single" w:color="auto" w:sz="4" w:space="0"/>
              <w:left w:val="nil"/>
              <w:bottom w:val="nil"/>
              <w:right w:val="nil"/>
            </w:tcBorders>
            <w:vAlign w:val="center"/>
          </w:tcPr>
          <w:p w14:paraId="7CC1AA8B">
            <w:pPr>
              <w:snapToGrid w:val="0"/>
              <w:spacing w:line="360" w:lineRule="auto"/>
              <w:ind w:firstLine="0" w:firstLineChars="0"/>
              <w:rPr>
                <w:rFonts w:hint="eastAsia" w:eastAsia="宋体"/>
                <w:lang w:val="en-US" w:eastAsia="zh-CN" w:bidi="ar"/>
              </w:rPr>
            </w:pPr>
            <w:r>
              <w:rPr>
                <w:rFonts w:hint="eastAsia"/>
                <w:lang w:val="en-US" w:eastAsia="zh-CN" w:bidi="ar"/>
              </w:rPr>
              <w:t>4</w:t>
            </w:r>
          </w:p>
        </w:tc>
      </w:tr>
      <w:tr w14:paraId="30207B1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5FDF8438">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1CE04D62">
            <w:pPr>
              <w:snapToGrid w:val="0"/>
              <w:spacing w:line="360" w:lineRule="auto"/>
              <w:ind w:firstLine="0" w:firstLineChars="0"/>
              <w:rPr>
                <w:lang w:bidi="ar"/>
              </w:rPr>
            </w:pPr>
            <w:r>
              <w:rPr>
                <w:lang w:bidi="ar"/>
              </w:rPr>
              <w:t>2</w:t>
            </w:r>
          </w:p>
        </w:tc>
        <w:tc>
          <w:tcPr>
            <w:tcW w:w="2280" w:type="dxa"/>
            <w:tcBorders>
              <w:top w:val="nil"/>
              <w:left w:val="nil"/>
              <w:bottom w:val="nil"/>
              <w:right w:val="nil"/>
            </w:tcBorders>
            <w:vAlign w:val="center"/>
          </w:tcPr>
          <w:p w14:paraId="640577CD">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40D1CD16">
            <w:pPr>
              <w:snapToGrid w:val="0"/>
              <w:spacing w:line="360" w:lineRule="auto"/>
              <w:ind w:firstLine="0" w:firstLineChars="0"/>
              <w:rPr>
                <w:lang w:bidi="ar"/>
              </w:rPr>
            </w:pPr>
            <w:r>
              <w:rPr>
                <w:lang w:bidi="ar"/>
              </w:rPr>
              <w:t>6</w:t>
            </w:r>
          </w:p>
        </w:tc>
        <w:tc>
          <w:tcPr>
            <w:tcW w:w="1177" w:type="dxa"/>
            <w:tcBorders>
              <w:top w:val="nil"/>
              <w:left w:val="nil"/>
              <w:bottom w:val="nil"/>
              <w:right w:val="nil"/>
            </w:tcBorders>
            <w:vAlign w:val="center"/>
          </w:tcPr>
          <w:p w14:paraId="3C368124">
            <w:pPr>
              <w:snapToGrid w:val="0"/>
              <w:spacing w:line="360" w:lineRule="auto"/>
              <w:ind w:firstLine="0" w:firstLineChars="0"/>
              <w:rPr>
                <w:rFonts w:hint="eastAsia" w:eastAsia="宋体"/>
                <w:lang w:val="en-US" w:eastAsia="zh-CN" w:bidi="ar"/>
              </w:rPr>
            </w:pPr>
            <w:r>
              <w:rPr>
                <w:rFonts w:hint="eastAsia"/>
                <w:lang w:val="en-US" w:eastAsia="zh-CN" w:bidi="ar"/>
              </w:rPr>
              <w:t>4</w:t>
            </w:r>
          </w:p>
        </w:tc>
      </w:tr>
      <w:tr w14:paraId="1CE7F97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12FF9304">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71B7CD8D">
            <w:pPr>
              <w:snapToGrid w:val="0"/>
              <w:spacing w:line="360" w:lineRule="auto"/>
              <w:ind w:firstLine="0" w:firstLineChars="0"/>
              <w:rPr>
                <w:lang w:bidi="ar"/>
              </w:rPr>
            </w:pPr>
            <w:r>
              <w:rPr>
                <w:lang w:bidi="ar"/>
              </w:rPr>
              <w:t>3</w:t>
            </w:r>
          </w:p>
        </w:tc>
        <w:tc>
          <w:tcPr>
            <w:tcW w:w="2280" w:type="dxa"/>
            <w:tcBorders>
              <w:top w:val="nil"/>
              <w:left w:val="nil"/>
              <w:bottom w:val="nil"/>
              <w:right w:val="nil"/>
            </w:tcBorders>
            <w:vAlign w:val="center"/>
          </w:tcPr>
          <w:p w14:paraId="335596E8">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758AFF58">
            <w:pPr>
              <w:snapToGrid w:val="0"/>
              <w:spacing w:line="360" w:lineRule="auto"/>
              <w:ind w:firstLine="0" w:firstLineChars="0"/>
              <w:rPr>
                <w:lang w:bidi="ar"/>
              </w:rPr>
            </w:pPr>
            <w:r>
              <w:rPr>
                <w:lang w:bidi="ar"/>
              </w:rPr>
              <w:t>6</w:t>
            </w:r>
          </w:p>
        </w:tc>
        <w:tc>
          <w:tcPr>
            <w:tcW w:w="1177" w:type="dxa"/>
            <w:tcBorders>
              <w:top w:val="nil"/>
              <w:left w:val="nil"/>
              <w:bottom w:val="nil"/>
              <w:right w:val="nil"/>
            </w:tcBorders>
            <w:vAlign w:val="center"/>
          </w:tcPr>
          <w:p w14:paraId="07A9318F">
            <w:pPr>
              <w:snapToGrid w:val="0"/>
              <w:spacing w:line="360" w:lineRule="auto"/>
              <w:ind w:firstLine="0" w:firstLineChars="0"/>
              <w:rPr>
                <w:rFonts w:hint="eastAsia" w:eastAsia="宋体"/>
                <w:lang w:val="en-US" w:eastAsia="zh-CN" w:bidi="ar"/>
              </w:rPr>
            </w:pPr>
            <w:r>
              <w:rPr>
                <w:rFonts w:hint="eastAsia"/>
                <w:lang w:val="en-US" w:eastAsia="zh-CN" w:bidi="ar"/>
              </w:rPr>
              <w:t>4</w:t>
            </w:r>
          </w:p>
        </w:tc>
      </w:tr>
      <w:tr w14:paraId="0F37C53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0052AE5A">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7EF77228">
            <w:pPr>
              <w:snapToGrid w:val="0"/>
              <w:spacing w:line="360" w:lineRule="auto"/>
              <w:ind w:firstLine="0" w:firstLineChars="0"/>
              <w:rPr>
                <w:lang w:bidi="ar"/>
              </w:rPr>
            </w:pPr>
            <w:r>
              <w:rPr>
                <w:lang w:bidi="ar"/>
              </w:rPr>
              <w:t>3</w:t>
            </w:r>
          </w:p>
        </w:tc>
        <w:tc>
          <w:tcPr>
            <w:tcW w:w="2280" w:type="dxa"/>
            <w:tcBorders>
              <w:top w:val="nil"/>
              <w:left w:val="nil"/>
              <w:bottom w:val="nil"/>
              <w:right w:val="nil"/>
            </w:tcBorders>
            <w:vAlign w:val="center"/>
          </w:tcPr>
          <w:p w14:paraId="75E362F6">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2F587E50">
            <w:pPr>
              <w:snapToGrid w:val="0"/>
              <w:spacing w:line="360" w:lineRule="auto"/>
              <w:ind w:firstLine="0" w:firstLineChars="0"/>
              <w:rPr>
                <w:lang w:bidi="ar"/>
              </w:rPr>
            </w:pPr>
            <w:r>
              <w:rPr>
                <w:lang w:bidi="ar"/>
              </w:rPr>
              <w:t>5</w:t>
            </w:r>
          </w:p>
        </w:tc>
        <w:tc>
          <w:tcPr>
            <w:tcW w:w="1177" w:type="dxa"/>
            <w:tcBorders>
              <w:top w:val="nil"/>
              <w:left w:val="nil"/>
              <w:bottom w:val="nil"/>
              <w:right w:val="nil"/>
            </w:tcBorders>
            <w:vAlign w:val="center"/>
          </w:tcPr>
          <w:p w14:paraId="33B98FE5">
            <w:pPr>
              <w:snapToGrid w:val="0"/>
              <w:spacing w:line="360" w:lineRule="auto"/>
              <w:ind w:firstLine="0" w:firstLineChars="0"/>
              <w:rPr>
                <w:rFonts w:hint="default" w:eastAsia="宋体"/>
                <w:lang w:val="en-US" w:eastAsia="zh-CN" w:bidi="ar"/>
              </w:rPr>
            </w:pPr>
            <w:r>
              <w:rPr>
                <w:rFonts w:hint="eastAsia"/>
                <w:lang w:val="en-US" w:eastAsia="zh-CN" w:bidi="ar"/>
              </w:rPr>
              <w:t>5</w:t>
            </w:r>
          </w:p>
        </w:tc>
      </w:tr>
      <w:tr w14:paraId="3847D18D">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2743528A">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5CC23D97">
            <w:pPr>
              <w:snapToGrid w:val="0"/>
              <w:spacing w:line="360" w:lineRule="auto"/>
              <w:ind w:firstLine="0" w:firstLineChars="0"/>
              <w:rPr>
                <w:lang w:bidi="ar"/>
              </w:rPr>
            </w:pPr>
            <w:r>
              <w:rPr>
                <w:lang w:bidi="ar"/>
              </w:rPr>
              <w:t>3</w:t>
            </w:r>
          </w:p>
        </w:tc>
        <w:tc>
          <w:tcPr>
            <w:tcW w:w="2280" w:type="dxa"/>
            <w:tcBorders>
              <w:top w:val="nil"/>
              <w:left w:val="nil"/>
              <w:bottom w:val="nil"/>
              <w:right w:val="nil"/>
            </w:tcBorders>
            <w:vAlign w:val="center"/>
          </w:tcPr>
          <w:p w14:paraId="22C1B24F">
            <w:pPr>
              <w:snapToGrid w:val="0"/>
              <w:spacing w:line="360" w:lineRule="auto"/>
              <w:ind w:firstLine="0" w:firstLineChars="0"/>
              <w:rPr>
                <w:lang w:bidi="ar"/>
              </w:rPr>
            </w:pPr>
            <w:r>
              <w:rPr>
                <w:lang w:bidi="ar"/>
              </w:rPr>
              <w:t>5</w:t>
            </w:r>
          </w:p>
        </w:tc>
        <w:tc>
          <w:tcPr>
            <w:tcW w:w="2435" w:type="dxa"/>
            <w:tcBorders>
              <w:top w:val="nil"/>
              <w:left w:val="nil"/>
              <w:bottom w:val="nil"/>
              <w:right w:val="nil"/>
            </w:tcBorders>
            <w:vAlign w:val="center"/>
          </w:tcPr>
          <w:p w14:paraId="7BE23C1D">
            <w:pPr>
              <w:snapToGrid w:val="0"/>
              <w:spacing w:line="360" w:lineRule="auto"/>
              <w:ind w:firstLine="0" w:firstLineChars="0"/>
              <w:rPr>
                <w:lang w:bidi="ar"/>
              </w:rPr>
            </w:pPr>
            <w:r>
              <w:rPr>
                <w:lang w:bidi="ar"/>
              </w:rPr>
              <w:t>5</w:t>
            </w:r>
          </w:p>
        </w:tc>
        <w:tc>
          <w:tcPr>
            <w:tcW w:w="1177" w:type="dxa"/>
            <w:tcBorders>
              <w:top w:val="nil"/>
              <w:left w:val="nil"/>
              <w:bottom w:val="nil"/>
              <w:right w:val="nil"/>
            </w:tcBorders>
            <w:vAlign w:val="center"/>
          </w:tcPr>
          <w:p w14:paraId="1CE10B4C">
            <w:pPr>
              <w:snapToGrid w:val="0"/>
              <w:spacing w:line="360" w:lineRule="auto"/>
              <w:ind w:firstLine="0" w:firstLineChars="0"/>
              <w:rPr>
                <w:rFonts w:hint="eastAsia" w:eastAsia="宋体"/>
                <w:lang w:val="en-US" w:eastAsia="zh-CN" w:bidi="ar"/>
              </w:rPr>
            </w:pPr>
            <w:r>
              <w:rPr>
                <w:rFonts w:hint="eastAsia"/>
                <w:lang w:val="en-US" w:eastAsia="zh-CN" w:bidi="ar"/>
              </w:rPr>
              <w:t>5</w:t>
            </w:r>
          </w:p>
        </w:tc>
      </w:tr>
      <w:tr w14:paraId="11D64DE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12AF959F">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750B9DF8">
            <w:pPr>
              <w:snapToGrid w:val="0"/>
              <w:spacing w:line="360" w:lineRule="auto"/>
              <w:ind w:firstLine="0" w:firstLineChars="0"/>
              <w:rPr>
                <w:lang w:bidi="ar"/>
              </w:rPr>
            </w:pPr>
            <w:r>
              <w:rPr>
                <w:lang w:bidi="ar"/>
              </w:rPr>
              <w:t>3</w:t>
            </w:r>
          </w:p>
        </w:tc>
        <w:tc>
          <w:tcPr>
            <w:tcW w:w="2280" w:type="dxa"/>
            <w:tcBorders>
              <w:top w:val="nil"/>
              <w:left w:val="nil"/>
              <w:bottom w:val="nil"/>
              <w:right w:val="nil"/>
            </w:tcBorders>
            <w:vAlign w:val="center"/>
          </w:tcPr>
          <w:p w14:paraId="59B82F8C">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0A0502D3">
            <w:pPr>
              <w:snapToGrid w:val="0"/>
              <w:spacing w:line="360" w:lineRule="auto"/>
              <w:ind w:firstLine="0" w:firstLineChars="0"/>
              <w:rPr>
                <w:lang w:bidi="ar"/>
              </w:rPr>
            </w:pPr>
            <w:r>
              <w:rPr>
                <w:lang w:bidi="ar"/>
              </w:rPr>
              <w:t>6</w:t>
            </w:r>
          </w:p>
        </w:tc>
        <w:tc>
          <w:tcPr>
            <w:tcW w:w="1177" w:type="dxa"/>
            <w:tcBorders>
              <w:top w:val="nil"/>
              <w:left w:val="nil"/>
              <w:bottom w:val="nil"/>
              <w:right w:val="nil"/>
            </w:tcBorders>
            <w:vAlign w:val="center"/>
          </w:tcPr>
          <w:p w14:paraId="1BEA0B50">
            <w:pPr>
              <w:snapToGrid w:val="0"/>
              <w:spacing w:line="360" w:lineRule="auto"/>
              <w:ind w:firstLine="0" w:firstLineChars="0"/>
              <w:rPr>
                <w:rFonts w:hint="eastAsia" w:eastAsia="宋体"/>
                <w:lang w:val="en-US" w:eastAsia="zh-CN" w:bidi="ar"/>
              </w:rPr>
            </w:pPr>
            <w:r>
              <w:rPr>
                <w:rFonts w:hint="eastAsia"/>
                <w:lang w:val="en-US" w:eastAsia="zh-CN" w:bidi="ar"/>
              </w:rPr>
              <w:t>5</w:t>
            </w:r>
          </w:p>
        </w:tc>
      </w:tr>
      <w:tr w14:paraId="3D732DF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1FDC5BD7">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63BC0392">
            <w:pPr>
              <w:snapToGrid w:val="0"/>
              <w:spacing w:line="360" w:lineRule="auto"/>
              <w:ind w:firstLine="0" w:firstLineChars="0"/>
              <w:rPr>
                <w:lang w:bidi="ar"/>
              </w:rPr>
            </w:pPr>
            <w:r>
              <w:rPr>
                <w:lang w:bidi="ar"/>
              </w:rPr>
              <w:t>2</w:t>
            </w:r>
          </w:p>
        </w:tc>
        <w:tc>
          <w:tcPr>
            <w:tcW w:w="2280" w:type="dxa"/>
            <w:tcBorders>
              <w:top w:val="nil"/>
              <w:left w:val="nil"/>
              <w:bottom w:val="nil"/>
              <w:right w:val="nil"/>
            </w:tcBorders>
            <w:vAlign w:val="center"/>
          </w:tcPr>
          <w:p w14:paraId="3EE1E848">
            <w:pPr>
              <w:snapToGrid w:val="0"/>
              <w:spacing w:line="360" w:lineRule="auto"/>
              <w:ind w:firstLine="0" w:firstLineChars="0"/>
              <w:rPr>
                <w:lang w:bidi="ar"/>
              </w:rPr>
            </w:pPr>
            <w:r>
              <w:rPr>
                <w:lang w:bidi="ar"/>
              </w:rPr>
              <w:t>5</w:t>
            </w:r>
          </w:p>
        </w:tc>
        <w:tc>
          <w:tcPr>
            <w:tcW w:w="2435" w:type="dxa"/>
            <w:tcBorders>
              <w:top w:val="nil"/>
              <w:left w:val="nil"/>
              <w:bottom w:val="nil"/>
              <w:right w:val="nil"/>
            </w:tcBorders>
            <w:vAlign w:val="center"/>
          </w:tcPr>
          <w:p w14:paraId="7B98EFBD">
            <w:pPr>
              <w:snapToGrid w:val="0"/>
              <w:spacing w:line="360" w:lineRule="auto"/>
              <w:ind w:firstLine="0" w:firstLineChars="0"/>
              <w:rPr>
                <w:lang w:bidi="ar"/>
              </w:rPr>
            </w:pPr>
            <w:r>
              <w:rPr>
                <w:lang w:bidi="ar"/>
              </w:rPr>
              <w:t>6</w:t>
            </w:r>
          </w:p>
        </w:tc>
        <w:tc>
          <w:tcPr>
            <w:tcW w:w="1177" w:type="dxa"/>
            <w:tcBorders>
              <w:top w:val="nil"/>
              <w:left w:val="nil"/>
              <w:bottom w:val="nil"/>
              <w:right w:val="nil"/>
            </w:tcBorders>
            <w:vAlign w:val="center"/>
          </w:tcPr>
          <w:p w14:paraId="02320E7B">
            <w:pPr>
              <w:snapToGrid w:val="0"/>
              <w:spacing w:line="360" w:lineRule="auto"/>
              <w:ind w:firstLine="0" w:firstLineChars="0"/>
              <w:rPr>
                <w:rFonts w:hint="eastAsia" w:eastAsia="宋体"/>
                <w:lang w:val="en-US" w:eastAsia="zh-CN" w:bidi="ar"/>
              </w:rPr>
            </w:pPr>
            <w:r>
              <w:rPr>
                <w:rFonts w:hint="eastAsia"/>
                <w:lang w:val="en-US" w:eastAsia="zh-CN" w:bidi="ar"/>
              </w:rPr>
              <w:t>4</w:t>
            </w:r>
          </w:p>
        </w:tc>
      </w:tr>
      <w:tr w14:paraId="6267DC9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5F22C99F">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549DB9B8">
            <w:pPr>
              <w:snapToGrid w:val="0"/>
              <w:spacing w:line="360" w:lineRule="auto"/>
              <w:ind w:firstLine="0" w:firstLineChars="0"/>
              <w:rPr>
                <w:lang w:bidi="ar"/>
              </w:rPr>
            </w:pPr>
            <w:r>
              <w:rPr>
                <w:lang w:bidi="ar"/>
              </w:rPr>
              <w:t>3</w:t>
            </w:r>
          </w:p>
        </w:tc>
        <w:tc>
          <w:tcPr>
            <w:tcW w:w="2280" w:type="dxa"/>
            <w:tcBorders>
              <w:top w:val="nil"/>
              <w:left w:val="nil"/>
              <w:bottom w:val="nil"/>
              <w:right w:val="nil"/>
            </w:tcBorders>
            <w:vAlign w:val="center"/>
          </w:tcPr>
          <w:p w14:paraId="41EAA355">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6188C566">
            <w:pPr>
              <w:snapToGrid w:val="0"/>
              <w:spacing w:line="360" w:lineRule="auto"/>
              <w:ind w:firstLine="0" w:firstLineChars="0"/>
              <w:rPr>
                <w:lang w:bidi="ar"/>
              </w:rPr>
            </w:pPr>
            <w:r>
              <w:rPr>
                <w:lang w:bidi="ar"/>
              </w:rPr>
              <w:t>6</w:t>
            </w:r>
          </w:p>
        </w:tc>
        <w:tc>
          <w:tcPr>
            <w:tcW w:w="1177" w:type="dxa"/>
            <w:tcBorders>
              <w:top w:val="nil"/>
              <w:left w:val="nil"/>
              <w:bottom w:val="nil"/>
              <w:right w:val="nil"/>
            </w:tcBorders>
            <w:vAlign w:val="center"/>
          </w:tcPr>
          <w:p w14:paraId="66EF5B93">
            <w:pPr>
              <w:snapToGrid w:val="0"/>
              <w:spacing w:line="360" w:lineRule="auto"/>
              <w:ind w:firstLine="0" w:firstLineChars="0"/>
              <w:rPr>
                <w:rFonts w:hint="eastAsia" w:eastAsia="宋体"/>
                <w:lang w:val="en-US" w:eastAsia="zh-CN" w:bidi="ar"/>
              </w:rPr>
            </w:pPr>
            <w:r>
              <w:rPr>
                <w:rFonts w:hint="eastAsia"/>
                <w:lang w:val="en-US" w:eastAsia="zh-CN" w:bidi="ar"/>
              </w:rPr>
              <w:t>4</w:t>
            </w:r>
          </w:p>
        </w:tc>
      </w:tr>
      <w:tr w14:paraId="21F59D6E">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nil"/>
              <w:right w:val="nil"/>
            </w:tcBorders>
            <w:vAlign w:val="center"/>
          </w:tcPr>
          <w:p w14:paraId="2DDF007B">
            <w:pPr>
              <w:snapToGrid w:val="0"/>
              <w:spacing w:line="360" w:lineRule="auto"/>
              <w:ind w:firstLine="0" w:firstLineChars="0"/>
              <w:rPr>
                <w:lang w:bidi="ar"/>
              </w:rPr>
            </w:pPr>
            <w:r>
              <w:rPr>
                <w:lang w:bidi="ar"/>
              </w:rPr>
              <w:t>6</w:t>
            </w:r>
          </w:p>
        </w:tc>
        <w:tc>
          <w:tcPr>
            <w:tcW w:w="1338" w:type="dxa"/>
            <w:tcBorders>
              <w:top w:val="nil"/>
              <w:left w:val="nil"/>
              <w:bottom w:val="nil"/>
              <w:right w:val="nil"/>
            </w:tcBorders>
            <w:vAlign w:val="center"/>
          </w:tcPr>
          <w:p w14:paraId="5F2239AF">
            <w:pPr>
              <w:snapToGrid w:val="0"/>
              <w:spacing w:line="360" w:lineRule="auto"/>
              <w:ind w:firstLine="0" w:firstLineChars="0"/>
              <w:rPr>
                <w:lang w:bidi="ar"/>
              </w:rPr>
            </w:pPr>
            <w:r>
              <w:rPr>
                <w:lang w:bidi="ar"/>
              </w:rPr>
              <w:t>5</w:t>
            </w:r>
          </w:p>
        </w:tc>
        <w:tc>
          <w:tcPr>
            <w:tcW w:w="2280" w:type="dxa"/>
            <w:tcBorders>
              <w:top w:val="nil"/>
              <w:left w:val="nil"/>
              <w:bottom w:val="nil"/>
              <w:right w:val="nil"/>
            </w:tcBorders>
            <w:vAlign w:val="center"/>
          </w:tcPr>
          <w:p w14:paraId="3F0BE7F5">
            <w:pPr>
              <w:snapToGrid w:val="0"/>
              <w:spacing w:line="360" w:lineRule="auto"/>
              <w:ind w:firstLine="0" w:firstLineChars="0"/>
              <w:rPr>
                <w:lang w:bidi="ar"/>
              </w:rPr>
            </w:pPr>
            <w:r>
              <w:rPr>
                <w:lang w:bidi="ar"/>
              </w:rPr>
              <w:t>6</w:t>
            </w:r>
          </w:p>
        </w:tc>
        <w:tc>
          <w:tcPr>
            <w:tcW w:w="2435" w:type="dxa"/>
            <w:tcBorders>
              <w:top w:val="nil"/>
              <w:left w:val="nil"/>
              <w:bottom w:val="nil"/>
              <w:right w:val="nil"/>
            </w:tcBorders>
            <w:vAlign w:val="center"/>
          </w:tcPr>
          <w:p w14:paraId="46CE85BC">
            <w:pPr>
              <w:snapToGrid w:val="0"/>
              <w:spacing w:line="360" w:lineRule="auto"/>
              <w:ind w:firstLine="0" w:firstLineChars="0"/>
              <w:rPr>
                <w:lang w:bidi="ar"/>
              </w:rPr>
            </w:pPr>
            <w:r>
              <w:rPr>
                <w:lang w:bidi="ar"/>
              </w:rPr>
              <w:t>5</w:t>
            </w:r>
          </w:p>
        </w:tc>
        <w:tc>
          <w:tcPr>
            <w:tcW w:w="1177" w:type="dxa"/>
            <w:tcBorders>
              <w:top w:val="nil"/>
              <w:left w:val="nil"/>
              <w:bottom w:val="nil"/>
              <w:right w:val="nil"/>
            </w:tcBorders>
            <w:vAlign w:val="center"/>
          </w:tcPr>
          <w:p w14:paraId="13C4FFF3">
            <w:pPr>
              <w:snapToGrid w:val="0"/>
              <w:spacing w:line="360" w:lineRule="auto"/>
              <w:ind w:firstLine="0" w:firstLineChars="0"/>
              <w:rPr>
                <w:rFonts w:hint="eastAsia" w:eastAsia="宋体"/>
                <w:lang w:val="en-US" w:eastAsia="zh-CN" w:bidi="ar"/>
              </w:rPr>
            </w:pPr>
            <w:r>
              <w:rPr>
                <w:rFonts w:hint="eastAsia"/>
                <w:lang w:val="en-US" w:eastAsia="zh-CN" w:bidi="ar"/>
              </w:rPr>
              <w:t>3</w:t>
            </w:r>
          </w:p>
        </w:tc>
      </w:tr>
      <w:tr w14:paraId="1921BC3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45" w:type="dxa"/>
            <w:left w:w="96" w:type="dxa"/>
            <w:bottom w:w="45" w:type="dxa"/>
            <w:right w:w="96" w:type="dxa"/>
          </w:tblCellMar>
        </w:tblPrEx>
        <w:trPr>
          <w:trHeight w:val="0" w:hRule="atLeast"/>
          <w:jc w:val="center"/>
        </w:trPr>
        <w:tc>
          <w:tcPr>
            <w:tcW w:w="1223" w:type="dxa"/>
            <w:tcBorders>
              <w:top w:val="nil"/>
              <w:left w:val="nil"/>
              <w:bottom w:val="single" w:color="auto" w:sz="12" w:space="0"/>
              <w:right w:val="nil"/>
            </w:tcBorders>
            <w:vAlign w:val="center"/>
          </w:tcPr>
          <w:p w14:paraId="59D8DB09">
            <w:pPr>
              <w:snapToGrid w:val="0"/>
              <w:spacing w:line="360" w:lineRule="auto"/>
              <w:ind w:firstLine="0" w:firstLineChars="0"/>
              <w:rPr>
                <w:lang w:bidi="ar"/>
              </w:rPr>
            </w:pPr>
            <w:r>
              <w:rPr>
                <w:lang w:bidi="ar"/>
              </w:rPr>
              <w:t>6</w:t>
            </w:r>
          </w:p>
        </w:tc>
        <w:tc>
          <w:tcPr>
            <w:tcW w:w="1338" w:type="dxa"/>
            <w:tcBorders>
              <w:top w:val="nil"/>
              <w:left w:val="nil"/>
              <w:bottom w:val="single" w:color="auto" w:sz="12" w:space="0"/>
              <w:right w:val="nil"/>
            </w:tcBorders>
            <w:vAlign w:val="center"/>
          </w:tcPr>
          <w:p w14:paraId="6F57C1A8">
            <w:pPr>
              <w:snapToGrid w:val="0"/>
              <w:spacing w:line="360" w:lineRule="auto"/>
              <w:ind w:firstLine="0" w:firstLineChars="0"/>
              <w:rPr>
                <w:lang w:bidi="ar"/>
              </w:rPr>
            </w:pPr>
            <w:r>
              <w:rPr>
                <w:lang w:bidi="ar"/>
              </w:rPr>
              <w:t>2</w:t>
            </w:r>
          </w:p>
        </w:tc>
        <w:tc>
          <w:tcPr>
            <w:tcW w:w="2280" w:type="dxa"/>
            <w:tcBorders>
              <w:top w:val="nil"/>
              <w:left w:val="nil"/>
              <w:bottom w:val="single" w:color="auto" w:sz="12" w:space="0"/>
              <w:right w:val="nil"/>
            </w:tcBorders>
            <w:vAlign w:val="center"/>
          </w:tcPr>
          <w:p w14:paraId="14AD3E9F">
            <w:pPr>
              <w:snapToGrid w:val="0"/>
              <w:spacing w:line="360" w:lineRule="auto"/>
              <w:ind w:firstLine="0" w:firstLineChars="0"/>
              <w:rPr>
                <w:lang w:bidi="ar"/>
              </w:rPr>
            </w:pPr>
            <w:r>
              <w:rPr>
                <w:lang w:bidi="ar"/>
              </w:rPr>
              <w:t>5</w:t>
            </w:r>
          </w:p>
        </w:tc>
        <w:tc>
          <w:tcPr>
            <w:tcW w:w="2435" w:type="dxa"/>
            <w:tcBorders>
              <w:top w:val="nil"/>
              <w:left w:val="nil"/>
              <w:bottom w:val="single" w:color="auto" w:sz="12" w:space="0"/>
              <w:right w:val="nil"/>
            </w:tcBorders>
            <w:vAlign w:val="center"/>
          </w:tcPr>
          <w:p w14:paraId="55482583">
            <w:pPr>
              <w:snapToGrid w:val="0"/>
              <w:spacing w:line="360" w:lineRule="auto"/>
              <w:ind w:firstLine="0" w:firstLineChars="0"/>
              <w:rPr>
                <w:lang w:bidi="ar"/>
              </w:rPr>
            </w:pPr>
            <w:r>
              <w:rPr>
                <w:lang w:bidi="ar"/>
              </w:rPr>
              <w:t>6</w:t>
            </w:r>
          </w:p>
        </w:tc>
        <w:tc>
          <w:tcPr>
            <w:tcW w:w="1177" w:type="dxa"/>
            <w:tcBorders>
              <w:top w:val="nil"/>
              <w:left w:val="nil"/>
              <w:bottom w:val="single" w:color="auto" w:sz="12" w:space="0"/>
              <w:right w:val="nil"/>
            </w:tcBorders>
            <w:vAlign w:val="center"/>
          </w:tcPr>
          <w:p w14:paraId="7847220F">
            <w:pPr>
              <w:snapToGrid w:val="0"/>
              <w:spacing w:line="360" w:lineRule="auto"/>
              <w:ind w:firstLine="0" w:firstLineChars="0"/>
              <w:rPr>
                <w:rFonts w:hint="eastAsia" w:eastAsia="宋体"/>
                <w:lang w:val="en-US" w:eastAsia="zh-CN" w:bidi="ar"/>
              </w:rPr>
            </w:pPr>
            <w:r>
              <w:rPr>
                <w:rFonts w:hint="eastAsia"/>
                <w:lang w:val="en-US" w:eastAsia="zh-CN" w:bidi="ar"/>
              </w:rPr>
              <w:t>5</w:t>
            </w:r>
          </w:p>
        </w:tc>
      </w:tr>
    </w:tbl>
    <w:p w14:paraId="3CC9A77D">
      <w:pPr>
        <w:spacing w:line="360" w:lineRule="auto"/>
        <w:ind w:firstLine="0" w:firstLineChars="0"/>
        <w:jc w:val="both"/>
        <w:rPr>
          <w:lang w:bidi="ar"/>
        </w:rPr>
      </w:pPr>
      <w:r>
        <w:rPr>
          <w:b/>
          <w:bCs/>
          <w:lang w:bidi="ar"/>
        </w:rPr>
        <w:t>Table S</w:t>
      </w:r>
      <w:r>
        <w:rPr>
          <w:rFonts w:hint="eastAsia"/>
          <w:b/>
          <w:bCs/>
          <w:lang w:bidi="ar"/>
        </w:rPr>
        <w:t>3</w:t>
      </w:r>
      <w:r>
        <w:rPr>
          <w:b/>
          <w:bCs/>
          <w:lang w:bidi="ar"/>
        </w:rPr>
        <w:t xml:space="preserve">. </w:t>
      </w:r>
      <w:r>
        <w:rPr>
          <w:lang w:bidi="ar"/>
        </w:rPr>
        <w:t xml:space="preserve">Biochemistry test of serum in normal C57BL/6 black mice were treated with PBS, </w:t>
      </w:r>
      <w:r>
        <w:rPr>
          <w:rFonts w:hint="eastAsia"/>
          <w:lang w:bidi="ar"/>
        </w:rPr>
        <w:t>MPTP and G-Se NPs.</w:t>
      </w:r>
    </w:p>
    <w:tbl>
      <w:tblPr>
        <w:tblStyle w:val="13"/>
        <w:tblW w:w="9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1144"/>
        <w:gridCol w:w="1243"/>
        <w:gridCol w:w="1435"/>
        <w:gridCol w:w="1200"/>
        <w:gridCol w:w="1265"/>
        <w:gridCol w:w="1307"/>
        <w:gridCol w:w="1093"/>
        <w:gridCol w:w="1305"/>
      </w:tblGrid>
      <w:tr w14:paraId="4E88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1144" w:type="dxa"/>
            <w:tcBorders>
              <w:top w:val="single" w:color="auto" w:sz="12" w:space="0"/>
              <w:left w:val="nil"/>
              <w:bottom w:val="single" w:color="auto" w:sz="12" w:space="0"/>
              <w:right w:val="nil"/>
            </w:tcBorders>
            <w:vAlign w:val="center"/>
          </w:tcPr>
          <w:p w14:paraId="1F2B3C0E">
            <w:pPr>
              <w:snapToGrid w:val="0"/>
              <w:spacing w:line="360" w:lineRule="auto"/>
              <w:ind w:firstLine="0" w:firstLineChars="0"/>
              <w:rPr>
                <w:rFonts w:hint="eastAsia" w:eastAsia="宋体"/>
                <w:b/>
                <w:lang w:eastAsia="zh-CN" w:bidi="ar"/>
              </w:rPr>
            </w:pPr>
          </w:p>
        </w:tc>
        <w:tc>
          <w:tcPr>
            <w:tcW w:w="1243" w:type="dxa"/>
            <w:tcBorders>
              <w:top w:val="single" w:color="auto" w:sz="12" w:space="0"/>
              <w:left w:val="nil"/>
              <w:bottom w:val="single" w:color="auto" w:sz="12" w:space="0"/>
              <w:right w:val="nil"/>
            </w:tcBorders>
            <w:vAlign w:val="center"/>
          </w:tcPr>
          <w:p w14:paraId="58ABB02A">
            <w:pPr>
              <w:snapToGrid w:val="0"/>
              <w:spacing w:line="360" w:lineRule="auto"/>
              <w:ind w:firstLine="0" w:firstLineChars="0"/>
              <w:rPr>
                <w:rFonts w:hint="eastAsia"/>
                <w:b/>
                <w:lang w:eastAsia="zh-CN" w:bidi="ar"/>
              </w:rPr>
            </w:pPr>
            <w:r>
              <w:rPr>
                <w:rFonts w:hint="eastAsia"/>
                <w:b/>
                <w:lang w:eastAsia="zh-CN" w:bidi="ar"/>
              </w:rPr>
              <w:t xml:space="preserve">ALT </w:t>
            </w:r>
          </w:p>
          <w:p w14:paraId="27947A34">
            <w:pPr>
              <w:snapToGrid w:val="0"/>
              <w:spacing w:line="360" w:lineRule="auto"/>
              <w:ind w:firstLine="0" w:firstLineChars="0"/>
              <w:rPr>
                <w:rFonts w:hint="eastAsia"/>
                <w:b/>
                <w:lang w:eastAsia="zh-CN" w:bidi="ar"/>
              </w:rPr>
            </w:pPr>
            <w:r>
              <w:rPr>
                <w:rFonts w:hint="eastAsia"/>
                <w:b/>
                <w:lang w:eastAsia="zh-CN" w:bidi="ar"/>
              </w:rPr>
              <w:t>(U/L)</w:t>
            </w:r>
          </w:p>
        </w:tc>
        <w:tc>
          <w:tcPr>
            <w:tcW w:w="1435" w:type="dxa"/>
            <w:tcBorders>
              <w:top w:val="single" w:color="auto" w:sz="12" w:space="0"/>
              <w:left w:val="nil"/>
              <w:bottom w:val="single" w:color="auto" w:sz="12" w:space="0"/>
              <w:right w:val="nil"/>
            </w:tcBorders>
            <w:vAlign w:val="center"/>
          </w:tcPr>
          <w:p w14:paraId="4D92153F">
            <w:pPr>
              <w:snapToGrid w:val="0"/>
              <w:spacing w:line="360" w:lineRule="auto"/>
              <w:ind w:firstLine="0" w:firstLineChars="0"/>
              <w:rPr>
                <w:rFonts w:hint="eastAsia"/>
                <w:b/>
                <w:lang w:eastAsia="zh-CN" w:bidi="ar"/>
              </w:rPr>
            </w:pPr>
            <w:r>
              <w:rPr>
                <w:rFonts w:hint="eastAsia"/>
                <w:b/>
                <w:lang w:eastAsia="zh-CN" w:bidi="ar"/>
              </w:rPr>
              <w:t>AST</w:t>
            </w:r>
          </w:p>
          <w:p w14:paraId="10173C0E">
            <w:pPr>
              <w:snapToGrid w:val="0"/>
              <w:spacing w:line="360" w:lineRule="auto"/>
              <w:ind w:firstLine="0" w:firstLineChars="0"/>
              <w:rPr>
                <w:rFonts w:hint="eastAsia"/>
                <w:b/>
                <w:lang w:eastAsia="zh-CN" w:bidi="ar"/>
              </w:rPr>
            </w:pPr>
            <w:r>
              <w:rPr>
                <w:rFonts w:hint="eastAsia"/>
                <w:b/>
                <w:lang w:eastAsia="zh-CN" w:bidi="ar"/>
              </w:rPr>
              <w:t>(U/L)</w:t>
            </w:r>
          </w:p>
        </w:tc>
        <w:tc>
          <w:tcPr>
            <w:tcW w:w="1200" w:type="dxa"/>
            <w:tcBorders>
              <w:top w:val="single" w:color="auto" w:sz="12" w:space="0"/>
              <w:left w:val="nil"/>
              <w:bottom w:val="single" w:color="auto" w:sz="12" w:space="0"/>
              <w:right w:val="nil"/>
            </w:tcBorders>
            <w:vAlign w:val="center"/>
          </w:tcPr>
          <w:p w14:paraId="7845F17E">
            <w:pPr>
              <w:snapToGrid w:val="0"/>
              <w:spacing w:line="360" w:lineRule="auto"/>
              <w:ind w:firstLine="0" w:firstLineChars="0"/>
              <w:rPr>
                <w:rFonts w:hint="eastAsia"/>
                <w:b/>
                <w:lang w:eastAsia="zh-CN" w:bidi="ar"/>
              </w:rPr>
            </w:pPr>
            <w:r>
              <w:rPr>
                <w:rFonts w:hint="eastAsia"/>
                <w:b/>
                <w:lang w:eastAsia="zh-CN" w:bidi="ar"/>
              </w:rPr>
              <w:t xml:space="preserve">TBIL </w:t>
            </w:r>
          </w:p>
          <w:p w14:paraId="20C3B33E">
            <w:pPr>
              <w:snapToGrid w:val="0"/>
              <w:spacing w:line="360" w:lineRule="auto"/>
              <w:ind w:firstLine="0" w:firstLineChars="0"/>
              <w:rPr>
                <w:rFonts w:hint="eastAsia"/>
                <w:b/>
                <w:lang w:eastAsia="zh-CN" w:bidi="ar"/>
              </w:rPr>
            </w:pPr>
            <w:r>
              <w:rPr>
                <w:rFonts w:hint="eastAsia"/>
                <w:b/>
                <w:lang w:eastAsia="zh-CN" w:bidi="ar"/>
              </w:rPr>
              <w:t>(</w:t>
            </w:r>
            <w:r>
              <w:rPr>
                <w:rFonts w:hint="default" w:ascii="Times New Roman" w:hAnsi="Times New Roman" w:cs="Times New Roman"/>
                <w:b/>
                <w:lang w:eastAsia="zh-CN" w:bidi="ar"/>
              </w:rPr>
              <w:t>μ</w:t>
            </w:r>
            <w:r>
              <w:rPr>
                <w:rFonts w:hint="eastAsia"/>
                <w:b/>
                <w:lang w:eastAsia="zh-CN" w:bidi="ar"/>
              </w:rPr>
              <w:t>mol/L)</w:t>
            </w:r>
          </w:p>
        </w:tc>
        <w:tc>
          <w:tcPr>
            <w:tcW w:w="1265" w:type="dxa"/>
            <w:tcBorders>
              <w:top w:val="single" w:color="auto" w:sz="12" w:space="0"/>
              <w:left w:val="nil"/>
              <w:bottom w:val="single" w:color="auto" w:sz="12" w:space="0"/>
              <w:right w:val="nil"/>
            </w:tcBorders>
            <w:vAlign w:val="center"/>
          </w:tcPr>
          <w:p w14:paraId="6958ED04">
            <w:pPr>
              <w:snapToGrid w:val="0"/>
              <w:spacing w:line="360" w:lineRule="auto"/>
              <w:ind w:firstLine="0" w:firstLineChars="0"/>
              <w:rPr>
                <w:rFonts w:hint="eastAsia"/>
                <w:b/>
                <w:lang w:eastAsia="zh-CN" w:bidi="ar"/>
              </w:rPr>
            </w:pPr>
            <w:r>
              <w:rPr>
                <w:rFonts w:hint="eastAsia"/>
                <w:b/>
                <w:lang w:eastAsia="zh-CN" w:bidi="ar"/>
              </w:rPr>
              <w:t>TP</w:t>
            </w:r>
          </w:p>
          <w:p w14:paraId="2E4E6649">
            <w:pPr>
              <w:snapToGrid w:val="0"/>
              <w:spacing w:line="360" w:lineRule="auto"/>
              <w:ind w:firstLine="0" w:firstLineChars="0"/>
              <w:rPr>
                <w:rFonts w:hint="eastAsia" w:eastAsia="宋体"/>
                <w:b/>
                <w:lang w:eastAsia="zh-CN" w:bidi="ar"/>
              </w:rPr>
            </w:pPr>
            <w:r>
              <w:rPr>
                <w:rFonts w:hint="eastAsia"/>
                <w:b/>
                <w:lang w:eastAsia="zh-CN" w:bidi="ar"/>
              </w:rPr>
              <w:t xml:space="preserve"> (g/L)</w:t>
            </w:r>
          </w:p>
        </w:tc>
        <w:tc>
          <w:tcPr>
            <w:tcW w:w="1307" w:type="dxa"/>
            <w:tcBorders>
              <w:top w:val="single" w:color="auto" w:sz="12" w:space="0"/>
              <w:left w:val="nil"/>
              <w:bottom w:val="single" w:color="auto" w:sz="12" w:space="0"/>
              <w:right w:val="nil"/>
            </w:tcBorders>
            <w:vAlign w:val="center"/>
          </w:tcPr>
          <w:p w14:paraId="10B6CD92">
            <w:pPr>
              <w:snapToGrid w:val="0"/>
              <w:spacing w:line="360" w:lineRule="auto"/>
              <w:ind w:firstLine="0" w:firstLineChars="0"/>
              <w:rPr>
                <w:rFonts w:hint="eastAsia"/>
                <w:b/>
                <w:lang w:eastAsia="zh-CN" w:bidi="ar"/>
              </w:rPr>
            </w:pPr>
            <w:r>
              <w:rPr>
                <w:rFonts w:hint="eastAsia"/>
                <w:b/>
                <w:lang w:eastAsia="zh-CN" w:bidi="ar"/>
              </w:rPr>
              <w:t xml:space="preserve">ALB </w:t>
            </w:r>
          </w:p>
          <w:p w14:paraId="0F5130E3">
            <w:pPr>
              <w:snapToGrid w:val="0"/>
              <w:spacing w:line="360" w:lineRule="auto"/>
              <w:ind w:firstLine="0" w:firstLineChars="0"/>
              <w:rPr>
                <w:rFonts w:hint="eastAsia"/>
                <w:b/>
                <w:lang w:eastAsia="zh-CN" w:bidi="ar"/>
              </w:rPr>
            </w:pPr>
            <w:r>
              <w:rPr>
                <w:rFonts w:hint="eastAsia"/>
                <w:b/>
                <w:lang w:eastAsia="zh-CN" w:bidi="ar"/>
              </w:rPr>
              <w:t>(g/L)</w:t>
            </w:r>
          </w:p>
        </w:tc>
        <w:tc>
          <w:tcPr>
            <w:tcW w:w="1093" w:type="dxa"/>
            <w:tcBorders>
              <w:top w:val="single" w:color="auto" w:sz="12" w:space="0"/>
              <w:left w:val="nil"/>
              <w:bottom w:val="single" w:color="auto" w:sz="12" w:space="0"/>
              <w:right w:val="nil"/>
            </w:tcBorders>
            <w:vAlign w:val="center"/>
          </w:tcPr>
          <w:p w14:paraId="2428C8DB">
            <w:pPr>
              <w:snapToGrid w:val="0"/>
              <w:spacing w:line="360" w:lineRule="auto"/>
              <w:ind w:firstLine="0" w:firstLineChars="0"/>
              <w:rPr>
                <w:rFonts w:hint="eastAsia"/>
                <w:b/>
                <w:lang w:eastAsia="zh-CN" w:bidi="ar"/>
              </w:rPr>
            </w:pPr>
            <w:r>
              <w:rPr>
                <w:rFonts w:hint="eastAsia"/>
                <w:b/>
                <w:lang w:eastAsia="zh-CN" w:bidi="ar"/>
              </w:rPr>
              <w:t xml:space="preserve">UREA </w:t>
            </w:r>
          </w:p>
          <w:p w14:paraId="5A1B6334">
            <w:pPr>
              <w:snapToGrid w:val="0"/>
              <w:spacing w:line="360" w:lineRule="auto"/>
              <w:ind w:firstLine="0" w:firstLineChars="0"/>
              <w:rPr>
                <w:rFonts w:hint="eastAsia"/>
                <w:b/>
                <w:lang w:eastAsia="zh-CN" w:bidi="ar"/>
              </w:rPr>
            </w:pPr>
            <w:r>
              <w:rPr>
                <w:rFonts w:hint="eastAsia"/>
                <w:b/>
                <w:lang w:eastAsia="zh-CN" w:bidi="ar"/>
              </w:rPr>
              <w:t>(mmol/L)</w:t>
            </w:r>
          </w:p>
        </w:tc>
        <w:tc>
          <w:tcPr>
            <w:tcW w:w="1305" w:type="dxa"/>
            <w:tcBorders>
              <w:top w:val="single" w:color="auto" w:sz="12" w:space="0"/>
              <w:left w:val="nil"/>
              <w:bottom w:val="single" w:color="auto" w:sz="12" w:space="0"/>
              <w:right w:val="nil"/>
            </w:tcBorders>
            <w:vAlign w:val="center"/>
          </w:tcPr>
          <w:p w14:paraId="6AECBE08">
            <w:pPr>
              <w:snapToGrid w:val="0"/>
              <w:spacing w:line="360" w:lineRule="auto"/>
              <w:ind w:firstLine="0" w:firstLineChars="0"/>
              <w:rPr>
                <w:rFonts w:hint="eastAsia"/>
                <w:b/>
                <w:lang w:eastAsia="zh-CN" w:bidi="ar"/>
              </w:rPr>
            </w:pPr>
            <w:r>
              <w:rPr>
                <w:rFonts w:hint="eastAsia"/>
                <w:b/>
                <w:lang w:eastAsia="zh-CN" w:bidi="ar"/>
              </w:rPr>
              <w:t>BUN</w:t>
            </w:r>
          </w:p>
          <w:p w14:paraId="75AED0AB">
            <w:pPr>
              <w:snapToGrid w:val="0"/>
              <w:spacing w:line="360" w:lineRule="auto"/>
              <w:ind w:firstLine="0" w:firstLineChars="0"/>
              <w:rPr>
                <w:rFonts w:hint="eastAsia" w:eastAsia="宋体"/>
                <w:b/>
                <w:lang w:eastAsia="zh-CN" w:bidi="ar"/>
              </w:rPr>
            </w:pPr>
            <w:r>
              <w:rPr>
                <w:rFonts w:hint="eastAsia"/>
                <w:b/>
                <w:lang w:eastAsia="zh-CN" w:bidi="ar"/>
              </w:rPr>
              <w:t xml:space="preserve"> (mg/dL)</w:t>
            </w:r>
          </w:p>
        </w:tc>
      </w:tr>
      <w:tr w14:paraId="2192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144" w:type="dxa"/>
            <w:tcBorders>
              <w:top w:val="single" w:color="auto" w:sz="12" w:space="0"/>
              <w:left w:val="nil"/>
              <w:bottom w:val="nil"/>
              <w:right w:val="nil"/>
            </w:tcBorders>
            <w:vAlign w:val="center"/>
          </w:tcPr>
          <w:p w14:paraId="5998D323">
            <w:pPr>
              <w:snapToGrid w:val="0"/>
              <w:spacing w:line="360" w:lineRule="auto"/>
              <w:ind w:firstLine="0" w:firstLineChars="0"/>
              <w:rPr>
                <w:sz w:val="21"/>
                <w:lang w:bidi="ar"/>
              </w:rPr>
            </w:pPr>
            <w:r>
              <w:rPr>
                <w:sz w:val="21"/>
                <w:lang w:bidi="ar"/>
              </w:rPr>
              <w:t>Reference</w:t>
            </w:r>
          </w:p>
        </w:tc>
        <w:tc>
          <w:tcPr>
            <w:tcW w:w="1243" w:type="dxa"/>
            <w:tcBorders>
              <w:top w:val="single" w:color="auto" w:sz="12" w:space="0"/>
              <w:left w:val="nil"/>
              <w:bottom w:val="nil"/>
              <w:right w:val="nil"/>
            </w:tcBorders>
            <w:vAlign w:val="center"/>
          </w:tcPr>
          <w:p w14:paraId="56E8CBC4">
            <w:pPr>
              <w:snapToGrid w:val="0"/>
              <w:spacing w:line="360" w:lineRule="auto"/>
              <w:ind w:firstLine="0" w:firstLineChars="0"/>
              <w:rPr>
                <w:sz w:val="21"/>
                <w:lang w:bidi="ar"/>
              </w:rPr>
            </w:pPr>
            <w:r>
              <w:rPr>
                <w:sz w:val="21"/>
                <w:lang w:bidi="ar"/>
              </w:rPr>
              <w:t>10.06–96.47</w:t>
            </w:r>
          </w:p>
        </w:tc>
        <w:tc>
          <w:tcPr>
            <w:tcW w:w="1435" w:type="dxa"/>
            <w:tcBorders>
              <w:top w:val="single" w:color="auto" w:sz="12" w:space="0"/>
              <w:left w:val="nil"/>
              <w:bottom w:val="nil"/>
              <w:right w:val="nil"/>
            </w:tcBorders>
            <w:vAlign w:val="center"/>
          </w:tcPr>
          <w:p w14:paraId="3BDE072E">
            <w:pPr>
              <w:snapToGrid w:val="0"/>
              <w:spacing w:line="360" w:lineRule="auto"/>
              <w:ind w:firstLine="0" w:firstLineChars="0"/>
              <w:rPr>
                <w:sz w:val="21"/>
                <w:lang w:bidi="ar"/>
              </w:rPr>
            </w:pPr>
            <w:r>
              <w:rPr>
                <w:sz w:val="21"/>
                <w:lang w:bidi="ar"/>
              </w:rPr>
              <w:t>36.31–235.48</w:t>
            </w:r>
          </w:p>
        </w:tc>
        <w:tc>
          <w:tcPr>
            <w:tcW w:w="1200" w:type="dxa"/>
            <w:tcBorders>
              <w:top w:val="single" w:color="auto" w:sz="12" w:space="0"/>
              <w:left w:val="nil"/>
              <w:bottom w:val="nil"/>
              <w:right w:val="nil"/>
            </w:tcBorders>
            <w:vAlign w:val="center"/>
          </w:tcPr>
          <w:p w14:paraId="4FC6358B">
            <w:pPr>
              <w:snapToGrid w:val="0"/>
              <w:spacing w:line="360" w:lineRule="auto"/>
              <w:ind w:firstLine="0" w:firstLineChars="0"/>
              <w:rPr>
                <w:sz w:val="21"/>
                <w:lang w:bidi="ar"/>
              </w:rPr>
            </w:pPr>
            <w:r>
              <w:rPr>
                <w:sz w:val="21"/>
                <w:lang w:bidi="ar"/>
              </w:rPr>
              <w:t>0.45–33.89</w:t>
            </w:r>
          </w:p>
        </w:tc>
        <w:tc>
          <w:tcPr>
            <w:tcW w:w="1265" w:type="dxa"/>
            <w:tcBorders>
              <w:top w:val="single" w:color="auto" w:sz="12" w:space="0"/>
              <w:left w:val="nil"/>
              <w:bottom w:val="nil"/>
              <w:right w:val="nil"/>
            </w:tcBorders>
            <w:vAlign w:val="center"/>
          </w:tcPr>
          <w:p w14:paraId="0200FA6E">
            <w:pPr>
              <w:snapToGrid w:val="0"/>
              <w:spacing w:line="360" w:lineRule="auto"/>
              <w:ind w:firstLine="0" w:firstLineChars="0"/>
              <w:rPr>
                <w:sz w:val="21"/>
                <w:lang w:bidi="ar"/>
              </w:rPr>
            </w:pPr>
            <w:r>
              <w:rPr>
                <w:sz w:val="21"/>
                <w:lang w:bidi="ar"/>
              </w:rPr>
              <w:t>38.02–75.06</w:t>
            </w:r>
          </w:p>
        </w:tc>
        <w:tc>
          <w:tcPr>
            <w:tcW w:w="1307" w:type="dxa"/>
            <w:tcBorders>
              <w:top w:val="single" w:color="auto" w:sz="12" w:space="0"/>
              <w:left w:val="nil"/>
              <w:bottom w:val="nil"/>
              <w:right w:val="nil"/>
            </w:tcBorders>
            <w:vAlign w:val="center"/>
          </w:tcPr>
          <w:p w14:paraId="7A93F4C5">
            <w:pPr>
              <w:snapToGrid w:val="0"/>
              <w:spacing w:line="360" w:lineRule="auto"/>
              <w:ind w:firstLine="0" w:firstLineChars="0"/>
              <w:rPr>
                <w:sz w:val="21"/>
                <w:lang w:bidi="ar"/>
              </w:rPr>
            </w:pPr>
            <w:r>
              <w:rPr>
                <w:sz w:val="21"/>
                <w:lang w:bidi="ar"/>
              </w:rPr>
              <w:t>21.22–39.15</w:t>
            </w:r>
          </w:p>
        </w:tc>
        <w:tc>
          <w:tcPr>
            <w:tcW w:w="1093" w:type="dxa"/>
            <w:tcBorders>
              <w:top w:val="single" w:color="auto" w:sz="12" w:space="0"/>
              <w:left w:val="nil"/>
              <w:bottom w:val="nil"/>
              <w:right w:val="nil"/>
            </w:tcBorders>
            <w:vAlign w:val="center"/>
          </w:tcPr>
          <w:p w14:paraId="19222D38">
            <w:pPr>
              <w:snapToGrid w:val="0"/>
              <w:spacing w:line="360" w:lineRule="auto"/>
              <w:ind w:firstLine="0" w:firstLineChars="0"/>
              <w:rPr>
                <w:sz w:val="21"/>
                <w:lang w:bidi="ar"/>
              </w:rPr>
            </w:pPr>
            <w:r>
              <w:rPr>
                <w:sz w:val="21"/>
                <w:lang w:bidi="ar"/>
              </w:rPr>
              <w:t>3.9–12.4</w:t>
            </w:r>
          </w:p>
        </w:tc>
        <w:tc>
          <w:tcPr>
            <w:tcW w:w="1305" w:type="dxa"/>
            <w:tcBorders>
              <w:top w:val="single" w:color="auto" w:sz="12" w:space="0"/>
              <w:left w:val="nil"/>
              <w:bottom w:val="nil"/>
              <w:right w:val="nil"/>
            </w:tcBorders>
            <w:vAlign w:val="center"/>
          </w:tcPr>
          <w:p w14:paraId="4F2D8D4B">
            <w:pPr>
              <w:snapToGrid w:val="0"/>
              <w:spacing w:line="360" w:lineRule="auto"/>
              <w:ind w:firstLine="0" w:firstLineChars="0"/>
              <w:rPr>
                <w:sz w:val="21"/>
                <w:lang w:bidi="ar"/>
              </w:rPr>
            </w:pPr>
            <w:r>
              <w:rPr>
                <w:sz w:val="21"/>
                <w:lang w:bidi="ar"/>
              </w:rPr>
              <w:t>10.81–34.74</w:t>
            </w:r>
          </w:p>
        </w:tc>
      </w:tr>
      <w:tr w14:paraId="6FFD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144" w:type="dxa"/>
            <w:tcBorders>
              <w:top w:val="nil"/>
              <w:left w:val="nil"/>
              <w:bottom w:val="nil"/>
              <w:right w:val="nil"/>
            </w:tcBorders>
            <w:vAlign w:val="center"/>
          </w:tcPr>
          <w:p w14:paraId="04005A36">
            <w:pPr>
              <w:snapToGrid w:val="0"/>
              <w:spacing w:line="360" w:lineRule="auto"/>
              <w:ind w:firstLine="0" w:firstLineChars="0"/>
              <w:rPr>
                <w:sz w:val="21"/>
                <w:lang w:bidi="ar"/>
              </w:rPr>
            </w:pPr>
            <w:r>
              <w:rPr>
                <w:sz w:val="21"/>
                <w:lang w:bidi="ar"/>
              </w:rPr>
              <w:t>PBS</w:t>
            </w:r>
          </w:p>
        </w:tc>
        <w:tc>
          <w:tcPr>
            <w:tcW w:w="1243" w:type="dxa"/>
            <w:tcBorders>
              <w:top w:val="nil"/>
              <w:left w:val="nil"/>
              <w:bottom w:val="nil"/>
              <w:right w:val="nil"/>
            </w:tcBorders>
            <w:vAlign w:val="center"/>
          </w:tcPr>
          <w:p w14:paraId="1C918CC1">
            <w:pPr>
              <w:snapToGrid w:val="0"/>
              <w:spacing w:line="360" w:lineRule="auto"/>
              <w:ind w:firstLine="0" w:firstLineChars="0"/>
              <w:rPr>
                <w:sz w:val="21"/>
                <w:lang w:bidi="ar"/>
              </w:rPr>
            </w:pPr>
            <w:r>
              <w:rPr>
                <w:sz w:val="21"/>
                <w:lang w:bidi="ar"/>
              </w:rPr>
              <w:t>43.207</w:t>
            </w:r>
          </w:p>
        </w:tc>
        <w:tc>
          <w:tcPr>
            <w:tcW w:w="1435" w:type="dxa"/>
            <w:tcBorders>
              <w:top w:val="nil"/>
              <w:left w:val="nil"/>
              <w:bottom w:val="nil"/>
              <w:right w:val="nil"/>
            </w:tcBorders>
            <w:vAlign w:val="center"/>
          </w:tcPr>
          <w:p w14:paraId="16D1985D">
            <w:pPr>
              <w:snapToGrid w:val="0"/>
              <w:spacing w:line="360" w:lineRule="auto"/>
              <w:ind w:firstLine="0" w:firstLineChars="0"/>
              <w:rPr>
                <w:sz w:val="21"/>
                <w:lang w:bidi="ar"/>
              </w:rPr>
            </w:pPr>
            <w:r>
              <w:rPr>
                <w:sz w:val="21"/>
                <w:lang w:bidi="ar"/>
              </w:rPr>
              <w:t>292.344</w:t>
            </w:r>
          </w:p>
        </w:tc>
        <w:tc>
          <w:tcPr>
            <w:tcW w:w="1200" w:type="dxa"/>
            <w:tcBorders>
              <w:top w:val="nil"/>
              <w:left w:val="nil"/>
              <w:bottom w:val="nil"/>
              <w:right w:val="nil"/>
            </w:tcBorders>
            <w:vAlign w:val="center"/>
          </w:tcPr>
          <w:p w14:paraId="01CEEFDF">
            <w:pPr>
              <w:snapToGrid w:val="0"/>
              <w:spacing w:line="360" w:lineRule="auto"/>
              <w:ind w:firstLine="0" w:firstLineChars="0"/>
              <w:rPr>
                <w:sz w:val="21"/>
                <w:lang w:bidi="ar"/>
              </w:rPr>
            </w:pPr>
            <w:r>
              <w:rPr>
                <w:sz w:val="21"/>
                <w:lang w:bidi="ar"/>
              </w:rPr>
              <w:t>17.729</w:t>
            </w:r>
          </w:p>
        </w:tc>
        <w:tc>
          <w:tcPr>
            <w:tcW w:w="1265" w:type="dxa"/>
            <w:tcBorders>
              <w:top w:val="nil"/>
              <w:left w:val="nil"/>
              <w:bottom w:val="nil"/>
              <w:right w:val="nil"/>
            </w:tcBorders>
            <w:vAlign w:val="center"/>
          </w:tcPr>
          <w:p w14:paraId="7AD4E772">
            <w:pPr>
              <w:snapToGrid w:val="0"/>
              <w:spacing w:line="360" w:lineRule="auto"/>
              <w:ind w:firstLine="0" w:firstLineChars="0"/>
              <w:rPr>
                <w:sz w:val="21"/>
                <w:lang w:bidi="ar"/>
              </w:rPr>
            </w:pPr>
            <w:r>
              <w:rPr>
                <w:sz w:val="21"/>
                <w:lang w:bidi="ar"/>
              </w:rPr>
              <w:t>54.762</w:t>
            </w:r>
          </w:p>
        </w:tc>
        <w:tc>
          <w:tcPr>
            <w:tcW w:w="1307" w:type="dxa"/>
            <w:tcBorders>
              <w:top w:val="nil"/>
              <w:left w:val="nil"/>
              <w:bottom w:val="nil"/>
              <w:right w:val="nil"/>
            </w:tcBorders>
            <w:vAlign w:val="center"/>
          </w:tcPr>
          <w:p w14:paraId="54BFEB6A">
            <w:pPr>
              <w:snapToGrid w:val="0"/>
              <w:spacing w:line="360" w:lineRule="auto"/>
              <w:ind w:firstLine="0" w:firstLineChars="0"/>
              <w:rPr>
                <w:sz w:val="21"/>
                <w:lang w:bidi="ar"/>
              </w:rPr>
            </w:pPr>
            <w:r>
              <w:rPr>
                <w:sz w:val="21"/>
                <w:lang w:bidi="ar"/>
              </w:rPr>
              <w:t>28.981</w:t>
            </w:r>
          </w:p>
        </w:tc>
        <w:tc>
          <w:tcPr>
            <w:tcW w:w="1093" w:type="dxa"/>
            <w:tcBorders>
              <w:top w:val="nil"/>
              <w:left w:val="nil"/>
              <w:bottom w:val="nil"/>
              <w:right w:val="nil"/>
            </w:tcBorders>
            <w:vAlign w:val="center"/>
          </w:tcPr>
          <w:p w14:paraId="61B71ABF">
            <w:pPr>
              <w:snapToGrid w:val="0"/>
              <w:spacing w:line="360" w:lineRule="auto"/>
              <w:ind w:firstLine="0" w:firstLineChars="0"/>
              <w:rPr>
                <w:sz w:val="21"/>
                <w:lang w:bidi="ar"/>
              </w:rPr>
            </w:pPr>
            <w:r>
              <w:rPr>
                <w:sz w:val="21"/>
                <w:lang w:bidi="ar"/>
              </w:rPr>
              <w:t>12.194</w:t>
            </w:r>
          </w:p>
        </w:tc>
        <w:tc>
          <w:tcPr>
            <w:tcW w:w="1305" w:type="dxa"/>
            <w:tcBorders>
              <w:top w:val="nil"/>
              <w:left w:val="nil"/>
              <w:bottom w:val="nil"/>
              <w:right w:val="nil"/>
            </w:tcBorders>
            <w:vAlign w:val="center"/>
          </w:tcPr>
          <w:p w14:paraId="4889F80A">
            <w:pPr>
              <w:snapToGrid w:val="0"/>
              <w:spacing w:line="360" w:lineRule="auto"/>
              <w:ind w:firstLine="0" w:firstLineChars="0"/>
              <w:rPr>
                <w:sz w:val="21"/>
                <w:lang w:bidi="ar"/>
              </w:rPr>
            </w:pPr>
            <w:r>
              <w:rPr>
                <w:sz w:val="21"/>
                <w:lang w:bidi="ar"/>
              </w:rPr>
              <w:t>34.143</w:t>
            </w:r>
          </w:p>
        </w:tc>
      </w:tr>
      <w:tr w14:paraId="457F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144" w:type="dxa"/>
            <w:tcBorders>
              <w:top w:val="nil"/>
              <w:left w:val="nil"/>
              <w:bottom w:val="nil"/>
              <w:right w:val="nil"/>
            </w:tcBorders>
            <w:vAlign w:val="center"/>
          </w:tcPr>
          <w:p w14:paraId="6816CAB7">
            <w:pPr>
              <w:snapToGrid w:val="0"/>
              <w:spacing w:line="360" w:lineRule="auto"/>
              <w:ind w:firstLine="0" w:firstLineChars="0"/>
              <w:rPr>
                <w:sz w:val="21"/>
                <w:lang w:bidi="ar"/>
              </w:rPr>
            </w:pPr>
            <w:r>
              <w:rPr>
                <w:sz w:val="21"/>
                <w:lang w:bidi="ar"/>
              </w:rPr>
              <w:t>MPTP</w:t>
            </w:r>
          </w:p>
        </w:tc>
        <w:tc>
          <w:tcPr>
            <w:tcW w:w="1243" w:type="dxa"/>
            <w:tcBorders>
              <w:top w:val="nil"/>
              <w:left w:val="nil"/>
              <w:bottom w:val="nil"/>
              <w:right w:val="nil"/>
            </w:tcBorders>
            <w:vAlign w:val="center"/>
          </w:tcPr>
          <w:p w14:paraId="4D6BB668">
            <w:pPr>
              <w:snapToGrid w:val="0"/>
              <w:spacing w:line="360" w:lineRule="auto"/>
              <w:ind w:firstLine="0" w:firstLineChars="0"/>
              <w:rPr>
                <w:sz w:val="21"/>
                <w:lang w:bidi="ar"/>
              </w:rPr>
            </w:pPr>
            <w:r>
              <w:rPr>
                <w:sz w:val="21"/>
                <w:lang w:bidi="ar"/>
              </w:rPr>
              <w:t>42.259</w:t>
            </w:r>
          </w:p>
        </w:tc>
        <w:tc>
          <w:tcPr>
            <w:tcW w:w="1435" w:type="dxa"/>
            <w:tcBorders>
              <w:top w:val="nil"/>
              <w:left w:val="nil"/>
              <w:bottom w:val="nil"/>
              <w:right w:val="nil"/>
            </w:tcBorders>
            <w:vAlign w:val="center"/>
          </w:tcPr>
          <w:p w14:paraId="38418B26">
            <w:pPr>
              <w:snapToGrid w:val="0"/>
              <w:spacing w:line="360" w:lineRule="auto"/>
              <w:ind w:firstLine="0" w:firstLineChars="0"/>
              <w:rPr>
                <w:sz w:val="21"/>
                <w:lang w:bidi="ar"/>
              </w:rPr>
            </w:pPr>
            <w:r>
              <w:rPr>
                <w:sz w:val="21"/>
                <w:lang w:bidi="ar"/>
              </w:rPr>
              <w:t>165.792</w:t>
            </w:r>
          </w:p>
        </w:tc>
        <w:tc>
          <w:tcPr>
            <w:tcW w:w="1200" w:type="dxa"/>
            <w:tcBorders>
              <w:top w:val="nil"/>
              <w:left w:val="nil"/>
              <w:bottom w:val="nil"/>
              <w:right w:val="nil"/>
            </w:tcBorders>
            <w:vAlign w:val="center"/>
          </w:tcPr>
          <w:p w14:paraId="458402B4">
            <w:pPr>
              <w:snapToGrid w:val="0"/>
              <w:spacing w:line="360" w:lineRule="auto"/>
              <w:ind w:firstLine="0" w:firstLineChars="0"/>
              <w:rPr>
                <w:sz w:val="21"/>
                <w:lang w:bidi="ar"/>
              </w:rPr>
            </w:pPr>
            <w:r>
              <w:rPr>
                <w:sz w:val="21"/>
                <w:lang w:bidi="ar"/>
              </w:rPr>
              <w:t>9.928</w:t>
            </w:r>
          </w:p>
        </w:tc>
        <w:tc>
          <w:tcPr>
            <w:tcW w:w="1265" w:type="dxa"/>
            <w:tcBorders>
              <w:top w:val="nil"/>
              <w:left w:val="nil"/>
              <w:bottom w:val="nil"/>
              <w:right w:val="nil"/>
            </w:tcBorders>
            <w:vAlign w:val="center"/>
          </w:tcPr>
          <w:p w14:paraId="74687B52">
            <w:pPr>
              <w:snapToGrid w:val="0"/>
              <w:spacing w:line="360" w:lineRule="auto"/>
              <w:ind w:firstLine="0" w:firstLineChars="0"/>
              <w:rPr>
                <w:sz w:val="21"/>
                <w:lang w:bidi="ar"/>
              </w:rPr>
            </w:pPr>
            <w:r>
              <w:rPr>
                <w:sz w:val="21"/>
                <w:lang w:bidi="ar"/>
              </w:rPr>
              <w:t>48.939</w:t>
            </w:r>
          </w:p>
        </w:tc>
        <w:tc>
          <w:tcPr>
            <w:tcW w:w="1307" w:type="dxa"/>
            <w:tcBorders>
              <w:top w:val="nil"/>
              <w:left w:val="nil"/>
              <w:bottom w:val="nil"/>
              <w:right w:val="nil"/>
            </w:tcBorders>
            <w:vAlign w:val="center"/>
          </w:tcPr>
          <w:p w14:paraId="674FE103">
            <w:pPr>
              <w:snapToGrid w:val="0"/>
              <w:spacing w:line="360" w:lineRule="auto"/>
              <w:ind w:firstLine="0" w:firstLineChars="0"/>
              <w:rPr>
                <w:sz w:val="21"/>
                <w:lang w:bidi="ar"/>
              </w:rPr>
            </w:pPr>
            <w:r>
              <w:rPr>
                <w:sz w:val="21"/>
                <w:lang w:bidi="ar"/>
              </w:rPr>
              <w:t>30.938</w:t>
            </w:r>
          </w:p>
        </w:tc>
        <w:tc>
          <w:tcPr>
            <w:tcW w:w="1093" w:type="dxa"/>
            <w:tcBorders>
              <w:top w:val="nil"/>
              <w:left w:val="nil"/>
              <w:bottom w:val="nil"/>
              <w:right w:val="nil"/>
            </w:tcBorders>
            <w:vAlign w:val="center"/>
          </w:tcPr>
          <w:p w14:paraId="7E782367">
            <w:pPr>
              <w:snapToGrid w:val="0"/>
              <w:spacing w:line="360" w:lineRule="auto"/>
              <w:ind w:firstLine="0" w:firstLineChars="0"/>
              <w:rPr>
                <w:sz w:val="21"/>
                <w:lang w:bidi="ar"/>
              </w:rPr>
            </w:pPr>
            <w:r>
              <w:rPr>
                <w:sz w:val="21"/>
                <w:lang w:bidi="ar"/>
              </w:rPr>
              <w:t>10.853</w:t>
            </w:r>
          </w:p>
        </w:tc>
        <w:tc>
          <w:tcPr>
            <w:tcW w:w="1305" w:type="dxa"/>
            <w:tcBorders>
              <w:top w:val="nil"/>
              <w:left w:val="nil"/>
              <w:bottom w:val="nil"/>
              <w:right w:val="nil"/>
            </w:tcBorders>
            <w:vAlign w:val="center"/>
          </w:tcPr>
          <w:p w14:paraId="61F31529">
            <w:pPr>
              <w:snapToGrid w:val="0"/>
              <w:spacing w:line="360" w:lineRule="auto"/>
              <w:ind w:firstLine="0" w:firstLineChars="0"/>
              <w:rPr>
                <w:sz w:val="21"/>
                <w:lang w:bidi="ar"/>
              </w:rPr>
            </w:pPr>
            <w:r>
              <w:rPr>
                <w:sz w:val="21"/>
                <w:lang w:bidi="ar"/>
              </w:rPr>
              <w:t>30.388</w:t>
            </w:r>
          </w:p>
        </w:tc>
      </w:tr>
      <w:tr w14:paraId="0F0B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144" w:type="dxa"/>
            <w:tcBorders>
              <w:top w:val="nil"/>
              <w:left w:val="nil"/>
              <w:bottom w:val="nil"/>
              <w:right w:val="nil"/>
            </w:tcBorders>
            <w:vAlign w:val="center"/>
          </w:tcPr>
          <w:p w14:paraId="4ED1A1EE">
            <w:pPr>
              <w:snapToGrid w:val="0"/>
              <w:spacing w:line="360" w:lineRule="auto"/>
              <w:ind w:firstLine="0" w:firstLineChars="0"/>
              <w:rPr>
                <w:sz w:val="21"/>
                <w:lang w:bidi="ar"/>
              </w:rPr>
            </w:pPr>
            <w:r>
              <w:rPr>
                <w:sz w:val="21"/>
                <w:lang w:bidi="ar"/>
              </w:rPr>
              <w:t>G-Se NPs</w:t>
            </w:r>
          </w:p>
        </w:tc>
        <w:tc>
          <w:tcPr>
            <w:tcW w:w="1243" w:type="dxa"/>
            <w:tcBorders>
              <w:top w:val="nil"/>
              <w:left w:val="nil"/>
              <w:bottom w:val="nil"/>
              <w:right w:val="nil"/>
            </w:tcBorders>
            <w:vAlign w:val="center"/>
          </w:tcPr>
          <w:p w14:paraId="5B3E093E">
            <w:pPr>
              <w:snapToGrid w:val="0"/>
              <w:spacing w:line="360" w:lineRule="auto"/>
              <w:ind w:firstLine="0" w:firstLineChars="0"/>
              <w:rPr>
                <w:sz w:val="21"/>
                <w:lang w:bidi="ar"/>
              </w:rPr>
            </w:pPr>
            <w:r>
              <w:rPr>
                <w:sz w:val="21"/>
                <w:lang w:bidi="ar"/>
              </w:rPr>
              <w:t>54.9</w:t>
            </w:r>
          </w:p>
        </w:tc>
        <w:tc>
          <w:tcPr>
            <w:tcW w:w="1435" w:type="dxa"/>
            <w:tcBorders>
              <w:top w:val="nil"/>
              <w:left w:val="nil"/>
              <w:bottom w:val="nil"/>
              <w:right w:val="nil"/>
            </w:tcBorders>
            <w:vAlign w:val="center"/>
          </w:tcPr>
          <w:p w14:paraId="75F56AEF">
            <w:pPr>
              <w:snapToGrid w:val="0"/>
              <w:spacing w:line="360" w:lineRule="auto"/>
              <w:ind w:firstLine="0" w:firstLineChars="0"/>
              <w:rPr>
                <w:sz w:val="21"/>
                <w:lang w:bidi="ar"/>
              </w:rPr>
            </w:pPr>
            <w:r>
              <w:rPr>
                <w:sz w:val="21"/>
                <w:lang w:bidi="ar"/>
              </w:rPr>
              <w:t>217.169</w:t>
            </w:r>
          </w:p>
        </w:tc>
        <w:tc>
          <w:tcPr>
            <w:tcW w:w="1200" w:type="dxa"/>
            <w:tcBorders>
              <w:top w:val="nil"/>
              <w:left w:val="nil"/>
              <w:bottom w:val="nil"/>
              <w:right w:val="nil"/>
            </w:tcBorders>
            <w:vAlign w:val="center"/>
          </w:tcPr>
          <w:p w14:paraId="631443BD">
            <w:pPr>
              <w:snapToGrid w:val="0"/>
              <w:spacing w:line="360" w:lineRule="auto"/>
              <w:ind w:firstLine="0" w:firstLineChars="0"/>
              <w:rPr>
                <w:sz w:val="21"/>
                <w:lang w:bidi="ar"/>
              </w:rPr>
            </w:pPr>
            <w:r>
              <w:rPr>
                <w:sz w:val="21"/>
                <w:lang w:bidi="ar"/>
              </w:rPr>
              <w:t>17.667</w:t>
            </w:r>
          </w:p>
        </w:tc>
        <w:tc>
          <w:tcPr>
            <w:tcW w:w="1265" w:type="dxa"/>
            <w:tcBorders>
              <w:top w:val="nil"/>
              <w:left w:val="nil"/>
              <w:bottom w:val="nil"/>
              <w:right w:val="nil"/>
            </w:tcBorders>
            <w:vAlign w:val="center"/>
          </w:tcPr>
          <w:p w14:paraId="1B779FAD">
            <w:pPr>
              <w:snapToGrid w:val="0"/>
              <w:spacing w:line="360" w:lineRule="auto"/>
              <w:ind w:firstLine="0" w:firstLineChars="0"/>
              <w:rPr>
                <w:sz w:val="21"/>
                <w:lang w:bidi="ar"/>
              </w:rPr>
            </w:pPr>
            <w:r>
              <w:rPr>
                <w:sz w:val="21"/>
                <w:lang w:bidi="ar"/>
              </w:rPr>
              <w:t>55.729</w:t>
            </w:r>
          </w:p>
        </w:tc>
        <w:tc>
          <w:tcPr>
            <w:tcW w:w="1307" w:type="dxa"/>
            <w:tcBorders>
              <w:top w:val="nil"/>
              <w:left w:val="nil"/>
              <w:bottom w:val="nil"/>
              <w:right w:val="nil"/>
            </w:tcBorders>
            <w:vAlign w:val="center"/>
          </w:tcPr>
          <w:p w14:paraId="5735668B">
            <w:pPr>
              <w:snapToGrid w:val="0"/>
              <w:spacing w:line="360" w:lineRule="auto"/>
              <w:ind w:firstLine="0" w:firstLineChars="0"/>
              <w:rPr>
                <w:sz w:val="21"/>
                <w:lang w:bidi="ar"/>
              </w:rPr>
            </w:pPr>
            <w:r>
              <w:rPr>
                <w:sz w:val="21"/>
                <w:lang w:bidi="ar"/>
              </w:rPr>
              <w:t>26.68</w:t>
            </w:r>
          </w:p>
        </w:tc>
        <w:tc>
          <w:tcPr>
            <w:tcW w:w="1093" w:type="dxa"/>
            <w:tcBorders>
              <w:top w:val="nil"/>
              <w:left w:val="nil"/>
              <w:bottom w:val="nil"/>
              <w:right w:val="nil"/>
            </w:tcBorders>
            <w:vAlign w:val="center"/>
          </w:tcPr>
          <w:p w14:paraId="36ABD344">
            <w:pPr>
              <w:snapToGrid w:val="0"/>
              <w:spacing w:line="360" w:lineRule="auto"/>
              <w:ind w:firstLine="0" w:firstLineChars="0"/>
              <w:rPr>
                <w:sz w:val="21"/>
                <w:lang w:bidi="ar"/>
              </w:rPr>
            </w:pPr>
            <w:r>
              <w:rPr>
                <w:sz w:val="21"/>
                <w:lang w:bidi="ar"/>
              </w:rPr>
              <w:t>10.306</w:t>
            </w:r>
          </w:p>
        </w:tc>
        <w:tc>
          <w:tcPr>
            <w:tcW w:w="1305" w:type="dxa"/>
            <w:tcBorders>
              <w:top w:val="nil"/>
              <w:left w:val="nil"/>
              <w:bottom w:val="nil"/>
              <w:right w:val="nil"/>
            </w:tcBorders>
            <w:vAlign w:val="center"/>
          </w:tcPr>
          <w:p w14:paraId="78D49956">
            <w:pPr>
              <w:snapToGrid w:val="0"/>
              <w:spacing w:line="360" w:lineRule="auto"/>
              <w:ind w:firstLine="0" w:firstLineChars="0"/>
              <w:rPr>
                <w:sz w:val="21"/>
                <w:lang w:bidi="ar"/>
              </w:rPr>
            </w:pPr>
            <w:r>
              <w:rPr>
                <w:sz w:val="21"/>
                <w:lang w:bidi="ar"/>
              </w:rPr>
              <w:t>28.857</w:t>
            </w:r>
          </w:p>
        </w:tc>
      </w:tr>
      <w:tr w14:paraId="3A82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144" w:type="dxa"/>
            <w:tcBorders>
              <w:top w:val="nil"/>
              <w:left w:val="nil"/>
              <w:bottom w:val="single" w:color="auto" w:sz="12" w:space="0"/>
              <w:right w:val="nil"/>
            </w:tcBorders>
            <w:vAlign w:val="center"/>
          </w:tcPr>
          <w:p w14:paraId="46C4F767">
            <w:pPr>
              <w:snapToGrid w:val="0"/>
              <w:spacing w:line="360" w:lineRule="auto"/>
              <w:ind w:firstLine="0" w:firstLineChars="0"/>
              <w:rPr>
                <w:sz w:val="21"/>
                <w:lang w:bidi="ar"/>
              </w:rPr>
            </w:pPr>
            <w:r>
              <w:rPr>
                <w:sz w:val="21"/>
                <w:lang w:bidi="ar"/>
              </w:rPr>
              <w:t>G-Se NPs + PD</w:t>
            </w:r>
          </w:p>
        </w:tc>
        <w:tc>
          <w:tcPr>
            <w:tcW w:w="1243" w:type="dxa"/>
            <w:tcBorders>
              <w:top w:val="nil"/>
              <w:left w:val="nil"/>
              <w:bottom w:val="single" w:color="auto" w:sz="12" w:space="0"/>
              <w:right w:val="nil"/>
            </w:tcBorders>
            <w:vAlign w:val="center"/>
          </w:tcPr>
          <w:p w14:paraId="0D53F9B2">
            <w:pPr>
              <w:snapToGrid w:val="0"/>
              <w:spacing w:line="360" w:lineRule="auto"/>
              <w:ind w:firstLine="0" w:firstLineChars="0"/>
              <w:rPr>
                <w:sz w:val="21"/>
                <w:lang w:bidi="ar"/>
              </w:rPr>
            </w:pPr>
            <w:r>
              <w:rPr>
                <w:sz w:val="21"/>
                <w:lang w:bidi="ar"/>
              </w:rPr>
              <w:t>39.553</w:t>
            </w:r>
          </w:p>
        </w:tc>
        <w:tc>
          <w:tcPr>
            <w:tcW w:w="1435" w:type="dxa"/>
            <w:tcBorders>
              <w:top w:val="nil"/>
              <w:left w:val="nil"/>
              <w:bottom w:val="single" w:color="auto" w:sz="12" w:space="0"/>
              <w:right w:val="nil"/>
            </w:tcBorders>
            <w:vAlign w:val="center"/>
          </w:tcPr>
          <w:p w14:paraId="699EDBE2">
            <w:pPr>
              <w:snapToGrid w:val="0"/>
              <w:spacing w:line="360" w:lineRule="auto"/>
              <w:ind w:firstLine="0" w:firstLineChars="0"/>
              <w:rPr>
                <w:sz w:val="21"/>
                <w:lang w:bidi="ar"/>
              </w:rPr>
            </w:pPr>
            <w:r>
              <w:rPr>
                <w:sz w:val="21"/>
                <w:lang w:bidi="ar"/>
              </w:rPr>
              <w:t>159.306</w:t>
            </w:r>
          </w:p>
        </w:tc>
        <w:tc>
          <w:tcPr>
            <w:tcW w:w="1200" w:type="dxa"/>
            <w:tcBorders>
              <w:top w:val="nil"/>
              <w:left w:val="nil"/>
              <w:bottom w:val="single" w:color="auto" w:sz="12" w:space="0"/>
              <w:right w:val="nil"/>
            </w:tcBorders>
            <w:vAlign w:val="center"/>
          </w:tcPr>
          <w:p w14:paraId="0E664C1D">
            <w:pPr>
              <w:snapToGrid w:val="0"/>
              <w:spacing w:line="360" w:lineRule="auto"/>
              <w:ind w:firstLine="0" w:firstLineChars="0"/>
              <w:rPr>
                <w:sz w:val="21"/>
                <w:lang w:bidi="ar"/>
              </w:rPr>
            </w:pPr>
            <w:r>
              <w:rPr>
                <w:sz w:val="21"/>
                <w:lang w:bidi="ar"/>
              </w:rPr>
              <w:t>9.712</w:t>
            </w:r>
          </w:p>
        </w:tc>
        <w:tc>
          <w:tcPr>
            <w:tcW w:w="1265" w:type="dxa"/>
            <w:tcBorders>
              <w:top w:val="nil"/>
              <w:left w:val="nil"/>
              <w:bottom w:val="single" w:color="auto" w:sz="12" w:space="0"/>
              <w:right w:val="nil"/>
            </w:tcBorders>
            <w:vAlign w:val="center"/>
          </w:tcPr>
          <w:p w14:paraId="0582B44E">
            <w:pPr>
              <w:snapToGrid w:val="0"/>
              <w:spacing w:line="360" w:lineRule="auto"/>
              <w:ind w:firstLine="0" w:firstLineChars="0"/>
              <w:rPr>
                <w:sz w:val="21"/>
                <w:lang w:bidi="ar"/>
              </w:rPr>
            </w:pPr>
            <w:r>
              <w:rPr>
                <w:sz w:val="21"/>
                <w:lang w:bidi="ar"/>
              </w:rPr>
              <w:t>50.253</w:t>
            </w:r>
          </w:p>
        </w:tc>
        <w:tc>
          <w:tcPr>
            <w:tcW w:w="1307" w:type="dxa"/>
            <w:tcBorders>
              <w:top w:val="nil"/>
              <w:left w:val="nil"/>
              <w:bottom w:val="single" w:color="auto" w:sz="12" w:space="0"/>
              <w:right w:val="nil"/>
            </w:tcBorders>
            <w:vAlign w:val="center"/>
          </w:tcPr>
          <w:p w14:paraId="024BB78E">
            <w:pPr>
              <w:snapToGrid w:val="0"/>
              <w:spacing w:line="360" w:lineRule="auto"/>
              <w:ind w:firstLine="0" w:firstLineChars="0"/>
              <w:rPr>
                <w:sz w:val="21"/>
                <w:lang w:bidi="ar"/>
              </w:rPr>
            </w:pPr>
            <w:r>
              <w:rPr>
                <w:sz w:val="21"/>
                <w:lang w:bidi="ar"/>
              </w:rPr>
              <w:t>30.055</w:t>
            </w:r>
          </w:p>
        </w:tc>
        <w:tc>
          <w:tcPr>
            <w:tcW w:w="1093" w:type="dxa"/>
            <w:tcBorders>
              <w:top w:val="nil"/>
              <w:left w:val="nil"/>
              <w:bottom w:val="single" w:color="auto" w:sz="12" w:space="0"/>
              <w:right w:val="nil"/>
            </w:tcBorders>
            <w:vAlign w:val="center"/>
          </w:tcPr>
          <w:p w14:paraId="2DCD844D">
            <w:pPr>
              <w:snapToGrid w:val="0"/>
              <w:spacing w:line="360" w:lineRule="auto"/>
              <w:ind w:firstLine="0" w:firstLineChars="0"/>
              <w:rPr>
                <w:sz w:val="21"/>
                <w:lang w:bidi="ar"/>
              </w:rPr>
            </w:pPr>
            <w:r>
              <w:rPr>
                <w:sz w:val="21"/>
                <w:lang w:bidi="ar"/>
              </w:rPr>
              <w:t>9.716</w:t>
            </w:r>
          </w:p>
        </w:tc>
        <w:tc>
          <w:tcPr>
            <w:tcW w:w="1305" w:type="dxa"/>
            <w:tcBorders>
              <w:top w:val="nil"/>
              <w:left w:val="nil"/>
              <w:bottom w:val="single" w:color="auto" w:sz="12" w:space="0"/>
              <w:right w:val="nil"/>
            </w:tcBorders>
            <w:vAlign w:val="center"/>
          </w:tcPr>
          <w:p w14:paraId="40593CEA">
            <w:pPr>
              <w:snapToGrid w:val="0"/>
              <w:spacing w:line="360" w:lineRule="auto"/>
              <w:ind w:firstLine="0" w:firstLineChars="0"/>
              <w:rPr>
                <w:sz w:val="21"/>
                <w:lang w:bidi="ar"/>
              </w:rPr>
            </w:pPr>
            <w:r>
              <w:rPr>
                <w:sz w:val="21"/>
                <w:lang w:bidi="ar"/>
              </w:rPr>
              <w:t>27.205</w:t>
            </w:r>
          </w:p>
        </w:tc>
      </w:tr>
    </w:tbl>
    <w:p w14:paraId="44B308BC">
      <w:pPr>
        <w:spacing w:line="360" w:lineRule="auto"/>
        <w:ind w:firstLine="0" w:firstLineChars="0"/>
        <w:jc w:val="both"/>
        <w:rPr>
          <w:lang w:bidi="ar"/>
        </w:rPr>
      </w:pPr>
    </w:p>
    <w:p w14:paraId="29E6C48F">
      <w:pPr>
        <w:spacing w:line="360" w:lineRule="auto"/>
        <w:ind w:firstLine="0" w:firstLineChars="0"/>
        <w:jc w:val="both"/>
        <w:rPr>
          <w:b/>
          <w:bCs/>
          <w:lang w:bidi="ar"/>
        </w:rPr>
      </w:pPr>
    </w:p>
    <w:p w14:paraId="2330A1F6">
      <w:pPr>
        <w:spacing w:line="360" w:lineRule="auto"/>
        <w:ind w:firstLine="0" w:firstLineChars="0"/>
        <w:jc w:val="both"/>
        <w:rPr>
          <w:b/>
          <w:bCs/>
          <w:lang w:bidi="ar"/>
        </w:rPr>
      </w:pPr>
    </w:p>
    <w:p w14:paraId="2362F64E">
      <w:pPr>
        <w:spacing w:line="360" w:lineRule="auto"/>
        <w:ind w:firstLine="0" w:firstLineChars="0"/>
        <w:jc w:val="both"/>
        <w:rPr>
          <w:lang w:bidi="ar"/>
        </w:rPr>
      </w:pPr>
      <w:r>
        <w:rPr>
          <w:b/>
          <w:bCs/>
          <w:lang w:bidi="ar"/>
        </w:rPr>
        <w:t>Table S</w:t>
      </w:r>
      <w:r>
        <w:rPr>
          <w:rFonts w:hint="eastAsia"/>
          <w:b/>
          <w:bCs/>
          <w:lang w:bidi="ar"/>
        </w:rPr>
        <w:t>3</w:t>
      </w:r>
      <w:r>
        <w:rPr>
          <w:b/>
          <w:bCs/>
          <w:lang w:bidi="ar"/>
        </w:rPr>
        <w:t xml:space="preserve">. </w:t>
      </w:r>
      <w:r>
        <w:rPr>
          <w:lang w:bidi="ar"/>
        </w:rPr>
        <w:t xml:space="preserve">Hematology assay of the whole blood in normal C57BL/6 black mice were treated with PBS, </w:t>
      </w:r>
      <w:r>
        <w:rPr>
          <w:rFonts w:hint="eastAsia"/>
          <w:lang w:bidi="ar"/>
        </w:rPr>
        <w:t>MPTP</w:t>
      </w:r>
      <w:r>
        <w:rPr>
          <w:lang w:bidi="ar"/>
        </w:rPr>
        <w:t xml:space="preserve">, and </w:t>
      </w:r>
      <w:r>
        <w:rPr>
          <w:rFonts w:hint="eastAsia"/>
          <w:lang w:bidi="ar"/>
        </w:rPr>
        <w:t>G-Se NPs.</w:t>
      </w:r>
    </w:p>
    <w:tbl>
      <w:tblPr>
        <w:tblStyle w:val="13"/>
        <w:tblW w:w="10241" w:type="dxa"/>
        <w:jc w:val="center"/>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962"/>
        <w:gridCol w:w="1279"/>
        <w:gridCol w:w="1275"/>
        <w:gridCol w:w="1076"/>
        <w:gridCol w:w="1157"/>
        <w:gridCol w:w="1157"/>
        <w:gridCol w:w="1146"/>
        <w:gridCol w:w="997"/>
        <w:gridCol w:w="1192"/>
      </w:tblGrid>
      <w:tr w14:paraId="1477805C">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962" w:type="dxa"/>
            <w:tcBorders>
              <w:left w:val="nil"/>
              <w:bottom w:val="single" w:color="auto" w:sz="12" w:space="0"/>
              <w:right w:val="nil"/>
            </w:tcBorders>
            <w:vAlign w:val="center"/>
          </w:tcPr>
          <w:p w14:paraId="268FD84B">
            <w:pPr>
              <w:snapToGrid w:val="0"/>
              <w:spacing w:line="360" w:lineRule="auto"/>
              <w:ind w:firstLine="0" w:firstLineChars="0"/>
              <w:rPr>
                <w:rFonts w:hint="eastAsia" w:eastAsia="宋体"/>
                <w:b/>
                <w:lang w:eastAsia="zh-CN" w:bidi="ar"/>
              </w:rPr>
            </w:pPr>
          </w:p>
        </w:tc>
        <w:tc>
          <w:tcPr>
            <w:tcW w:w="1279" w:type="dxa"/>
            <w:tcBorders>
              <w:left w:val="nil"/>
              <w:bottom w:val="single" w:color="auto" w:sz="12" w:space="0"/>
              <w:right w:val="nil"/>
            </w:tcBorders>
            <w:vAlign w:val="center"/>
          </w:tcPr>
          <w:p w14:paraId="237E6063">
            <w:pPr>
              <w:snapToGrid w:val="0"/>
              <w:spacing w:line="360" w:lineRule="auto"/>
              <w:ind w:firstLine="0" w:firstLineChars="0"/>
              <w:rPr>
                <w:rFonts w:hint="eastAsia"/>
                <w:b/>
                <w:lang w:eastAsia="zh-CN" w:bidi="ar"/>
              </w:rPr>
            </w:pPr>
            <w:r>
              <w:rPr>
                <w:rFonts w:hint="eastAsia"/>
                <w:b/>
                <w:lang w:eastAsia="zh-CN" w:bidi="ar"/>
              </w:rPr>
              <w:t>WBC</w:t>
            </w:r>
          </w:p>
          <w:p w14:paraId="6B5FB3E8">
            <w:pPr>
              <w:snapToGrid w:val="0"/>
              <w:spacing w:line="360" w:lineRule="auto"/>
              <w:ind w:firstLine="0" w:firstLineChars="0"/>
              <w:rPr>
                <w:rFonts w:hint="eastAsia"/>
                <w:b/>
                <w:lang w:eastAsia="zh-CN" w:bidi="ar"/>
              </w:rPr>
            </w:pPr>
            <w:r>
              <w:rPr>
                <w:rFonts w:hint="eastAsia"/>
                <w:b/>
                <w:lang w:eastAsia="zh-CN" w:bidi="ar"/>
              </w:rPr>
              <w:t>(10</w:t>
            </w:r>
            <w:r>
              <w:rPr>
                <w:rFonts w:hint="eastAsia"/>
                <w:b/>
                <w:vertAlign w:val="superscript"/>
                <w:lang w:eastAsia="zh-CN" w:bidi="ar"/>
              </w:rPr>
              <w:t>9</w:t>
            </w:r>
            <w:r>
              <w:rPr>
                <w:rFonts w:hint="eastAsia"/>
                <w:b/>
                <w:lang w:eastAsia="zh-CN" w:bidi="ar"/>
              </w:rPr>
              <w:t>/L)</w:t>
            </w:r>
          </w:p>
        </w:tc>
        <w:tc>
          <w:tcPr>
            <w:tcW w:w="1275" w:type="dxa"/>
            <w:tcBorders>
              <w:left w:val="nil"/>
              <w:bottom w:val="single" w:color="auto" w:sz="12" w:space="0"/>
              <w:right w:val="nil"/>
            </w:tcBorders>
            <w:vAlign w:val="center"/>
          </w:tcPr>
          <w:p w14:paraId="592B7C14">
            <w:pPr>
              <w:snapToGrid w:val="0"/>
              <w:spacing w:line="360" w:lineRule="auto"/>
              <w:ind w:firstLine="0" w:firstLineChars="0"/>
              <w:rPr>
                <w:rFonts w:hint="eastAsia" w:eastAsia="宋体"/>
                <w:b/>
                <w:lang w:eastAsia="zh-CN" w:bidi="ar"/>
              </w:rPr>
            </w:pPr>
            <w:r>
              <w:rPr>
                <w:rFonts w:hint="eastAsia"/>
                <w:b/>
                <w:lang w:eastAsia="zh-CN" w:bidi="ar"/>
              </w:rPr>
              <w:t>RBC(1012/L)</w:t>
            </w:r>
          </w:p>
        </w:tc>
        <w:tc>
          <w:tcPr>
            <w:tcW w:w="1076" w:type="dxa"/>
            <w:tcBorders>
              <w:left w:val="nil"/>
              <w:bottom w:val="single" w:color="auto" w:sz="12" w:space="0"/>
              <w:right w:val="nil"/>
            </w:tcBorders>
            <w:vAlign w:val="center"/>
          </w:tcPr>
          <w:p w14:paraId="6E037418">
            <w:pPr>
              <w:snapToGrid w:val="0"/>
              <w:spacing w:line="360" w:lineRule="auto"/>
              <w:ind w:firstLine="0" w:firstLineChars="0"/>
              <w:rPr>
                <w:rFonts w:hint="eastAsia"/>
                <w:b/>
                <w:lang w:eastAsia="zh-CN" w:bidi="ar"/>
              </w:rPr>
            </w:pPr>
            <w:r>
              <w:rPr>
                <w:rFonts w:hint="eastAsia"/>
                <w:b/>
                <w:lang w:eastAsia="zh-CN" w:bidi="ar"/>
              </w:rPr>
              <w:t>HGB</w:t>
            </w:r>
          </w:p>
          <w:p w14:paraId="3720D79F">
            <w:pPr>
              <w:snapToGrid w:val="0"/>
              <w:spacing w:line="360" w:lineRule="auto"/>
              <w:ind w:firstLine="0" w:firstLineChars="0"/>
              <w:rPr>
                <w:rFonts w:hint="eastAsia"/>
                <w:b/>
                <w:lang w:eastAsia="zh-CN" w:bidi="ar"/>
              </w:rPr>
            </w:pPr>
            <w:r>
              <w:rPr>
                <w:rFonts w:hint="eastAsia"/>
                <w:b/>
                <w:lang w:eastAsia="zh-CN" w:bidi="ar"/>
              </w:rPr>
              <w:t>(g/L)</w:t>
            </w:r>
          </w:p>
        </w:tc>
        <w:tc>
          <w:tcPr>
            <w:tcW w:w="1157" w:type="dxa"/>
            <w:tcBorders>
              <w:left w:val="nil"/>
              <w:bottom w:val="single" w:color="auto" w:sz="12" w:space="0"/>
              <w:right w:val="nil"/>
            </w:tcBorders>
            <w:vAlign w:val="center"/>
          </w:tcPr>
          <w:p w14:paraId="6094764E">
            <w:pPr>
              <w:snapToGrid w:val="0"/>
              <w:spacing w:line="360" w:lineRule="auto"/>
              <w:ind w:firstLine="0" w:firstLineChars="0"/>
              <w:rPr>
                <w:rFonts w:hint="eastAsia"/>
                <w:b/>
                <w:lang w:eastAsia="zh-CN" w:bidi="ar"/>
              </w:rPr>
            </w:pPr>
            <w:r>
              <w:rPr>
                <w:rFonts w:hint="eastAsia"/>
                <w:b/>
                <w:lang w:eastAsia="zh-CN" w:bidi="ar"/>
              </w:rPr>
              <w:t>HCT</w:t>
            </w:r>
          </w:p>
          <w:p w14:paraId="72649FDC">
            <w:pPr>
              <w:snapToGrid w:val="0"/>
              <w:spacing w:line="360" w:lineRule="auto"/>
              <w:ind w:firstLine="0" w:firstLineChars="0"/>
              <w:rPr>
                <w:rFonts w:hint="eastAsia"/>
                <w:b/>
                <w:lang w:eastAsia="zh-CN" w:bidi="ar"/>
              </w:rPr>
            </w:pPr>
            <w:r>
              <w:rPr>
                <w:rFonts w:hint="eastAsia"/>
                <w:b/>
                <w:lang w:eastAsia="zh-CN" w:bidi="ar"/>
              </w:rPr>
              <w:t>(%)</w:t>
            </w:r>
          </w:p>
        </w:tc>
        <w:tc>
          <w:tcPr>
            <w:tcW w:w="1157" w:type="dxa"/>
            <w:tcBorders>
              <w:left w:val="nil"/>
              <w:bottom w:val="single" w:color="auto" w:sz="12" w:space="0"/>
              <w:right w:val="nil"/>
            </w:tcBorders>
            <w:vAlign w:val="center"/>
          </w:tcPr>
          <w:p w14:paraId="162D3E37">
            <w:pPr>
              <w:snapToGrid w:val="0"/>
              <w:spacing w:line="360" w:lineRule="auto"/>
              <w:ind w:firstLine="0" w:firstLineChars="0"/>
              <w:rPr>
                <w:rFonts w:hint="eastAsia"/>
                <w:b/>
                <w:lang w:eastAsia="zh-CN" w:bidi="ar"/>
              </w:rPr>
            </w:pPr>
            <w:r>
              <w:rPr>
                <w:rFonts w:hint="eastAsia"/>
                <w:b/>
                <w:lang w:eastAsia="zh-CN" w:bidi="ar"/>
              </w:rPr>
              <w:t>MCV</w:t>
            </w:r>
          </w:p>
          <w:p w14:paraId="15300DDB">
            <w:pPr>
              <w:snapToGrid w:val="0"/>
              <w:spacing w:line="360" w:lineRule="auto"/>
              <w:ind w:firstLine="0" w:firstLineChars="0"/>
              <w:rPr>
                <w:rFonts w:hint="eastAsia"/>
                <w:b/>
                <w:lang w:eastAsia="zh-CN" w:bidi="ar"/>
              </w:rPr>
            </w:pPr>
            <w:r>
              <w:rPr>
                <w:rFonts w:hint="eastAsia"/>
                <w:b/>
                <w:lang w:eastAsia="zh-CN" w:bidi="ar"/>
              </w:rPr>
              <w:t>(FL)</w:t>
            </w:r>
          </w:p>
        </w:tc>
        <w:tc>
          <w:tcPr>
            <w:tcW w:w="1146" w:type="dxa"/>
            <w:tcBorders>
              <w:left w:val="nil"/>
              <w:bottom w:val="single" w:color="auto" w:sz="12" w:space="0"/>
              <w:right w:val="nil"/>
            </w:tcBorders>
            <w:vAlign w:val="center"/>
          </w:tcPr>
          <w:p w14:paraId="1FA0771E">
            <w:pPr>
              <w:snapToGrid w:val="0"/>
              <w:spacing w:line="360" w:lineRule="auto"/>
              <w:ind w:firstLine="0" w:firstLineChars="0"/>
              <w:rPr>
                <w:rFonts w:hint="eastAsia"/>
                <w:b/>
                <w:lang w:eastAsia="zh-CN" w:bidi="ar"/>
              </w:rPr>
            </w:pPr>
            <w:r>
              <w:rPr>
                <w:rFonts w:hint="eastAsia"/>
                <w:b/>
                <w:lang w:eastAsia="zh-CN" w:bidi="ar"/>
              </w:rPr>
              <w:t>MCH</w:t>
            </w:r>
          </w:p>
          <w:p w14:paraId="279213C5">
            <w:pPr>
              <w:snapToGrid w:val="0"/>
              <w:spacing w:line="360" w:lineRule="auto"/>
              <w:ind w:firstLine="0" w:firstLineChars="0"/>
              <w:rPr>
                <w:rFonts w:hint="eastAsia"/>
                <w:b/>
                <w:lang w:eastAsia="zh-CN" w:bidi="ar"/>
              </w:rPr>
            </w:pPr>
            <w:r>
              <w:rPr>
                <w:rFonts w:hint="eastAsia"/>
                <w:b/>
                <w:lang w:eastAsia="zh-CN" w:bidi="ar"/>
              </w:rPr>
              <w:t>(pg)</w:t>
            </w:r>
          </w:p>
        </w:tc>
        <w:tc>
          <w:tcPr>
            <w:tcW w:w="997" w:type="dxa"/>
            <w:tcBorders>
              <w:left w:val="nil"/>
              <w:bottom w:val="single" w:color="auto" w:sz="12" w:space="0"/>
              <w:right w:val="nil"/>
            </w:tcBorders>
            <w:vAlign w:val="center"/>
          </w:tcPr>
          <w:p w14:paraId="171145D9">
            <w:pPr>
              <w:snapToGrid w:val="0"/>
              <w:spacing w:line="360" w:lineRule="auto"/>
              <w:ind w:firstLine="0" w:firstLineChars="0"/>
              <w:rPr>
                <w:rFonts w:hint="eastAsia"/>
                <w:b/>
                <w:lang w:eastAsia="zh-CN" w:bidi="ar"/>
              </w:rPr>
            </w:pPr>
            <w:r>
              <w:rPr>
                <w:rFonts w:hint="eastAsia"/>
                <w:b/>
                <w:lang w:eastAsia="zh-CN" w:bidi="ar"/>
              </w:rPr>
              <w:t>MCHC</w:t>
            </w:r>
          </w:p>
          <w:p w14:paraId="03C5E32A">
            <w:pPr>
              <w:snapToGrid w:val="0"/>
              <w:spacing w:line="360" w:lineRule="auto"/>
              <w:ind w:firstLine="0" w:firstLineChars="0"/>
              <w:rPr>
                <w:rFonts w:hint="eastAsia"/>
                <w:b/>
                <w:lang w:eastAsia="zh-CN" w:bidi="ar"/>
              </w:rPr>
            </w:pPr>
            <w:r>
              <w:rPr>
                <w:rFonts w:hint="eastAsia"/>
                <w:b/>
                <w:lang w:eastAsia="zh-CN" w:bidi="ar"/>
              </w:rPr>
              <w:t>(G/L)</w:t>
            </w:r>
          </w:p>
        </w:tc>
        <w:tc>
          <w:tcPr>
            <w:tcW w:w="1192" w:type="dxa"/>
            <w:tcBorders>
              <w:left w:val="nil"/>
              <w:bottom w:val="single" w:color="auto" w:sz="12" w:space="0"/>
              <w:right w:val="nil"/>
            </w:tcBorders>
            <w:vAlign w:val="center"/>
          </w:tcPr>
          <w:p w14:paraId="08648CBA">
            <w:pPr>
              <w:snapToGrid w:val="0"/>
              <w:spacing w:line="360" w:lineRule="auto"/>
              <w:ind w:firstLine="0" w:firstLineChars="0"/>
              <w:rPr>
                <w:rFonts w:hint="eastAsia" w:eastAsia="宋体"/>
                <w:b/>
                <w:lang w:eastAsia="zh-CN" w:bidi="ar"/>
              </w:rPr>
            </w:pPr>
            <w:r>
              <w:rPr>
                <w:rFonts w:hint="eastAsia"/>
                <w:b/>
                <w:lang w:eastAsia="zh-CN" w:bidi="ar"/>
              </w:rPr>
              <w:t>PLT(10</w:t>
            </w:r>
            <w:r>
              <w:rPr>
                <w:rFonts w:hint="eastAsia"/>
                <w:b/>
                <w:vertAlign w:val="superscript"/>
                <w:lang w:eastAsia="zh-CN" w:bidi="ar"/>
              </w:rPr>
              <w:t>9</w:t>
            </w:r>
            <w:r>
              <w:rPr>
                <w:rFonts w:hint="eastAsia"/>
                <w:b/>
                <w:lang w:eastAsia="zh-CN" w:bidi="ar"/>
              </w:rPr>
              <w:t>/L)</w:t>
            </w:r>
          </w:p>
        </w:tc>
      </w:tr>
      <w:tr w14:paraId="027D8B2E">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962" w:type="dxa"/>
            <w:tcBorders>
              <w:top w:val="single" w:color="auto" w:sz="12" w:space="0"/>
              <w:left w:val="nil"/>
              <w:bottom w:val="nil"/>
              <w:right w:val="nil"/>
            </w:tcBorders>
            <w:vAlign w:val="center"/>
          </w:tcPr>
          <w:p w14:paraId="4783F328">
            <w:pPr>
              <w:snapToGrid w:val="0"/>
              <w:spacing w:line="360" w:lineRule="auto"/>
              <w:ind w:firstLine="0" w:firstLineChars="0"/>
              <w:rPr>
                <w:lang w:bidi="ar"/>
              </w:rPr>
            </w:pPr>
            <w:r>
              <w:rPr>
                <w:lang w:bidi="ar"/>
              </w:rPr>
              <w:t>Reference</w:t>
            </w:r>
          </w:p>
        </w:tc>
        <w:tc>
          <w:tcPr>
            <w:tcW w:w="1279" w:type="dxa"/>
            <w:tcBorders>
              <w:top w:val="single" w:color="auto" w:sz="12" w:space="0"/>
              <w:left w:val="nil"/>
              <w:bottom w:val="nil"/>
              <w:right w:val="nil"/>
            </w:tcBorders>
            <w:vAlign w:val="center"/>
          </w:tcPr>
          <w:p w14:paraId="2C14260A">
            <w:pPr>
              <w:snapToGrid w:val="0"/>
              <w:spacing w:line="360" w:lineRule="auto"/>
              <w:ind w:firstLine="0" w:firstLineChars="0"/>
              <w:rPr>
                <w:lang w:bidi="ar"/>
              </w:rPr>
            </w:pPr>
            <w:r>
              <w:rPr>
                <w:rFonts w:hint="eastAsia"/>
                <w:lang w:bidi="ar"/>
              </w:rPr>
              <w:t>0.80-10.60</w:t>
            </w:r>
          </w:p>
        </w:tc>
        <w:tc>
          <w:tcPr>
            <w:tcW w:w="1275" w:type="dxa"/>
            <w:tcBorders>
              <w:top w:val="single" w:color="auto" w:sz="12" w:space="0"/>
              <w:left w:val="nil"/>
              <w:bottom w:val="nil"/>
              <w:right w:val="nil"/>
            </w:tcBorders>
            <w:vAlign w:val="center"/>
          </w:tcPr>
          <w:p w14:paraId="1C0425AD">
            <w:pPr>
              <w:snapToGrid w:val="0"/>
              <w:spacing w:line="360" w:lineRule="auto"/>
              <w:ind w:firstLine="0" w:firstLineChars="0"/>
              <w:rPr>
                <w:lang w:bidi="ar"/>
              </w:rPr>
            </w:pPr>
            <w:r>
              <w:rPr>
                <w:rFonts w:hint="eastAsia"/>
                <w:lang w:bidi="ar"/>
              </w:rPr>
              <w:t>6.50-11.50</w:t>
            </w:r>
          </w:p>
        </w:tc>
        <w:tc>
          <w:tcPr>
            <w:tcW w:w="1076" w:type="dxa"/>
            <w:tcBorders>
              <w:top w:val="single" w:color="auto" w:sz="12" w:space="0"/>
              <w:left w:val="nil"/>
              <w:bottom w:val="nil"/>
              <w:right w:val="nil"/>
            </w:tcBorders>
            <w:vAlign w:val="center"/>
          </w:tcPr>
          <w:p w14:paraId="662621BB">
            <w:pPr>
              <w:snapToGrid w:val="0"/>
              <w:spacing w:line="360" w:lineRule="auto"/>
              <w:ind w:firstLine="0" w:firstLineChars="0"/>
              <w:rPr>
                <w:lang w:bidi="ar"/>
              </w:rPr>
            </w:pPr>
            <w:r>
              <w:rPr>
                <w:rFonts w:hint="eastAsia"/>
                <w:lang w:bidi="ar"/>
              </w:rPr>
              <w:t>110-165</w:t>
            </w:r>
          </w:p>
        </w:tc>
        <w:tc>
          <w:tcPr>
            <w:tcW w:w="1157" w:type="dxa"/>
            <w:tcBorders>
              <w:top w:val="single" w:color="auto" w:sz="12" w:space="0"/>
              <w:left w:val="nil"/>
              <w:bottom w:val="nil"/>
              <w:right w:val="nil"/>
            </w:tcBorders>
            <w:vAlign w:val="center"/>
          </w:tcPr>
          <w:p w14:paraId="5FE8F280">
            <w:pPr>
              <w:snapToGrid w:val="0"/>
              <w:spacing w:line="360" w:lineRule="auto"/>
              <w:ind w:firstLine="0" w:firstLineChars="0"/>
              <w:rPr>
                <w:lang w:bidi="ar"/>
              </w:rPr>
            </w:pPr>
            <w:r>
              <w:rPr>
                <w:rFonts w:hint="eastAsia"/>
                <w:lang w:bidi="ar"/>
              </w:rPr>
              <w:t>35.0-55.0</w:t>
            </w:r>
          </w:p>
        </w:tc>
        <w:tc>
          <w:tcPr>
            <w:tcW w:w="1157" w:type="dxa"/>
            <w:tcBorders>
              <w:top w:val="single" w:color="auto" w:sz="12" w:space="0"/>
              <w:left w:val="nil"/>
              <w:bottom w:val="nil"/>
              <w:right w:val="nil"/>
            </w:tcBorders>
            <w:vAlign w:val="center"/>
          </w:tcPr>
          <w:p w14:paraId="06AC041A">
            <w:pPr>
              <w:snapToGrid w:val="0"/>
              <w:spacing w:line="360" w:lineRule="auto"/>
              <w:ind w:firstLine="0" w:firstLineChars="0"/>
              <w:rPr>
                <w:lang w:bidi="ar"/>
              </w:rPr>
            </w:pPr>
            <w:r>
              <w:rPr>
                <w:rFonts w:hint="eastAsia"/>
                <w:lang w:bidi="ar"/>
              </w:rPr>
              <w:t>41.0-55.0</w:t>
            </w:r>
          </w:p>
        </w:tc>
        <w:tc>
          <w:tcPr>
            <w:tcW w:w="1146" w:type="dxa"/>
            <w:tcBorders>
              <w:top w:val="single" w:color="auto" w:sz="12" w:space="0"/>
              <w:left w:val="nil"/>
              <w:bottom w:val="nil"/>
              <w:right w:val="nil"/>
            </w:tcBorders>
            <w:vAlign w:val="center"/>
          </w:tcPr>
          <w:p w14:paraId="102606A1">
            <w:pPr>
              <w:snapToGrid w:val="0"/>
              <w:spacing w:line="360" w:lineRule="auto"/>
              <w:ind w:firstLine="0" w:firstLineChars="0"/>
              <w:rPr>
                <w:lang w:bidi="ar"/>
              </w:rPr>
            </w:pPr>
            <w:r>
              <w:rPr>
                <w:rFonts w:hint="eastAsia"/>
                <w:lang w:bidi="ar"/>
              </w:rPr>
              <w:t>13.0-18.0</w:t>
            </w:r>
          </w:p>
        </w:tc>
        <w:tc>
          <w:tcPr>
            <w:tcW w:w="997" w:type="dxa"/>
            <w:tcBorders>
              <w:top w:val="single" w:color="auto" w:sz="12" w:space="0"/>
              <w:left w:val="nil"/>
              <w:bottom w:val="nil"/>
              <w:right w:val="nil"/>
            </w:tcBorders>
            <w:vAlign w:val="center"/>
          </w:tcPr>
          <w:p w14:paraId="1DD91646">
            <w:pPr>
              <w:snapToGrid w:val="0"/>
              <w:spacing w:line="360" w:lineRule="auto"/>
              <w:ind w:firstLine="0" w:firstLineChars="0"/>
              <w:rPr>
                <w:lang w:bidi="ar"/>
              </w:rPr>
            </w:pPr>
            <w:r>
              <w:rPr>
                <w:rFonts w:hint="eastAsia"/>
                <w:lang w:bidi="ar"/>
              </w:rPr>
              <w:t>300-360</w:t>
            </w:r>
          </w:p>
        </w:tc>
        <w:tc>
          <w:tcPr>
            <w:tcW w:w="1192" w:type="dxa"/>
            <w:tcBorders>
              <w:top w:val="single" w:color="auto" w:sz="12" w:space="0"/>
              <w:left w:val="nil"/>
              <w:bottom w:val="nil"/>
              <w:right w:val="nil"/>
            </w:tcBorders>
            <w:vAlign w:val="center"/>
          </w:tcPr>
          <w:p w14:paraId="2C382F5B">
            <w:pPr>
              <w:snapToGrid w:val="0"/>
              <w:spacing w:line="360" w:lineRule="auto"/>
              <w:ind w:firstLine="0" w:firstLineChars="0"/>
              <w:rPr>
                <w:lang w:bidi="ar"/>
              </w:rPr>
            </w:pPr>
            <w:r>
              <w:rPr>
                <w:rFonts w:hint="eastAsia"/>
                <w:lang w:bidi="ar"/>
              </w:rPr>
              <w:t>400-1600</w:t>
            </w:r>
          </w:p>
        </w:tc>
      </w:tr>
      <w:tr w14:paraId="08E5169E">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962" w:type="dxa"/>
            <w:tcBorders>
              <w:top w:val="nil"/>
              <w:left w:val="nil"/>
              <w:bottom w:val="nil"/>
              <w:right w:val="nil"/>
            </w:tcBorders>
            <w:vAlign w:val="center"/>
          </w:tcPr>
          <w:p w14:paraId="25512460">
            <w:pPr>
              <w:snapToGrid w:val="0"/>
              <w:spacing w:line="360" w:lineRule="auto"/>
              <w:ind w:firstLine="0" w:firstLineChars="0"/>
              <w:rPr>
                <w:lang w:bidi="ar"/>
              </w:rPr>
            </w:pPr>
            <w:r>
              <w:rPr>
                <w:lang w:bidi="ar"/>
              </w:rPr>
              <w:t>PBS</w:t>
            </w:r>
          </w:p>
        </w:tc>
        <w:tc>
          <w:tcPr>
            <w:tcW w:w="1279" w:type="dxa"/>
            <w:tcBorders>
              <w:top w:val="nil"/>
              <w:left w:val="nil"/>
              <w:bottom w:val="nil"/>
              <w:right w:val="nil"/>
            </w:tcBorders>
            <w:vAlign w:val="center"/>
          </w:tcPr>
          <w:p w14:paraId="34ED475A">
            <w:pPr>
              <w:snapToGrid w:val="0"/>
              <w:spacing w:line="360" w:lineRule="auto"/>
              <w:ind w:firstLine="0" w:firstLineChars="0"/>
              <w:rPr>
                <w:lang w:bidi="ar"/>
              </w:rPr>
            </w:pPr>
            <w:r>
              <w:rPr>
                <w:rFonts w:hint="eastAsia"/>
                <w:lang w:bidi="ar"/>
              </w:rPr>
              <w:t>4.44</w:t>
            </w:r>
          </w:p>
        </w:tc>
        <w:tc>
          <w:tcPr>
            <w:tcW w:w="1275" w:type="dxa"/>
            <w:tcBorders>
              <w:top w:val="nil"/>
              <w:left w:val="nil"/>
              <w:bottom w:val="nil"/>
              <w:right w:val="nil"/>
            </w:tcBorders>
            <w:vAlign w:val="center"/>
          </w:tcPr>
          <w:p w14:paraId="0DD71553">
            <w:pPr>
              <w:snapToGrid w:val="0"/>
              <w:spacing w:line="360" w:lineRule="auto"/>
              <w:ind w:firstLine="0" w:firstLineChars="0"/>
              <w:rPr>
                <w:lang w:bidi="ar"/>
              </w:rPr>
            </w:pPr>
            <w:r>
              <w:rPr>
                <w:rFonts w:hint="eastAsia"/>
                <w:lang w:bidi="ar"/>
              </w:rPr>
              <w:t>8.74</w:t>
            </w:r>
          </w:p>
        </w:tc>
        <w:tc>
          <w:tcPr>
            <w:tcW w:w="1076" w:type="dxa"/>
            <w:tcBorders>
              <w:top w:val="nil"/>
              <w:left w:val="nil"/>
              <w:bottom w:val="nil"/>
              <w:right w:val="nil"/>
            </w:tcBorders>
            <w:vAlign w:val="center"/>
          </w:tcPr>
          <w:p w14:paraId="0F59CB86">
            <w:pPr>
              <w:snapToGrid w:val="0"/>
              <w:spacing w:line="360" w:lineRule="auto"/>
              <w:ind w:firstLine="0" w:firstLineChars="0"/>
              <w:rPr>
                <w:lang w:bidi="ar"/>
              </w:rPr>
            </w:pPr>
            <w:r>
              <w:rPr>
                <w:rFonts w:hint="eastAsia"/>
                <w:lang w:bidi="ar"/>
              </w:rPr>
              <w:t>137</w:t>
            </w:r>
          </w:p>
        </w:tc>
        <w:tc>
          <w:tcPr>
            <w:tcW w:w="1157" w:type="dxa"/>
            <w:tcBorders>
              <w:top w:val="nil"/>
              <w:left w:val="nil"/>
              <w:bottom w:val="nil"/>
              <w:right w:val="nil"/>
            </w:tcBorders>
            <w:vAlign w:val="center"/>
          </w:tcPr>
          <w:p w14:paraId="02E19A44">
            <w:pPr>
              <w:snapToGrid w:val="0"/>
              <w:spacing w:line="360" w:lineRule="auto"/>
              <w:ind w:firstLine="0" w:firstLineChars="0"/>
              <w:rPr>
                <w:lang w:bidi="ar"/>
              </w:rPr>
            </w:pPr>
            <w:r>
              <w:rPr>
                <w:rFonts w:hint="eastAsia"/>
                <w:lang w:bidi="ar"/>
              </w:rPr>
              <w:t>43.8</w:t>
            </w:r>
          </w:p>
        </w:tc>
        <w:tc>
          <w:tcPr>
            <w:tcW w:w="1157" w:type="dxa"/>
            <w:tcBorders>
              <w:top w:val="nil"/>
              <w:left w:val="nil"/>
              <w:bottom w:val="nil"/>
              <w:right w:val="nil"/>
            </w:tcBorders>
            <w:vAlign w:val="center"/>
          </w:tcPr>
          <w:p w14:paraId="23E7DA3A">
            <w:pPr>
              <w:snapToGrid w:val="0"/>
              <w:spacing w:line="360" w:lineRule="auto"/>
              <w:ind w:firstLine="0" w:firstLineChars="0"/>
              <w:rPr>
                <w:lang w:bidi="ar"/>
              </w:rPr>
            </w:pPr>
            <w:r>
              <w:rPr>
                <w:rFonts w:hint="eastAsia"/>
                <w:lang w:bidi="ar"/>
              </w:rPr>
              <w:t>50.2</w:t>
            </w:r>
          </w:p>
        </w:tc>
        <w:tc>
          <w:tcPr>
            <w:tcW w:w="1146" w:type="dxa"/>
            <w:tcBorders>
              <w:top w:val="nil"/>
              <w:left w:val="nil"/>
              <w:bottom w:val="nil"/>
              <w:right w:val="nil"/>
            </w:tcBorders>
            <w:vAlign w:val="center"/>
          </w:tcPr>
          <w:p w14:paraId="10ABAD68">
            <w:pPr>
              <w:snapToGrid w:val="0"/>
              <w:spacing w:line="360" w:lineRule="auto"/>
              <w:ind w:firstLine="0" w:firstLineChars="0"/>
              <w:rPr>
                <w:lang w:bidi="ar"/>
              </w:rPr>
            </w:pPr>
            <w:r>
              <w:rPr>
                <w:rFonts w:hint="eastAsia"/>
                <w:lang w:bidi="ar"/>
              </w:rPr>
              <w:t>15.7</w:t>
            </w:r>
          </w:p>
        </w:tc>
        <w:tc>
          <w:tcPr>
            <w:tcW w:w="997" w:type="dxa"/>
            <w:tcBorders>
              <w:top w:val="nil"/>
              <w:left w:val="nil"/>
              <w:bottom w:val="nil"/>
              <w:right w:val="nil"/>
            </w:tcBorders>
            <w:vAlign w:val="center"/>
          </w:tcPr>
          <w:p w14:paraId="25281A17">
            <w:pPr>
              <w:snapToGrid w:val="0"/>
              <w:spacing w:line="360" w:lineRule="auto"/>
              <w:ind w:firstLine="0" w:firstLineChars="0"/>
              <w:rPr>
                <w:lang w:bidi="ar"/>
              </w:rPr>
            </w:pPr>
            <w:r>
              <w:rPr>
                <w:rFonts w:hint="eastAsia"/>
                <w:lang w:bidi="ar"/>
              </w:rPr>
              <w:t>314</w:t>
            </w:r>
          </w:p>
        </w:tc>
        <w:tc>
          <w:tcPr>
            <w:tcW w:w="1192" w:type="dxa"/>
            <w:tcBorders>
              <w:top w:val="nil"/>
              <w:left w:val="nil"/>
              <w:bottom w:val="nil"/>
              <w:right w:val="nil"/>
            </w:tcBorders>
            <w:vAlign w:val="center"/>
          </w:tcPr>
          <w:p w14:paraId="0E7DBDC0">
            <w:pPr>
              <w:snapToGrid w:val="0"/>
              <w:spacing w:line="360" w:lineRule="auto"/>
              <w:ind w:firstLine="0" w:firstLineChars="0"/>
              <w:rPr>
                <w:lang w:bidi="ar"/>
              </w:rPr>
            </w:pPr>
            <w:r>
              <w:rPr>
                <w:rFonts w:hint="eastAsia"/>
                <w:lang w:bidi="ar"/>
              </w:rPr>
              <w:t>1155</w:t>
            </w:r>
          </w:p>
        </w:tc>
      </w:tr>
      <w:tr w14:paraId="0E747EAD">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962" w:type="dxa"/>
            <w:tcBorders>
              <w:top w:val="nil"/>
              <w:left w:val="nil"/>
              <w:bottom w:val="nil"/>
              <w:right w:val="nil"/>
            </w:tcBorders>
            <w:vAlign w:val="center"/>
          </w:tcPr>
          <w:p w14:paraId="57A150C9">
            <w:pPr>
              <w:snapToGrid w:val="0"/>
              <w:spacing w:line="360" w:lineRule="auto"/>
              <w:ind w:firstLine="0" w:firstLineChars="0"/>
              <w:rPr>
                <w:lang w:bidi="ar"/>
              </w:rPr>
            </w:pPr>
            <w:r>
              <w:rPr>
                <w:rFonts w:hint="eastAsia"/>
                <w:lang w:bidi="ar"/>
              </w:rPr>
              <w:t>MPTP</w:t>
            </w:r>
          </w:p>
        </w:tc>
        <w:tc>
          <w:tcPr>
            <w:tcW w:w="1279" w:type="dxa"/>
            <w:tcBorders>
              <w:top w:val="nil"/>
              <w:left w:val="nil"/>
              <w:bottom w:val="nil"/>
              <w:right w:val="nil"/>
            </w:tcBorders>
            <w:vAlign w:val="center"/>
          </w:tcPr>
          <w:p w14:paraId="62A5215C">
            <w:pPr>
              <w:snapToGrid w:val="0"/>
              <w:spacing w:line="360" w:lineRule="auto"/>
              <w:ind w:firstLine="0" w:firstLineChars="0"/>
              <w:rPr>
                <w:lang w:bidi="ar"/>
              </w:rPr>
            </w:pPr>
            <w:r>
              <w:rPr>
                <w:rFonts w:hint="eastAsia"/>
                <w:lang w:bidi="ar"/>
              </w:rPr>
              <w:t>3.68</w:t>
            </w:r>
          </w:p>
        </w:tc>
        <w:tc>
          <w:tcPr>
            <w:tcW w:w="1275" w:type="dxa"/>
            <w:tcBorders>
              <w:top w:val="nil"/>
              <w:left w:val="nil"/>
              <w:bottom w:val="nil"/>
              <w:right w:val="nil"/>
            </w:tcBorders>
            <w:vAlign w:val="center"/>
          </w:tcPr>
          <w:p w14:paraId="73FDA74D">
            <w:pPr>
              <w:snapToGrid w:val="0"/>
              <w:spacing w:line="360" w:lineRule="auto"/>
              <w:ind w:firstLine="0" w:firstLineChars="0"/>
              <w:rPr>
                <w:lang w:bidi="ar"/>
              </w:rPr>
            </w:pPr>
            <w:r>
              <w:rPr>
                <w:rFonts w:hint="eastAsia"/>
                <w:lang w:bidi="ar"/>
              </w:rPr>
              <w:t>9.13</w:t>
            </w:r>
          </w:p>
        </w:tc>
        <w:tc>
          <w:tcPr>
            <w:tcW w:w="1076" w:type="dxa"/>
            <w:tcBorders>
              <w:top w:val="nil"/>
              <w:left w:val="nil"/>
              <w:bottom w:val="nil"/>
              <w:right w:val="nil"/>
            </w:tcBorders>
            <w:vAlign w:val="center"/>
          </w:tcPr>
          <w:p w14:paraId="65082FDA">
            <w:pPr>
              <w:snapToGrid w:val="0"/>
              <w:spacing w:line="360" w:lineRule="auto"/>
              <w:ind w:firstLine="0" w:firstLineChars="0"/>
              <w:rPr>
                <w:lang w:bidi="ar"/>
              </w:rPr>
            </w:pPr>
            <w:r>
              <w:rPr>
                <w:rFonts w:hint="eastAsia"/>
                <w:lang w:bidi="ar"/>
              </w:rPr>
              <w:t>147</w:t>
            </w:r>
          </w:p>
        </w:tc>
        <w:tc>
          <w:tcPr>
            <w:tcW w:w="1157" w:type="dxa"/>
            <w:tcBorders>
              <w:top w:val="nil"/>
              <w:left w:val="nil"/>
              <w:bottom w:val="nil"/>
              <w:right w:val="nil"/>
            </w:tcBorders>
            <w:vAlign w:val="center"/>
          </w:tcPr>
          <w:p w14:paraId="0620BA35">
            <w:pPr>
              <w:snapToGrid w:val="0"/>
              <w:spacing w:line="360" w:lineRule="auto"/>
              <w:ind w:firstLine="0" w:firstLineChars="0"/>
              <w:rPr>
                <w:lang w:bidi="ar"/>
              </w:rPr>
            </w:pPr>
            <w:r>
              <w:rPr>
                <w:rFonts w:hint="eastAsia"/>
                <w:lang w:bidi="ar"/>
              </w:rPr>
              <w:t>48.1</w:t>
            </w:r>
          </w:p>
        </w:tc>
        <w:tc>
          <w:tcPr>
            <w:tcW w:w="1157" w:type="dxa"/>
            <w:tcBorders>
              <w:top w:val="nil"/>
              <w:left w:val="nil"/>
              <w:bottom w:val="nil"/>
              <w:right w:val="nil"/>
            </w:tcBorders>
            <w:vAlign w:val="center"/>
          </w:tcPr>
          <w:p w14:paraId="309427F8">
            <w:pPr>
              <w:snapToGrid w:val="0"/>
              <w:spacing w:line="360" w:lineRule="auto"/>
              <w:ind w:firstLine="0" w:firstLineChars="0"/>
              <w:rPr>
                <w:lang w:bidi="ar"/>
              </w:rPr>
            </w:pPr>
            <w:r>
              <w:rPr>
                <w:rFonts w:hint="eastAsia"/>
                <w:lang w:bidi="ar"/>
              </w:rPr>
              <w:t>52.7</w:t>
            </w:r>
          </w:p>
        </w:tc>
        <w:tc>
          <w:tcPr>
            <w:tcW w:w="1146" w:type="dxa"/>
            <w:tcBorders>
              <w:top w:val="nil"/>
              <w:left w:val="nil"/>
              <w:bottom w:val="nil"/>
              <w:right w:val="nil"/>
            </w:tcBorders>
            <w:vAlign w:val="center"/>
          </w:tcPr>
          <w:p w14:paraId="3ECE2F15">
            <w:pPr>
              <w:snapToGrid w:val="0"/>
              <w:spacing w:line="360" w:lineRule="auto"/>
              <w:ind w:firstLine="0" w:firstLineChars="0"/>
              <w:rPr>
                <w:lang w:bidi="ar"/>
              </w:rPr>
            </w:pPr>
            <w:r>
              <w:rPr>
                <w:rFonts w:hint="eastAsia"/>
                <w:lang w:bidi="ar"/>
              </w:rPr>
              <w:t>16.1</w:t>
            </w:r>
          </w:p>
        </w:tc>
        <w:tc>
          <w:tcPr>
            <w:tcW w:w="997" w:type="dxa"/>
            <w:tcBorders>
              <w:top w:val="nil"/>
              <w:left w:val="nil"/>
              <w:bottom w:val="nil"/>
              <w:right w:val="nil"/>
            </w:tcBorders>
            <w:vAlign w:val="center"/>
          </w:tcPr>
          <w:p w14:paraId="06F1183E">
            <w:pPr>
              <w:snapToGrid w:val="0"/>
              <w:spacing w:line="360" w:lineRule="auto"/>
              <w:ind w:firstLine="0" w:firstLineChars="0"/>
              <w:rPr>
                <w:lang w:bidi="ar"/>
              </w:rPr>
            </w:pPr>
            <w:r>
              <w:rPr>
                <w:rFonts w:hint="eastAsia"/>
                <w:lang w:bidi="ar"/>
              </w:rPr>
              <w:t>306</w:t>
            </w:r>
          </w:p>
        </w:tc>
        <w:tc>
          <w:tcPr>
            <w:tcW w:w="1192" w:type="dxa"/>
            <w:tcBorders>
              <w:top w:val="nil"/>
              <w:left w:val="nil"/>
              <w:bottom w:val="nil"/>
              <w:right w:val="nil"/>
            </w:tcBorders>
            <w:vAlign w:val="center"/>
          </w:tcPr>
          <w:p w14:paraId="6A3BAD4E">
            <w:pPr>
              <w:snapToGrid w:val="0"/>
              <w:spacing w:line="360" w:lineRule="auto"/>
              <w:ind w:firstLine="0" w:firstLineChars="0"/>
              <w:rPr>
                <w:lang w:bidi="ar"/>
              </w:rPr>
            </w:pPr>
            <w:r>
              <w:rPr>
                <w:rFonts w:hint="eastAsia"/>
                <w:lang w:bidi="ar"/>
              </w:rPr>
              <w:t>1146</w:t>
            </w:r>
          </w:p>
        </w:tc>
      </w:tr>
      <w:tr w14:paraId="0B791FEC">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962" w:type="dxa"/>
            <w:tcBorders>
              <w:top w:val="nil"/>
              <w:left w:val="nil"/>
              <w:bottom w:val="nil"/>
              <w:right w:val="nil"/>
            </w:tcBorders>
            <w:vAlign w:val="center"/>
          </w:tcPr>
          <w:p w14:paraId="262C778F">
            <w:pPr>
              <w:snapToGrid w:val="0"/>
              <w:spacing w:line="360" w:lineRule="auto"/>
              <w:ind w:firstLine="0" w:firstLineChars="0"/>
              <w:rPr>
                <w:lang w:bidi="ar"/>
              </w:rPr>
            </w:pPr>
            <w:r>
              <w:rPr>
                <w:rFonts w:hint="eastAsia"/>
                <w:lang w:bidi="ar"/>
              </w:rPr>
              <w:t>G-Se NPs</w:t>
            </w:r>
          </w:p>
        </w:tc>
        <w:tc>
          <w:tcPr>
            <w:tcW w:w="1279" w:type="dxa"/>
            <w:tcBorders>
              <w:top w:val="nil"/>
              <w:left w:val="nil"/>
              <w:bottom w:val="nil"/>
              <w:right w:val="nil"/>
            </w:tcBorders>
            <w:vAlign w:val="center"/>
          </w:tcPr>
          <w:p w14:paraId="12F37215">
            <w:pPr>
              <w:snapToGrid w:val="0"/>
              <w:spacing w:line="360" w:lineRule="auto"/>
              <w:ind w:firstLine="0" w:firstLineChars="0"/>
              <w:rPr>
                <w:lang w:bidi="ar"/>
              </w:rPr>
            </w:pPr>
            <w:r>
              <w:rPr>
                <w:rFonts w:hint="eastAsia"/>
                <w:lang w:bidi="ar"/>
              </w:rPr>
              <w:t>3.78</w:t>
            </w:r>
          </w:p>
        </w:tc>
        <w:tc>
          <w:tcPr>
            <w:tcW w:w="1275" w:type="dxa"/>
            <w:tcBorders>
              <w:top w:val="nil"/>
              <w:left w:val="nil"/>
              <w:bottom w:val="nil"/>
              <w:right w:val="nil"/>
            </w:tcBorders>
            <w:vAlign w:val="center"/>
          </w:tcPr>
          <w:p w14:paraId="206C4DE6">
            <w:pPr>
              <w:snapToGrid w:val="0"/>
              <w:spacing w:line="360" w:lineRule="auto"/>
              <w:ind w:firstLine="0" w:firstLineChars="0"/>
              <w:rPr>
                <w:lang w:bidi="ar"/>
              </w:rPr>
            </w:pPr>
            <w:r>
              <w:rPr>
                <w:rFonts w:hint="eastAsia"/>
                <w:lang w:bidi="ar"/>
              </w:rPr>
              <w:t>8.35</w:t>
            </w:r>
          </w:p>
        </w:tc>
        <w:tc>
          <w:tcPr>
            <w:tcW w:w="1076" w:type="dxa"/>
            <w:tcBorders>
              <w:top w:val="nil"/>
              <w:left w:val="nil"/>
              <w:bottom w:val="nil"/>
              <w:right w:val="nil"/>
            </w:tcBorders>
            <w:vAlign w:val="center"/>
          </w:tcPr>
          <w:p w14:paraId="75F521DB">
            <w:pPr>
              <w:snapToGrid w:val="0"/>
              <w:spacing w:line="360" w:lineRule="auto"/>
              <w:ind w:firstLine="0" w:firstLineChars="0"/>
              <w:rPr>
                <w:lang w:bidi="ar"/>
              </w:rPr>
            </w:pPr>
            <w:r>
              <w:rPr>
                <w:rFonts w:hint="eastAsia"/>
                <w:lang w:bidi="ar"/>
              </w:rPr>
              <w:t>130</w:t>
            </w:r>
          </w:p>
        </w:tc>
        <w:tc>
          <w:tcPr>
            <w:tcW w:w="1157" w:type="dxa"/>
            <w:tcBorders>
              <w:top w:val="nil"/>
              <w:left w:val="nil"/>
              <w:bottom w:val="nil"/>
              <w:right w:val="nil"/>
            </w:tcBorders>
            <w:vAlign w:val="center"/>
          </w:tcPr>
          <w:p w14:paraId="5820BC54">
            <w:pPr>
              <w:snapToGrid w:val="0"/>
              <w:spacing w:line="360" w:lineRule="auto"/>
              <w:ind w:firstLine="0" w:firstLineChars="0"/>
              <w:rPr>
                <w:lang w:bidi="ar"/>
              </w:rPr>
            </w:pPr>
            <w:r>
              <w:rPr>
                <w:rFonts w:hint="eastAsia"/>
                <w:lang w:bidi="ar"/>
              </w:rPr>
              <w:t>40.6</w:t>
            </w:r>
          </w:p>
        </w:tc>
        <w:tc>
          <w:tcPr>
            <w:tcW w:w="1157" w:type="dxa"/>
            <w:tcBorders>
              <w:top w:val="nil"/>
              <w:left w:val="nil"/>
              <w:bottom w:val="nil"/>
              <w:right w:val="nil"/>
            </w:tcBorders>
            <w:vAlign w:val="center"/>
          </w:tcPr>
          <w:p w14:paraId="7AE5C066">
            <w:pPr>
              <w:snapToGrid w:val="0"/>
              <w:spacing w:line="360" w:lineRule="auto"/>
              <w:ind w:firstLine="0" w:firstLineChars="0"/>
              <w:rPr>
                <w:lang w:bidi="ar"/>
              </w:rPr>
            </w:pPr>
            <w:r>
              <w:rPr>
                <w:rFonts w:hint="eastAsia"/>
                <w:lang w:bidi="ar"/>
              </w:rPr>
              <w:t>48.7</w:t>
            </w:r>
          </w:p>
        </w:tc>
        <w:tc>
          <w:tcPr>
            <w:tcW w:w="1146" w:type="dxa"/>
            <w:tcBorders>
              <w:top w:val="nil"/>
              <w:left w:val="nil"/>
              <w:bottom w:val="nil"/>
              <w:right w:val="nil"/>
            </w:tcBorders>
            <w:vAlign w:val="center"/>
          </w:tcPr>
          <w:p w14:paraId="5B12F9BF">
            <w:pPr>
              <w:snapToGrid w:val="0"/>
              <w:spacing w:line="360" w:lineRule="auto"/>
              <w:ind w:firstLine="0" w:firstLineChars="0"/>
              <w:rPr>
                <w:lang w:bidi="ar"/>
              </w:rPr>
            </w:pPr>
            <w:r>
              <w:rPr>
                <w:rFonts w:hint="eastAsia"/>
                <w:lang w:bidi="ar"/>
              </w:rPr>
              <w:t>15.6</w:t>
            </w:r>
          </w:p>
        </w:tc>
        <w:tc>
          <w:tcPr>
            <w:tcW w:w="997" w:type="dxa"/>
            <w:tcBorders>
              <w:top w:val="nil"/>
              <w:left w:val="nil"/>
              <w:bottom w:val="nil"/>
              <w:right w:val="nil"/>
            </w:tcBorders>
            <w:vAlign w:val="center"/>
          </w:tcPr>
          <w:p w14:paraId="0203F56C">
            <w:pPr>
              <w:snapToGrid w:val="0"/>
              <w:spacing w:line="360" w:lineRule="auto"/>
              <w:ind w:firstLine="0" w:firstLineChars="0"/>
              <w:rPr>
                <w:lang w:bidi="ar"/>
              </w:rPr>
            </w:pPr>
            <w:r>
              <w:rPr>
                <w:rFonts w:hint="eastAsia"/>
                <w:lang w:bidi="ar"/>
              </w:rPr>
              <w:t>319</w:t>
            </w:r>
          </w:p>
        </w:tc>
        <w:tc>
          <w:tcPr>
            <w:tcW w:w="1192" w:type="dxa"/>
            <w:tcBorders>
              <w:top w:val="nil"/>
              <w:left w:val="nil"/>
              <w:bottom w:val="nil"/>
              <w:right w:val="nil"/>
            </w:tcBorders>
            <w:vAlign w:val="center"/>
          </w:tcPr>
          <w:p w14:paraId="6CEAEC53">
            <w:pPr>
              <w:snapToGrid w:val="0"/>
              <w:spacing w:line="360" w:lineRule="auto"/>
              <w:ind w:firstLine="0" w:firstLineChars="0"/>
              <w:rPr>
                <w:lang w:bidi="ar"/>
              </w:rPr>
            </w:pPr>
            <w:r>
              <w:rPr>
                <w:rFonts w:hint="eastAsia"/>
                <w:lang w:bidi="ar"/>
              </w:rPr>
              <w:t>1048</w:t>
            </w:r>
          </w:p>
        </w:tc>
      </w:tr>
      <w:tr w14:paraId="0EC35C18">
        <w:tblPrEx>
          <w:tblBorders>
            <w:top w:val="single" w:color="auto" w:sz="12"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962" w:type="dxa"/>
            <w:tcBorders>
              <w:top w:val="nil"/>
              <w:left w:val="nil"/>
              <w:bottom w:val="single" w:color="auto" w:sz="12" w:space="0"/>
              <w:right w:val="nil"/>
            </w:tcBorders>
            <w:vAlign w:val="center"/>
          </w:tcPr>
          <w:p w14:paraId="40CA5D34">
            <w:pPr>
              <w:snapToGrid w:val="0"/>
              <w:spacing w:line="360" w:lineRule="auto"/>
              <w:ind w:firstLine="0" w:firstLineChars="0"/>
              <w:rPr>
                <w:lang w:bidi="ar"/>
              </w:rPr>
            </w:pPr>
            <w:r>
              <w:rPr>
                <w:rFonts w:hint="eastAsia"/>
                <w:lang w:bidi="ar"/>
              </w:rPr>
              <w:t>G-Se NPs + PD</w:t>
            </w:r>
          </w:p>
        </w:tc>
        <w:tc>
          <w:tcPr>
            <w:tcW w:w="1279" w:type="dxa"/>
            <w:tcBorders>
              <w:top w:val="nil"/>
              <w:left w:val="nil"/>
              <w:bottom w:val="single" w:color="auto" w:sz="12" w:space="0"/>
              <w:right w:val="nil"/>
            </w:tcBorders>
            <w:vAlign w:val="center"/>
          </w:tcPr>
          <w:p w14:paraId="2E665DC5">
            <w:pPr>
              <w:snapToGrid w:val="0"/>
              <w:spacing w:line="360" w:lineRule="auto"/>
              <w:ind w:firstLine="0" w:firstLineChars="0"/>
              <w:rPr>
                <w:lang w:bidi="ar"/>
              </w:rPr>
            </w:pPr>
            <w:r>
              <w:rPr>
                <w:rFonts w:hint="eastAsia"/>
                <w:lang w:bidi="ar"/>
              </w:rPr>
              <w:t>4.79</w:t>
            </w:r>
          </w:p>
        </w:tc>
        <w:tc>
          <w:tcPr>
            <w:tcW w:w="1275" w:type="dxa"/>
            <w:tcBorders>
              <w:top w:val="nil"/>
              <w:left w:val="nil"/>
              <w:bottom w:val="single" w:color="auto" w:sz="12" w:space="0"/>
              <w:right w:val="nil"/>
            </w:tcBorders>
            <w:vAlign w:val="center"/>
          </w:tcPr>
          <w:p w14:paraId="28282C27">
            <w:pPr>
              <w:snapToGrid w:val="0"/>
              <w:spacing w:line="360" w:lineRule="auto"/>
              <w:ind w:firstLine="0" w:firstLineChars="0"/>
              <w:rPr>
                <w:lang w:bidi="ar"/>
              </w:rPr>
            </w:pPr>
            <w:r>
              <w:rPr>
                <w:rFonts w:hint="eastAsia"/>
                <w:lang w:bidi="ar"/>
              </w:rPr>
              <w:t>7.8</w:t>
            </w:r>
          </w:p>
        </w:tc>
        <w:tc>
          <w:tcPr>
            <w:tcW w:w="1076" w:type="dxa"/>
            <w:tcBorders>
              <w:top w:val="nil"/>
              <w:left w:val="nil"/>
              <w:bottom w:val="single" w:color="auto" w:sz="12" w:space="0"/>
              <w:right w:val="nil"/>
            </w:tcBorders>
            <w:vAlign w:val="center"/>
          </w:tcPr>
          <w:p w14:paraId="2832A8FD">
            <w:pPr>
              <w:snapToGrid w:val="0"/>
              <w:spacing w:line="360" w:lineRule="auto"/>
              <w:ind w:firstLine="0" w:firstLineChars="0"/>
              <w:rPr>
                <w:lang w:bidi="ar"/>
              </w:rPr>
            </w:pPr>
            <w:r>
              <w:rPr>
                <w:rFonts w:hint="eastAsia"/>
                <w:lang w:bidi="ar"/>
              </w:rPr>
              <w:t>127</w:t>
            </w:r>
          </w:p>
        </w:tc>
        <w:tc>
          <w:tcPr>
            <w:tcW w:w="1157" w:type="dxa"/>
            <w:tcBorders>
              <w:top w:val="nil"/>
              <w:left w:val="nil"/>
              <w:bottom w:val="single" w:color="auto" w:sz="12" w:space="0"/>
              <w:right w:val="nil"/>
            </w:tcBorders>
            <w:vAlign w:val="center"/>
          </w:tcPr>
          <w:p w14:paraId="3A89BD10">
            <w:pPr>
              <w:snapToGrid w:val="0"/>
              <w:spacing w:line="360" w:lineRule="auto"/>
              <w:ind w:firstLine="0" w:firstLineChars="0"/>
              <w:rPr>
                <w:lang w:bidi="ar"/>
              </w:rPr>
            </w:pPr>
            <w:r>
              <w:rPr>
                <w:rFonts w:hint="eastAsia"/>
                <w:lang w:bidi="ar"/>
              </w:rPr>
              <w:t>38.6</w:t>
            </w:r>
          </w:p>
        </w:tc>
        <w:tc>
          <w:tcPr>
            <w:tcW w:w="1157" w:type="dxa"/>
            <w:tcBorders>
              <w:top w:val="nil"/>
              <w:left w:val="nil"/>
              <w:bottom w:val="single" w:color="auto" w:sz="12" w:space="0"/>
              <w:right w:val="nil"/>
            </w:tcBorders>
            <w:vAlign w:val="center"/>
          </w:tcPr>
          <w:p w14:paraId="5126EFC5">
            <w:pPr>
              <w:snapToGrid w:val="0"/>
              <w:spacing w:line="360" w:lineRule="auto"/>
              <w:ind w:firstLine="0" w:firstLineChars="0"/>
              <w:rPr>
                <w:lang w:bidi="ar"/>
              </w:rPr>
            </w:pPr>
            <w:r>
              <w:rPr>
                <w:rFonts w:hint="eastAsia"/>
                <w:lang w:bidi="ar"/>
              </w:rPr>
              <w:t>49.5</w:t>
            </w:r>
          </w:p>
        </w:tc>
        <w:tc>
          <w:tcPr>
            <w:tcW w:w="1146" w:type="dxa"/>
            <w:tcBorders>
              <w:top w:val="nil"/>
              <w:left w:val="nil"/>
              <w:bottom w:val="single" w:color="auto" w:sz="12" w:space="0"/>
              <w:right w:val="nil"/>
            </w:tcBorders>
            <w:vAlign w:val="center"/>
          </w:tcPr>
          <w:p w14:paraId="5DC9340D">
            <w:pPr>
              <w:snapToGrid w:val="0"/>
              <w:spacing w:line="360" w:lineRule="auto"/>
              <w:ind w:firstLine="0" w:firstLineChars="0"/>
              <w:rPr>
                <w:lang w:bidi="ar"/>
              </w:rPr>
            </w:pPr>
            <w:r>
              <w:rPr>
                <w:rFonts w:hint="eastAsia"/>
                <w:lang w:bidi="ar"/>
              </w:rPr>
              <w:t>16.2</w:t>
            </w:r>
          </w:p>
        </w:tc>
        <w:tc>
          <w:tcPr>
            <w:tcW w:w="997" w:type="dxa"/>
            <w:tcBorders>
              <w:top w:val="nil"/>
              <w:left w:val="nil"/>
              <w:bottom w:val="single" w:color="auto" w:sz="12" w:space="0"/>
              <w:right w:val="nil"/>
            </w:tcBorders>
            <w:vAlign w:val="center"/>
          </w:tcPr>
          <w:p w14:paraId="0ADECE9D">
            <w:pPr>
              <w:snapToGrid w:val="0"/>
              <w:spacing w:line="360" w:lineRule="auto"/>
              <w:ind w:firstLine="0" w:firstLineChars="0"/>
              <w:rPr>
                <w:lang w:bidi="ar"/>
              </w:rPr>
            </w:pPr>
            <w:r>
              <w:rPr>
                <w:rFonts w:hint="eastAsia"/>
                <w:lang w:bidi="ar"/>
              </w:rPr>
              <w:t>328</w:t>
            </w:r>
          </w:p>
        </w:tc>
        <w:tc>
          <w:tcPr>
            <w:tcW w:w="1192" w:type="dxa"/>
            <w:tcBorders>
              <w:top w:val="nil"/>
              <w:left w:val="nil"/>
              <w:bottom w:val="single" w:color="auto" w:sz="12" w:space="0"/>
              <w:right w:val="nil"/>
            </w:tcBorders>
            <w:vAlign w:val="center"/>
          </w:tcPr>
          <w:p w14:paraId="20A90220">
            <w:pPr>
              <w:snapToGrid w:val="0"/>
              <w:spacing w:line="360" w:lineRule="auto"/>
              <w:ind w:firstLine="0" w:firstLineChars="0"/>
              <w:rPr>
                <w:lang w:bidi="ar"/>
              </w:rPr>
            </w:pPr>
            <w:r>
              <w:rPr>
                <w:rFonts w:hint="eastAsia"/>
                <w:lang w:bidi="ar"/>
              </w:rPr>
              <w:t>569</w:t>
            </w:r>
          </w:p>
        </w:tc>
      </w:tr>
    </w:tbl>
    <w:p w14:paraId="77B0CFB8">
      <w:pPr>
        <w:spacing w:line="360" w:lineRule="auto"/>
        <w:ind w:firstLine="0" w:firstLineChars="0"/>
        <w:jc w:val="both"/>
        <w:rPr>
          <w:lang w:bidi="ar"/>
        </w:rPr>
      </w:pPr>
    </w:p>
    <w:p w14:paraId="551DBF3A">
      <w:pPr>
        <w:spacing w:line="360" w:lineRule="auto"/>
        <w:ind w:firstLine="0" w:firstLineChars="0"/>
        <w:jc w:val="both"/>
        <w:rPr>
          <w:lang w:bidi="ar"/>
        </w:rPr>
      </w:pPr>
    </w:p>
    <w:p w14:paraId="555FDBA8">
      <w:pPr>
        <w:spacing w:line="360" w:lineRule="auto"/>
        <w:ind w:firstLine="0" w:firstLineChars="0"/>
        <w:jc w:val="both"/>
        <w:rPr>
          <w:sz w:val="28"/>
          <w:szCs w:val="28"/>
          <w:lang w:bidi="ar"/>
        </w:rPr>
      </w:pPr>
      <w:r>
        <w:rPr>
          <w:rFonts w:hint="eastAsia"/>
          <w:b/>
          <w:bCs/>
          <w:sz w:val="28"/>
          <w:szCs w:val="28"/>
          <w:lang w:bidi="ar"/>
        </w:rPr>
        <w:t xml:space="preserve">3. </w:t>
      </w:r>
      <w:r>
        <w:rPr>
          <w:b/>
          <w:bCs/>
          <w:sz w:val="28"/>
          <w:szCs w:val="28"/>
          <w:lang w:bidi="ar"/>
        </w:rPr>
        <w:t xml:space="preserve">Supplementary </w:t>
      </w:r>
      <w:r>
        <w:rPr>
          <w:rFonts w:hint="eastAsia"/>
          <w:b/>
          <w:bCs/>
          <w:sz w:val="28"/>
          <w:szCs w:val="28"/>
          <w:lang w:bidi="ar"/>
        </w:rPr>
        <w:t>Fig.</w:t>
      </w:r>
      <w:r>
        <w:rPr>
          <w:b/>
          <w:bCs/>
          <w:sz w:val="28"/>
          <w:szCs w:val="28"/>
          <w:lang w:bidi="ar"/>
        </w:rPr>
        <w:t>s</w:t>
      </w:r>
      <w:r>
        <w:rPr>
          <w:sz w:val="28"/>
          <w:szCs w:val="28"/>
          <w:lang w:bidi="ar"/>
        </w:rPr>
        <w:t xml:space="preserve"> </w:t>
      </w:r>
    </w:p>
    <w:p w14:paraId="597AA754">
      <w:pPr>
        <w:spacing w:line="360" w:lineRule="auto"/>
        <w:ind w:firstLine="0" w:firstLineChars="0"/>
        <w:jc w:val="both"/>
      </w:pPr>
    </w:p>
    <w:p w14:paraId="194EBF04">
      <w:pPr>
        <w:spacing w:line="360" w:lineRule="auto"/>
        <w:ind w:firstLine="0" w:firstLineChars="0"/>
        <w:jc w:val="both"/>
      </w:pPr>
    </w:p>
    <w:p w14:paraId="7D02ACC7">
      <w:pPr>
        <w:spacing w:line="360" w:lineRule="auto"/>
        <w:ind w:firstLine="0" w:firstLineChars="0"/>
        <w:jc w:val="both"/>
      </w:pPr>
    </w:p>
    <w:p w14:paraId="6AAB5490">
      <w:pPr>
        <w:spacing w:line="360" w:lineRule="auto"/>
        <w:ind w:firstLine="0" w:firstLineChars="0"/>
        <w:rPr>
          <w:rFonts w:hint="eastAsia" w:eastAsia="宋体"/>
          <w:lang w:eastAsia="zh-CN"/>
        </w:rPr>
      </w:pPr>
      <w:r>
        <w:rPr>
          <w:rFonts w:hint="eastAsia" w:eastAsia="宋体"/>
          <w:lang w:eastAsia="zh-CN"/>
        </w:rPr>
        <w:drawing>
          <wp:inline distT="0" distB="0" distL="114300" distR="114300">
            <wp:extent cx="5241290" cy="1769110"/>
            <wp:effectExtent l="0" t="0" r="16510" b="2540"/>
            <wp:docPr id="3" name="图片 3" descr="0921 GSH-SI 2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921 GSH-SI 2_01(1)"/>
                    <pic:cNvPicPr>
                      <a:picLocks noChangeAspect="1"/>
                    </pic:cNvPicPr>
                  </pic:nvPicPr>
                  <pic:blipFill>
                    <a:blip r:embed="rId7"/>
                    <a:srcRect l="17689" t="26175" r="5892" b="35123"/>
                    <a:stretch>
                      <a:fillRect/>
                    </a:stretch>
                  </pic:blipFill>
                  <pic:spPr>
                    <a:xfrm>
                      <a:off x="0" y="0"/>
                      <a:ext cx="5241290" cy="1769110"/>
                    </a:xfrm>
                    <a:prstGeom prst="rect">
                      <a:avLst/>
                    </a:prstGeom>
                  </pic:spPr>
                </pic:pic>
              </a:graphicData>
            </a:graphic>
          </wp:inline>
        </w:drawing>
      </w:r>
    </w:p>
    <w:p w14:paraId="7F5172BB">
      <w:pPr>
        <w:spacing w:line="360" w:lineRule="auto"/>
        <w:ind w:firstLine="0" w:firstLineChars="0"/>
        <w:jc w:val="both"/>
      </w:pPr>
      <w:r>
        <w:rPr>
          <w:b/>
          <w:bCs/>
        </w:rPr>
        <w:t>Fig</w:t>
      </w:r>
      <w:r>
        <w:rPr>
          <w:rFonts w:hint="eastAsia"/>
          <w:b/>
          <w:bCs/>
        </w:rPr>
        <w:t>.</w:t>
      </w:r>
      <w:r>
        <w:rPr>
          <w:b/>
          <w:bCs/>
        </w:rPr>
        <w:t xml:space="preserve"> S</w:t>
      </w:r>
      <w:r>
        <w:rPr>
          <w:rFonts w:hint="eastAsia"/>
          <w:b/>
          <w:bCs/>
          <w:lang w:val="en-US" w:eastAsia="zh-CN"/>
        </w:rPr>
        <w:t>1</w:t>
      </w:r>
      <w:r>
        <w:rPr>
          <w:rFonts w:hint="eastAsia"/>
        </w:rPr>
        <w:t xml:space="preserve"> (a)</w:t>
      </w:r>
      <w:r>
        <w:rPr>
          <w:rFonts w:ascii="Segoe UI" w:hAnsi="Segoe UI" w:cs="Segoe UI"/>
          <w:shd w:val="clear" w:color="auto" w:fill="FFFFFF"/>
        </w:rPr>
        <w:t xml:space="preserve"> </w:t>
      </w:r>
      <w:r>
        <w:rPr>
          <w:rFonts w:hint="eastAsia"/>
        </w:rPr>
        <w:t>Statistical size distribution of G-Se NPs from TEM image. (b)</w:t>
      </w:r>
      <w:r>
        <w:rPr>
          <w:rFonts w:ascii="Segoe UI" w:hAnsi="Segoe UI" w:cs="Segoe UI"/>
          <w:shd w:val="clear" w:color="auto" w:fill="FFFFFF"/>
        </w:rPr>
        <w:t xml:space="preserve"> </w:t>
      </w:r>
      <w:r>
        <w:rPr>
          <w:rFonts w:hint="eastAsia" w:ascii="Times New Roman" w:hAnsi="Times New Roman"/>
          <w:sz w:val="24"/>
          <w:highlight w:val="none"/>
        </w:rPr>
        <w:t>Thickness measurement of G-Se NPs by AFM</w:t>
      </w:r>
      <w:r>
        <w:rPr>
          <w:rFonts w:hint="eastAsia"/>
          <w:sz w:val="24"/>
          <w:highlight w:val="none"/>
          <w:lang w:val="en-US" w:eastAsia="zh-CN"/>
        </w:rPr>
        <w:t xml:space="preserve">. </w:t>
      </w:r>
      <w:r>
        <w:rPr>
          <w:rFonts w:hint="eastAsia" w:ascii="Times New Roman" w:hAnsi="Times New Roman"/>
          <w:sz w:val="24"/>
          <w:highlight w:val="none"/>
        </w:rPr>
        <w:t>(</w:t>
      </w:r>
      <w:r>
        <w:rPr>
          <w:rFonts w:hint="eastAsia"/>
          <w:sz w:val="24"/>
          <w:highlight w:val="none"/>
          <w:lang w:val="en-US" w:eastAsia="zh-CN"/>
        </w:rPr>
        <w:t>f</w:t>
      </w:r>
      <w:r>
        <w:rPr>
          <w:rFonts w:hint="eastAsia" w:ascii="Times New Roman" w:hAnsi="Times New Roman"/>
          <w:sz w:val="24"/>
          <w:highlight w:val="none"/>
        </w:rPr>
        <w:t>) Zeta potential curve of G-Se NPs</w:t>
      </w:r>
      <w:r>
        <w:rPr>
          <w:rFonts w:hint="eastAsia"/>
          <w:sz w:val="24"/>
          <w:highlight w:val="none"/>
          <w:lang w:val="en-US" w:eastAsia="zh-CN"/>
        </w:rPr>
        <w:t>, a</w:t>
      </w:r>
      <w:r>
        <w:rPr>
          <w:rFonts w:hint="eastAsia" w:ascii="Times New Roman" w:hAnsi="Times New Roman"/>
          <w:sz w:val="24"/>
          <w:highlight w:val="none"/>
        </w:rPr>
        <w:t xml:space="preserve">ll data are presented as mean </w:t>
      </w:r>
      <w:r>
        <w:rPr>
          <w:rFonts w:ascii="Times New Roman" w:hAnsi="Times New Roman"/>
          <w:sz w:val="24"/>
          <w:highlight w:val="none"/>
        </w:rPr>
        <w:t>±</w:t>
      </w:r>
      <w:r>
        <w:rPr>
          <w:rFonts w:hint="eastAsia" w:ascii="Times New Roman" w:hAnsi="Times New Roman"/>
          <w:sz w:val="24"/>
          <w:highlight w:val="none"/>
        </w:rPr>
        <w:t xml:space="preserve"> SD (n=3). </w:t>
      </w:r>
      <w:r>
        <w:rPr>
          <w:rFonts w:hint="eastAsia"/>
          <w:sz w:val="24"/>
          <w:highlight w:val="none"/>
          <w:lang w:val="en-US" w:eastAsia="zh-CN"/>
        </w:rPr>
        <w:t xml:space="preserve"> </w:t>
      </w:r>
    </w:p>
    <w:p w14:paraId="4880ADB0">
      <w:pPr>
        <w:spacing w:line="360" w:lineRule="auto"/>
        <w:ind w:firstLine="0" w:firstLineChars="0"/>
        <w:jc w:val="center"/>
        <w:rPr>
          <w:rFonts w:hint="eastAsia"/>
        </w:rPr>
      </w:pPr>
    </w:p>
    <w:p w14:paraId="5D84C1A6">
      <w:pPr>
        <w:spacing w:line="360" w:lineRule="auto"/>
        <w:ind w:firstLine="0" w:firstLineChars="0"/>
        <w:jc w:val="center"/>
        <w:rPr>
          <w:rFonts w:hint="eastAsia"/>
        </w:rPr>
      </w:pPr>
    </w:p>
    <w:p w14:paraId="2629C482">
      <w:pPr>
        <w:spacing w:line="360" w:lineRule="auto"/>
        <w:ind w:firstLine="0" w:firstLineChars="0"/>
        <w:jc w:val="center"/>
        <w:rPr>
          <w:rFonts w:hint="eastAsia"/>
        </w:rPr>
      </w:pPr>
    </w:p>
    <w:p w14:paraId="72AB5C80">
      <w:pPr>
        <w:spacing w:line="360" w:lineRule="auto"/>
        <w:ind w:firstLine="0" w:firstLineChars="0"/>
        <w:jc w:val="center"/>
        <w:rPr>
          <w:rFonts w:hint="eastAsia"/>
        </w:rPr>
      </w:pPr>
      <w:r>
        <w:rPr>
          <w:rFonts w:hint="eastAsia"/>
        </w:rPr>
        <w:drawing>
          <wp:inline distT="0" distB="0" distL="114300" distR="114300">
            <wp:extent cx="3645535" cy="2272030"/>
            <wp:effectExtent l="0" t="0" r="0" b="0"/>
            <wp:docPr id="1" name="图片 1" descr="0921 GSH-SI 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921 GSH-SI 2_02"/>
                    <pic:cNvPicPr>
                      <a:picLocks noChangeAspect="1"/>
                    </pic:cNvPicPr>
                  </pic:nvPicPr>
                  <pic:blipFill>
                    <a:blip r:embed="rId8"/>
                    <a:srcRect l="43713" t="30617" r="19127" b="34642"/>
                    <a:stretch>
                      <a:fillRect/>
                    </a:stretch>
                  </pic:blipFill>
                  <pic:spPr>
                    <a:xfrm>
                      <a:off x="0" y="0"/>
                      <a:ext cx="3645535" cy="2272030"/>
                    </a:xfrm>
                    <a:prstGeom prst="rect">
                      <a:avLst/>
                    </a:prstGeom>
                  </pic:spPr>
                </pic:pic>
              </a:graphicData>
            </a:graphic>
          </wp:inline>
        </w:drawing>
      </w:r>
    </w:p>
    <w:p w14:paraId="59E93D85">
      <w:pPr>
        <w:spacing w:line="360" w:lineRule="auto"/>
        <w:ind w:firstLine="0" w:firstLineChars="0"/>
        <w:jc w:val="center"/>
      </w:pPr>
      <w:r>
        <w:rPr>
          <w:b/>
          <w:bCs/>
        </w:rPr>
        <w:t>Fig</w:t>
      </w:r>
      <w:r>
        <w:rPr>
          <w:rFonts w:hint="eastAsia"/>
          <w:b/>
          <w:bCs/>
        </w:rPr>
        <w:t>.</w:t>
      </w:r>
      <w:r>
        <w:rPr>
          <w:b/>
          <w:bCs/>
        </w:rPr>
        <w:t xml:space="preserve"> S</w:t>
      </w:r>
      <w:r>
        <w:rPr>
          <w:rFonts w:hint="eastAsia"/>
          <w:b/>
          <w:bCs/>
          <w:lang w:val="en-US" w:eastAsia="zh-CN"/>
        </w:rPr>
        <w:t xml:space="preserve">2 </w:t>
      </w:r>
      <w:r>
        <w:t xml:space="preserve">Analysis of </w:t>
      </w:r>
      <w:r>
        <w:rPr>
          <w:rFonts w:hint="eastAsia"/>
        </w:rPr>
        <w:t>s</w:t>
      </w:r>
      <w:r>
        <w:t xml:space="preserve">urface </w:t>
      </w:r>
      <w:r>
        <w:rPr>
          <w:rFonts w:hint="eastAsia"/>
        </w:rPr>
        <w:t>e</w:t>
      </w:r>
      <w:r>
        <w:t xml:space="preserve">lement </w:t>
      </w:r>
      <w:r>
        <w:rPr>
          <w:rFonts w:hint="eastAsia"/>
        </w:rPr>
        <w:t>c</w:t>
      </w:r>
      <w:r>
        <w:t xml:space="preserve">ontent of </w:t>
      </w:r>
      <w:r>
        <w:rPr>
          <w:rFonts w:hint="eastAsia"/>
        </w:rPr>
        <w:t>G-Se NPs</w:t>
      </w:r>
      <w:r>
        <w:t xml:space="preserve">: (C, N, O, </w:t>
      </w:r>
      <w:r>
        <w:rPr>
          <w:rFonts w:hint="eastAsia"/>
        </w:rPr>
        <w:t>Se</w:t>
      </w:r>
      <w:r>
        <w:t>, S).</w:t>
      </w:r>
    </w:p>
    <w:p w14:paraId="2847370C">
      <w:pPr>
        <w:spacing w:line="360" w:lineRule="auto"/>
        <w:ind w:firstLine="0" w:firstLineChars="0"/>
        <w:jc w:val="center"/>
        <w:rPr>
          <w:rFonts w:hint="eastAsia" w:eastAsia="宋体"/>
          <w:lang w:eastAsia="zh-CN"/>
        </w:rPr>
      </w:pPr>
      <w:r>
        <w:rPr>
          <w:rFonts w:hint="eastAsia" w:eastAsia="宋体"/>
          <w:lang w:eastAsia="zh-CN"/>
        </w:rPr>
        <w:drawing>
          <wp:inline distT="0" distB="0" distL="114300" distR="114300">
            <wp:extent cx="4751705" cy="4234180"/>
            <wp:effectExtent l="0" t="0" r="10795" b="13970"/>
            <wp:docPr id="23" name="图片 23" descr="F1表征与抗氧化性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1表征与抗氧化性_03(1)"/>
                    <pic:cNvPicPr>
                      <a:picLocks noChangeAspect="1"/>
                    </pic:cNvPicPr>
                  </pic:nvPicPr>
                  <pic:blipFill>
                    <a:blip r:embed="rId9"/>
                    <a:srcRect l="18721" t="23451" r="17610" b="34454"/>
                    <a:stretch>
                      <a:fillRect/>
                    </a:stretch>
                  </pic:blipFill>
                  <pic:spPr>
                    <a:xfrm>
                      <a:off x="0" y="0"/>
                      <a:ext cx="4751705" cy="4234180"/>
                    </a:xfrm>
                    <a:prstGeom prst="rect">
                      <a:avLst/>
                    </a:prstGeom>
                  </pic:spPr>
                </pic:pic>
              </a:graphicData>
            </a:graphic>
          </wp:inline>
        </w:drawing>
      </w:r>
    </w:p>
    <w:p w14:paraId="00F725B1">
      <w:pPr>
        <w:spacing w:line="360" w:lineRule="auto"/>
        <w:ind w:firstLine="0" w:firstLineChars="0"/>
        <w:jc w:val="both"/>
        <w:rPr>
          <w:rFonts w:hint="eastAsia"/>
        </w:rPr>
      </w:pPr>
      <w:r>
        <w:rPr>
          <w:b/>
          <w:bCs/>
        </w:rPr>
        <w:t>Fig</w:t>
      </w:r>
      <w:r>
        <w:rPr>
          <w:rFonts w:hint="eastAsia"/>
          <w:b/>
          <w:bCs/>
        </w:rPr>
        <w:t>.</w:t>
      </w:r>
      <w:r>
        <w:rPr>
          <w:b/>
          <w:bCs/>
        </w:rPr>
        <w:t xml:space="preserve"> S</w:t>
      </w:r>
      <w:r>
        <w:rPr>
          <w:rFonts w:hint="eastAsia"/>
          <w:b/>
          <w:bCs/>
          <w:lang w:val="en-US" w:eastAsia="zh-CN"/>
        </w:rPr>
        <w:t>3</w:t>
      </w:r>
      <w:r>
        <w:rPr>
          <w:rFonts w:hint="eastAsia" w:ascii="Times New Roman" w:hAnsi="Times New Roman"/>
          <w:sz w:val="24"/>
          <w:highlight w:val="none"/>
        </w:rPr>
        <w:t xml:space="preserve"> XPS spectrum of G-Se NPs (</w:t>
      </w:r>
      <w:r>
        <w:rPr>
          <w:rFonts w:hint="eastAsia"/>
          <w:sz w:val="24"/>
          <w:highlight w:val="none"/>
          <w:lang w:val="en-US" w:eastAsia="zh-CN"/>
        </w:rPr>
        <w:t>a</w:t>
      </w:r>
      <w:r>
        <w:rPr>
          <w:rFonts w:hint="eastAsia" w:ascii="Times New Roman" w:hAnsi="Times New Roman"/>
          <w:sz w:val="24"/>
          <w:highlight w:val="none"/>
        </w:rPr>
        <w:t>), C1s (</w:t>
      </w:r>
      <w:r>
        <w:rPr>
          <w:rFonts w:hint="eastAsia"/>
          <w:sz w:val="24"/>
          <w:highlight w:val="none"/>
          <w:lang w:val="en-US" w:eastAsia="zh-CN"/>
        </w:rPr>
        <w:t>b</w:t>
      </w:r>
      <w:r>
        <w:rPr>
          <w:rFonts w:hint="eastAsia" w:ascii="Times New Roman" w:hAnsi="Times New Roman"/>
          <w:sz w:val="24"/>
          <w:highlight w:val="none"/>
        </w:rPr>
        <w:t xml:space="preserve">), </w:t>
      </w:r>
      <w:r>
        <w:rPr>
          <w:rFonts w:hint="eastAsia"/>
          <w:sz w:val="24"/>
          <w:highlight w:val="none"/>
          <w:lang w:val="en-US" w:eastAsia="zh-CN"/>
        </w:rPr>
        <w:t>N</w:t>
      </w:r>
      <w:r>
        <w:rPr>
          <w:rFonts w:hint="eastAsia" w:ascii="Times New Roman" w:hAnsi="Times New Roman"/>
          <w:sz w:val="24"/>
          <w:highlight w:val="none"/>
        </w:rPr>
        <w:t>1s (</w:t>
      </w:r>
      <w:r>
        <w:rPr>
          <w:rFonts w:hint="eastAsia"/>
          <w:sz w:val="24"/>
          <w:highlight w:val="none"/>
          <w:lang w:val="en-US" w:eastAsia="zh-CN"/>
        </w:rPr>
        <w:t>C</w:t>
      </w:r>
      <w:r>
        <w:rPr>
          <w:rFonts w:hint="eastAsia" w:ascii="Times New Roman" w:hAnsi="Times New Roman"/>
          <w:sz w:val="24"/>
          <w:highlight w:val="none"/>
        </w:rPr>
        <w:t xml:space="preserve">), </w:t>
      </w:r>
      <w:r>
        <w:rPr>
          <w:rFonts w:hint="eastAsia"/>
          <w:sz w:val="24"/>
          <w:highlight w:val="none"/>
          <w:lang w:val="en-US" w:eastAsia="zh-CN"/>
        </w:rPr>
        <w:t>O</w:t>
      </w:r>
      <w:r>
        <w:rPr>
          <w:rFonts w:hint="eastAsia" w:ascii="Times New Roman" w:hAnsi="Times New Roman"/>
          <w:sz w:val="24"/>
          <w:highlight w:val="none"/>
        </w:rPr>
        <w:t>1s (</w:t>
      </w:r>
      <w:r>
        <w:rPr>
          <w:rFonts w:hint="eastAsia"/>
          <w:sz w:val="24"/>
          <w:highlight w:val="none"/>
          <w:lang w:val="en-US" w:eastAsia="zh-CN"/>
        </w:rPr>
        <w:t>D</w:t>
      </w:r>
      <w:r>
        <w:rPr>
          <w:rFonts w:hint="eastAsia" w:ascii="Times New Roman" w:hAnsi="Times New Roman"/>
          <w:sz w:val="24"/>
          <w:highlight w:val="none"/>
        </w:rPr>
        <w:t xml:space="preserve">) in G-Se NPs. </w:t>
      </w:r>
    </w:p>
    <w:p w14:paraId="3308A259">
      <w:pPr>
        <w:spacing w:line="360" w:lineRule="auto"/>
        <w:ind w:firstLine="0" w:firstLineChars="0"/>
        <w:jc w:val="both"/>
      </w:pPr>
    </w:p>
    <w:p w14:paraId="02F4130C">
      <w:pPr>
        <w:spacing w:line="360" w:lineRule="auto"/>
        <w:ind w:firstLine="0" w:firstLineChars="0"/>
        <w:jc w:val="both"/>
      </w:pPr>
    </w:p>
    <w:p w14:paraId="702E918B">
      <w:pPr>
        <w:spacing w:line="360" w:lineRule="auto"/>
        <w:ind w:firstLine="0" w:firstLineChars="0"/>
        <w:jc w:val="both"/>
      </w:pPr>
      <w:bookmarkStart w:id="4" w:name="_GoBack"/>
      <w:bookmarkEnd w:id="4"/>
    </w:p>
    <w:p w14:paraId="52FF5E53">
      <w:pPr>
        <w:spacing w:line="360" w:lineRule="auto"/>
        <w:ind w:firstLine="0" w:firstLineChars="0"/>
        <w:jc w:val="both"/>
      </w:pPr>
    </w:p>
    <w:p w14:paraId="6D48EFF2">
      <w:pPr>
        <w:spacing w:line="360" w:lineRule="auto"/>
        <w:ind w:firstLine="0" w:firstLineChars="0"/>
      </w:pPr>
      <w:r>
        <w:drawing>
          <wp:inline distT="0" distB="0" distL="0" distR="0">
            <wp:extent cx="4562475" cy="2000250"/>
            <wp:effectExtent l="0" t="0" r="0" b="0"/>
            <wp:docPr id="11358356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35651" name="图片 3"/>
                    <pic:cNvPicPr>
                      <a:picLocks noChangeAspect="1"/>
                    </pic:cNvPicPr>
                  </pic:nvPicPr>
                  <pic:blipFill>
                    <a:blip r:embed="rId10"/>
                    <a:stretch>
                      <a:fillRect/>
                    </a:stretch>
                  </pic:blipFill>
                  <pic:spPr>
                    <a:xfrm>
                      <a:off x="0" y="0"/>
                      <a:ext cx="4627940" cy="2028746"/>
                    </a:xfrm>
                    <a:prstGeom prst="rect">
                      <a:avLst/>
                    </a:prstGeom>
                  </pic:spPr>
                </pic:pic>
              </a:graphicData>
            </a:graphic>
          </wp:inline>
        </w:drawing>
      </w:r>
    </w:p>
    <w:p w14:paraId="2229F8EC">
      <w:pPr>
        <w:spacing w:line="360" w:lineRule="auto"/>
        <w:ind w:firstLine="0" w:firstLineChars="0"/>
        <w:jc w:val="both"/>
        <w:rPr>
          <w:rFonts w:hint="eastAsia"/>
        </w:rPr>
      </w:pPr>
      <w:r>
        <w:rPr>
          <w:b/>
          <w:bCs/>
        </w:rPr>
        <w:t>Fig</w:t>
      </w:r>
      <w:r>
        <w:rPr>
          <w:rFonts w:hint="eastAsia"/>
          <w:b/>
          <w:bCs/>
        </w:rPr>
        <w:t>.</w:t>
      </w:r>
      <w:r>
        <w:rPr>
          <w:b/>
          <w:bCs/>
        </w:rPr>
        <w:t xml:space="preserve"> S</w:t>
      </w:r>
      <w:r>
        <w:rPr>
          <w:rFonts w:hint="eastAsia"/>
          <w:b/>
          <w:bCs/>
          <w:lang w:val="en-US" w:eastAsia="zh-CN"/>
        </w:rPr>
        <w:t>4</w:t>
      </w:r>
      <w:r>
        <w:rPr>
          <w:rFonts w:hint="eastAsia"/>
        </w:rPr>
        <w:t xml:space="preserve"> (a, b) </w:t>
      </w:r>
      <w:bookmarkStart w:id="3" w:name="_Hlk207439504"/>
      <w:r>
        <w:rPr>
          <w:rFonts w:hint="eastAsia"/>
        </w:rPr>
        <w:t>Fluorescence spectra of (a) O</w:t>
      </w:r>
      <w:r>
        <w:rPr>
          <w:rFonts w:hint="eastAsia"/>
          <w:vertAlign w:val="subscript"/>
        </w:rPr>
        <w:t>2</w:t>
      </w:r>
      <w:r>
        <w:rPr>
          <w:rFonts w:hint="eastAsia"/>
          <w:vertAlign w:val="superscript"/>
        </w:rPr>
        <w:t>-</w:t>
      </w:r>
      <w:r>
        <w:t>·</w:t>
      </w:r>
      <w:r>
        <w:rPr>
          <w:rFonts w:hint="eastAsia"/>
        </w:rPr>
        <w:t xml:space="preserve"> and (b) </w:t>
      </w:r>
      <w:r>
        <w:t>·</w:t>
      </w:r>
      <w:r>
        <w:rPr>
          <w:rFonts w:hint="eastAsia"/>
        </w:rPr>
        <w:t xml:space="preserve">OH were eliminated by different concentrations of G-Se NPs. </w:t>
      </w:r>
      <w:bookmarkEnd w:id="3"/>
    </w:p>
    <w:p w14:paraId="3A58759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cs="Times New Roman"/>
          <w:b w:val="0"/>
          <w:bCs w:val="0"/>
          <w:color w:val="0000FF"/>
          <w:kern w:val="2"/>
          <w:sz w:val="24"/>
          <w:szCs w:val="24"/>
          <w:lang w:val="en-US" w:eastAsia="zh-CN" w:bidi="ar-SA"/>
        </w:rPr>
      </w:pPr>
      <w:r>
        <w:rPr>
          <w:rFonts w:hint="eastAsia" w:ascii="Times New Roman" w:hAnsi="Times New Roman" w:cs="Times New Roman"/>
          <w:b w:val="0"/>
          <w:bCs w:val="0"/>
          <w:color w:val="0000FF"/>
          <w:kern w:val="2"/>
          <w:sz w:val="24"/>
          <w:szCs w:val="24"/>
          <w:lang w:val="en-US" w:eastAsia="zh-CN" w:bidi="ar-SA"/>
        </w:rPr>
        <w:drawing>
          <wp:inline distT="0" distB="0" distL="114300" distR="114300">
            <wp:extent cx="5255895" cy="1472565"/>
            <wp:effectExtent l="0" t="0" r="1905" b="3810"/>
            <wp:docPr id="26" name="图片 26" descr="GSH返修数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GSH返修数据_03"/>
                    <pic:cNvPicPr>
                      <a:picLocks noChangeAspect="1"/>
                    </pic:cNvPicPr>
                  </pic:nvPicPr>
                  <pic:blipFill>
                    <a:blip r:embed="rId11"/>
                    <a:srcRect l="5301" t="11548" r="21046" b="51857"/>
                    <a:stretch>
                      <a:fillRect/>
                    </a:stretch>
                  </pic:blipFill>
                  <pic:spPr>
                    <a:xfrm>
                      <a:off x="0" y="0"/>
                      <a:ext cx="5255895" cy="1472565"/>
                    </a:xfrm>
                    <a:prstGeom prst="rect">
                      <a:avLst/>
                    </a:prstGeom>
                  </pic:spPr>
                </pic:pic>
              </a:graphicData>
            </a:graphic>
          </wp:inline>
        </w:drawing>
      </w:r>
    </w:p>
    <w:p w14:paraId="6BFB898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Times New Roman" w:hAnsi="Times New Roman" w:cs="Times New Roman"/>
          <w:b w:val="0"/>
          <w:bCs w:val="0"/>
          <w:color w:val="auto"/>
          <w:kern w:val="2"/>
          <w:sz w:val="21"/>
          <w:szCs w:val="21"/>
          <w:lang w:val="en-US" w:eastAsia="zh-CN" w:bidi="ar-SA"/>
        </w:rPr>
      </w:pPr>
      <w:r>
        <w:rPr>
          <w:rFonts w:hint="eastAsia" w:ascii="Times New Roman" w:hAnsi="Times New Roman" w:cs="Times New Roman"/>
          <w:b/>
          <w:bCs/>
          <w:color w:val="auto"/>
          <w:kern w:val="2"/>
          <w:sz w:val="21"/>
          <w:szCs w:val="21"/>
          <w:lang w:val="en-US" w:eastAsia="zh-CN" w:bidi="ar-SA"/>
        </w:rPr>
        <w:t>Fig. S</w:t>
      </w:r>
      <w:r>
        <w:rPr>
          <w:rFonts w:hint="eastAsia" w:cs="Times New Roman"/>
          <w:b/>
          <w:bCs/>
          <w:color w:val="auto"/>
          <w:kern w:val="2"/>
          <w:sz w:val="21"/>
          <w:szCs w:val="21"/>
          <w:lang w:val="en-US" w:eastAsia="zh-CN" w:bidi="ar-SA"/>
        </w:rPr>
        <w:t>5</w:t>
      </w:r>
      <w:r>
        <w:rPr>
          <w:rFonts w:hint="eastAsia" w:ascii="Times New Roman" w:hAnsi="Times New Roman" w:cs="Times New Roman"/>
          <w:b/>
          <w:bCs/>
          <w:color w:val="auto"/>
          <w:kern w:val="2"/>
          <w:sz w:val="21"/>
          <w:szCs w:val="21"/>
          <w:lang w:val="en-US" w:eastAsia="zh-CN" w:bidi="ar-SA"/>
        </w:rPr>
        <w:t>.</w:t>
      </w:r>
      <w:r>
        <w:rPr>
          <w:rFonts w:hint="eastAsia" w:ascii="Times New Roman" w:hAnsi="Times New Roman" w:cs="Times New Roman"/>
          <w:b w:val="0"/>
          <w:bCs w:val="0"/>
          <w:color w:val="auto"/>
          <w:kern w:val="2"/>
          <w:sz w:val="21"/>
          <w:szCs w:val="21"/>
          <w:lang w:val="en-US" w:eastAsia="zh-CN" w:bidi="ar-SA"/>
        </w:rPr>
        <w:t xml:space="preserve"> ROS generation characterization. (a) ESR spectra of </w:t>
      </w:r>
      <w:r>
        <w:rPr>
          <w:rFonts w:hint="default" w:ascii="Times New Roman" w:hAnsi="Times New Roman" w:cs="Times New Roman"/>
          <w:b w:val="0"/>
          <w:bCs w:val="0"/>
          <w:color w:val="auto"/>
          <w:kern w:val="2"/>
          <w:sz w:val="21"/>
          <w:szCs w:val="21"/>
          <w:lang w:val="en-US" w:eastAsia="zh-CN" w:bidi="ar-SA"/>
        </w:rPr>
        <w:t>·O</w:t>
      </w:r>
      <w:r>
        <w:rPr>
          <w:rFonts w:hint="default" w:ascii="Times New Roman" w:hAnsi="Times New Roman" w:cs="Times New Roman"/>
          <w:b w:val="0"/>
          <w:bCs w:val="0"/>
          <w:color w:val="auto"/>
          <w:kern w:val="2"/>
          <w:sz w:val="21"/>
          <w:szCs w:val="21"/>
          <w:vertAlign w:val="subscript"/>
          <w:lang w:val="en-US" w:eastAsia="zh-CN" w:bidi="ar-SA"/>
        </w:rPr>
        <w:t>2</w:t>
      </w:r>
      <w:r>
        <w:rPr>
          <w:rFonts w:hint="default" w:ascii="Times New Roman" w:hAnsi="Times New Roman" w:cs="Times New Roman"/>
          <w:b w:val="0"/>
          <w:bCs w:val="0"/>
          <w:color w:val="auto"/>
          <w:kern w:val="2"/>
          <w:sz w:val="21"/>
          <w:szCs w:val="21"/>
          <w:vertAlign w:val="superscript"/>
          <w:lang w:val="en-US" w:eastAsia="zh-CN" w:bidi="ar-SA"/>
        </w:rPr>
        <w:t>−</w:t>
      </w:r>
      <w:r>
        <w:rPr>
          <w:rFonts w:hint="eastAsia" w:ascii="Times New Roman" w:hAnsi="Times New Roman" w:cs="Times New Roman"/>
          <w:b w:val="0"/>
          <w:bCs w:val="0"/>
          <w:color w:val="auto"/>
          <w:kern w:val="2"/>
          <w:sz w:val="21"/>
          <w:szCs w:val="21"/>
          <w:lang w:val="en-US" w:eastAsia="zh-CN" w:bidi="ar-SA"/>
        </w:rPr>
        <w:t xml:space="preserve"> (black) and after scavenging with 1 mM p-benzoquinone (orange). (b) ESR spectra of </w:t>
      </w:r>
      <w:r>
        <w:rPr>
          <w:rFonts w:hint="default" w:ascii="Times New Roman" w:hAnsi="Times New Roman" w:cs="Times New Roman"/>
          <w:b w:val="0"/>
          <w:bCs w:val="0"/>
          <w:color w:val="auto"/>
          <w:kern w:val="2"/>
          <w:sz w:val="21"/>
          <w:szCs w:val="21"/>
          <w:lang w:val="en-US" w:eastAsia="zh-CN" w:bidi="ar-SA"/>
        </w:rPr>
        <w:t>·</w:t>
      </w:r>
      <w:r>
        <w:rPr>
          <w:rFonts w:hint="eastAsia" w:ascii="Times New Roman" w:hAnsi="Times New Roman" w:cs="Times New Roman"/>
          <w:b w:val="0"/>
          <w:bCs w:val="0"/>
          <w:color w:val="auto"/>
          <w:kern w:val="2"/>
          <w:sz w:val="21"/>
          <w:szCs w:val="21"/>
          <w:lang w:val="en-US" w:eastAsia="zh-CN" w:bidi="ar-SA"/>
        </w:rPr>
        <w:t>OH (red) and after scavenging with 1.31 M IPA (blue). (c) UV-Vis absorption of H</w:t>
      </w:r>
      <w:r>
        <w:rPr>
          <w:rFonts w:hint="eastAsia" w:ascii="Times New Roman" w:hAnsi="Times New Roman" w:cs="Times New Roman"/>
          <w:b w:val="0"/>
          <w:bCs w:val="0"/>
          <w:color w:val="auto"/>
          <w:kern w:val="2"/>
          <w:sz w:val="21"/>
          <w:szCs w:val="21"/>
          <w:vertAlign w:val="subscript"/>
          <w:lang w:val="en-US" w:eastAsia="zh-CN" w:bidi="ar-SA"/>
        </w:rPr>
        <w:t>2</w:t>
      </w:r>
      <w:r>
        <w:rPr>
          <w:rFonts w:hint="eastAsia" w:ascii="Times New Roman" w:hAnsi="Times New Roman" w:cs="Times New Roman"/>
          <w:b w:val="0"/>
          <w:bCs w:val="0"/>
          <w:color w:val="auto"/>
          <w:kern w:val="2"/>
          <w:sz w:val="21"/>
          <w:szCs w:val="21"/>
          <w:lang w:val="en-US" w:eastAsia="zh-CN" w:bidi="ar-SA"/>
        </w:rPr>
        <w:t>O</w:t>
      </w:r>
      <w:r>
        <w:rPr>
          <w:rFonts w:hint="eastAsia" w:ascii="Times New Roman" w:hAnsi="Times New Roman" w:cs="Times New Roman"/>
          <w:b w:val="0"/>
          <w:bCs w:val="0"/>
          <w:color w:val="auto"/>
          <w:kern w:val="2"/>
          <w:sz w:val="21"/>
          <w:szCs w:val="21"/>
          <w:vertAlign w:val="subscript"/>
          <w:lang w:val="en-US" w:eastAsia="zh-CN" w:bidi="ar-SA"/>
        </w:rPr>
        <w:t>2</w:t>
      </w:r>
      <w:r>
        <w:rPr>
          <w:rFonts w:hint="eastAsia" w:ascii="Times New Roman" w:hAnsi="Times New Roman" w:cs="Times New Roman"/>
          <w:b w:val="0"/>
          <w:bCs w:val="0"/>
          <w:color w:val="auto"/>
          <w:kern w:val="2"/>
          <w:sz w:val="21"/>
          <w:szCs w:val="21"/>
          <w:lang w:val="en-US" w:eastAsia="zh-CN" w:bidi="ar-SA"/>
        </w:rPr>
        <w:t xml:space="preserve"> without (blue) and with (green) 200 U/mL catalase.</w:t>
      </w:r>
    </w:p>
    <w:p w14:paraId="2C77699D">
      <w:pPr>
        <w:spacing w:line="360" w:lineRule="auto"/>
        <w:ind w:firstLine="0" w:firstLineChars="0"/>
        <w:jc w:val="both"/>
      </w:pPr>
    </w:p>
    <w:p w14:paraId="787B277D">
      <w:pPr>
        <w:spacing w:line="360" w:lineRule="auto"/>
        <w:ind w:firstLine="0" w:firstLineChars="0"/>
        <w:jc w:val="both"/>
      </w:pPr>
    </w:p>
    <w:p w14:paraId="27A6DD79">
      <w:pPr>
        <w:spacing w:line="360" w:lineRule="auto"/>
        <w:ind w:firstLine="0" w:firstLineChars="0"/>
        <w:jc w:val="center"/>
      </w:pPr>
      <w:r>
        <w:rPr>
          <w:rFonts w:hint="eastAsia"/>
        </w:rPr>
        <w:drawing>
          <wp:inline distT="0" distB="0" distL="114300" distR="114300">
            <wp:extent cx="4582160" cy="4060190"/>
            <wp:effectExtent l="0" t="0" r="0" b="0"/>
            <wp:docPr id="2" name="图片 2" descr="0921 GSH-SI 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921 GSH-SI 2_04"/>
                    <pic:cNvPicPr>
                      <a:picLocks noChangeAspect="1"/>
                    </pic:cNvPicPr>
                  </pic:nvPicPr>
                  <pic:blipFill>
                    <a:blip r:embed="rId12"/>
                    <a:srcRect l="12083" r="12688"/>
                    <a:stretch>
                      <a:fillRect/>
                    </a:stretch>
                  </pic:blipFill>
                  <pic:spPr>
                    <a:xfrm>
                      <a:off x="0" y="0"/>
                      <a:ext cx="4582160" cy="4060190"/>
                    </a:xfrm>
                    <a:prstGeom prst="rect">
                      <a:avLst/>
                    </a:prstGeom>
                  </pic:spPr>
                </pic:pic>
              </a:graphicData>
            </a:graphic>
          </wp:inline>
        </w:drawing>
      </w:r>
    </w:p>
    <w:p w14:paraId="478B368F">
      <w:pPr>
        <w:spacing w:line="360" w:lineRule="auto"/>
        <w:ind w:firstLine="0" w:firstLineChars="0"/>
        <w:jc w:val="both"/>
      </w:pPr>
    </w:p>
    <w:p w14:paraId="45D5B523">
      <w:pPr>
        <w:spacing w:line="360" w:lineRule="auto"/>
        <w:ind w:firstLine="0" w:firstLineChars="0"/>
        <w:jc w:val="both"/>
      </w:pPr>
      <w:r>
        <w:rPr>
          <w:rFonts w:hint="eastAsia"/>
          <w:b/>
          <w:bCs/>
        </w:rPr>
        <w:t>Fig.</w:t>
      </w:r>
      <w:r>
        <w:rPr>
          <w:b/>
          <w:bCs/>
        </w:rPr>
        <w:t xml:space="preserve"> S</w:t>
      </w:r>
      <w:r>
        <w:rPr>
          <w:rFonts w:hint="eastAsia"/>
          <w:b/>
          <w:bCs/>
          <w:lang w:val="en-US" w:eastAsia="zh-CN"/>
        </w:rPr>
        <w:t>6</w:t>
      </w:r>
      <w:r>
        <w:rPr>
          <w:rFonts w:hint="eastAsia"/>
          <w:b/>
          <w:bCs/>
        </w:rPr>
        <w:t xml:space="preserve"> </w:t>
      </w:r>
      <w:r>
        <w:rPr>
          <w:rFonts w:hint="eastAsia"/>
        </w:rPr>
        <w:t>(a, b) Uv</w:t>
      </w:r>
      <w:r>
        <w:rPr>
          <w:rFonts w:hint="eastAsia"/>
          <w:lang w:val="en-US" w:eastAsia="zh-CN"/>
        </w:rPr>
        <w:t>-vis</w:t>
      </w:r>
      <w:r>
        <w:rPr>
          <w:rFonts w:hint="eastAsia"/>
        </w:rPr>
        <w:t xml:space="preserve"> spectra (a) and photographs (b) of G-Se NPs reacting with different concentrations of H</w:t>
      </w:r>
      <w:r>
        <w:rPr>
          <w:rFonts w:hint="eastAsia"/>
          <w:vertAlign w:val="subscript"/>
        </w:rPr>
        <w:t>2</w:t>
      </w:r>
      <w:r>
        <w:rPr>
          <w:rFonts w:hint="eastAsia"/>
        </w:rPr>
        <w:t>O</w:t>
      </w:r>
      <w:r>
        <w:rPr>
          <w:rFonts w:hint="eastAsia"/>
          <w:vertAlign w:val="subscript"/>
        </w:rPr>
        <w:t>2</w:t>
      </w:r>
      <w:r>
        <w:rPr>
          <w:rFonts w:hint="eastAsia"/>
        </w:rPr>
        <w:t>. (c, d) DLS analysis and TEM imaging of G-Se NPs reacting with 45 mM of H</w:t>
      </w:r>
      <w:r>
        <w:rPr>
          <w:rFonts w:hint="eastAsia"/>
          <w:vertAlign w:val="subscript"/>
        </w:rPr>
        <w:t>2</w:t>
      </w:r>
      <w:r>
        <w:rPr>
          <w:rFonts w:hint="eastAsia"/>
        </w:rPr>
        <w:t>O</w:t>
      </w:r>
      <w:r>
        <w:rPr>
          <w:rFonts w:hint="eastAsia"/>
          <w:vertAlign w:val="subscript"/>
        </w:rPr>
        <w:t>2</w:t>
      </w:r>
      <w:r>
        <w:rPr>
          <w:rFonts w:hint="eastAsia"/>
        </w:rPr>
        <w:t>.</w:t>
      </w:r>
    </w:p>
    <w:p w14:paraId="3292CDA4">
      <w:pPr>
        <w:spacing w:line="360" w:lineRule="auto"/>
        <w:ind w:firstLine="0" w:firstLineChars="0"/>
      </w:pPr>
      <w:r>
        <w:drawing>
          <wp:inline distT="0" distB="0" distL="0" distR="0">
            <wp:extent cx="3049905" cy="2331720"/>
            <wp:effectExtent l="0" t="0" r="0" b="0"/>
            <wp:docPr id="2195803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80382" name="图片 4"/>
                    <pic:cNvPicPr>
                      <a:picLocks noChangeAspect="1"/>
                    </pic:cNvPicPr>
                  </pic:nvPicPr>
                  <pic:blipFill>
                    <a:blip r:embed="rId13"/>
                    <a:stretch>
                      <a:fillRect/>
                    </a:stretch>
                  </pic:blipFill>
                  <pic:spPr>
                    <a:xfrm>
                      <a:off x="0" y="0"/>
                      <a:ext cx="3077827" cy="2352601"/>
                    </a:xfrm>
                    <a:prstGeom prst="rect">
                      <a:avLst/>
                    </a:prstGeom>
                  </pic:spPr>
                </pic:pic>
              </a:graphicData>
            </a:graphic>
          </wp:inline>
        </w:drawing>
      </w:r>
    </w:p>
    <w:p w14:paraId="44E7E2D2">
      <w:pPr>
        <w:spacing w:line="360" w:lineRule="auto"/>
        <w:ind w:firstLine="0" w:firstLineChars="0"/>
        <w:jc w:val="both"/>
      </w:pPr>
    </w:p>
    <w:p w14:paraId="0EF56EC1">
      <w:pPr>
        <w:spacing w:line="360" w:lineRule="auto"/>
        <w:ind w:firstLine="0" w:firstLineChars="0"/>
      </w:pPr>
      <w:r>
        <w:rPr>
          <w:rFonts w:hint="eastAsia"/>
          <w:b/>
          <w:bCs/>
        </w:rPr>
        <w:t>Fig.</w:t>
      </w:r>
      <w:r>
        <w:rPr>
          <w:b/>
          <w:bCs/>
        </w:rPr>
        <w:t xml:space="preserve"> S</w:t>
      </w:r>
      <w:r>
        <w:rPr>
          <w:rFonts w:hint="eastAsia"/>
          <w:b/>
          <w:bCs/>
          <w:lang w:val="en-US" w:eastAsia="zh-CN"/>
        </w:rPr>
        <w:t>7</w:t>
      </w:r>
      <w:r>
        <w:rPr>
          <w:rFonts w:hint="eastAsia"/>
        </w:rPr>
        <w:t xml:space="preserve"> </w:t>
      </w:r>
      <w:r>
        <w:rPr>
          <w:rFonts w:hint="eastAsia"/>
          <w:color w:val="000000" w:themeColor="text1"/>
          <w14:textFill>
            <w14:solidFill>
              <w14:schemeClr w14:val="tx1"/>
            </w14:solidFill>
          </w14:textFill>
        </w:rPr>
        <w:t>Antioxidant capaci</w:t>
      </w:r>
      <w:r>
        <w:rPr>
          <w:color w:val="000000" w:themeColor="text1"/>
          <w14:textFill>
            <w14:solidFill>
              <w14:schemeClr w14:val="tx1"/>
            </w14:solidFill>
          </w14:textFill>
        </w:rPr>
        <w:t xml:space="preserve">ty measured by the DPPH </w:t>
      </w:r>
      <w:r>
        <w:t>methods</w:t>
      </w:r>
      <w:r>
        <w:rPr>
          <w:rFonts w:hint="eastAsia"/>
        </w:rPr>
        <w:t>.</w:t>
      </w:r>
    </w:p>
    <w:p w14:paraId="78A69B21">
      <w:pPr>
        <w:spacing w:line="360" w:lineRule="auto"/>
        <w:ind w:firstLine="0" w:firstLineChars="0"/>
        <w:jc w:val="both"/>
      </w:pPr>
    </w:p>
    <w:p w14:paraId="2A9A49F5">
      <w:pPr>
        <w:spacing w:line="360" w:lineRule="auto"/>
        <w:ind w:firstLine="0" w:firstLineChars="0"/>
        <w:jc w:val="both"/>
      </w:pPr>
    </w:p>
    <w:p w14:paraId="7C141757">
      <w:pPr>
        <w:spacing w:line="360" w:lineRule="auto"/>
        <w:ind w:firstLine="0" w:firstLineChars="0"/>
        <w:jc w:val="both"/>
      </w:pPr>
    </w:p>
    <w:p w14:paraId="29D04E8E">
      <w:pPr>
        <w:spacing w:line="360" w:lineRule="auto"/>
        <w:ind w:firstLine="0" w:firstLineChars="0"/>
        <w:jc w:val="both"/>
      </w:pPr>
    </w:p>
    <w:p w14:paraId="3762716E">
      <w:pPr>
        <w:spacing w:line="360" w:lineRule="auto"/>
        <w:ind w:firstLine="0" w:firstLineChars="0"/>
      </w:pPr>
      <w:r>
        <w:drawing>
          <wp:inline distT="0" distB="0" distL="0" distR="0">
            <wp:extent cx="3177540" cy="2144395"/>
            <wp:effectExtent l="0" t="0" r="0" b="0"/>
            <wp:docPr id="6045740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74026" name="图片 5"/>
                    <pic:cNvPicPr>
                      <a:picLocks noChangeAspect="1"/>
                    </pic:cNvPicPr>
                  </pic:nvPicPr>
                  <pic:blipFill>
                    <a:blip r:embed="rId14"/>
                    <a:stretch>
                      <a:fillRect/>
                    </a:stretch>
                  </pic:blipFill>
                  <pic:spPr>
                    <a:xfrm>
                      <a:off x="0" y="0"/>
                      <a:ext cx="3193056" cy="2155097"/>
                    </a:xfrm>
                    <a:prstGeom prst="rect">
                      <a:avLst/>
                    </a:prstGeom>
                  </pic:spPr>
                </pic:pic>
              </a:graphicData>
            </a:graphic>
          </wp:inline>
        </w:drawing>
      </w:r>
    </w:p>
    <w:p w14:paraId="56A66C9D">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lang w:val="en-US" w:eastAsia="zh-CN"/>
        </w:rPr>
        <w:t>8</w:t>
      </w:r>
      <w:r>
        <w:rPr>
          <w:rFonts w:hint="eastAsia"/>
        </w:rPr>
        <w:t xml:space="preserve"> Cell viability was estimated using the CCK-8 assay. </w:t>
      </w:r>
      <w:r>
        <w:rPr>
          <w:rFonts w:hint="eastAsia"/>
          <w:lang w:val="en-US" w:eastAsia="zh-CN"/>
        </w:rPr>
        <w:t>SH-SY5Y</w:t>
      </w:r>
      <w:r>
        <w:rPr>
          <w:rFonts w:hint="eastAsia"/>
        </w:rPr>
        <w:t xml:space="preserve"> cells were exposed to different concentration G-Se NPs 24 h.</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49A1B334">
      <w:pPr>
        <w:spacing w:line="360" w:lineRule="auto"/>
        <w:ind w:firstLine="0" w:firstLineChars="0"/>
        <w:jc w:val="both"/>
      </w:pPr>
    </w:p>
    <w:p w14:paraId="70D5A8C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Times New Roman" w:hAnsi="Times New Roman" w:eastAsia="宋体" w:cs="Times New Roman"/>
          <w:i w:val="0"/>
          <w:iCs w:val="0"/>
          <w:caps w:val="0"/>
          <w:color w:val="0000FF"/>
          <w:spacing w:val="1"/>
          <w:lang w:eastAsia="zh-CN"/>
        </w:rPr>
      </w:pPr>
      <w:r>
        <w:rPr>
          <w:rFonts w:hint="eastAsia" w:ascii="Times New Roman" w:hAnsi="Times New Roman" w:eastAsia="宋体" w:cs="Times New Roman"/>
          <w:i w:val="0"/>
          <w:iCs w:val="0"/>
          <w:caps w:val="0"/>
          <w:color w:val="0000FF"/>
          <w:spacing w:val="1"/>
          <w:lang w:eastAsia="zh-CN"/>
        </w:rPr>
        <w:drawing>
          <wp:inline distT="0" distB="0" distL="114300" distR="114300">
            <wp:extent cx="3115310" cy="2161540"/>
            <wp:effectExtent l="0" t="0" r="8890" b="635"/>
            <wp:docPr id="25" name="图片 25" descr="40-100毒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40-100毒性"/>
                    <pic:cNvPicPr>
                      <a:picLocks noChangeAspect="1"/>
                    </pic:cNvPicPr>
                  </pic:nvPicPr>
                  <pic:blipFill>
                    <a:blip r:embed="rId15"/>
                    <a:stretch>
                      <a:fillRect/>
                    </a:stretch>
                  </pic:blipFill>
                  <pic:spPr>
                    <a:xfrm>
                      <a:off x="0" y="0"/>
                      <a:ext cx="3115310" cy="2161540"/>
                    </a:xfrm>
                    <a:prstGeom prst="rect">
                      <a:avLst/>
                    </a:prstGeom>
                  </pic:spPr>
                </pic:pic>
              </a:graphicData>
            </a:graphic>
          </wp:inline>
        </w:drawing>
      </w:r>
    </w:p>
    <w:p w14:paraId="0FC367B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eastAsia="宋体" w:cs="Times New Roman"/>
          <w:i w:val="0"/>
          <w:iCs w:val="0"/>
          <w:caps w:val="0"/>
          <w:color w:val="0000FF"/>
          <w:spacing w:val="1"/>
          <w:lang w:val="en-US" w:eastAsia="zh-CN"/>
        </w:rPr>
      </w:pPr>
      <w:r>
        <w:rPr>
          <w:rFonts w:hint="eastAsia"/>
          <w:b/>
          <w:bCs/>
        </w:rPr>
        <w:t>Fig.</w:t>
      </w:r>
      <w:r>
        <w:rPr>
          <w:b/>
          <w:bCs/>
        </w:rPr>
        <w:t xml:space="preserve"> S</w:t>
      </w:r>
      <w:r>
        <w:rPr>
          <w:rFonts w:hint="eastAsia"/>
          <w:b/>
          <w:bCs/>
          <w:lang w:val="en-US" w:eastAsia="zh-CN"/>
        </w:rPr>
        <w:t xml:space="preserve">9 </w:t>
      </w:r>
      <w:r>
        <w:rPr>
          <w:rFonts w:hint="eastAsia" w:ascii="Times New Roman" w:hAnsi="Times New Roman"/>
          <w:sz w:val="24"/>
          <w:highlight w:val="none"/>
        </w:rPr>
        <w:t>Cell viability of PC12 treated with G-Se NPs at different concentrations.</w:t>
      </w:r>
    </w:p>
    <w:p w14:paraId="0871E771">
      <w:pPr>
        <w:spacing w:line="360" w:lineRule="auto"/>
        <w:ind w:firstLine="0" w:firstLineChars="0"/>
        <w:jc w:val="both"/>
      </w:pPr>
    </w:p>
    <w:p w14:paraId="069E358A">
      <w:pPr>
        <w:spacing w:line="360" w:lineRule="auto"/>
        <w:ind w:firstLine="0" w:firstLineChars="0"/>
        <w:jc w:val="both"/>
      </w:pPr>
    </w:p>
    <w:p w14:paraId="7E78927F">
      <w:pPr>
        <w:spacing w:line="360" w:lineRule="auto"/>
        <w:ind w:firstLine="0" w:firstLineChars="0"/>
      </w:pPr>
      <w:r>
        <w:rPr>
          <w:rFonts w:hint="eastAsia"/>
        </w:rPr>
        <w:drawing>
          <wp:inline distT="0" distB="0" distL="0" distR="0">
            <wp:extent cx="3896995" cy="3021965"/>
            <wp:effectExtent l="0" t="0" r="8255" b="6985"/>
            <wp:docPr id="5966587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58784" name="图片 6"/>
                    <pic:cNvPicPr>
                      <a:picLocks noChangeAspect="1"/>
                    </pic:cNvPicPr>
                  </pic:nvPicPr>
                  <pic:blipFill>
                    <a:blip r:embed="rId16"/>
                    <a:stretch>
                      <a:fillRect/>
                    </a:stretch>
                  </pic:blipFill>
                  <pic:spPr>
                    <a:xfrm>
                      <a:off x="0" y="0"/>
                      <a:ext cx="3914088" cy="3035673"/>
                    </a:xfrm>
                    <a:prstGeom prst="rect">
                      <a:avLst/>
                    </a:prstGeom>
                  </pic:spPr>
                </pic:pic>
              </a:graphicData>
            </a:graphic>
          </wp:inline>
        </w:drawing>
      </w:r>
    </w:p>
    <w:p w14:paraId="72990825">
      <w:pPr>
        <w:spacing w:line="360" w:lineRule="auto"/>
        <w:ind w:firstLine="0" w:firstLineChars="0"/>
      </w:pPr>
      <w:r>
        <w:rPr>
          <w:rFonts w:hint="eastAsia"/>
          <w:b/>
          <w:bCs/>
        </w:rPr>
        <w:t>Fig.</w:t>
      </w:r>
      <w:r>
        <w:rPr>
          <w:b/>
          <w:bCs/>
        </w:rPr>
        <w:t xml:space="preserve"> S</w:t>
      </w:r>
      <w:r>
        <w:rPr>
          <w:rFonts w:hint="eastAsia"/>
          <w:b/>
          <w:bCs/>
          <w:lang w:val="en-US" w:eastAsia="zh-CN"/>
        </w:rPr>
        <w:t>10</w:t>
      </w:r>
      <w:r>
        <w:rPr>
          <w:rFonts w:hint="eastAsia"/>
        </w:rPr>
        <w:t xml:space="preserve"> UV-Vis spectral characterization of G-Se NPs/Ce6.</w:t>
      </w:r>
    </w:p>
    <w:p w14:paraId="73DA76F0">
      <w:pPr>
        <w:spacing w:line="360" w:lineRule="auto"/>
        <w:ind w:firstLine="0" w:firstLineChars="0"/>
        <w:jc w:val="both"/>
      </w:pPr>
    </w:p>
    <w:p w14:paraId="50307881">
      <w:pPr>
        <w:spacing w:line="360" w:lineRule="auto"/>
        <w:ind w:firstLine="0" w:firstLineChars="0"/>
        <w:jc w:val="both"/>
      </w:pPr>
    </w:p>
    <w:p w14:paraId="6E8BD9BB">
      <w:pPr>
        <w:spacing w:line="360" w:lineRule="auto"/>
        <w:ind w:firstLine="0" w:firstLineChars="0"/>
        <w:jc w:val="both"/>
      </w:pPr>
    </w:p>
    <w:p w14:paraId="062CD838">
      <w:pPr>
        <w:spacing w:line="360" w:lineRule="auto"/>
        <w:ind w:firstLine="0" w:firstLineChars="0"/>
        <w:rPr>
          <w:rFonts w:hint="eastAsia" w:eastAsia="宋体"/>
          <w:lang w:eastAsia="zh-CN"/>
        </w:rPr>
      </w:pPr>
      <w:r>
        <w:rPr>
          <w:rFonts w:hint="eastAsia" w:eastAsia="宋体"/>
          <w:lang w:eastAsia="zh-CN"/>
        </w:rPr>
        <w:drawing>
          <wp:inline distT="0" distB="0" distL="114300" distR="114300">
            <wp:extent cx="4100195" cy="1907540"/>
            <wp:effectExtent l="0" t="0" r="14605" b="16510"/>
            <wp:docPr id="18" name="图片 18" descr="0921 GSH-SI 2_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921 GSH-SI 2_09(2)"/>
                    <pic:cNvPicPr>
                      <a:picLocks noChangeAspect="1"/>
                    </pic:cNvPicPr>
                  </pic:nvPicPr>
                  <pic:blipFill>
                    <a:blip r:embed="rId17"/>
                    <a:srcRect l="12134" t="31435" r="33558" b="30658"/>
                    <a:stretch>
                      <a:fillRect/>
                    </a:stretch>
                  </pic:blipFill>
                  <pic:spPr>
                    <a:xfrm>
                      <a:off x="0" y="0"/>
                      <a:ext cx="4100195" cy="1907540"/>
                    </a:xfrm>
                    <a:prstGeom prst="rect">
                      <a:avLst/>
                    </a:prstGeom>
                  </pic:spPr>
                </pic:pic>
              </a:graphicData>
            </a:graphic>
          </wp:inline>
        </w:drawing>
      </w:r>
    </w:p>
    <w:p w14:paraId="016F846F">
      <w:pPr>
        <w:spacing w:line="360" w:lineRule="auto"/>
        <w:ind w:firstLine="0" w:firstLineChars="0"/>
        <w:jc w:val="both"/>
        <w:rPr>
          <w:rFonts w:hint="eastAsia" w:ascii="Times New Roman" w:hAnsi="Times New Roman"/>
          <w:sz w:val="24"/>
          <w:highlight w:val="none"/>
        </w:rPr>
      </w:pPr>
      <w:r>
        <w:rPr>
          <w:rFonts w:hint="eastAsia"/>
          <w:b/>
          <w:bCs/>
        </w:rPr>
        <w:t>Fig.</w:t>
      </w:r>
      <w:r>
        <w:rPr>
          <w:b/>
          <w:bCs/>
        </w:rPr>
        <w:t xml:space="preserve"> S</w:t>
      </w:r>
      <w:r>
        <w:rPr>
          <w:rFonts w:hint="eastAsia"/>
          <w:b/>
          <w:bCs/>
          <w:lang w:val="en-US" w:eastAsia="zh-CN"/>
        </w:rPr>
        <w:t>11</w:t>
      </w:r>
      <w:r>
        <w:t xml:space="preserve"> </w:t>
      </w:r>
      <w:r>
        <w:rPr>
          <w:rFonts w:hint="eastAsia"/>
        </w:rPr>
        <w:t xml:space="preserve">(a, b) </w:t>
      </w:r>
      <w:r>
        <w:rPr>
          <w:szCs w:val="24"/>
          <w:lang w:bidi="ar"/>
        </w:rPr>
        <w:t xml:space="preserve">CLSM after different time exposure to </w:t>
      </w:r>
      <w:r>
        <w:rPr>
          <w:rFonts w:hint="eastAsia"/>
          <w:szCs w:val="24"/>
          <w:lang w:bidi="ar"/>
        </w:rPr>
        <w:t>G-Se NPs</w:t>
      </w:r>
      <w:r>
        <w:rPr>
          <w:szCs w:val="24"/>
          <w:lang w:bidi="ar"/>
        </w:rPr>
        <w:t>.</w:t>
      </w:r>
      <w:r>
        <w:rPr>
          <w:rFonts w:hint="eastAsia"/>
          <w:szCs w:val="24"/>
          <w:lang w:bidi="ar"/>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5E362869">
      <w:pPr>
        <w:spacing w:line="360" w:lineRule="auto"/>
        <w:ind w:firstLine="0" w:firstLineChars="0"/>
        <w:jc w:val="both"/>
        <w:rPr>
          <w:rFonts w:hint="eastAsia" w:ascii="Times New Roman" w:hAnsi="Times New Roman"/>
          <w:sz w:val="24"/>
          <w:highlight w:val="none"/>
        </w:rPr>
      </w:pPr>
    </w:p>
    <w:p w14:paraId="1106992A">
      <w:pPr>
        <w:spacing w:line="360" w:lineRule="auto"/>
        <w:ind w:firstLine="0" w:firstLineChars="0"/>
        <w:jc w:val="both"/>
        <w:rPr>
          <w:rFonts w:hint="eastAsia" w:ascii="Times New Roman" w:hAnsi="Times New Roman"/>
          <w:sz w:val="24"/>
          <w:highlight w:val="none"/>
        </w:rPr>
      </w:pPr>
    </w:p>
    <w:p w14:paraId="14FE0CE7">
      <w:pPr>
        <w:spacing w:line="360" w:lineRule="auto"/>
        <w:ind w:firstLine="0" w:firstLineChars="0"/>
        <w:jc w:val="both"/>
        <w:rPr>
          <w:rFonts w:hint="eastAsia" w:ascii="Times New Roman" w:hAnsi="Times New Roman"/>
          <w:sz w:val="24"/>
          <w:highlight w:val="none"/>
        </w:rPr>
      </w:pPr>
    </w:p>
    <w:p w14:paraId="62809F5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i w:val="0"/>
          <w:iCs w:val="0"/>
          <w:caps w:val="0"/>
          <w:color w:val="0000FF"/>
          <w:spacing w:val="1"/>
          <w:lang w:eastAsia="zh-CN"/>
        </w:rPr>
      </w:pPr>
      <w:r>
        <w:rPr>
          <w:rFonts w:hint="eastAsia" w:ascii="Times New Roman" w:hAnsi="Times New Roman" w:eastAsia="宋体" w:cs="Times New Roman"/>
          <w:i w:val="0"/>
          <w:iCs w:val="0"/>
          <w:caps w:val="0"/>
          <w:color w:val="0000FF"/>
          <w:spacing w:val="1"/>
          <w:lang w:eastAsia="zh-CN"/>
        </w:rPr>
        <w:drawing>
          <wp:inline distT="0" distB="0" distL="114300" distR="114300">
            <wp:extent cx="5255895" cy="2758440"/>
            <wp:effectExtent l="0" t="0" r="1905" b="3810"/>
            <wp:docPr id="22" name="图片 22" descr="GSH返修数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GSH返修数据_01"/>
                    <pic:cNvPicPr>
                      <a:picLocks noChangeAspect="1"/>
                    </pic:cNvPicPr>
                  </pic:nvPicPr>
                  <pic:blipFill>
                    <a:blip r:embed="rId18"/>
                    <a:srcRect l="23304" t="7255" r="4492" b="25327"/>
                    <a:stretch>
                      <a:fillRect/>
                    </a:stretch>
                  </pic:blipFill>
                  <pic:spPr>
                    <a:xfrm>
                      <a:off x="0" y="0"/>
                      <a:ext cx="5255895" cy="2758440"/>
                    </a:xfrm>
                    <a:prstGeom prst="rect">
                      <a:avLst/>
                    </a:prstGeom>
                  </pic:spPr>
                </pic:pic>
              </a:graphicData>
            </a:graphic>
          </wp:inline>
        </w:drawing>
      </w:r>
    </w:p>
    <w:p w14:paraId="40D14BF6">
      <w:pPr>
        <w:spacing w:line="360" w:lineRule="auto"/>
        <w:ind w:firstLine="0" w:firstLineChars="0"/>
        <w:jc w:val="both"/>
        <w:rPr>
          <w:rFonts w:hint="eastAsia" w:ascii="Times New Roman" w:hAnsi="Times New Roman"/>
          <w:sz w:val="24"/>
          <w:highlight w:val="none"/>
        </w:rPr>
      </w:pPr>
    </w:p>
    <w:p w14:paraId="78B18D39">
      <w:pPr>
        <w:spacing w:line="360" w:lineRule="auto"/>
        <w:ind w:firstLine="0" w:firstLineChars="0"/>
        <w:jc w:val="both"/>
        <w:rPr>
          <w:rFonts w:hint="eastAsia"/>
        </w:rPr>
      </w:pPr>
      <w:r>
        <w:rPr>
          <w:rFonts w:hint="eastAsia"/>
          <w:b/>
          <w:bCs/>
        </w:rPr>
        <w:t>Fig.</w:t>
      </w:r>
      <w:r>
        <w:rPr>
          <w:b/>
          <w:bCs/>
        </w:rPr>
        <w:t xml:space="preserve"> S</w:t>
      </w:r>
      <w:r>
        <w:rPr>
          <w:rFonts w:hint="eastAsia"/>
          <w:b/>
          <w:bCs/>
          <w:lang w:val="en-US" w:eastAsia="zh-CN"/>
        </w:rPr>
        <w:t>12</w:t>
      </w:r>
      <w:r>
        <w:rPr>
          <w:rFonts w:hint="eastAsia"/>
          <w:lang w:val="en-US" w:eastAsia="zh-CN"/>
        </w:rPr>
        <w:t xml:space="preserve"> Endocytosis pathway analysis of nanoparticles. (a) </w:t>
      </w:r>
      <w:r>
        <w:rPr>
          <w:szCs w:val="24"/>
          <w:lang w:bidi="ar"/>
        </w:rPr>
        <w:t>CLSM</w:t>
      </w:r>
      <w:r>
        <w:rPr>
          <w:rFonts w:hint="eastAsia"/>
          <w:lang w:val="en-US" w:eastAsia="zh-CN"/>
        </w:rPr>
        <w:t xml:space="preserve"> of cellular uptake under various inhibition conditions (red: </w:t>
      </w:r>
      <w:r>
        <w:rPr>
          <w:rFonts w:hint="eastAsia" w:ascii="Times New Roman" w:hAnsi="Times New Roman"/>
          <w:sz w:val="24"/>
          <w:highlight w:val="none"/>
        </w:rPr>
        <w:t>G-Se NPs/Ce6</w:t>
      </w:r>
      <w:r>
        <w:rPr>
          <w:rFonts w:hint="eastAsia"/>
          <w:lang w:val="en-US" w:eastAsia="zh-CN"/>
        </w:rPr>
        <w:t xml:space="preserve">, blue: DAPI-stained nuclei). (b) Quantification of relative fluorescence intensity of internalized </w:t>
      </w:r>
      <w:r>
        <w:rPr>
          <w:rFonts w:hint="eastAsia" w:ascii="Times New Roman" w:hAnsi="Times New Roman"/>
          <w:sz w:val="24"/>
          <w:highlight w:val="none"/>
        </w:rPr>
        <w:t>G-Se NPs/Ce6</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2E38509F">
      <w:pPr>
        <w:spacing w:line="360" w:lineRule="auto"/>
        <w:ind w:firstLine="0" w:firstLineChars="0"/>
        <w:jc w:val="both"/>
        <w:rPr>
          <w:rFonts w:hint="default"/>
          <w:lang w:val="en-US" w:eastAsia="zh-CN"/>
        </w:rPr>
      </w:pPr>
    </w:p>
    <w:p w14:paraId="114B06BF">
      <w:pPr>
        <w:spacing w:line="360" w:lineRule="auto"/>
        <w:ind w:firstLine="0" w:firstLineChars="0"/>
        <w:jc w:val="both"/>
        <w:rPr>
          <w:rFonts w:hint="eastAsia"/>
          <w:b/>
          <w:bCs/>
          <w:lang w:val="en-US" w:eastAsia="zh-CN"/>
        </w:rPr>
      </w:pPr>
    </w:p>
    <w:p w14:paraId="547DA712">
      <w:pPr>
        <w:spacing w:line="360" w:lineRule="auto"/>
        <w:ind w:firstLine="0" w:firstLineChars="0"/>
        <w:jc w:val="both"/>
      </w:pPr>
    </w:p>
    <w:p w14:paraId="737F3E32">
      <w:pPr>
        <w:spacing w:line="360" w:lineRule="auto"/>
        <w:ind w:firstLine="0" w:firstLineChars="0"/>
      </w:pPr>
      <w:r>
        <w:rPr>
          <w:rFonts w:hint="eastAsia"/>
        </w:rPr>
        <w:drawing>
          <wp:inline distT="0" distB="0" distL="0" distR="0">
            <wp:extent cx="3248025" cy="2505710"/>
            <wp:effectExtent l="0" t="0" r="0" b="8255"/>
            <wp:docPr id="214102177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21770" name="图片 8"/>
                    <pic:cNvPicPr>
                      <a:picLocks noChangeAspect="1"/>
                    </pic:cNvPicPr>
                  </pic:nvPicPr>
                  <pic:blipFill>
                    <a:blip r:embed="rId19"/>
                    <a:stretch>
                      <a:fillRect/>
                    </a:stretch>
                  </pic:blipFill>
                  <pic:spPr>
                    <a:xfrm>
                      <a:off x="0" y="0"/>
                      <a:ext cx="3260763" cy="2516113"/>
                    </a:xfrm>
                    <a:prstGeom prst="rect">
                      <a:avLst/>
                    </a:prstGeom>
                  </pic:spPr>
                </pic:pic>
              </a:graphicData>
            </a:graphic>
          </wp:inline>
        </w:drawing>
      </w:r>
    </w:p>
    <w:p w14:paraId="5A004928">
      <w:pPr>
        <w:spacing w:line="360" w:lineRule="auto"/>
        <w:ind w:firstLine="0" w:firstLineChars="0"/>
        <w:jc w:val="both"/>
      </w:pPr>
      <w:r>
        <w:rPr>
          <w:rFonts w:hint="eastAsia"/>
          <w:b/>
          <w:bCs/>
        </w:rPr>
        <w:t>Fig.</w:t>
      </w:r>
      <w:r>
        <w:rPr>
          <w:b/>
          <w:bCs/>
        </w:rPr>
        <w:t xml:space="preserve"> S</w:t>
      </w:r>
      <w:r>
        <w:rPr>
          <w:rFonts w:hint="eastAsia"/>
          <w:b/>
          <w:bCs/>
          <w:lang w:val="en-US" w:eastAsia="zh-CN"/>
        </w:rPr>
        <w:t>13</w:t>
      </w:r>
      <w:r>
        <w:t xml:space="preserve"> (</w:t>
      </w:r>
      <w:r>
        <w:rPr>
          <w:rFonts w:hint="eastAsia"/>
        </w:rPr>
        <w:t>a-d</w:t>
      </w:r>
      <w:r>
        <w:t>) Linescan analysis and the Pearson’s correlation coefficient calculation performed by ImageJ software along the randomly selected lines in panel.</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3</w:t>
      </w:r>
      <w:r>
        <w:rPr>
          <w:rFonts w:hint="eastAsia" w:ascii="Times New Roman" w:hAnsi="Times New Roman"/>
          <w:sz w:val="24"/>
          <w:highlight w:val="none"/>
        </w:rPr>
        <w:t>).</w:t>
      </w:r>
    </w:p>
    <w:p w14:paraId="58037AE4">
      <w:pPr>
        <w:spacing w:line="360" w:lineRule="auto"/>
        <w:ind w:firstLine="0" w:firstLineChars="0"/>
      </w:pPr>
      <w:r>
        <w:drawing>
          <wp:inline distT="0" distB="0" distL="0" distR="0">
            <wp:extent cx="4440555" cy="3921125"/>
            <wp:effectExtent l="0" t="0" r="0" b="3175"/>
            <wp:docPr id="10971837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83723" name="图片 9"/>
                    <pic:cNvPicPr>
                      <a:picLocks noChangeAspect="1"/>
                    </pic:cNvPicPr>
                  </pic:nvPicPr>
                  <pic:blipFill>
                    <a:blip r:embed="rId20"/>
                    <a:stretch>
                      <a:fillRect/>
                    </a:stretch>
                  </pic:blipFill>
                  <pic:spPr>
                    <a:xfrm>
                      <a:off x="0" y="0"/>
                      <a:ext cx="4440555" cy="3921125"/>
                    </a:xfrm>
                    <a:prstGeom prst="rect">
                      <a:avLst/>
                    </a:prstGeom>
                  </pic:spPr>
                </pic:pic>
              </a:graphicData>
            </a:graphic>
          </wp:inline>
        </w:drawing>
      </w:r>
    </w:p>
    <w:p w14:paraId="188E643B">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1</w:t>
      </w:r>
      <w:r>
        <w:rPr>
          <w:rFonts w:hint="eastAsia"/>
          <w:b/>
          <w:bCs/>
          <w:lang w:val="en-US" w:eastAsia="zh-CN"/>
        </w:rPr>
        <w:t>4</w:t>
      </w:r>
      <w:r>
        <w:t xml:space="preserve"> Fluorescence </w:t>
      </w:r>
      <w:r>
        <w:rPr>
          <w:rFonts w:hint="eastAsia"/>
        </w:rPr>
        <w:t>i</w:t>
      </w:r>
      <w:r>
        <w:t xml:space="preserve">mages and </w:t>
      </w:r>
      <w:r>
        <w:rPr>
          <w:rFonts w:hint="eastAsia"/>
        </w:rPr>
        <w:t>l</w:t>
      </w:r>
      <w:r>
        <w:t xml:space="preserve">ine </w:t>
      </w:r>
      <w:r>
        <w:rPr>
          <w:rFonts w:hint="eastAsia"/>
        </w:rPr>
        <w:t>s</w:t>
      </w:r>
      <w:r>
        <w:t xml:space="preserve">can </w:t>
      </w:r>
      <w:r>
        <w:rPr>
          <w:rFonts w:hint="eastAsia"/>
        </w:rPr>
        <w:t>p</w:t>
      </w:r>
      <w:r>
        <w:t xml:space="preserve">rofiles of G-Se NPs </w:t>
      </w:r>
      <w:r>
        <w:rPr>
          <w:rFonts w:hint="eastAsia"/>
        </w:rPr>
        <w:t>l</w:t>
      </w:r>
      <w:r>
        <w:t xml:space="preserve">ocalization in </w:t>
      </w:r>
      <w:r>
        <w:rPr>
          <w:rFonts w:hint="eastAsia"/>
        </w:rPr>
        <w:t>m</w:t>
      </w:r>
      <w:r>
        <w:t xml:space="preserve">itochondria at </w:t>
      </w:r>
      <w:r>
        <w:rPr>
          <w:rFonts w:hint="eastAsia"/>
        </w:rPr>
        <w:t>d</w:t>
      </w:r>
      <w:r>
        <w:t xml:space="preserve">ifferent </w:t>
      </w:r>
      <w:r>
        <w:rPr>
          <w:rFonts w:hint="eastAsia"/>
        </w:rPr>
        <w:t>t</w:t>
      </w:r>
      <w:r>
        <w:t xml:space="preserve">ime </w:t>
      </w:r>
      <w:r>
        <w:rPr>
          <w:rFonts w:hint="eastAsia"/>
        </w:rPr>
        <w:t>p</w:t>
      </w:r>
      <w:r>
        <w:t xml:space="preserve">oints (0 h, </w:t>
      </w:r>
      <w:r>
        <w:rPr>
          <w:rFonts w:hint="eastAsia"/>
        </w:rPr>
        <w:t>1</w:t>
      </w:r>
      <w:r>
        <w:t xml:space="preserve"> h, 2 h, </w:t>
      </w:r>
      <w:r>
        <w:rPr>
          <w:rFonts w:hint="eastAsia"/>
        </w:rPr>
        <w:t xml:space="preserve">3 </w:t>
      </w:r>
      <w:r>
        <w:t>h</w:t>
      </w:r>
      <w:r>
        <w:rPr>
          <w:rFonts w:hint="eastAsia"/>
        </w:rPr>
        <w:t>, 6 h</w:t>
      </w:r>
      <w:r>
        <w:t>)</w:t>
      </w:r>
      <w:r>
        <w:rPr>
          <w:rFonts w:hint="eastAsia"/>
        </w:rPr>
        <w:t>.</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29A7F863">
      <w:pPr>
        <w:spacing w:line="360" w:lineRule="auto"/>
        <w:ind w:firstLine="0" w:firstLineChars="0"/>
        <w:jc w:val="both"/>
      </w:pPr>
    </w:p>
    <w:p w14:paraId="2BF0B659">
      <w:pPr>
        <w:spacing w:line="360" w:lineRule="auto"/>
        <w:ind w:firstLine="0" w:firstLineChars="0"/>
      </w:pPr>
      <w:r>
        <w:rPr>
          <w:rFonts w:hint="eastAsia"/>
        </w:rPr>
        <w:drawing>
          <wp:inline distT="0" distB="0" distL="0" distR="0">
            <wp:extent cx="4981575" cy="4209415"/>
            <wp:effectExtent l="0" t="0" r="0" b="635"/>
            <wp:docPr id="17125328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32856" name="图片 10"/>
                    <pic:cNvPicPr>
                      <a:picLocks noChangeAspect="1"/>
                    </pic:cNvPicPr>
                  </pic:nvPicPr>
                  <pic:blipFill>
                    <a:blip r:embed="rId21"/>
                    <a:stretch>
                      <a:fillRect/>
                    </a:stretch>
                  </pic:blipFill>
                  <pic:spPr>
                    <a:xfrm>
                      <a:off x="0" y="0"/>
                      <a:ext cx="4984287" cy="4212183"/>
                    </a:xfrm>
                    <a:prstGeom prst="rect">
                      <a:avLst/>
                    </a:prstGeom>
                  </pic:spPr>
                </pic:pic>
              </a:graphicData>
            </a:graphic>
          </wp:inline>
        </w:drawing>
      </w:r>
    </w:p>
    <w:p w14:paraId="244F1362">
      <w:pPr>
        <w:spacing w:line="360" w:lineRule="auto"/>
        <w:ind w:firstLine="0" w:firstLineChars="0"/>
        <w:jc w:val="both"/>
      </w:pPr>
      <w:r>
        <w:rPr>
          <w:rFonts w:hint="eastAsia"/>
          <w:b/>
          <w:bCs/>
        </w:rPr>
        <w:t>Fig.</w:t>
      </w:r>
      <w:r>
        <w:rPr>
          <w:b/>
          <w:bCs/>
        </w:rPr>
        <w:t xml:space="preserve"> S</w:t>
      </w:r>
      <w:r>
        <w:rPr>
          <w:rFonts w:hint="eastAsia"/>
          <w:b/>
          <w:bCs/>
        </w:rPr>
        <w:t>1</w:t>
      </w:r>
      <w:r>
        <w:rPr>
          <w:rFonts w:hint="eastAsia"/>
          <w:b/>
          <w:bCs/>
          <w:lang w:val="en-US" w:eastAsia="zh-CN"/>
        </w:rPr>
        <w:t>5</w:t>
      </w:r>
      <w:r>
        <w:t xml:space="preserve"> </w:t>
      </w:r>
      <w:r>
        <w:rPr>
          <w:color w:val="000000"/>
          <w:kern w:val="0"/>
          <w:lang w:bidi="ar"/>
        </w:rPr>
        <w:t>Changes in</w:t>
      </w:r>
      <w:r>
        <w:rPr>
          <w:rFonts w:hint="eastAsia"/>
          <w:color w:val="000000"/>
          <w:kern w:val="0"/>
          <w:lang w:bidi="ar"/>
        </w:rPr>
        <w:t xml:space="preserve"> ROS</w:t>
      </w:r>
      <w:r>
        <w:rPr>
          <w:color w:val="000000"/>
          <w:kern w:val="0"/>
          <w:lang w:bidi="ar"/>
        </w:rPr>
        <w:t xml:space="preserve"> </w:t>
      </w:r>
      <w:r>
        <w:rPr>
          <w:rFonts w:hint="eastAsia"/>
          <w:color w:val="000000"/>
          <w:kern w:val="0"/>
          <w:lang w:bidi="ar"/>
        </w:rPr>
        <w:t>level</w:t>
      </w:r>
      <w:r>
        <w:rPr>
          <w:color w:val="000000"/>
          <w:kern w:val="0"/>
          <w:lang w:bidi="ar"/>
        </w:rPr>
        <w:t xml:space="preserve"> in the </w:t>
      </w:r>
      <w:r>
        <w:rPr>
          <w:rFonts w:hint="eastAsia"/>
          <w:color w:val="000000"/>
          <w:kern w:val="0"/>
          <w:lang w:bidi="ar"/>
        </w:rPr>
        <w:t>6-OHDA</w:t>
      </w:r>
      <w:r>
        <w:rPr>
          <w:color w:val="000000"/>
          <w:kern w:val="0"/>
          <w:lang w:bidi="ar"/>
        </w:rPr>
        <w:t xml:space="preserve">-induced </w:t>
      </w:r>
      <w:r>
        <w:rPr>
          <w:rFonts w:hint="eastAsia"/>
          <w:color w:val="000000"/>
          <w:kern w:val="0"/>
          <w:lang w:bidi="ar"/>
        </w:rPr>
        <w:t>PC12 cells</w:t>
      </w:r>
      <w:r>
        <w:rPr>
          <w:color w:val="000000"/>
          <w:kern w:val="0"/>
          <w:lang w:bidi="ar"/>
        </w:rPr>
        <w:t xml:space="preserve"> after </w:t>
      </w:r>
      <w:r>
        <w:rPr>
          <w:rFonts w:hint="eastAsia"/>
          <w:color w:val="000000"/>
          <w:kern w:val="0"/>
          <w:lang w:bidi="ar"/>
        </w:rPr>
        <w:t>different concentration of G-Se NPs</w:t>
      </w:r>
      <w:r>
        <w:rPr>
          <w:color w:val="000000"/>
          <w:kern w:val="0"/>
          <w:lang w:bidi="ar"/>
        </w:rPr>
        <w:t xml:space="preserve"> treatment.</w:t>
      </w:r>
      <w:r>
        <w:rPr>
          <w:rFonts w:hint="eastAsia"/>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5</w:t>
      </w:r>
      <w:r>
        <w:rPr>
          <w:rFonts w:hint="eastAsia" w:ascii="Times New Roman" w:hAnsi="Times New Roman"/>
          <w:sz w:val="24"/>
          <w:highlight w:val="none"/>
        </w:rPr>
        <w:t>).</w:t>
      </w:r>
    </w:p>
    <w:p w14:paraId="08A74AE8">
      <w:pPr>
        <w:spacing w:line="360" w:lineRule="auto"/>
        <w:ind w:firstLine="0" w:firstLineChars="0"/>
        <w:rPr>
          <w:rFonts w:hint="eastAsia" w:eastAsia="宋体"/>
          <w:lang w:eastAsia="zh-CN"/>
        </w:rPr>
      </w:pPr>
      <w:r>
        <w:rPr>
          <w:rFonts w:hint="eastAsia" w:eastAsia="宋体"/>
          <w:lang w:eastAsia="zh-CN"/>
        </w:rPr>
        <w:drawing>
          <wp:inline distT="0" distB="0" distL="114300" distR="114300">
            <wp:extent cx="2484120" cy="2136140"/>
            <wp:effectExtent l="0" t="0" r="0" b="0"/>
            <wp:docPr id="20" name="图片 20" descr="0921 GSH-SI 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921 GSH-SI 2_13"/>
                    <pic:cNvPicPr>
                      <a:picLocks noChangeAspect="1"/>
                    </pic:cNvPicPr>
                  </pic:nvPicPr>
                  <pic:blipFill>
                    <a:blip r:embed="rId22"/>
                    <a:srcRect l="13375" t="13539" r="39487" b="25651"/>
                    <a:stretch>
                      <a:fillRect/>
                    </a:stretch>
                  </pic:blipFill>
                  <pic:spPr>
                    <a:xfrm>
                      <a:off x="0" y="0"/>
                      <a:ext cx="2484120" cy="2136140"/>
                    </a:xfrm>
                    <a:prstGeom prst="rect">
                      <a:avLst/>
                    </a:prstGeom>
                  </pic:spPr>
                </pic:pic>
              </a:graphicData>
            </a:graphic>
          </wp:inline>
        </w:drawing>
      </w:r>
    </w:p>
    <w:p w14:paraId="14F15185">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1</w:t>
      </w:r>
      <w:r>
        <w:rPr>
          <w:rFonts w:hint="eastAsia"/>
          <w:b/>
          <w:bCs/>
          <w:lang w:val="en-US" w:eastAsia="zh-CN"/>
        </w:rPr>
        <w:t>6</w:t>
      </w:r>
      <w:r>
        <w:t xml:space="preserve"> </w:t>
      </w:r>
      <w:r>
        <w:rPr>
          <w:rFonts w:hint="eastAsia"/>
          <w:lang w:val="en-US" w:eastAsia="zh-CN"/>
        </w:rPr>
        <w:t xml:space="preserve">(a) </w:t>
      </w:r>
      <w:r>
        <w:rPr>
          <w:rFonts w:hint="eastAsia"/>
          <w:color w:val="000000"/>
          <w:kern w:val="0"/>
          <w:lang w:bidi="ar"/>
        </w:rPr>
        <w:t>Statistical analysis of the mitochondrial width and length in each group of cells from TEM imaging.</w:t>
      </w:r>
      <w:r>
        <w:rPr>
          <w:rFonts w:hint="eastAsia"/>
          <w:color w:val="000000"/>
          <w:kern w:val="0"/>
          <w:lang w:val="en-US" w:eastAsia="zh-CN" w:bidi="ar"/>
        </w:rPr>
        <w:t xml:space="preserve"> (b) ELISA Kit</w:t>
      </w:r>
      <w:r>
        <w:rPr>
          <w:rFonts w:hint="eastAsia"/>
          <w:color w:val="000000"/>
          <w:kern w:val="0"/>
          <w:lang w:bidi="ar"/>
        </w:rPr>
        <w:t xml:space="preserve"> analysis of</w:t>
      </w:r>
      <w:r>
        <w:rPr>
          <w:rFonts w:hint="eastAsia"/>
          <w:color w:val="000000"/>
          <w:kern w:val="0"/>
          <w:lang w:val="en-US" w:eastAsia="zh-CN" w:bidi="ar"/>
        </w:rPr>
        <w:t xml:space="preserve"> Cytosolic Cyt c expression.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6</w:t>
      </w:r>
      <w:r>
        <w:rPr>
          <w:rFonts w:hint="eastAsia" w:ascii="Times New Roman" w:hAnsi="Times New Roman"/>
          <w:sz w:val="24"/>
          <w:highlight w:val="none"/>
        </w:rPr>
        <w:t>).</w:t>
      </w:r>
    </w:p>
    <w:p w14:paraId="08D10761">
      <w:pPr>
        <w:spacing w:line="360" w:lineRule="auto"/>
        <w:ind w:firstLine="0" w:firstLineChars="0"/>
        <w:jc w:val="both"/>
      </w:pPr>
    </w:p>
    <w:p w14:paraId="5614C038">
      <w:pPr>
        <w:spacing w:line="360" w:lineRule="auto"/>
        <w:ind w:firstLine="0" w:firstLineChars="0"/>
        <w:jc w:val="both"/>
      </w:pPr>
    </w:p>
    <w:p w14:paraId="26A1C5F9">
      <w:pPr>
        <w:spacing w:line="360" w:lineRule="auto"/>
        <w:ind w:firstLine="0" w:firstLineChars="0"/>
        <w:rPr>
          <w:rFonts w:hint="eastAsia" w:eastAsia="宋体"/>
          <w:lang w:eastAsia="zh-CN"/>
        </w:rPr>
      </w:pPr>
      <w:r>
        <w:rPr>
          <w:rFonts w:hint="eastAsia" w:eastAsia="宋体"/>
          <w:lang w:eastAsia="zh-CN"/>
        </w:rPr>
        <w:drawing>
          <wp:inline distT="0" distB="0" distL="114300" distR="114300">
            <wp:extent cx="2480310" cy="2027555"/>
            <wp:effectExtent l="0" t="0" r="15240" b="10795"/>
            <wp:docPr id="19" name="图片 19" descr="0921 GSH-SI 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921 GSH-SI 2_14"/>
                    <pic:cNvPicPr>
                      <a:picLocks noChangeAspect="1"/>
                    </pic:cNvPicPr>
                  </pic:nvPicPr>
                  <pic:blipFill>
                    <a:blip r:embed="rId23"/>
                    <a:srcRect l="33546" t="26844" r="31883" b="30766"/>
                    <a:stretch>
                      <a:fillRect/>
                    </a:stretch>
                  </pic:blipFill>
                  <pic:spPr>
                    <a:xfrm>
                      <a:off x="0" y="0"/>
                      <a:ext cx="2480310" cy="2027555"/>
                    </a:xfrm>
                    <a:prstGeom prst="rect">
                      <a:avLst/>
                    </a:prstGeom>
                  </pic:spPr>
                </pic:pic>
              </a:graphicData>
            </a:graphic>
          </wp:inline>
        </w:drawing>
      </w:r>
    </w:p>
    <w:p w14:paraId="2734BB13">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1</w:t>
      </w:r>
      <w:r>
        <w:rPr>
          <w:rFonts w:hint="eastAsia"/>
          <w:b/>
          <w:bCs/>
          <w:lang w:val="en-US" w:eastAsia="zh-CN"/>
        </w:rPr>
        <w:t>7</w:t>
      </w:r>
      <w:r>
        <w:t xml:space="preserve"> </w:t>
      </w:r>
      <w:r>
        <w:rPr>
          <w:rFonts w:hint="eastAsia"/>
        </w:rPr>
        <w:t>Cell viability</w:t>
      </w:r>
      <w:r>
        <w:t xml:space="preserve"> of </w:t>
      </w:r>
      <w:r>
        <w:rPr>
          <w:rFonts w:hint="eastAsia"/>
        </w:rPr>
        <w:t>PC12 cells</w:t>
      </w:r>
      <w:r>
        <w:t xml:space="preserve"> with </w:t>
      </w:r>
      <w:r>
        <w:rPr>
          <w:rFonts w:hint="eastAsia"/>
        </w:rPr>
        <w:t>d</w:t>
      </w:r>
      <w:r>
        <w:t xml:space="preserve">ifferent </w:t>
      </w:r>
      <w:r>
        <w:rPr>
          <w:rFonts w:hint="eastAsia"/>
        </w:rPr>
        <w:t>c</w:t>
      </w:r>
      <w:r>
        <w:t>oncentrations of 6-OHDA</w:t>
      </w:r>
      <w:r>
        <w:rPr>
          <w:rFonts w:ascii="Segoe UI" w:hAnsi="Segoe UI" w:cs="Segoe UI"/>
          <w:shd w:val="clear" w:color="auto" w:fill="FFFFFF"/>
        </w:rPr>
        <w:t xml:space="preserve"> </w:t>
      </w:r>
      <w:r>
        <w:rPr>
          <w:rFonts w:hint="eastAsia"/>
        </w:rPr>
        <w:t>u</w:t>
      </w:r>
      <w:r>
        <w:t xml:space="preserve">sing the CCK-8 </w:t>
      </w:r>
      <w:r>
        <w:rPr>
          <w:rFonts w:hint="eastAsia"/>
        </w:rPr>
        <w:t>a</w:t>
      </w:r>
      <w:r>
        <w:t>ssay</w:t>
      </w:r>
      <w:r>
        <w:rPr>
          <w:rFonts w:hint="eastAsia"/>
        </w:rPr>
        <w:t>.</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2CF984AC">
      <w:pPr>
        <w:spacing w:line="360" w:lineRule="auto"/>
        <w:ind w:firstLine="0" w:firstLineChars="0"/>
        <w:jc w:val="both"/>
      </w:pPr>
    </w:p>
    <w:p w14:paraId="6CA3CEA3">
      <w:pPr>
        <w:spacing w:line="360" w:lineRule="auto"/>
        <w:ind w:firstLine="0" w:firstLineChars="0"/>
        <w:jc w:val="both"/>
      </w:pPr>
    </w:p>
    <w:p w14:paraId="063361D4">
      <w:pPr>
        <w:spacing w:line="360" w:lineRule="auto"/>
        <w:ind w:firstLine="0" w:firstLineChars="0"/>
        <w:jc w:val="both"/>
      </w:pPr>
    </w:p>
    <w:p w14:paraId="1EB48A7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42" w:firstLineChars="100"/>
        <w:jc w:val="center"/>
        <w:textAlignment w:val="auto"/>
        <w:rPr>
          <w:rFonts w:hint="eastAsia" w:ascii="Times New Roman" w:hAnsi="Times New Roman" w:eastAsia="宋体" w:cs="Times New Roman"/>
          <w:i w:val="0"/>
          <w:iCs w:val="0"/>
          <w:caps w:val="0"/>
          <w:color w:val="0000FF"/>
          <w:spacing w:val="1"/>
          <w:lang w:eastAsia="zh-CN"/>
        </w:rPr>
      </w:pPr>
      <w:r>
        <w:rPr>
          <w:rFonts w:hint="eastAsia" w:ascii="Times New Roman" w:hAnsi="Times New Roman" w:eastAsia="宋体" w:cs="Times New Roman"/>
          <w:i w:val="0"/>
          <w:iCs w:val="0"/>
          <w:caps w:val="0"/>
          <w:color w:val="0000FF"/>
          <w:spacing w:val="1"/>
          <w:lang w:eastAsia="zh-CN"/>
        </w:rPr>
        <w:drawing>
          <wp:inline distT="0" distB="0" distL="114300" distR="114300">
            <wp:extent cx="3209290" cy="2871470"/>
            <wp:effectExtent l="0" t="0" r="635" b="5080"/>
            <wp:docPr id="24" name="图片 24" descr="左旋多巴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左旋多巴胺"/>
                    <pic:cNvPicPr>
                      <a:picLocks noChangeAspect="1"/>
                    </pic:cNvPicPr>
                  </pic:nvPicPr>
                  <pic:blipFill>
                    <a:blip r:embed="rId24"/>
                    <a:stretch>
                      <a:fillRect/>
                    </a:stretch>
                  </pic:blipFill>
                  <pic:spPr>
                    <a:xfrm>
                      <a:off x="0" y="0"/>
                      <a:ext cx="3209290" cy="2871470"/>
                    </a:xfrm>
                    <a:prstGeom prst="rect">
                      <a:avLst/>
                    </a:prstGeom>
                  </pic:spPr>
                </pic:pic>
              </a:graphicData>
            </a:graphic>
          </wp:inline>
        </w:drawing>
      </w:r>
    </w:p>
    <w:p w14:paraId="055E9A3C">
      <w:pPr>
        <w:spacing w:line="360" w:lineRule="auto"/>
        <w:ind w:firstLine="0" w:firstLineChars="0"/>
        <w:jc w:val="both"/>
        <w:rPr>
          <w:rFonts w:hint="default"/>
          <w:lang w:val="en-US"/>
        </w:rPr>
      </w:pPr>
      <w:r>
        <w:rPr>
          <w:rFonts w:hint="eastAsia"/>
          <w:b/>
          <w:bCs/>
        </w:rPr>
        <w:t>Fig.</w:t>
      </w:r>
      <w:r>
        <w:rPr>
          <w:b/>
          <w:bCs/>
        </w:rPr>
        <w:t xml:space="preserve"> S</w:t>
      </w:r>
      <w:r>
        <w:rPr>
          <w:rFonts w:hint="eastAsia"/>
          <w:b/>
          <w:bCs/>
        </w:rPr>
        <w:t>1</w:t>
      </w:r>
      <w:r>
        <w:rPr>
          <w:rFonts w:hint="eastAsia"/>
          <w:b/>
          <w:bCs/>
          <w:lang w:val="en-US" w:eastAsia="zh-CN"/>
        </w:rPr>
        <w:t xml:space="preserve">8 </w:t>
      </w:r>
      <w:r>
        <w:rPr>
          <w:rFonts w:hint="eastAsia"/>
        </w:rPr>
        <w:t>Viabilities of 6-OHDA-induced PC12 cells treated with 0-20</w:t>
      </w:r>
      <w:r>
        <w:rPr>
          <w:rFonts w:hint="default" w:ascii="Times New Roman" w:hAnsi="Times New Roman" w:cs="Times New Roman"/>
        </w:rPr>
        <w:t xml:space="preserve"> μ</w:t>
      </w:r>
      <w:r>
        <w:rPr>
          <w:rFonts w:hint="eastAsia" w:ascii="Times New Roman" w:hAnsi="Times New Roman" w:cs="Times New Roman"/>
          <w:lang w:val="en-US" w:eastAsia="zh-CN"/>
        </w:rPr>
        <w:t>M</w:t>
      </w:r>
      <w:r>
        <w:rPr>
          <w:rFonts w:hint="eastAsia"/>
        </w:rPr>
        <w:t xml:space="preserve"> of </w:t>
      </w:r>
      <w:r>
        <w:rPr>
          <w:rFonts w:hint="eastAsia"/>
          <w:lang w:val="en-US" w:eastAsia="zh-CN"/>
        </w:rPr>
        <w:t>L-DOPA</w:t>
      </w:r>
      <w:r>
        <w:rPr>
          <w:rFonts w:hint="eastAsia"/>
        </w:rPr>
        <w:t xml:space="preserve">. </w:t>
      </w:r>
    </w:p>
    <w:p w14:paraId="3247537A">
      <w:pPr>
        <w:spacing w:line="360" w:lineRule="auto"/>
        <w:ind w:firstLine="0" w:firstLineChars="0"/>
        <w:jc w:val="both"/>
      </w:pPr>
    </w:p>
    <w:p w14:paraId="755A45B6">
      <w:pPr>
        <w:spacing w:line="360" w:lineRule="auto"/>
        <w:ind w:firstLine="0" w:firstLineChars="0"/>
        <w:jc w:val="both"/>
      </w:pPr>
      <w:r>
        <w:drawing>
          <wp:inline distT="0" distB="0" distL="0" distR="0">
            <wp:extent cx="5164455" cy="2278380"/>
            <wp:effectExtent l="0" t="0" r="17145" b="0"/>
            <wp:docPr id="11853851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85186" name="图片 13"/>
                    <pic:cNvPicPr>
                      <a:picLocks noChangeAspect="1"/>
                    </pic:cNvPicPr>
                  </pic:nvPicPr>
                  <pic:blipFill>
                    <a:blip r:embed="rId25"/>
                    <a:stretch>
                      <a:fillRect/>
                    </a:stretch>
                  </pic:blipFill>
                  <pic:spPr>
                    <a:xfrm>
                      <a:off x="0" y="0"/>
                      <a:ext cx="5164455" cy="2278380"/>
                    </a:xfrm>
                    <a:prstGeom prst="rect">
                      <a:avLst/>
                    </a:prstGeom>
                  </pic:spPr>
                </pic:pic>
              </a:graphicData>
            </a:graphic>
          </wp:inline>
        </w:drawing>
      </w:r>
    </w:p>
    <w:p w14:paraId="23314184">
      <w:pPr>
        <w:spacing w:line="360" w:lineRule="auto"/>
        <w:ind w:firstLine="0" w:firstLineChars="0"/>
        <w:jc w:val="both"/>
        <w:rPr>
          <w:rFonts w:hint="default" w:eastAsia="宋体"/>
          <w:lang w:val="en-US" w:eastAsia="zh-CN"/>
        </w:rPr>
      </w:pPr>
      <w:r>
        <w:rPr>
          <w:rFonts w:hint="eastAsia"/>
          <w:b/>
          <w:bCs/>
        </w:rPr>
        <w:t>Fig.</w:t>
      </w:r>
      <w:r>
        <w:rPr>
          <w:b/>
          <w:bCs/>
        </w:rPr>
        <w:t xml:space="preserve"> S</w:t>
      </w:r>
      <w:r>
        <w:rPr>
          <w:rFonts w:hint="eastAsia"/>
          <w:b/>
          <w:bCs/>
        </w:rPr>
        <w:t>1</w:t>
      </w:r>
      <w:r>
        <w:rPr>
          <w:rFonts w:hint="eastAsia"/>
          <w:b/>
          <w:bCs/>
          <w:lang w:val="en-US" w:eastAsia="zh-CN"/>
        </w:rPr>
        <w:t>9</w:t>
      </w:r>
      <w:r>
        <w:rPr>
          <w:rFonts w:hint="eastAsia"/>
        </w:rPr>
        <w:t xml:space="preserve"> Calcein-AM/PI staining in PC12 cells stimulated with 6-OHDA with or</w:t>
      </w:r>
      <w:r>
        <w:rPr>
          <w:rFonts w:hint="eastAsia"/>
          <w:lang w:val="en-US" w:eastAsia="zh-CN"/>
        </w:rPr>
        <w:t xml:space="preserve"> </w:t>
      </w:r>
      <w:r>
        <w:rPr>
          <w:rFonts w:hint="eastAsia"/>
        </w:rPr>
        <w:t>without d</w:t>
      </w:r>
      <w:r>
        <w:t xml:space="preserve">ifferent </w:t>
      </w:r>
      <w:r>
        <w:rPr>
          <w:rFonts w:hint="eastAsia"/>
        </w:rPr>
        <w:t>c</w:t>
      </w:r>
      <w:r>
        <w:t>oncentrations of</w:t>
      </w:r>
      <w:r>
        <w:rPr>
          <w:rFonts w:hint="eastAsia"/>
        </w:rPr>
        <w:t xml:space="preserve"> G-Se NPs</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33AB3C19">
      <w:pPr>
        <w:spacing w:line="360" w:lineRule="auto"/>
        <w:ind w:firstLine="0" w:firstLineChars="0"/>
        <w:jc w:val="both"/>
        <w:rPr>
          <w:highlight w:val="yellow"/>
        </w:rPr>
      </w:pPr>
    </w:p>
    <w:p w14:paraId="4B2D4813">
      <w:pPr>
        <w:spacing w:line="360" w:lineRule="auto"/>
        <w:ind w:firstLine="0" w:firstLineChars="0"/>
        <w:jc w:val="both"/>
      </w:pPr>
    </w:p>
    <w:p w14:paraId="2332D533">
      <w:pPr>
        <w:spacing w:line="360" w:lineRule="auto"/>
        <w:ind w:firstLine="0" w:firstLineChars="0"/>
        <w:jc w:val="both"/>
      </w:pPr>
    </w:p>
    <w:p w14:paraId="7029C643">
      <w:pPr>
        <w:spacing w:line="360" w:lineRule="auto"/>
        <w:ind w:firstLine="0" w:firstLineChars="0"/>
      </w:pPr>
      <w:r>
        <w:rPr>
          <w:rFonts w:hint="eastAsia"/>
        </w:rPr>
        <w:drawing>
          <wp:inline distT="0" distB="0" distL="0" distR="0">
            <wp:extent cx="4006850" cy="2387600"/>
            <wp:effectExtent l="0" t="0" r="0" b="0"/>
            <wp:docPr id="17532064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06458" name="图片 15"/>
                    <pic:cNvPicPr>
                      <a:picLocks noChangeAspect="1"/>
                    </pic:cNvPicPr>
                  </pic:nvPicPr>
                  <pic:blipFill>
                    <a:blip r:embed="rId26"/>
                    <a:stretch>
                      <a:fillRect/>
                    </a:stretch>
                  </pic:blipFill>
                  <pic:spPr>
                    <a:xfrm>
                      <a:off x="0" y="0"/>
                      <a:ext cx="4006850" cy="2387600"/>
                    </a:xfrm>
                    <a:prstGeom prst="rect">
                      <a:avLst/>
                    </a:prstGeom>
                  </pic:spPr>
                </pic:pic>
              </a:graphicData>
            </a:graphic>
          </wp:inline>
        </w:drawing>
      </w:r>
    </w:p>
    <w:p w14:paraId="0DA7F626">
      <w:pPr>
        <w:spacing w:line="360" w:lineRule="auto"/>
        <w:ind w:firstLine="0" w:firstLineChars="0"/>
        <w:jc w:val="both"/>
      </w:pPr>
    </w:p>
    <w:p w14:paraId="7F9AC261">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lang w:val="en-US" w:eastAsia="zh-CN"/>
        </w:rPr>
        <w:t>20</w:t>
      </w:r>
      <w:r>
        <w:rPr>
          <w:rFonts w:hint="eastAsia"/>
        </w:rPr>
        <w:t xml:space="preserve"> </w:t>
      </w:r>
      <w:r>
        <w:t xml:space="preserve">Quantitative </w:t>
      </w:r>
      <w:r>
        <w:rPr>
          <w:rFonts w:hint="eastAsia"/>
        </w:rPr>
        <w:t>s</w:t>
      </w:r>
      <w:r>
        <w:t xml:space="preserve">tatistical </w:t>
      </w:r>
      <w:r>
        <w:rPr>
          <w:rFonts w:hint="eastAsia"/>
        </w:rPr>
        <w:t>analysis</w:t>
      </w:r>
      <w:r>
        <w:t xml:space="preserve"> of α-syn and TH </w:t>
      </w:r>
      <w:r>
        <w:rPr>
          <w:rFonts w:hint="eastAsia"/>
        </w:rPr>
        <w:t>i</w:t>
      </w:r>
      <w:r>
        <w:t xml:space="preserve">mmunofluorescence </w:t>
      </w:r>
      <w:r>
        <w:rPr>
          <w:rFonts w:hint="eastAsia"/>
        </w:rPr>
        <w:t>i</w:t>
      </w:r>
      <w:r>
        <w:t>maging</w:t>
      </w:r>
      <w:r>
        <w:rPr>
          <w:rFonts w:hint="eastAsia"/>
        </w:rPr>
        <w:t>.</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w:t>
      </w:r>
      <w:r>
        <w:rPr>
          <w:rFonts w:hint="eastAsia"/>
          <w:sz w:val="24"/>
          <w:highlight w:val="none"/>
          <w:lang w:val="en-US" w:eastAsia="zh-CN"/>
        </w:rPr>
        <w:t>n</w:t>
      </w:r>
      <w:r>
        <w:rPr>
          <w:rFonts w:hint="default" w:ascii="Times New Roman" w:hAnsi="Times New Roman" w:cs="Times New Roman"/>
          <w:sz w:val="24"/>
          <w:highlight w:val="none"/>
          <w:lang w:val="en-US" w:eastAsia="zh-CN"/>
        </w:rPr>
        <w:t>≥</w:t>
      </w:r>
      <w:r>
        <w:rPr>
          <w:rFonts w:hint="eastAsia" w:ascii="Times New Roman" w:hAnsi="Times New Roman"/>
          <w:sz w:val="24"/>
          <w:highlight w:val="none"/>
        </w:rPr>
        <w:t>3).</w:t>
      </w:r>
    </w:p>
    <w:p w14:paraId="6F1FF461">
      <w:pPr>
        <w:spacing w:line="360" w:lineRule="auto"/>
        <w:ind w:firstLine="0" w:firstLineChars="0"/>
        <w:jc w:val="both"/>
        <w:rPr>
          <w:highlight w:val="yellow"/>
        </w:rPr>
      </w:pPr>
    </w:p>
    <w:p w14:paraId="37EF11DE">
      <w:pPr>
        <w:spacing w:line="360" w:lineRule="auto"/>
        <w:ind w:firstLine="0" w:firstLineChars="0"/>
        <w:jc w:val="both"/>
        <w:rPr>
          <w:highlight w:val="yellow"/>
        </w:rPr>
      </w:pPr>
    </w:p>
    <w:p w14:paraId="698D4963">
      <w:pPr>
        <w:spacing w:line="360" w:lineRule="auto"/>
        <w:ind w:firstLine="0" w:firstLineChars="0"/>
        <w:jc w:val="both"/>
        <w:rPr>
          <w:highlight w:val="yellow"/>
        </w:rPr>
      </w:pPr>
    </w:p>
    <w:p w14:paraId="6C454FB3">
      <w:pPr>
        <w:spacing w:line="360" w:lineRule="auto"/>
        <w:ind w:firstLine="0" w:firstLineChars="0"/>
        <w:jc w:val="both"/>
        <w:rPr>
          <w:highlight w:val="yellow"/>
        </w:rPr>
      </w:pPr>
    </w:p>
    <w:p w14:paraId="3A0F8615">
      <w:pPr>
        <w:spacing w:line="360" w:lineRule="auto"/>
        <w:ind w:firstLine="0" w:firstLineChars="0"/>
        <w:jc w:val="both"/>
        <w:rPr>
          <w:highlight w:val="yellow"/>
        </w:rPr>
      </w:pPr>
    </w:p>
    <w:p w14:paraId="00979771">
      <w:pPr>
        <w:spacing w:line="360" w:lineRule="auto"/>
        <w:ind w:firstLine="0" w:firstLineChars="0"/>
        <w:jc w:val="both"/>
        <w:rPr>
          <w:highlight w:val="yellow"/>
        </w:rPr>
      </w:pPr>
    </w:p>
    <w:p w14:paraId="52998C49">
      <w:pPr>
        <w:spacing w:line="360" w:lineRule="auto"/>
        <w:ind w:firstLine="0" w:firstLineChars="0"/>
        <w:jc w:val="center"/>
        <w:rPr>
          <w:rFonts w:hint="eastAsia" w:eastAsia="宋体"/>
          <w:lang w:eastAsia="zh-CN"/>
        </w:rPr>
      </w:pPr>
      <w:r>
        <w:rPr>
          <w:rFonts w:hint="eastAsia" w:eastAsia="宋体"/>
          <w:lang w:eastAsia="zh-CN"/>
        </w:rPr>
        <w:drawing>
          <wp:inline distT="0" distB="0" distL="114300" distR="114300">
            <wp:extent cx="5255895" cy="1388745"/>
            <wp:effectExtent l="0" t="0" r="1905" b="1905"/>
            <wp:docPr id="8" name="图片 8" descr="F3线虫组图  -改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3线虫组图  -改_01"/>
                    <pic:cNvPicPr>
                      <a:picLocks noChangeAspect="1"/>
                    </pic:cNvPicPr>
                  </pic:nvPicPr>
                  <pic:blipFill>
                    <a:blip r:embed="rId27"/>
                    <a:stretch>
                      <a:fillRect/>
                    </a:stretch>
                  </pic:blipFill>
                  <pic:spPr>
                    <a:xfrm>
                      <a:off x="0" y="0"/>
                      <a:ext cx="5255895" cy="1388745"/>
                    </a:xfrm>
                    <a:prstGeom prst="rect">
                      <a:avLst/>
                    </a:prstGeom>
                  </pic:spPr>
                </pic:pic>
              </a:graphicData>
            </a:graphic>
          </wp:inline>
        </w:drawing>
      </w:r>
    </w:p>
    <w:p w14:paraId="67A7BC3D">
      <w:pPr>
        <w:spacing w:line="360" w:lineRule="auto"/>
        <w:ind w:firstLine="0" w:firstLineChars="0"/>
        <w:jc w:val="both"/>
        <w:rPr>
          <w:b/>
          <w:bCs/>
        </w:rPr>
      </w:pPr>
      <w:r>
        <w:rPr>
          <w:rFonts w:hint="eastAsia"/>
          <w:b/>
          <w:bCs/>
        </w:rPr>
        <w:t>Fig. S</w:t>
      </w:r>
      <w:r>
        <w:rPr>
          <w:rFonts w:hint="eastAsia"/>
          <w:b/>
          <w:bCs/>
          <w:lang w:val="en-US" w:eastAsia="zh-CN"/>
        </w:rPr>
        <w:t>21</w:t>
      </w:r>
      <w:r>
        <w:rPr>
          <w:rFonts w:hint="eastAsia"/>
          <w:b/>
          <w:bCs/>
        </w:rPr>
        <w:t xml:space="preserve"> </w:t>
      </w:r>
      <w:r>
        <w:rPr>
          <w:rFonts w:hint="eastAsia" w:ascii="Times New Roman" w:hAnsi="Times New Roman"/>
          <w:sz w:val="24"/>
          <w:highlight w:val="none"/>
        </w:rPr>
        <w:t>(a, b)</w:t>
      </w:r>
      <w:r>
        <w:rPr>
          <w:rFonts w:hint="eastAsia" w:ascii="Times New Roman" w:hAnsi="Times New Roman"/>
          <w:b/>
          <w:bCs/>
          <w:sz w:val="24"/>
          <w:highlight w:val="none"/>
        </w:rPr>
        <w:t xml:space="preserve"> </w:t>
      </w:r>
      <w:r>
        <w:rPr>
          <w:rFonts w:hint="eastAsia" w:ascii="Times New Roman" w:hAnsi="Times New Roman"/>
          <w:sz w:val="24"/>
          <w:highlight w:val="none"/>
        </w:rPr>
        <w:t xml:space="preserve">Fluorescence images (a) and quantitative analysis (b) of Bristol N2 strains of cultivated with varying </w:t>
      </w:r>
      <w:r>
        <w:rPr>
          <w:rFonts w:ascii="Times New Roman" w:hAnsi="Times New Roman"/>
          <w:sz w:val="24"/>
          <w:highlight w:val="none"/>
        </w:rPr>
        <w:t>G-Se NPs</w:t>
      </w:r>
      <w:r>
        <w:rPr>
          <w:rFonts w:hint="eastAsia" w:ascii="Times New Roman" w:hAnsi="Times New Roman"/>
          <w:sz w:val="24"/>
          <w:highlight w:val="none"/>
        </w:rPr>
        <w:t xml:space="preserve"> concentrations at 6 h. 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10</w:t>
      </w:r>
      <w:r>
        <w:rPr>
          <w:rFonts w:hint="eastAsia" w:ascii="Times New Roman" w:hAnsi="Times New Roman"/>
          <w:sz w:val="24"/>
          <w:highlight w:val="none"/>
        </w:rPr>
        <w:t>).</w:t>
      </w:r>
    </w:p>
    <w:p w14:paraId="28ED4ECC">
      <w:pPr>
        <w:spacing w:line="360" w:lineRule="auto"/>
        <w:ind w:firstLine="0" w:firstLineChars="0"/>
        <w:jc w:val="both"/>
        <w:rPr>
          <w:highlight w:val="yellow"/>
        </w:rPr>
      </w:pPr>
    </w:p>
    <w:p w14:paraId="32F4AB65">
      <w:pPr>
        <w:spacing w:line="360" w:lineRule="auto"/>
        <w:ind w:firstLine="0" w:firstLineChars="0"/>
        <w:jc w:val="both"/>
        <w:rPr>
          <w:highlight w:val="yellow"/>
        </w:rPr>
      </w:pPr>
    </w:p>
    <w:p w14:paraId="6F601FE0">
      <w:pPr>
        <w:spacing w:line="360" w:lineRule="auto"/>
        <w:ind w:firstLine="0" w:firstLineChars="0"/>
        <w:jc w:val="both"/>
        <w:rPr>
          <w:highlight w:val="yellow"/>
        </w:rPr>
      </w:pPr>
    </w:p>
    <w:p w14:paraId="6B099050">
      <w:pPr>
        <w:spacing w:line="360" w:lineRule="auto"/>
        <w:ind w:firstLine="0" w:firstLineChars="0"/>
        <w:jc w:val="both"/>
        <w:rPr>
          <w:highlight w:val="yellow"/>
        </w:rPr>
      </w:pPr>
    </w:p>
    <w:p w14:paraId="39773582">
      <w:pPr>
        <w:spacing w:line="360" w:lineRule="auto"/>
        <w:ind w:firstLine="0" w:firstLineChars="0"/>
        <w:jc w:val="center"/>
        <w:rPr>
          <w:highlight w:val="yellow"/>
        </w:rPr>
      </w:pPr>
      <w:r>
        <w:drawing>
          <wp:inline distT="0" distB="0" distL="0" distR="0">
            <wp:extent cx="5255895" cy="1076325"/>
            <wp:effectExtent l="0" t="0" r="1905" b="8890"/>
            <wp:docPr id="15198256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2562" name="图片 28"/>
                    <pic:cNvPicPr>
                      <a:picLocks noChangeAspect="1"/>
                    </pic:cNvPicPr>
                  </pic:nvPicPr>
                  <pic:blipFill>
                    <a:blip r:embed="rId28"/>
                    <a:stretch>
                      <a:fillRect/>
                    </a:stretch>
                  </pic:blipFill>
                  <pic:spPr>
                    <a:xfrm>
                      <a:off x="0" y="0"/>
                      <a:ext cx="5255895" cy="1076325"/>
                    </a:xfrm>
                    <a:prstGeom prst="rect">
                      <a:avLst/>
                    </a:prstGeom>
                  </pic:spPr>
                </pic:pic>
              </a:graphicData>
            </a:graphic>
          </wp:inline>
        </w:drawing>
      </w:r>
    </w:p>
    <w:p w14:paraId="2D4C93F8">
      <w:pPr>
        <w:spacing w:line="360" w:lineRule="auto"/>
        <w:ind w:firstLine="0" w:firstLineChars="0"/>
        <w:jc w:val="both"/>
        <w:rPr>
          <w:rFonts w:hint="eastAsia" w:eastAsia="宋体"/>
          <w:b/>
          <w:color w:val="0000FF"/>
          <w:highlight w:val="yellow"/>
          <w:lang w:val="en-US" w:eastAsia="zh-CN"/>
        </w:rPr>
      </w:pPr>
      <w:r>
        <w:rPr>
          <w:rFonts w:hint="eastAsia"/>
          <w:b/>
          <w:bCs/>
        </w:rPr>
        <w:t>Fig.</w:t>
      </w:r>
      <w:r>
        <w:rPr>
          <w:b/>
          <w:bCs/>
        </w:rPr>
        <w:t xml:space="preserve"> S</w:t>
      </w:r>
      <w:r>
        <w:rPr>
          <w:rFonts w:hint="eastAsia"/>
          <w:b/>
          <w:bCs/>
          <w:lang w:val="en-US" w:eastAsia="zh-CN"/>
        </w:rPr>
        <w:t>22</w:t>
      </w:r>
      <w:r>
        <w:t xml:space="preserve"> </w:t>
      </w:r>
      <w:r>
        <w:rPr>
          <w:rFonts w:hint="eastAsia"/>
        </w:rPr>
        <w:t xml:space="preserve">The </w:t>
      </w:r>
      <w:r>
        <w:t xml:space="preserve">body length of nematodes for the L4 period when exposed to various concentrations of </w:t>
      </w:r>
      <w:r>
        <w:rPr>
          <w:rFonts w:hint="eastAsia"/>
        </w:rPr>
        <w:t>G-Se NPs.</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50</w:t>
      </w:r>
      <w:r>
        <w:rPr>
          <w:rFonts w:hint="eastAsia" w:ascii="Times New Roman" w:hAnsi="Times New Roman"/>
          <w:sz w:val="24"/>
          <w:highlight w:val="none"/>
        </w:rPr>
        <w:t>).</w:t>
      </w:r>
    </w:p>
    <w:p w14:paraId="6DD55F77">
      <w:pPr>
        <w:spacing w:line="360" w:lineRule="auto"/>
        <w:ind w:firstLine="0" w:firstLineChars="0"/>
        <w:jc w:val="both"/>
      </w:pPr>
    </w:p>
    <w:p w14:paraId="1546FB1E">
      <w:pPr>
        <w:spacing w:line="360" w:lineRule="auto"/>
        <w:ind w:firstLine="0" w:firstLineChars="0"/>
        <w:jc w:val="both"/>
      </w:pPr>
    </w:p>
    <w:p w14:paraId="5F1C7740">
      <w:pPr>
        <w:spacing w:line="360" w:lineRule="auto"/>
        <w:ind w:firstLine="0" w:firstLineChars="0"/>
        <w:jc w:val="both"/>
      </w:pPr>
    </w:p>
    <w:p w14:paraId="6217CBC8">
      <w:pPr>
        <w:spacing w:line="360" w:lineRule="auto"/>
        <w:ind w:firstLine="0" w:firstLineChars="0"/>
      </w:pPr>
      <w:r>
        <w:rPr>
          <w:rFonts w:hint="eastAsia"/>
        </w:rPr>
        <w:drawing>
          <wp:inline distT="0" distB="0" distL="0" distR="0">
            <wp:extent cx="4780280" cy="2379345"/>
            <wp:effectExtent l="0" t="0" r="0" b="0"/>
            <wp:docPr id="52754186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41866" name="图片 16"/>
                    <pic:cNvPicPr>
                      <a:picLocks noChangeAspect="1"/>
                    </pic:cNvPicPr>
                  </pic:nvPicPr>
                  <pic:blipFill>
                    <a:blip r:embed="rId29"/>
                    <a:stretch>
                      <a:fillRect/>
                    </a:stretch>
                  </pic:blipFill>
                  <pic:spPr>
                    <a:xfrm>
                      <a:off x="0" y="0"/>
                      <a:ext cx="4780280" cy="2379345"/>
                    </a:xfrm>
                    <a:prstGeom prst="rect">
                      <a:avLst/>
                    </a:prstGeom>
                  </pic:spPr>
                </pic:pic>
              </a:graphicData>
            </a:graphic>
          </wp:inline>
        </w:drawing>
      </w:r>
    </w:p>
    <w:p w14:paraId="45F1A953">
      <w:pPr>
        <w:spacing w:line="360" w:lineRule="auto"/>
        <w:ind w:firstLine="0" w:firstLineChars="0"/>
        <w:jc w:val="both"/>
        <w:rPr>
          <w:highlight w:val="yellow"/>
        </w:rPr>
      </w:pPr>
    </w:p>
    <w:p w14:paraId="62F99DAE">
      <w:pPr>
        <w:spacing w:line="360" w:lineRule="auto"/>
        <w:ind w:firstLine="0" w:firstLineChars="0"/>
        <w:jc w:val="both"/>
        <w:rPr>
          <w:rFonts w:hint="eastAsia" w:eastAsia="宋体"/>
          <w:highlight w:val="yellow"/>
          <w:lang w:val="en-US" w:eastAsia="zh-CN"/>
        </w:rPr>
      </w:pPr>
      <w:r>
        <w:rPr>
          <w:rFonts w:hint="eastAsia"/>
          <w:b/>
          <w:bCs/>
        </w:rPr>
        <w:t>Fig.</w:t>
      </w:r>
      <w:r>
        <w:rPr>
          <w:b/>
          <w:bCs/>
        </w:rPr>
        <w:t xml:space="preserve"> S</w:t>
      </w:r>
      <w:r>
        <w:rPr>
          <w:rFonts w:hint="eastAsia"/>
          <w:b/>
          <w:bCs/>
          <w:lang w:val="en-US" w:eastAsia="zh-CN"/>
        </w:rPr>
        <w:t>23</w:t>
      </w:r>
      <w:r>
        <w:rPr>
          <w:rFonts w:hint="eastAsia"/>
        </w:rPr>
        <w:t xml:space="preserve"> </w:t>
      </w:r>
      <w:r>
        <w:t>Balb/c mice were administered G-Se NPs through four delivery routes</w:t>
      </w:r>
      <w:r>
        <w:rPr>
          <w:rFonts w:hint="eastAsia"/>
        </w:rPr>
        <w:t>：</w:t>
      </w:r>
      <w:r>
        <w:t>tail vein intravenous injection (</w:t>
      </w:r>
      <w:r>
        <w:rPr>
          <w:i/>
        </w:rPr>
        <w:t>i.v.</w:t>
      </w:r>
      <w:r>
        <w:t>), intraperitoneal injection (</w:t>
      </w:r>
      <w:r>
        <w:rPr>
          <w:i/>
        </w:rPr>
        <w:t>i.p.</w:t>
      </w:r>
      <w:r>
        <w:t>), intragastric administration (</w:t>
      </w:r>
      <w:r>
        <w:rPr>
          <w:i/>
        </w:rPr>
        <w:t>i.g.</w:t>
      </w:r>
      <w:r>
        <w:t>), and intranasal instillation (</w:t>
      </w:r>
      <w:r>
        <w:rPr>
          <w:i/>
        </w:rPr>
        <w:t>i.n.</w:t>
      </w:r>
      <w:r>
        <w:t>).</w:t>
      </w:r>
      <w:r>
        <w:rPr>
          <w:rFonts w:hint="eastAsia"/>
        </w:rPr>
        <w:t xml:space="preserve"> (a, b)</w:t>
      </w:r>
      <w:r>
        <w:t xml:space="preserve"> </w:t>
      </w:r>
      <w:r>
        <w:rPr>
          <w:rFonts w:hint="eastAsia"/>
        </w:rPr>
        <w:t>q</w:t>
      </w:r>
      <w:r>
        <w:t>uantitative analysis</w:t>
      </w:r>
      <w:r>
        <w:rPr>
          <w:rFonts w:hint="eastAsia"/>
        </w:rPr>
        <w:t xml:space="preserve"> of tissue slices in (a) brain and (b) liver.</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7F41B7B8">
      <w:pPr>
        <w:spacing w:line="360" w:lineRule="auto"/>
        <w:ind w:firstLine="0" w:firstLineChars="0"/>
        <w:jc w:val="both"/>
        <w:rPr>
          <w:highlight w:val="yellow"/>
        </w:rPr>
      </w:pPr>
    </w:p>
    <w:p w14:paraId="0A680BE6">
      <w:pPr>
        <w:spacing w:line="360" w:lineRule="auto"/>
        <w:ind w:firstLine="0" w:firstLineChars="0"/>
        <w:jc w:val="both"/>
        <w:rPr>
          <w:highlight w:val="yellow"/>
        </w:rPr>
      </w:pPr>
    </w:p>
    <w:p w14:paraId="5B8F7214">
      <w:pPr>
        <w:spacing w:line="360" w:lineRule="auto"/>
        <w:ind w:firstLine="0" w:firstLineChars="0"/>
        <w:jc w:val="center"/>
        <w:rPr>
          <w:rFonts w:hint="eastAsia"/>
          <w:b/>
          <w:bCs/>
        </w:rPr>
      </w:pPr>
      <w:r>
        <w:rPr>
          <w:rFonts w:hint="eastAsia"/>
          <w:b/>
          <w:bCs/>
        </w:rPr>
        <w:drawing>
          <wp:inline distT="0" distB="0" distL="114300" distR="114300">
            <wp:extent cx="4309110" cy="2482850"/>
            <wp:effectExtent l="0" t="0" r="15240" b="12700"/>
            <wp:docPr id="4" name="图片 4" descr="0921 GSH-SI 2_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921 GSH-SI 2_20(1)"/>
                    <pic:cNvPicPr>
                      <a:picLocks noChangeAspect="1"/>
                    </pic:cNvPicPr>
                  </pic:nvPicPr>
                  <pic:blipFill>
                    <a:blip r:embed="rId30"/>
                    <a:srcRect l="34435" t="23131" r="12364" b="30888"/>
                    <a:stretch>
                      <a:fillRect/>
                    </a:stretch>
                  </pic:blipFill>
                  <pic:spPr>
                    <a:xfrm>
                      <a:off x="0" y="0"/>
                      <a:ext cx="4309110" cy="2482850"/>
                    </a:xfrm>
                    <a:prstGeom prst="rect">
                      <a:avLst/>
                    </a:prstGeom>
                  </pic:spPr>
                </pic:pic>
              </a:graphicData>
            </a:graphic>
          </wp:inline>
        </w:drawing>
      </w:r>
    </w:p>
    <w:p w14:paraId="753886AE">
      <w:pPr>
        <w:spacing w:line="360" w:lineRule="auto"/>
        <w:ind w:firstLine="0" w:firstLineChars="0"/>
        <w:jc w:val="both"/>
      </w:pPr>
      <w:r>
        <w:rPr>
          <w:rFonts w:hint="eastAsia"/>
          <w:b/>
          <w:bCs/>
        </w:rPr>
        <w:t>Fig.</w:t>
      </w:r>
      <w:r>
        <w:rPr>
          <w:b/>
          <w:bCs/>
        </w:rPr>
        <w:t xml:space="preserve"> S</w:t>
      </w:r>
      <w:r>
        <w:rPr>
          <w:rFonts w:hint="eastAsia"/>
          <w:b/>
          <w:bCs/>
          <w:lang w:val="en-US" w:eastAsia="zh-CN"/>
        </w:rPr>
        <w:t>24</w:t>
      </w:r>
      <w:r>
        <w:rPr>
          <w:rFonts w:hint="eastAsia"/>
          <w:b/>
          <w:bCs/>
        </w:rPr>
        <w:t xml:space="preserve"> </w:t>
      </w:r>
      <w:r>
        <w:rPr>
          <w:rFonts w:hint="eastAsia"/>
        </w:rPr>
        <w:t xml:space="preserve">Fluorescence imaging of Ce6-labeled G-Se NPs distribution in </w:t>
      </w:r>
      <w:r>
        <w:rPr>
          <w:rFonts w:hint="eastAsia"/>
          <w:lang w:val="en-US" w:eastAsia="zh-CN"/>
        </w:rPr>
        <w:t xml:space="preserve">brian and </w:t>
      </w:r>
      <w:r>
        <w:rPr>
          <w:rFonts w:hint="eastAsia"/>
        </w:rPr>
        <w:t xml:space="preserve">liver tissue of healthy (NC) and PD mice.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1493C89C">
      <w:pPr>
        <w:spacing w:line="360" w:lineRule="auto"/>
        <w:ind w:firstLine="0" w:firstLineChars="0"/>
      </w:pPr>
    </w:p>
    <w:p w14:paraId="0483C4D8">
      <w:pPr>
        <w:spacing w:line="360" w:lineRule="auto"/>
        <w:ind w:firstLine="0" w:firstLineChars="0"/>
      </w:pPr>
    </w:p>
    <w:p w14:paraId="4E234079">
      <w:pPr>
        <w:spacing w:line="360" w:lineRule="auto"/>
        <w:ind w:firstLine="0" w:firstLineChars="0"/>
      </w:pPr>
      <w:r>
        <w:rPr>
          <w:rFonts w:hint="eastAsia"/>
        </w:rPr>
        <w:drawing>
          <wp:inline distT="0" distB="0" distL="114300" distR="114300">
            <wp:extent cx="4082415" cy="2164715"/>
            <wp:effectExtent l="0" t="0" r="13335" b="6985"/>
            <wp:docPr id="5" name="图片 5" descr="0921 GSH-SI 2_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921 GSH-SI 2_21(1)"/>
                    <pic:cNvPicPr>
                      <a:picLocks noChangeAspect="1"/>
                    </pic:cNvPicPr>
                  </pic:nvPicPr>
                  <pic:blipFill>
                    <a:blip r:embed="rId31"/>
                    <a:srcRect l="25125" t="26791" r="33643" b="40413"/>
                    <a:stretch>
                      <a:fillRect/>
                    </a:stretch>
                  </pic:blipFill>
                  <pic:spPr>
                    <a:xfrm>
                      <a:off x="0" y="0"/>
                      <a:ext cx="4082415" cy="2164715"/>
                    </a:xfrm>
                    <a:prstGeom prst="rect">
                      <a:avLst/>
                    </a:prstGeom>
                  </pic:spPr>
                </pic:pic>
              </a:graphicData>
            </a:graphic>
          </wp:inline>
        </w:drawing>
      </w:r>
    </w:p>
    <w:p w14:paraId="396D5007">
      <w:pPr>
        <w:spacing w:line="360" w:lineRule="auto"/>
        <w:ind w:firstLine="0" w:firstLineChars="0"/>
        <w:jc w:val="both"/>
      </w:pPr>
      <w:r>
        <w:rPr>
          <w:rFonts w:hint="eastAsia"/>
          <w:b/>
          <w:bCs/>
        </w:rPr>
        <w:t>Fig.</w:t>
      </w:r>
      <w:r>
        <w:rPr>
          <w:b/>
          <w:bCs/>
        </w:rPr>
        <w:t xml:space="preserve"> S</w:t>
      </w:r>
      <w:r>
        <w:rPr>
          <w:rFonts w:hint="eastAsia"/>
          <w:b/>
          <w:bCs/>
        </w:rPr>
        <w:t>2</w:t>
      </w:r>
      <w:r>
        <w:rPr>
          <w:rFonts w:hint="eastAsia"/>
          <w:b/>
          <w:bCs/>
          <w:lang w:val="en-US" w:eastAsia="zh-CN"/>
        </w:rPr>
        <w:t>5</w:t>
      </w:r>
      <w:r>
        <w:rPr>
          <w:rFonts w:hint="eastAsia"/>
          <w:b/>
          <w:bCs/>
        </w:rPr>
        <w:t xml:space="preserve"> </w:t>
      </w:r>
      <w:r>
        <w:t>(</w:t>
      </w:r>
      <w:r>
        <w:rPr>
          <w:rFonts w:hint="eastAsia"/>
        </w:rPr>
        <w:t>a, b</w:t>
      </w:r>
      <w:r>
        <w:t xml:space="preserve">) </w:t>
      </w:r>
      <w:r>
        <w:rPr>
          <w:rFonts w:hint="eastAsia"/>
        </w:rPr>
        <w:t>T</w:t>
      </w:r>
      <w:r>
        <w:t>he Pearson’s correlation coefficient calculation</w:t>
      </w:r>
      <w:r>
        <w:rPr>
          <w:rFonts w:hint="eastAsia"/>
        </w:rPr>
        <w:t xml:space="preserve"> of Ce6-labeled G-Se NPs with (a) mitochondria and (b) TH</w:t>
      </w:r>
      <w:r>
        <w:t xml:space="preserve"> performed by ImageJ software along the randomly selected lines in panel.</w:t>
      </w:r>
    </w:p>
    <w:p w14:paraId="31A3EFDD">
      <w:pPr>
        <w:spacing w:line="360" w:lineRule="auto"/>
        <w:ind w:firstLine="0" w:firstLineChars="0"/>
      </w:pPr>
    </w:p>
    <w:p w14:paraId="7935CA86">
      <w:pPr>
        <w:spacing w:line="360" w:lineRule="auto"/>
        <w:ind w:firstLine="0" w:firstLineChars="0"/>
      </w:pPr>
      <w:r>
        <w:rPr>
          <w:rFonts w:hint="eastAsia"/>
        </w:rPr>
        <w:drawing>
          <wp:inline distT="0" distB="0" distL="114300" distR="114300">
            <wp:extent cx="4159250" cy="3128645"/>
            <wp:effectExtent l="0" t="0" r="12700" b="14605"/>
            <wp:docPr id="6" name="图片 6" descr="0921 GSH-SI 2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921 GSH-SI 2_22"/>
                    <pic:cNvPicPr>
                      <a:picLocks noChangeAspect="1"/>
                    </pic:cNvPicPr>
                  </pic:nvPicPr>
                  <pic:blipFill>
                    <a:blip r:embed="rId32"/>
                    <a:srcRect l="14940" t="31889" r="38584" b="15671"/>
                    <a:stretch>
                      <a:fillRect/>
                    </a:stretch>
                  </pic:blipFill>
                  <pic:spPr>
                    <a:xfrm>
                      <a:off x="0" y="0"/>
                      <a:ext cx="4159250" cy="3128645"/>
                    </a:xfrm>
                    <a:prstGeom prst="rect">
                      <a:avLst/>
                    </a:prstGeom>
                  </pic:spPr>
                </pic:pic>
              </a:graphicData>
            </a:graphic>
          </wp:inline>
        </w:drawing>
      </w:r>
    </w:p>
    <w:p w14:paraId="1FA75D55">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2</w:t>
      </w:r>
      <w:r>
        <w:rPr>
          <w:rFonts w:hint="eastAsia"/>
          <w:b/>
          <w:bCs/>
          <w:lang w:val="en-US" w:eastAsia="zh-CN"/>
        </w:rPr>
        <w:t>6</w:t>
      </w:r>
      <w:r>
        <w:rPr>
          <w:rFonts w:hint="eastAsia"/>
        </w:rPr>
        <w:t xml:space="preserve"> (a) </w:t>
      </w:r>
      <w:r>
        <w:rPr>
          <w:rFonts w:hint="eastAsia"/>
          <w:color w:val="000000" w:themeColor="text1"/>
          <w14:textFill>
            <w14:solidFill>
              <w14:schemeClr w14:val="tx1"/>
            </w14:solidFill>
          </w14:textFill>
        </w:rPr>
        <w:t>Heat map of tracking path of mice from different groups of mice in Y-maze test. (b) Heat map of tracking path of mice from different groups of mice in the elevated plus-maze test.</w:t>
      </w:r>
      <w:r>
        <w:rPr>
          <w:rFonts w:hint="eastAsia"/>
          <w:color w:val="000000" w:themeColor="text1"/>
          <w:lang w:val="en-US" w:eastAsia="zh-CN"/>
          <w14:textFill>
            <w14:solidFill>
              <w14:schemeClr w14:val="tx1"/>
            </w14:solidFill>
          </w14:textFill>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6</w:t>
      </w:r>
      <w:r>
        <w:rPr>
          <w:rFonts w:hint="eastAsia" w:ascii="Times New Roman" w:hAnsi="Times New Roman"/>
          <w:sz w:val="24"/>
          <w:highlight w:val="none"/>
        </w:rPr>
        <w:t>).</w:t>
      </w:r>
    </w:p>
    <w:p w14:paraId="72B45A05">
      <w:pPr>
        <w:spacing w:line="360" w:lineRule="auto"/>
        <w:ind w:firstLine="0" w:firstLineChars="0"/>
        <w:jc w:val="both"/>
      </w:pPr>
    </w:p>
    <w:p w14:paraId="0BEE7159">
      <w:pPr>
        <w:spacing w:line="360" w:lineRule="auto"/>
        <w:ind w:firstLine="0" w:firstLineChars="0"/>
      </w:pPr>
      <w:r>
        <w:rPr>
          <w:rFonts w:hint="eastAsia"/>
        </w:rPr>
        <w:drawing>
          <wp:inline distT="0" distB="0" distL="114300" distR="114300">
            <wp:extent cx="4878705" cy="3210560"/>
            <wp:effectExtent l="0" t="0" r="0" b="0"/>
            <wp:docPr id="9" name="图片 9" descr="0921 GSH-SI 2_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921 GSH-SI 2_23(1)"/>
                    <pic:cNvPicPr>
                      <a:picLocks noChangeAspect="1"/>
                    </pic:cNvPicPr>
                  </pic:nvPicPr>
                  <pic:blipFill>
                    <a:blip r:embed="rId33"/>
                    <a:srcRect l="12458" t="9149" r="7444" b="11777"/>
                    <a:stretch>
                      <a:fillRect/>
                    </a:stretch>
                  </pic:blipFill>
                  <pic:spPr>
                    <a:xfrm>
                      <a:off x="0" y="0"/>
                      <a:ext cx="4878705" cy="3210560"/>
                    </a:xfrm>
                    <a:prstGeom prst="rect">
                      <a:avLst/>
                    </a:prstGeom>
                  </pic:spPr>
                </pic:pic>
              </a:graphicData>
            </a:graphic>
          </wp:inline>
        </w:drawing>
      </w:r>
    </w:p>
    <w:p w14:paraId="557F1CCD">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2</w:t>
      </w:r>
      <w:r>
        <w:rPr>
          <w:rFonts w:hint="eastAsia"/>
          <w:b/>
          <w:bCs/>
          <w:lang w:val="en-US" w:eastAsia="zh-CN"/>
        </w:rPr>
        <w:t>7</w:t>
      </w:r>
      <w:r>
        <w:rPr>
          <w:rFonts w:hint="eastAsia"/>
          <w:b/>
          <w:bCs/>
        </w:rPr>
        <w:t xml:space="preserve"> </w:t>
      </w:r>
      <w:r>
        <w:rPr>
          <w:rFonts w:hint="eastAsia"/>
          <w:color w:val="000000" w:themeColor="text1"/>
          <w14:textFill>
            <w14:solidFill>
              <w14:schemeClr w14:val="tx1"/>
            </w14:solidFill>
          </w14:textFill>
        </w:rPr>
        <w:t>The classic movement trajectory diagrams of each group of mice</w:t>
      </w:r>
      <w:r>
        <w:rPr>
          <w:rFonts w:hint="eastAsia"/>
          <w:color w:val="000000" w:themeColor="text1"/>
          <w:lang w:val="en-US" w:eastAsia="zh-CN"/>
          <w14:textFill>
            <w14:solidFill>
              <w14:schemeClr w14:val="tx1"/>
            </w14:solidFill>
          </w14:textFill>
        </w:rPr>
        <w:t xml:space="preserve"> in </w:t>
      </w:r>
      <w:r>
        <w:rPr>
          <w:rFonts w:hint="eastAsia"/>
          <w:color w:val="000000" w:themeColor="text1"/>
          <w14:textFill>
            <w14:solidFill>
              <w14:schemeClr w14:val="tx1"/>
            </w14:solidFill>
          </w14:textFill>
        </w:rPr>
        <w:t>Y-maze test.</w:t>
      </w:r>
      <w:r>
        <w:rPr>
          <w:rFonts w:hint="eastAsia"/>
          <w:color w:val="000000" w:themeColor="text1"/>
          <w:lang w:val="en-US" w:eastAsia="zh-CN"/>
          <w14:textFill>
            <w14:solidFill>
              <w14:schemeClr w14:val="tx1"/>
            </w14:solidFill>
          </w14:textFill>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w:t>
      </w:r>
      <w:r>
        <w:rPr>
          <w:rFonts w:hint="eastAsia"/>
          <w:sz w:val="24"/>
          <w:highlight w:val="none"/>
          <w:lang w:val="en-US" w:eastAsia="zh-CN"/>
        </w:rPr>
        <w:t>6</w:t>
      </w:r>
      <w:r>
        <w:rPr>
          <w:rFonts w:hint="eastAsia" w:ascii="Times New Roman" w:hAnsi="Times New Roman"/>
          <w:sz w:val="24"/>
          <w:highlight w:val="none"/>
        </w:rPr>
        <w:t>).</w:t>
      </w:r>
    </w:p>
    <w:p w14:paraId="4FE65FA7">
      <w:pPr>
        <w:spacing w:line="360" w:lineRule="auto"/>
        <w:ind w:firstLine="0" w:firstLineChars="0"/>
        <w:jc w:val="both"/>
      </w:pPr>
    </w:p>
    <w:p w14:paraId="53F075DD">
      <w:pPr>
        <w:spacing w:line="360" w:lineRule="auto"/>
        <w:ind w:firstLine="0" w:firstLineChars="0"/>
      </w:pPr>
      <w:r>
        <w:rPr>
          <w:rFonts w:hint="eastAsia"/>
        </w:rPr>
        <w:drawing>
          <wp:inline distT="0" distB="0" distL="114300" distR="114300">
            <wp:extent cx="4227195" cy="2100580"/>
            <wp:effectExtent l="0" t="0" r="1905" b="13970"/>
            <wp:docPr id="7" name="图片 7" descr="0921 GSH-SI 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921 GSH-SI 2_23"/>
                    <pic:cNvPicPr>
                      <a:picLocks noChangeAspect="1"/>
                    </pic:cNvPicPr>
                  </pic:nvPicPr>
                  <pic:blipFill>
                    <a:blip r:embed="rId34"/>
                    <a:srcRect l="21716" t="21896" r="28420" b="40929"/>
                    <a:stretch>
                      <a:fillRect/>
                    </a:stretch>
                  </pic:blipFill>
                  <pic:spPr>
                    <a:xfrm>
                      <a:off x="0" y="0"/>
                      <a:ext cx="4227195" cy="2100580"/>
                    </a:xfrm>
                    <a:prstGeom prst="rect">
                      <a:avLst/>
                    </a:prstGeom>
                  </pic:spPr>
                </pic:pic>
              </a:graphicData>
            </a:graphic>
          </wp:inline>
        </w:drawing>
      </w:r>
    </w:p>
    <w:p w14:paraId="4AE68437">
      <w:pPr>
        <w:spacing w:line="360" w:lineRule="auto"/>
        <w:ind w:firstLine="0" w:firstLineChars="0"/>
        <w:jc w:val="both"/>
        <w:rPr>
          <w:rFonts w:hint="eastAsia" w:eastAsia="宋体"/>
          <w:b/>
          <w:color w:val="0000FF"/>
          <w:lang w:val="en-US" w:eastAsia="zh-CN"/>
        </w:rPr>
      </w:pPr>
      <w:r>
        <w:rPr>
          <w:rFonts w:hint="eastAsia"/>
          <w:b/>
          <w:bCs/>
        </w:rPr>
        <w:t>Fig.</w:t>
      </w:r>
      <w:r>
        <w:rPr>
          <w:b/>
          <w:bCs/>
        </w:rPr>
        <w:t xml:space="preserve"> S</w:t>
      </w:r>
      <w:r>
        <w:rPr>
          <w:rFonts w:hint="eastAsia"/>
          <w:b/>
          <w:bCs/>
        </w:rPr>
        <w:t>2</w:t>
      </w:r>
      <w:r>
        <w:rPr>
          <w:rFonts w:hint="eastAsia"/>
          <w:b/>
          <w:bCs/>
          <w:lang w:val="en-US" w:eastAsia="zh-CN"/>
        </w:rPr>
        <w:t>8</w:t>
      </w:r>
      <w:r>
        <w:rPr>
          <w:b/>
          <w:bCs/>
        </w:rPr>
        <w:t xml:space="preserve"> </w:t>
      </w:r>
      <w:r>
        <w:t>H&amp;E staining of</w:t>
      </w:r>
      <w:r>
        <w:rPr>
          <w:rFonts w:hint="eastAsia"/>
        </w:rPr>
        <w:t xml:space="preserve"> brain</w:t>
      </w:r>
      <w:r>
        <w:t xml:space="preserve"> after different treatments.</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086AFF29">
      <w:pPr>
        <w:spacing w:line="360" w:lineRule="auto"/>
        <w:ind w:firstLine="0" w:firstLineChars="0"/>
        <w:jc w:val="both"/>
      </w:pPr>
    </w:p>
    <w:p w14:paraId="0BCB7ED2">
      <w:pPr>
        <w:spacing w:line="360" w:lineRule="auto"/>
        <w:ind w:firstLine="0" w:firstLineChars="0"/>
        <w:jc w:val="both"/>
      </w:pPr>
    </w:p>
    <w:p w14:paraId="18CCF73D">
      <w:pPr>
        <w:spacing w:line="360" w:lineRule="auto"/>
        <w:ind w:firstLine="0" w:firstLineChars="0"/>
        <w:jc w:val="both"/>
      </w:pPr>
    </w:p>
    <w:p w14:paraId="0A359470">
      <w:pPr>
        <w:spacing w:line="360" w:lineRule="auto"/>
        <w:ind w:firstLine="0" w:firstLineChars="0"/>
        <w:jc w:val="both"/>
      </w:pPr>
    </w:p>
    <w:p w14:paraId="448C45C8">
      <w:pPr>
        <w:spacing w:line="360" w:lineRule="auto"/>
        <w:ind w:firstLine="0" w:firstLineChars="0"/>
        <w:jc w:val="both"/>
      </w:pPr>
    </w:p>
    <w:p w14:paraId="545DF33B">
      <w:pPr>
        <w:spacing w:line="360" w:lineRule="auto"/>
        <w:ind w:firstLine="0" w:firstLineChars="0"/>
      </w:pPr>
      <w:r>
        <w:rPr>
          <w:rFonts w:hint="eastAsia"/>
        </w:rPr>
        <w:drawing>
          <wp:inline distT="0" distB="0" distL="114300" distR="114300">
            <wp:extent cx="4218940" cy="1989455"/>
            <wp:effectExtent l="0" t="0" r="0" b="0"/>
            <wp:docPr id="17" name="图片 17" descr="0921 GSH-SI 2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921 GSH-SI 2_25"/>
                    <pic:cNvPicPr>
                      <a:picLocks noChangeAspect="1"/>
                    </pic:cNvPicPr>
                  </pic:nvPicPr>
                  <pic:blipFill>
                    <a:blip r:embed="rId35"/>
                    <a:srcRect l="14668" t="23616" r="16065" b="27385"/>
                    <a:stretch>
                      <a:fillRect/>
                    </a:stretch>
                  </pic:blipFill>
                  <pic:spPr>
                    <a:xfrm>
                      <a:off x="0" y="0"/>
                      <a:ext cx="4218940" cy="1989455"/>
                    </a:xfrm>
                    <a:prstGeom prst="rect">
                      <a:avLst/>
                    </a:prstGeom>
                  </pic:spPr>
                </pic:pic>
              </a:graphicData>
            </a:graphic>
          </wp:inline>
        </w:drawing>
      </w:r>
    </w:p>
    <w:p w14:paraId="3348F5A7">
      <w:pPr>
        <w:spacing w:line="360" w:lineRule="auto"/>
        <w:ind w:firstLine="0" w:firstLineChars="0"/>
        <w:jc w:val="both"/>
        <w:rPr>
          <w:rFonts w:hint="eastAsia" w:eastAsia="宋体"/>
          <w:b/>
          <w:color w:val="0000FF"/>
          <w:highlight w:val="yellow"/>
          <w:lang w:val="en-US" w:eastAsia="zh-CN"/>
        </w:rPr>
      </w:pPr>
      <w:r>
        <w:rPr>
          <w:rFonts w:hint="eastAsia"/>
          <w:b/>
          <w:bCs/>
        </w:rPr>
        <w:t>Fig.</w:t>
      </w:r>
      <w:r>
        <w:rPr>
          <w:b/>
          <w:bCs/>
        </w:rPr>
        <w:t xml:space="preserve"> S</w:t>
      </w:r>
      <w:r>
        <w:rPr>
          <w:rFonts w:hint="eastAsia"/>
          <w:b/>
          <w:bCs/>
        </w:rPr>
        <w:t>2</w:t>
      </w:r>
      <w:r>
        <w:rPr>
          <w:rFonts w:hint="eastAsia"/>
          <w:b/>
          <w:bCs/>
          <w:lang w:val="en-US" w:eastAsia="zh-CN"/>
        </w:rPr>
        <w:t>9</w:t>
      </w:r>
      <w:r>
        <w:rPr>
          <w:rFonts w:hint="eastAsia"/>
        </w:rPr>
        <w:t xml:space="preserve"> Semi-quantitative analysis of (a) TH and (b) </w:t>
      </w:r>
      <w:r>
        <w:t>α-syn</w:t>
      </w:r>
      <w:r>
        <w:rPr>
          <w:rFonts w:hint="eastAsia"/>
        </w:rPr>
        <w:t xml:space="preserve"> expression in the SN of PD mice ex-vivo.</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1104CBA2">
      <w:pPr>
        <w:spacing w:line="360" w:lineRule="auto"/>
        <w:ind w:firstLine="0" w:firstLineChars="0"/>
        <w:jc w:val="both"/>
        <w:rPr>
          <w:highlight w:val="yellow"/>
        </w:rPr>
      </w:pPr>
    </w:p>
    <w:p w14:paraId="0004AFAA">
      <w:pPr>
        <w:spacing w:line="360" w:lineRule="auto"/>
        <w:ind w:firstLine="0" w:firstLineChars="0"/>
        <w:jc w:val="both"/>
        <w:rPr>
          <w:highlight w:val="yellow"/>
        </w:rPr>
      </w:pPr>
    </w:p>
    <w:p w14:paraId="4ED3CDDF">
      <w:pPr>
        <w:spacing w:line="360" w:lineRule="auto"/>
        <w:ind w:firstLine="0" w:firstLineChars="0"/>
        <w:jc w:val="both"/>
        <w:rPr>
          <w:highlight w:val="yellow"/>
        </w:rPr>
      </w:pPr>
    </w:p>
    <w:p w14:paraId="2E8DB7EF">
      <w:pPr>
        <w:spacing w:line="360" w:lineRule="auto"/>
        <w:ind w:firstLine="0" w:firstLineChars="0"/>
        <w:jc w:val="both"/>
        <w:rPr>
          <w:highlight w:val="yellow"/>
        </w:rPr>
      </w:pPr>
    </w:p>
    <w:p w14:paraId="5A48069C">
      <w:pPr>
        <w:spacing w:line="360" w:lineRule="auto"/>
        <w:ind w:firstLine="0" w:firstLineChars="0"/>
      </w:pPr>
      <w:r>
        <w:drawing>
          <wp:inline distT="0" distB="0" distL="114300" distR="114300">
            <wp:extent cx="4963160" cy="1534160"/>
            <wp:effectExtent l="0" t="0" r="8890" b="8890"/>
            <wp:docPr id="16" name="图片 16" descr="0921 GSH-SI 2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921 GSH-SI 2_28(1)"/>
                    <pic:cNvPicPr>
                      <a:picLocks noChangeAspect="1"/>
                    </pic:cNvPicPr>
                  </pic:nvPicPr>
                  <pic:blipFill>
                    <a:blip r:embed="rId36"/>
                    <a:srcRect l="13730" t="35580" r="15909" b="31795"/>
                    <a:stretch>
                      <a:fillRect/>
                    </a:stretch>
                  </pic:blipFill>
                  <pic:spPr>
                    <a:xfrm>
                      <a:off x="0" y="0"/>
                      <a:ext cx="4963160" cy="1534160"/>
                    </a:xfrm>
                    <a:prstGeom prst="rect">
                      <a:avLst/>
                    </a:prstGeom>
                  </pic:spPr>
                </pic:pic>
              </a:graphicData>
            </a:graphic>
          </wp:inline>
        </w:drawing>
      </w:r>
    </w:p>
    <w:p w14:paraId="1832830A">
      <w:pPr>
        <w:spacing w:line="360" w:lineRule="auto"/>
        <w:ind w:firstLine="0" w:firstLineChars="0"/>
        <w:jc w:val="both"/>
        <w:rPr>
          <w:color w:val="000000"/>
          <w:kern w:val="0"/>
          <w:lang w:bidi="ar"/>
        </w:rPr>
      </w:pPr>
      <w:r>
        <w:rPr>
          <w:rFonts w:hint="eastAsia"/>
          <w:b/>
          <w:bCs/>
        </w:rPr>
        <w:t>Fig.</w:t>
      </w:r>
      <w:r>
        <w:rPr>
          <w:b/>
          <w:bCs/>
        </w:rPr>
        <w:t xml:space="preserve"> S</w:t>
      </w:r>
      <w:r>
        <w:rPr>
          <w:rFonts w:hint="eastAsia"/>
          <w:b/>
          <w:bCs/>
          <w:lang w:val="en-US" w:eastAsia="zh-CN"/>
        </w:rPr>
        <w:t>30</w:t>
      </w:r>
      <w:r>
        <w:rPr>
          <w:rFonts w:hint="eastAsia"/>
          <w:color w:val="000000"/>
          <w:kern w:val="0"/>
        </w:rPr>
        <w:t xml:space="preserve"> </w:t>
      </w:r>
      <w:r>
        <w:t>Serum biochemical analysis</w:t>
      </w:r>
      <w:r>
        <w:rPr>
          <w:rFonts w:hint="eastAsia"/>
          <w:color w:val="000000"/>
          <w:kern w:val="0"/>
        </w:rPr>
        <w:t xml:space="preserve"> of the mice in each group. </w:t>
      </w:r>
      <w:r>
        <w:rPr>
          <w:color w:val="000000"/>
          <w:kern w:val="0"/>
          <w:lang w:bidi="ar"/>
        </w:rPr>
        <w:t>All data are presented as mean ± SD</w:t>
      </w:r>
      <w:r>
        <w:rPr>
          <w:rFonts w:hint="eastAsia"/>
          <w:color w:val="000000"/>
          <w:kern w:val="0"/>
          <w:lang w:bidi="ar"/>
        </w:rPr>
        <w:t xml:space="preserve">, </w:t>
      </w:r>
      <w:r>
        <w:rPr>
          <w:color w:val="000000"/>
          <w:kern w:val="0"/>
          <w:lang w:bidi="ar"/>
        </w:rPr>
        <w:t>(n=3).</w:t>
      </w:r>
    </w:p>
    <w:p w14:paraId="64D9CD7A">
      <w:pPr>
        <w:spacing w:line="360" w:lineRule="auto"/>
        <w:ind w:firstLine="0" w:firstLineChars="0"/>
        <w:jc w:val="both"/>
        <w:rPr>
          <w:color w:val="000000"/>
          <w:kern w:val="0"/>
          <w:lang w:bidi="ar"/>
        </w:rPr>
      </w:pPr>
    </w:p>
    <w:p w14:paraId="12ACC007">
      <w:pPr>
        <w:spacing w:line="360" w:lineRule="auto"/>
        <w:ind w:firstLine="0" w:firstLineChars="0"/>
        <w:jc w:val="both"/>
        <w:rPr>
          <w:color w:val="000000"/>
          <w:kern w:val="0"/>
          <w:lang w:bidi="ar"/>
        </w:rPr>
      </w:pPr>
    </w:p>
    <w:p w14:paraId="084F85F1">
      <w:pPr>
        <w:spacing w:line="360" w:lineRule="auto"/>
        <w:ind w:firstLine="0" w:firstLineChars="0"/>
        <w:jc w:val="both"/>
        <w:rPr>
          <w:color w:val="000000"/>
          <w:kern w:val="0"/>
          <w:lang w:bidi="ar"/>
        </w:rPr>
      </w:pPr>
    </w:p>
    <w:p w14:paraId="6DD22745">
      <w:pPr>
        <w:spacing w:line="360" w:lineRule="auto"/>
        <w:ind w:firstLine="0" w:firstLineChars="0"/>
        <w:jc w:val="both"/>
        <w:rPr>
          <w:color w:val="000000"/>
          <w:kern w:val="0"/>
          <w:lang w:bidi="ar"/>
        </w:rPr>
      </w:pPr>
    </w:p>
    <w:p w14:paraId="32396F2A">
      <w:pPr>
        <w:spacing w:line="360" w:lineRule="auto"/>
        <w:ind w:firstLine="0" w:firstLineChars="0"/>
        <w:jc w:val="both"/>
        <w:rPr>
          <w:color w:val="000000"/>
          <w:kern w:val="0"/>
          <w:lang w:bidi="ar"/>
        </w:rPr>
      </w:pPr>
    </w:p>
    <w:p w14:paraId="606A63B7">
      <w:pPr>
        <w:spacing w:line="360" w:lineRule="auto"/>
        <w:ind w:firstLine="0" w:firstLineChars="0"/>
        <w:rPr>
          <w:color w:val="000000"/>
          <w:kern w:val="0"/>
          <w:lang w:bidi="ar"/>
        </w:rPr>
      </w:pPr>
      <w:r>
        <w:rPr>
          <w:rFonts w:hint="eastAsia"/>
          <w:color w:val="000000"/>
          <w:kern w:val="0"/>
          <w:lang w:bidi="ar"/>
        </w:rPr>
        <w:drawing>
          <wp:inline distT="0" distB="0" distL="114300" distR="114300">
            <wp:extent cx="5255895" cy="2305050"/>
            <wp:effectExtent l="0" t="0" r="1905" b="0"/>
            <wp:docPr id="15" name="图片 15" descr="0921 GSH-SI 2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921 GSH-SI 2_27(1)"/>
                    <pic:cNvPicPr>
                      <a:picLocks noChangeAspect="1"/>
                    </pic:cNvPicPr>
                  </pic:nvPicPr>
                  <pic:blipFill>
                    <a:blip r:embed="rId37"/>
                    <a:srcRect l="990" t="14936" r="3930" b="22521"/>
                    <a:stretch>
                      <a:fillRect/>
                    </a:stretch>
                  </pic:blipFill>
                  <pic:spPr>
                    <a:xfrm>
                      <a:off x="0" y="0"/>
                      <a:ext cx="5255895" cy="2305050"/>
                    </a:xfrm>
                    <a:prstGeom prst="rect">
                      <a:avLst/>
                    </a:prstGeom>
                  </pic:spPr>
                </pic:pic>
              </a:graphicData>
            </a:graphic>
          </wp:inline>
        </w:drawing>
      </w:r>
    </w:p>
    <w:p w14:paraId="10EDCB3F">
      <w:pPr>
        <w:spacing w:line="360" w:lineRule="auto"/>
        <w:ind w:firstLine="0" w:firstLineChars="0"/>
        <w:jc w:val="both"/>
        <w:rPr>
          <w:color w:val="000000"/>
          <w:kern w:val="0"/>
          <w:lang w:bidi="ar"/>
        </w:rPr>
      </w:pPr>
      <w:r>
        <w:rPr>
          <w:rFonts w:hint="eastAsia"/>
          <w:b/>
          <w:bCs/>
        </w:rPr>
        <w:t>Fig.</w:t>
      </w:r>
      <w:r>
        <w:rPr>
          <w:b/>
          <w:bCs/>
        </w:rPr>
        <w:t xml:space="preserve"> S</w:t>
      </w:r>
      <w:r>
        <w:rPr>
          <w:rFonts w:hint="eastAsia"/>
          <w:b/>
          <w:bCs/>
          <w:lang w:val="en-US" w:eastAsia="zh-CN"/>
        </w:rPr>
        <w:t>31</w:t>
      </w:r>
      <w:r>
        <w:rPr>
          <w:rFonts w:hint="eastAsia"/>
          <w:b/>
          <w:bCs/>
        </w:rPr>
        <w:t xml:space="preserve"> </w:t>
      </w:r>
      <w:r>
        <w:rPr>
          <w:color w:val="000000"/>
          <w:kern w:val="0"/>
          <w:lang w:bidi="ar"/>
        </w:rPr>
        <w:t>(</w:t>
      </w:r>
      <w:r>
        <w:rPr>
          <w:rFonts w:hint="eastAsia"/>
        </w:rPr>
        <w:t xml:space="preserve">a) </w:t>
      </w:r>
      <w:r>
        <w:rPr>
          <w:rFonts w:hint="eastAsia"/>
          <w:color w:val="000000"/>
          <w:kern w:val="0"/>
        </w:rPr>
        <w:t>Routine blood analysis of the mice in each group.</w:t>
      </w:r>
      <w:r>
        <w:rPr>
          <w:rFonts w:hint="eastAsia"/>
          <w:color w:val="000000"/>
          <w:kern w:val="0"/>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13B87E0C">
      <w:pPr>
        <w:spacing w:line="360" w:lineRule="auto"/>
        <w:ind w:firstLine="0" w:firstLineChars="0"/>
      </w:pPr>
      <w:r>
        <w:rPr>
          <w:rFonts w:hint="eastAsia"/>
        </w:rPr>
        <w:drawing>
          <wp:inline distT="0" distB="0" distL="114300" distR="114300">
            <wp:extent cx="5076190" cy="5135245"/>
            <wp:effectExtent l="0" t="0" r="10160" b="8255"/>
            <wp:docPr id="10" name="图片 10" descr="0921 GSH-SI 2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921 GSH-SI 2_28"/>
                    <pic:cNvPicPr>
                      <a:picLocks noChangeAspect="1"/>
                    </pic:cNvPicPr>
                  </pic:nvPicPr>
                  <pic:blipFill>
                    <a:blip r:embed="rId38"/>
                    <a:srcRect l="16107" r="24072" b="9196"/>
                    <a:stretch>
                      <a:fillRect/>
                    </a:stretch>
                  </pic:blipFill>
                  <pic:spPr>
                    <a:xfrm>
                      <a:off x="0" y="0"/>
                      <a:ext cx="5076190" cy="5135245"/>
                    </a:xfrm>
                    <a:prstGeom prst="rect">
                      <a:avLst/>
                    </a:prstGeom>
                  </pic:spPr>
                </pic:pic>
              </a:graphicData>
            </a:graphic>
          </wp:inline>
        </w:drawing>
      </w:r>
    </w:p>
    <w:p w14:paraId="27C84FBA">
      <w:pPr>
        <w:spacing w:line="360" w:lineRule="auto"/>
        <w:ind w:firstLine="0" w:firstLineChars="0"/>
        <w:jc w:val="both"/>
      </w:pPr>
      <w:r>
        <w:rPr>
          <w:rFonts w:hint="eastAsia"/>
          <w:b/>
          <w:bCs/>
        </w:rPr>
        <w:t>Fig.</w:t>
      </w:r>
      <w:r>
        <w:rPr>
          <w:b/>
          <w:bCs/>
        </w:rPr>
        <w:t xml:space="preserve"> S</w:t>
      </w:r>
      <w:r>
        <w:rPr>
          <w:rFonts w:hint="eastAsia"/>
          <w:b/>
          <w:bCs/>
          <w:lang w:val="en-US" w:eastAsia="zh-CN"/>
        </w:rPr>
        <w:t>32</w:t>
      </w:r>
      <w:r>
        <w:rPr>
          <w:rFonts w:hint="eastAsia"/>
          <w:b/>
          <w:bCs/>
        </w:rPr>
        <w:t xml:space="preserve"> </w:t>
      </w:r>
      <w:r>
        <w:rPr>
          <w:rFonts w:hint="eastAsia"/>
          <w:color w:val="000000"/>
          <w:kern w:val="0"/>
        </w:rPr>
        <w:t>Gene set enrichment analysis performed on RNA-seq data related to signaling pathway</w:t>
      </w:r>
      <w:r>
        <w:rPr>
          <w:color w:val="000000"/>
          <w:kern w:val="0"/>
        </w:rPr>
        <w:t>.</w:t>
      </w:r>
    </w:p>
    <w:p w14:paraId="42385594">
      <w:pPr>
        <w:spacing w:line="360" w:lineRule="auto"/>
        <w:ind w:firstLine="0" w:firstLineChars="0"/>
        <w:rPr>
          <w:rFonts w:hint="eastAsia"/>
          <w:b/>
          <w:bCs/>
        </w:rPr>
      </w:pPr>
    </w:p>
    <w:p w14:paraId="2F5DD222">
      <w:pPr>
        <w:spacing w:line="360" w:lineRule="auto"/>
        <w:ind w:firstLine="0" w:firstLineChars="0"/>
        <w:rPr>
          <w:rFonts w:hint="eastAsia"/>
          <w:b/>
          <w:bCs/>
        </w:rPr>
      </w:pPr>
    </w:p>
    <w:p w14:paraId="1AAE58DF">
      <w:pPr>
        <w:spacing w:line="360" w:lineRule="auto"/>
        <w:ind w:firstLine="0" w:firstLineChars="0"/>
        <w:rPr>
          <w:rFonts w:hint="eastAsia"/>
          <w:b/>
          <w:bCs/>
        </w:rPr>
      </w:pPr>
    </w:p>
    <w:p w14:paraId="4AA76358">
      <w:pPr>
        <w:spacing w:line="360" w:lineRule="auto"/>
        <w:ind w:firstLine="0" w:firstLineChars="0"/>
        <w:rPr>
          <w:b/>
          <w:bCs/>
        </w:rPr>
      </w:pPr>
      <w:r>
        <w:rPr>
          <w:rFonts w:hint="eastAsia"/>
          <w:b/>
          <w:bCs/>
        </w:rPr>
        <w:drawing>
          <wp:inline distT="0" distB="0" distL="114300" distR="114300">
            <wp:extent cx="3991610" cy="1919605"/>
            <wp:effectExtent l="0" t="0" r="8890" b="4445"/>
            <wp:docPr id="11" name="图片 11" descr="0921 GSH-SI 2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921 GSH-SI 2_29"/>
                    <pic:cNvPicPr>
                      <a:picLocks noChangeAspect="1"/>
                    </pic:cNvPicPr>
                  </pic:nvPicPr>
                  <pic:blipFill>
                    <a:blip r:embed="rId39"/>
                    <a:srcRect l="16462" t="20644" r="33789" b="43478"/>
                    <a:stretch>
                      <a:fillRect/>
                    </a:stretch>
                  </pic:blipFill>
                  <pic:spPr>
                    <a:xfrm>
                      <a:off x="0" y="0"/>
                      <a:ext cx="3991610" cy="1919605"/>
                    </a:xfrm>
                    <a:prstGeom prst="rect">
                      <a:avLst/>
                    </a:prstGeom>
                  </pic:spPr>
                </pic:pic>
              </a:graphicData>
            </a:graphic>
          </wp:inline>
        </w:drawing>
      </w:r>
    </w:p>
    <w:p w14:paraId="5E61238B">
      <w:pPr>
        <w:spacing w:line="360" w:lineRule="auto"/>
        <w:ind w:firstLine="0" w:firstLineChars="0"/>
        <w:jc w:val="both"/>
      </w:pPr>
      <w:r>
        <w:rPr>
          <w:rFonts w:hint="eastAsia"/>
          <w:b/>
          <w:bCs/>
        </w:rPr>
        <w:t>Fig.</w:t>
      </w:r>
      <w:r>
        <w:rPr>
          <w:b/>
          <w:bCs/>
        </w:rPr>
        <w:t xml:space="preserve"> S</w:t>
      </w:r>
      <w:r>
        <w:rPr>
          <w:rFonts w:hint="eastAsia"/>
          <w:b/>
          <w:bCs/>
          <w:lang w:val="en-US" w:eastAsia="zh-CN"/>
        </w:rPr>
        <w:t>33</w:t>
      </w:r>
      <w:r>
        <w:rPr>
          <w:rFonts w:hint="eastAsia"/>
          <w:b/>
          <w:bCs/>
        </w:rPr>
        <w:t xml:space="preserve"> </w:t>
      </w:r>
      <w:r>
        <w:rPr>
          <w:rFonts w:hint="eastAsia"/>
        </w:rPr>
        <w:t>Quantitative analysis was conducted to determine the expression levels of SelP in the (a) brain and (b) liver tissues of each group of mice.</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r>
        <w:rPr>
          <w:rFonts w:hint="eastAsia"/>
        </w:rPr>
        <w:t xml:space="preserve">          </w:t>
      </w:r>
    </w:p>
    <w:p w14:paraId="673C43C5">
      <w:pPr>
        <w:spacing w:line="360" w:lineRule="auto"/>
        <w:ind w:firstLine="0" w:firstLineChars="0"/>
      </w:pPr>
      <w:r>
        <w:rPr>
          <w:rFonts w:hint="eastAsia" w:eastAsia="宋体"/>
          <w:lang w:eastAsia="zh-CN"/>
        </w:rPr>
        <w:drawing>
          <wp:inline distT="0" distB="0" distL="114300" distR="114300">
            <wp:extent cx="4860290" cy="2766060"/>
            <wp:effectExtent l="0" t="0" r="16510" b="15240"/>
            <wp:docPr id="13" name="图片 13" descr="0921 GSH-SI 2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921 GSH-SI 2_32(1)"/>
                    <pic:cNvPicPr>
                      <a:picLocks noChangeAspect="1"/>
                    </pic:cNvPicPr>
                  </pic:nvPicPr>
                  <pic:blipFill>
                    <a:blip r:embed="rId40"/>
                    <a:srcRect l="12495" t="2242" r="8447" b="30170"/>
                    <a:stretch>
                      <a:fillRect/>
                    </a:stretch>
                  </pic:blipFill>
                  <pic:spPr>
                    <a:xfrm>
                      <a:off x="0" y="0"/>
                      <a:ext cx="4860290" cy="2766060"/>
                    </a:xfrm>
                    <a:prstGeom prst="rect">
                      <a:avLst/>
                    </a:prstGeom>
                  </pic:spPr>
                </pic:pic>
              </a:graphicData>
            </a:graphic>
          </wp:inline>
        </w:drawing>
      </w:r>
    </w:p>
    <w:p w14:paraId="7F65EC0D">
      <w:pPr>
        <w:spacing w:line="360" w:lineRule="auto"/>
        <w:ind w:firstLine="0" w:firstLineChars="0"/>
        <w:jc w:val="both"/>
        <w:rPr>
          <w:rFonts w:hint="eastAsia"/>
        </w:rPr>
      </w:pPr>
      <w:r>
        <w:rPr>
          <w:rFonts w:hint="eastAsia"/>
          <w:b/>
          <w:bCs/>
          <w:highlight w:val="none"/>
        </w:rPr>
        <w:t>Fig.</w:t>
      </w:r>
      <w:r>
        <w:rPr>
          <w:b/>
          <w:bCs/>
          <w:highlight w:val="none"/>
        </w:rPr>
        <w:t xml:space="preserve"> S</w:t>
      </w:r>
      <w:r>
        <w:rPr>
          <w:rFonts w:hint="eastAsia"/>
          <w:b/>
          <w:bCs/>
          <w:highlight w:val="none"/>
          <w:lang w:val="en-US" w:eastAsia="zh-CN"/>
        </w:rPr>
        <w:t>34</w:t>
      </w:r>
      <w:r>
        <w:rPr>
          <w:rFonts w:hint="eastAsia"/>
          <w:highlight w:val="none"/>
        </w:rPr>
        <w:t xml:space="preserve"> (a) </w:t>
      </w:r>
      <w:r>
        <w:rPr>
          <w:rFonts w:hint="eastAsia" w:ascii="Times New Roman" w:hAnsi="Times New Roman"/>
          <w:sz w:val="24"/>
          <w:highlight w:val="none"/>
        </w:rPr>
        <w:t>Representative images of ROS in the brain of PD mice after G-Se NPs treatment as indicated by DCFH-DA.</w:t>
      </w:r>
      <w:r>
        <w:rPr>
          <w:rFonts w:hint="eastAsia"/>
          <w:sz w:val="24"/>
          <w:highlight w:val="none"/>
          <w:lang w:val="en-US" w:eastAsia="zh-CN"/>
        </w:rPr>
        <w:t xml:space="preserve"> </w:t>
      </w:r>
      <w:r>
        <w:rPr>
          <w:rFonts w:hint="eastAsia"/>
          <w:highlight w:val="none"/>
        </w:rPr>
        <w:t>(b</w:t>
      </w:r>
      <w:r>
        <w:rPr>
          <w:rFonts w:hint="eastAsia"/>
          <w:highlight w:val="none"/>
          <w:lang w:val="en-US" w:eastAsia="zh-CN"/>
        </w:rPr>
        <w:t>, c</w:t>
      </w:r>
      <w:r>
        <w:rPr>
          <w:rFonts w:hint="eastAsia"/>
          <w:highlight w:val="none"/>
        </w:rPr>
        <w:t xml:space="preserve">) Quantitative analysis of images </w:t>
      </w:r>
      <w:r>
        <w:rPr>
          <w:rFonts w:hint="eastAsia"/>
          <w:highlight w:val="none"/>
          <w:lang w:val="en-US" w:eastAsia="zh-CN"/>
        </w:rPr>
        <w:t xml:space="preserve">(b) </w:t>
      </w:r>
      <w:r>
        <w:rPr>
          <w:rFonts w:hint="eastAsia"/>
          <w:highlight w:val="none"/>
        </w:rPr>
        <w:t xml:space="preserve">in DCFH-DA analysis of ROS in PD mice stimulated with G-Se NPs and </w:t>
      </w:r>
      <w:r>
        <w:rPr>
          <w:rFonts w:hint="eastAsia"/>
          <w:highlight w:val="none"/>
          <w:lang w:val="en-US" w:eastAsia="zh-CN"/>
        </w:rPr>
        <w:t xml:space="preserve">(c) </w:t>
      </w:r>
      <w:r>
        <w:rPr>
          <w:rFonts w:hint="eastAsia"/>
          <w:highlight w:val="none"/>
        </w:rPr>
        <w:t xml:space="preserve">in </w:t>
      </w:r>
      <w:r>
        <w:rPr>
          <w:highlight w:val="none"/>
        </w:rPr>
        <w:t>I</w:t>
      </w:r>
      <w:r>
        <w:rPr>
          <w:rFonts w:hint="eastAsia"/>
          <w:highlight w:val="none"/>
        </w:rPr>
        <w:t>ba</w:t>
      </w:r>
      <w:r>
        <w:rPr>
          <w:highlight w:val="none"/>
        </w:rPr>
        <w:t xml:space="preserve">-1 </w:t>
      </w:r>
      <w:r>
        <w:rPr>
          <w:rFonts w:hint="eastAsia"/>
          <w:highlight w:val="none"/>
        </w:rPr>
        <w:t>i</w:t>
      </w:r>
      <w:r>
        <w:rPr>
          <w:highlight w:val="none"/>
        </w:rPr>
        <w:t xml:space="preserve">mmunofluorescence </w:t>
      </w:r>
      <w:r>
        <w:rPr>
          <w:rFonts w:hint="eastAsia"/>
          <w:highlight w:val="none"/>
        </w:rPr>
        <w:t>s</w:t>
      </w:r>
      <w:r>
        <w:rPr>
          <w:highlight w:val="none"/>
        </w:rPr>
        <w:t>taining</w:t>
      </w:r>
      <w:r>
        <w:rPr>
          <w:rFonts w:hint="eastAsia"/>
          <w:highlight w:val="none"/>
        </w:rPr>
        <w:t>.</w:t>
      </w:r>
      <w:r>
        <w:rPr>
          <w:rFonts w:hint="eastAsia"/>
          <w:highlight w:val="none"/>
          <w:lang w:val="en-US" w:eastAsia="zh-CN"/>
        </w:rPr>
        <w:t xml:space="preserve"> </w:t>
      </w:r>
      <w:r>
        <w:rPr>
          <w:rFonts w:hint="eastAsia" w:ascii="Times New Roman" w:hAnsi="Times New Roman"/>
          <w:sz w:val="24"/>
          <w:highlight w:val="none"/>
        </w:rPr>
        <w:t>(</w:t>
      </w:r>
      <w:r>
        <w:rPr>
          <w:rFonts w:hint="eastAsia"/>
          <w:sz w:val="24"/>
          <w:highlight w:val="none"/>
          <w:lang w:val="en-US" w:eastAsia="zh-CN"/>
        </w:rPr>
        <w:t>d, e</w:t>
      </w:r>
      <w:r>
        <w:rPr>
          <w:rFonts w:hint="eastAsia" w:ascii="Times New Roman" w:hAnsi="Times New Roman"/>
          <w:sz w:val="24"/>
          <w:highlight w:val="none"/>
        </w:rPr>
        <w:t>) Representative images</w:t>
      </w:r>
      <w:r>
        <w:rPr>
          <w:rFonts w:hint="eastAsia"/>
          <w:sz w:val="24"/>
          <w:highlight w:val="none"/>
          <w:lang w:val="en-US" w:eastAsia="zh-CN"/>
        </w:rPr>
        <w:t xml:space="preserve"> (d)</w:t>
      </w:r>
      <w:r>
        <w:rPr>
          <w:rFonts w:hint="eastAsia" w:ascii="Times New Roman" w:hAnsi="Times New Roman"/>
          <w:sz w:val="24"/>
          <w:highlight w:val="none"/>
        </w:rPr>
        <w:t xml:space="preserve"> </w:t>
      </w:r>
      <w:r>
        <w:rPr>
          <w:rFonts w:hint="eastAsia"/>
          <w:sz w:val="24"/>
          <w:highlight w:val="none"/>
          <w:lang w:val="en-US" w:eastAsia="zh-CN"/>
        </w:rPr>
        <w:t xml:space="preserve">and </w:t>
      </w:r>
      <w:r>
        <w:rPr>
          <w:rFonts w:hint="eastAsia"/>
          <w:highlight w:val="none"/>
          <w:lang w:val="en-US" w:eastAsia="zh-CN"/>
        </w:rPr>
        <w:t>q</w:t>
      </w:r>
      <w:r>
        <w:rPr>
          <w:rFonts w:hint="eastAsia"/>
          <w:highlight w:val="none"/>
        </w:rPr>
        <w:t>uantitative analysis</w:t>
      </w:r>
      <w:r>
        <w:rPr>
          <w:rFonts w:hint="eastAsia"/>
          <w:highlight w:val="none"/>
          <w:lang w:val="en-US" w:eastAsia="zh-CN"/>
        </w:rPr>
        <w:t xml:space="preserve"> (e) </w:t>
      </w:r>
      <w:r>
        <w:rPr>
          <w:rFonts w:hint="eastAsia" w:ascii="Times New Roman" w:hAnsi="Times New Roman"/>
          <w:sz w:val="24"/>
          <w:highlight w:val="none"/>
        </w:rPr>
        <w:t xml:space="preserve">of mtROS in the brain of PD mice after G-Se NPs treatment as indicated by MitoSOX. 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2F37BD53">
      <w:pPr>
        <w:spacing w:line="360" w:lineRule="auto"/>
        <w:ind w:firstLine="0" w:firstLineChars="0"/>
      </w:pPr>
      <w:r>
        <w:rPr>
          <w:rFonts w:hint="eastAsia"/>
        </w:rPr>
        <w:drawing>
          <wp:inline distT="0" distB="0" distL="0" distR="0">
            <wp:extent cx="4869180" cy="4117340"/>
            <wp:effectExtent l="0" t="0" r="7620" b="0"/>
            <wp:docPr id="83847965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79651" name="图片 27"/>
                    <pic:cNvPicPr>
                      <a:picLocks noChangeAspect="1"/>
                    </pic:cNvPicPr>
                  </pic:nvPicPr>
                  <pic:blipFill>
                    <a:blip r:embed="rId41"/>
                    <a:stretch>
                      <a:fillRect/>
                    </a:stretch>
                  </pic:blipFill>
                  <pic:spPr>
                    <a:xfrm>
                      <a:off x="0" y="0"/>
                      <a:ext cx="4869733" cy="4117901"/>
                    </a:xfrm>
                    <a:prstGeom prst="rect">
                      <a:avLst/>
                    </a:prstGeom>
                  </pic:spPr>
                </pic:pic>
              </a:graphicData>
            </a:graphic>
          </wp:inline>
        </w:drawing>
      </w:r>
    </w:p>
    <w:p w14:paraId="0866ECED">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3</w:t>
      </w:r>
      <w:r>
        <w:rPr>
          <w:rFonts w:hint="eastAsia"/>
          <w:b/>
          <w:bCs/>
          <w:lang w:val="en-US" w:eastAsia="zh-CN"/>
        </w:rPr>
        <w:t>5</w:t>
      </w:r>
      <w:r>
        <w:rPr>
          <w:rFonts w:hint="eastAsia"/>
        </w:rPr>
        <w:t xml:space="preserve"> (a, c) </w:t>
      </w:r>
      <w:r>
        <w:t xml:space="preserve">Immunofluorescence </w:t>
      </w:r>
      <w:r>
        <w:rPr>
          <w:rFonts w:hint="eastAsia"/>
        </w:rPr>
        <w:t>s</w:t>
      </w:r>
      <w:r>
        <w:t xml:space="preserve">taining </w:t>
      </w:r>
      <w:r>
        <w:rPr>
          <w:rFonts w:hint="eastAsia"/>
        </w:rPr>
        <w:t>i</w:t>
      </w:r>
      <w:r>
        <w:t xml:space="preserve">maging of </w:t>
      </w:r>
      <w:r>
        <w:rPr>
          <w:rFonts w:hint="eastAsia"/>
        </w:rPr>
        <w:t>a</w:t>
      </w:r>
      <w:r>
        <w:t>nti-</w:t>
      </w:r>
      <w:r>
        <w:rPr>
          <w:rFonts w:hint="eastAsia"/>
        </w:rPr>
        <w:t>i</w:t>
      </w:r>
      <w:r>
        <w:t xml:space="preserve">nflammatory </w:t>
      </w:r>
      <w:r>
        <w:rPr>
          <w:rFonts w:hint="eastAsia"/>
        </w:rPr>
        <w:t>c</w:t>
      </w:r>
      <w:r>
        <w:t xml:space="preserve">ytokines IL-4 and IL-10 in </w:t>
      </w:r>
      <w:r>
        <w:rPr>
          <w:rFonts w:hint="eastAsia"/>
        </w:rPr>
        <w:t>m</w:t>
      </w:r>
      <w:r>
        <w:t xml:space="preserve">ouse </w:t>
      </w:r>
      <w:r>
        <w:rPr>
          <w:rFonts w:hint="eastAsia"/>
        </w:rPr>
        <w:t>b</w:t>
      </w:r>
      <w:r>
        <w:t xml:space="preserve">rain </w:t>
      </w:r>
      <w:r>
        <w:rPr>
          <w:rFonts w:hint="eastAsia"/>
        </w:rPr>
        <w:t>t</w:t>
      </w:r>
      <w:r>
        <w:t>issue</w:t>
      </w:r>
      <w:r>
        <w:rPr>
          <w:rFonts w:hint="eastAsia"/>
        </w:rPr>
        <w:t xml:space="preserve"> (b, d) </w:t>
      </w:r>
      <w:r>
        <w:t xml:space="preserve">Immunofluorescence </w:t>
      </w:r>
      <w:r>
        <w:rPr>
          <w:rFonts w:hint="eastAsia"/>
        </w:rPr>
        <w:t>s</w:t>
      </w:r>
      <w:r>
        <w:t xml:space="preserve">taining </w:t>
      </w:r>
      <w:r>
        <w:rPr>
          <w:rFonts w:hint="eastAsia"/>
        </w:rPr>
        <w:t>i</w:t>
      </w:r>
      <w:r>
        <w:t xml:space="preserve">maging of </w:t>
      </w:r>
      <w:r>
        <w:rPr>
          <w:rFonts w:hint="eastAsia"/>
        </w:rPr>
        <w:t>p</w:t>
      </w:r>
      <w:r>
        <w:t>ro-</w:t>
      </w:r>
      <w:r>
        <w:rPr>
          <w:rFonts w:hint="eastAsia"/>
        </w:rPr>
        <w:t>i</w:t>
      </w:r>
      <w:r>
        <w:t xml:space="preserve">nflammatory </w:t>
      </w:r>
      <w:r>
        <w:rPr>
          <w:rFonts w:hint="eastAsia"/>
        </w:rPr>
        <w:t>c</w:t>
      </w:r>
      <w:r>
        <w:t xml:space="preserve">ytokines IL-6 and TNF-α in </w:t>
      </w:r>
      <w:r>
        <w:rPr>
          <w:rFonts w:hint="eastAsia"/>
        </w:rPr>
        <w:t>m</w:t>
      </w:r>
      <w:r>
        <w:t xml:space="preserve">ouse </w:t>
      </w:r>
      <w:r>
        <w:rPr>
          <w:rFonts w:hint="eastAsia"/>
        </w:rPr>
        <w:t>b</w:t>
      </w:r>
      <w:r>
        <w:t xml:space="preserve">rain </w:t>
      </w:r>
      <w:r>
        <w:rPr>
          <w:rFonts w:hint="eastAsia"/>
        </w:rPr>
        <w:t>t</w:t>
      </w:r>
      <w:r>
        <w:t>issue</w:t>
      </w:r>
      <w:r>
        <w:rPr>
          <w:rFonts w:hint="eastAsia"/>
        </w:rPr>
        <w:t>.</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6F9BF66B">
      <w:pPr>
        <w:spacing w:line="360" w:lineRule="auto"/>
        <w:ind w:firstLine="0" w:firstLineChars="0"/>
        <w:jc w:val="both"/>
      </w:pPr>
    </w:p>
    <w:p w14:paraId="4D495B29">
      <w:pPr>
        <w:spacing w:line="360" w:lineRule="auto"/>
        <w:ind w:firstLine="0" w:firstLineChars="0"/>
      </w:pPr>
    </w:p>
    <w:p w14:paraId="123B0A24">
      <w:pPr>
        <w:spacing w:line="360" w:lineRule="auto"/>
        <w:ind w:firstLine="0" w:firstLineChars="0"/>
      </w:pPr>
    </w:p>
    <w:p w14:paraId="72E9F79D">
      <w:pPr>
        <w:spacing w:line="360" w:lineRule="auto"/>
        <w:ind w:firstLine="0" w:firstLineChars="0"/>
      </w:pPr>
    </w:p>
    <w:p w14:paraId="464F9B41">
      <w:pPr>
        <w:spacing w:line="360" w:lineRule="auto"/>
        <w:ind w:firstLine="0" w:firstLineChars="0"/>
      </w:pPr>
    </w:p>
    <w:p w14:paraId="6F95DF5B">
      <w:pPr>
        <w:spacing w:line="360" w:lineRule="auto"/>
        <w:ind w:firstLine="0" w:firstLineChars="0"/>
      </w:pPr>
    </w:p>
    <w:p w14:paraId="7198F613">
      <w:pPr>
        <w:spacing w:line="360" w:lineRule="auto"/>
        <w:ind w:firstLine="0" w:firstLineChars="0"/>
      </w:pPr>
    </w:p>
    <w:p w14:paraId="7E00BD2C">
      <w:pPr>
        <w:spacing w:line="360" w:lineRule="auto"/>
        <w:ind w:firstLine="0" w:firstLineChars="0"/>
      </w:pPr>
      <w:r>
        <w:rPr>
          <w:rFonts w:hint="eastAsia"/>
        </w:rPr>
        <w:drawing>
          <wp:inline distT="0" distB="0" distL="114300" distR="114300">
            <wp:extent cx="3975735" cy="1833880"/>
            <wp:effectExtent l="0" t="0" r="5715" b="13970"/>
            <wp:docPr id="12" name="图片 12" descr="0921 GSH-SI 2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921 GSH-SI 2_32"/>
                    <pic:cNvPicPr>
                      <a:picLocks noChangeAspect="1"/>
                    </pic:cNvPicPr>
                  </pic:nvPicPr>
                  <pic:blipFill>
                    <a:blip r:embed="rId42"/>
                    <a:srcRect l="18818" t="30091" r="32496" b="36221"/>
                    <a:stretch>
                      <a:fillRect/>
                    </a:stretch>
                  </pic:blipFill>
                  <pic:spPr>
                    <a:xfrm>
                      <a:off x="0" y="0"/>
                      <a:ext cx="3975735" cy="1833880"/>
                    </a:xfrm>
                    <a:prstGeom prst="rect">
                      <a:avLst/>
                    </a:prstGeom>
                  </pic:spPr>
                </pic:pic>
              </a:graphicData>
            </a:graphic>
          </wp:inline>
        </w:drawing>
      </w:r>
    </w:p>
    <w:p w14:paraId="7D6646BA">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3</w:t>
      </w:r>
      <w:r>
        <w:rPr>
          <w:rFonts w:hint="eastAsia"/>
          <w:b/>
          <w:bCs/>
          <w:lang w:val="en-US" w:eastAsia="zh-CN"/>
        </w:rPr>
        <w:t>6</w:t>
      </w:r>
      <w:r>
        <w:rPr>
          <w:rFonts w:hint="eastAsia"/>
          <w:b/>
          <w:bCs/>
        </w:rPr>
        <w:t xml:space="preserve"> </w:t>
      </w:r>
      <w:r>
        <w:rPr>
          <w:rFonts w:hint="eastAsia"/>
        </w:rPr>
        <w:t>Quantitative analysis was conducted to determine the expression levels of (a) Bax and (b) Bcl-2 in the brain tissues of each group of mice.</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57B4569D">
      <w:pPr>
        <w:spacing w:line="360" w:lineRule="auto"/>
        <w:ind w:firstLine="0" w:firstLineChars="0"/>
        <w:jc w:val="both"/>
      </w:pPr>
    </w:p>
    <w:p w14:paraId="3C6BA76B">
      <w:pPr>
        <w:spacing w:line="360" w:lineRule="auto"/>
        <w:ind w:firstLine="0" w:firstLineChars="0"/>
        <w:jc w:val="both"/>
      </w:pPr>
    </w:p>
    <w:p w14:paraId="09027A4F">
      <w:pPr>
        <w:spacing w:line="360" w:lineRule="auto"/>
        <w:ind w:firstLine="0" w:firstLineChars="0"/>
      </w:pPr>
      <w:r>
        <w:drawing>
          <wp:inline distT="0" distB="0" distL="114300" distR="114300">
            <wp:extent cx="3286125" cy="2353310"/>
            <wp:effectExtent l="0" t="0" r="0" b="0"/>
            <wp:docPr id="14" name="图片 14" descr="0921 GSH-SI 2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921 GSH-SI 2_34"/>
                    <pic:cNvPicPr>
                      <a:picLocks noChangeAspect="1"/>
                    </pic:cNvPicPr>
                  </pic:nvPicPr>
                  <pic:blipFill>
                    <a:blip r:embed="rId43"/>
                    <a:srcRect l="13574" t="23413" r="32475" b="18627"/>
                    <a:stretch>
                      <a:fillRect/>
                    </a:stretch>
                  </pic:blipFill>
                  <pic:spPr>
                    <a:xfrm>
                      <a:off x="0" y="0"/>
                      <a:ext cx="3286125" cy="2353310"/>
                    </a:xfrm>
                    <a:prstGeom prst="rect">
                      <a:avLst/>
                    </a:prstGeom>
                  </pic:spPr>
                </pic:pic>
              </a:graphicData>
            </a:graphic>
          </wp:inline>
        </w:drawing>
      </w:r>
    </w:p>
    <w:p w14:paraId="3F1AD249">
      <w:pPr>
        <w:spacing w:line="360" w:lineRule="auto"/>
        <w:ind w:firstLine="0" w:firstLineChars="0"/>
        <w:jc w:val="both"/>
        <w:rPr>
          <w:rFonts w:hint="eastAsia" w:eastAsia="宋体"/>
          <w:lang w:val="en-US" w:eastAsia="zh-CN"/>
        </w:rPr>
      </w:pPr>
      <w:r>
        <w:rPr>
          <w:rFonts w:hint="eastAsia"/>
          <w:b/>
          <w:bCs/>
        </w:rPr>
        <w:t>Fig.</w:t>
      </w:r>
      <w:r>
        <w:rPr>
          <w:b/>
          <w:bCs/>
        </w:rPr>
        <w:t xml:space="preserve"> S</w:t>
      </w:r>
      <w:r>
        <w:rPr>
          <w:rFonts w:hint="eastAsia"/>
          <w:b/>
          <w:bCs/>
        </w:rPr>
        <w:t>3</w:t>
      </w:r>
      <w:r>
        <w:rPr>
          <w:rFonts w:hint="eastAsia"/>
          <w:b/>
          <w:bCs/>
          <w:lang w:val="en-US" w:eastAsia="zh-CN"/>
        </w:rPr>
        <w:t>7</w:t>
      </w:r>
      <w:r>
        <w:rPr>
          <w:rFonts w:hint="eastAsia"/>
          <w:b/>
          <w:bCs/>
        </w:rPr>
        <w:t xml:space="preserve"> </w:t>
      </w:r>
      <w:r>
        <w:rPr>
          <w:rFonts w:hint="eastAsia"/>
        </w:rPr>
        <w:t>Quantitative analysis was conducted to determine the levels of (a) NAPDH and (b) VDAC1 in the brain tissues of each group of mice.</w:t>
      </w:r>
      <w:r>
        <w:rPr>
          <w:rFonts w:hint="eastAsia"/>
          <w:lang w:val="en-US" w:eastAsia="zh-CN"/>
        </w:rPr>
        <w:t xml:space="preserve"> </w:t>
      </w:r>
      <w:r>
        <w:rPr>
          <w:rFonts w:hint="eastAsia" w:ascii="Times New Roman" w:hAnsi="Times New Roman"/>
          <w:sz w:val="24"/>
          <w:highlight w:val="none"/>
        </w:rPr>
        <w:t xml:space="preserve">All data are presented as mean </w:t>
      </w:r>
      <w:r>
        <w:rPr>
          <w:rFonts w:ascii="Times New Roman" w:hAnsi="Times New Roman"/>
          <w:sz w:val="24"/>
          <w:highlight w:val="none"/>
        </w:rPr>
        <w:t>±</w:t>
      </w:r>
      <w:r>
        <w:rPr>
          <w:rFonts w:hint="eastAsia" w:ascii="Times New Roman" w:hAnsi="Times New Roman"/>
          <w:sz w:val="24"/>
          <w:highlight w:val="none"/>
        </w:rPr>
        <w:t xml:space="preserve"> SD (n=3).</w:t>
      </w:r>
    </w:p>
    <w:p w14:paraId="03020D18">
      <w:pPr>
        <w:spacing w:line="360" w:lineRule="auto"/>
        <w:ind w:firstLine="0" w:firstLineChars="0"/>
      </w:pPr>
    </w:p>
    <w:sectPr>
      <w:footerReference r:id="rId5" w:type="default"/>
      <w:pgSz w:w="11906" w:h="16838"/>
      <w:pgMar w:top="1440" w:right="1803" w:bottom="1440" w:left="1803"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240"/>
      </w:pPr>
      <w:r>
        <w:separator/>
      </w:r>
    </w:p>
  </w:endnote>
  <w:endnote w:type="continuationSeparator" w:id="1">
    <w:p>
      <w:pPr>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Vrinda">
    <w:altName w:val="Segoe Print"/>
    <w:panose1 w:val="000004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F68C4">
    <w:pPr>
      <w:pStyle w:val="8"/>
    </w:pPr>
    <w:r>
      <w:rPr>
        <w:lang w:val="en-IN" w:eastAsia="en-IN" w:bidi="as-IN"/>
      </w:rPr>
      <mc:AlternateContent>
        <mc:Choice Requires="wps">
          <w:drawing>
            <wp:anchor distT="0" distB="0" distL="114300" distR="114300" simplePos="0" relativeHeight="251659264" behindDoc="0" locked="0" layoutInCell="1" allowOverlap="1">
              <wp:simplePos x="0" y="0"/>
              <wp:positionH relativeFrom="margin">
                <wp:posOffset>3023235</wp:posOffset>
              </wp:positionH>
              <wp:positionV relativeFrom="paragraph">
                <wp:posOffset>1905</wp:posOffset>
              </wp:positionV>
              <wp:extent cx="401320" cy="35496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401320" cy="354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1F99B">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38.05pt;margin-top:0.15pt;height:27.95pt;width:31.6pt;mso-position-horizontal-relative:margin;z-index:251659264;mso-width-relative:page;mso-height-relative:page;" filled="f" stroked="f" coordsize="21600,21600" o:gfxdata="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Ta8U1QAAAAcBAAAPAAAAAAAAAAEAIAAAACIAAABkcnMvZG93bnJldi54bWxQ&#10;SwECFAAUAAAACACHTuJA/cwTMzMCAABXBAAADgAAAAAAAAABACAAAAAkAQAAZHJzL2Uyb0RvYy54&#10;bWxQSwUGAAAAAAYABgBZAQAAyQUAAAAA&#10;">
              <v:fill on="f" focussize="0,0"/>
              <v:stroke on="f" weight="0.5pt"/>
              <v:imagedata o:title=""/>
              <o:lock v:ext="edit" aspectratio="f"/>
              <v:textbox inset="0mm,0mm,0mm,0mm">
                <w:txbxContent>
                  <w:p w14:paraId="62D1F99B">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240"/>
      </w:pPr>
      <w:r>
        <w:separator/>
      </w:r>
    </w:p>
  </w:footnote>
  <w:footnote w:type="continuationSeparator" w:id="1">
    <w:p>
      <w:pPr>
        <w:ind w:firstLine="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I0sjAyNjQxNjc1NjBS0lEKTi0uzszPAykwtKgFALLa3IQtAAAA"/>
    <w:docVar w:name="commondata" w:val="eyJoZGlkIjoiYWRlNTVjOGMxYmVjMjVlZDZlMTRkMGY5YzUwYTRiYmIifQ=="/>
    <w:docVar w:name="EN.InstantFormat" w:val="&lt;ENInstantFormat&gt;&lt;Enabled&gt;1&lt;/Enabled&gt;&lt;ScanUnformatted&gt;1&lt;/ScanUnformatted&gt;&lt;ScanChanges&gt;1&lt;/ScanChanges&gt;&lt;Suspended&gt;0&lt;/Suspended&gt;&lt;/ENInstantFormat&gt;"/>
    <w:docVar w:name="EN.Layout" w:val="&lt;ENLayout&gt;&lt;Style&gt;Advanced Materials &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D5715"/>
    <w:rsid w:val="000054CD"/>
    <w:rsid w:val="00006B73"/>
    <w:rsid w:val="00007BF4"/>
    <w:rsid w:val="000141B7"/>
    <w:rsid w:val="000141D8"/>
    <w:rsid w:val="00020933"/>
    <w:rsid w:val="00021FC4"/>
    <w:rsid w:val="00022903"/>
    <w:rsid w:val="00026AC9"/>
    <w:rsid w:val="00032281"/>
    <w:rsid w:val="00036630"/>
    <w:rsid w:val="00043FC0"/>
    <w:rsid w:val="00064888"/>
    <w:rsid w:val="00065108"/>
    <w:rsid w:val="00070EAF"/>
    <w:rsid w:val="000731F8"/>
    <w:rsid w:val="0007328F"/>
    <w:rsid w:val="00073F30"/>
    <w:rsid w:val="000756B9"/>
    <w:rsid w:val="00085D1F"/>
    <w:rsid w:val="000969FF"/>
    <w:rsid w:val="000A36F7"/>
    <w:rsid w:val="000A4D8A"/>
    <w:rsid w:val="000B3077"/>
    <w:rsid w:val="000C08B5"/>
    <w:rsid w:val="000D25DB"/>
    <w:rsid w:val="000D576F"/>
    <w:rsid w:val="00103CDD"/>
    <w:rsid w:val="00107D31"/>
    <w:rsid w:val="00113587"/>
    <w:rsid w:val="001144FD"/>
    <w:rsid w:val="00114ADF"/>
    <w:rsid w:val="00115FEE"/>
    <w:rsid w:val="00131EFD"/>
    <w:rsid w:val="001357E1"/>
    <w:rsid w:val="00137D1C"/>
    <w:rsid w:val="001425CC"/>
    <w:rsid w:val="001472F4"/>
    <w:rsid w:val="00150EAD"/>
    <w:rsid w:val="00162B8C"/>
    <w:rsid w:val="00172BD6"/>
    <w:rsid w:val="00173D52"/>
    <w:rsid w:val="0018274C"/>
    <w:rsid w:val="00182E49"/>
    <w:rsid w:val="00183839"/>
    <w:rsid w:val="001854A5"/>
    <w:rsid w:val="00193F56"/>
    <w:rsid w:val="00195D62"/>
    <w:rsid w:val="001A26A4"/>
    <w:rsid w:val="001A77D2"/>
    <w:rsid w:val="001B73AC"/>
    <w:rsid w:val="001C1287"/>
    <w:rsid w:val="001D25F8"/>
    <w:rsid w:val="001D377E"/>
    <w:rsid w:val="001D54C9"/>
    <w:rsid w:val="001D7547"/>
    <w:rsid w:val="001E26A3"/>
    <w:rsid w:val="001E4F34"/>
    <w:rsid w:val="001E763A"/>
    <w:rsid w:val="001F2DEF"/>
    <w:rsid w:val="001F31F9"/>
    <w:rsid w:val="001F5555"/>
    <w:rsid w:val="001F7123"/>
    <w:rsid w:val="00205E92"/>
    <w:rsid w:val="00220108"/>
    <w:rsid w:val="002209A8"/>
    <w:rsid w:val="0022168A"/>
    <w:rsid w:val="00227A6D"/>
    <w:rsid w:val="00227DF4"/>
    <w:rsid w:val="002346E7"/>
    <w:rsid w:val="002349E0"/>
    <w:rsid w:val="002367F5"/>
    <w:rsid w:val="002372C7"/>
    <w:rsid w:val="0024037B"/>
    <w:rsid w:val="00250671"/>
    <w:rsid w:val="00254E6B"/>
    <w:rsid w:val="00281778"/>
    <w:rsid w:val="00293CBD"/>
    <w:rsid w:val="00295887"/>
    <w:rsid w:val="00295BCA"/>
    <w:rsid w:val="002A18A4"/>
    <w:rsid w:val="002A4B9F"/>
    <w:rsid w:val="002B234B"/>
    <w:rsid w:val="002B5D3F"/>
    <w:rsid w:val="002C148C"/>
    <w:rsid w:val="002C1833"/>
    <w:rsid w:val="002C6476"/>
    <w:rsid w:val="002C70E4"/>
    <w:rsid w:val="002D3001"/>
    <w:rsid w:val="002D50AB"/>
    <w:rsid w:val="002D5243"/>
    <w:rsid w:val="002D6FEA"/>
    <w:rsid w:val="002E4C61"/>
    <w:rsid w:val="002F3796"/>
    <w:rsid w:val="002F454D"/>
    <w:rsid w:val="00312662"/>
    <w:rsid w:val="003134B4"/>
    <w:rsid w:val="0032066D"/>
    <w:rsid w:val="0032407E"/>
    <w:rsid w:val="003247A3"/>
    <w:rsid w:val="00325F82"/>
    <w:rsid w:val="003322E6"/>
    <w:rsid w:val="003352C4"/>
    <w:rsid w:val="00336971"/>
    <w:rsid w:val="00340366"/>
    <w:rsid w:val="003409ED"/>
    <w:rsid w:val="00342366"/>
    <w:rsid w:val="0034307D"/>
    <w:rsid w:val="00344317"/>
    <w:rsid w:val="003530EA"/>
    <w:rsid w:val="00360871"/>
    <w:rsid w:val="00366959"/>
    <w:rsid w:val="0036783C"/>
    <w:rsid w:val="00370EFA"/>
    <w:rsid w:val="00372426"/>
    <w:rsid w:val="00381D66"/>
    <w:rsid w:val="00394D38"/>
    <w:rsid w:val="00397C42"/>
    <w:rsid w:val="003A224E"/>
    <w:rsid w:val="003A335F"/>
    <w:rsid w:val="003B0CC4"/>
    <w:rsid w:val="003D69A6"/>
    <w:rsid w:val="003E195C"/>
    <w:rsid w:val="003E2AF9"/>
    <w:rsid w:val="003F66F1"/>
    <w:rsid w:val="00400368"/>
    <w:rsid w:val="00400957"/>
    <w:rsid w:val="00420876"/>
    <w:rsid w:val="00434779"/>
    <w:rsid w:val="00442513"/>
    <w:rsid w:val="0044334E"/>
    <w:rsid w:val="00444DB7"/>
    <w:rsid w:val="004479E5"/>
    <w:rsid w:val="00450756"/>
    <w:rsid w:val="00453E06"/>
    <w:rsid w:val="00456FCF"/>
    <w:rsid w:val="004606EF"/>
    <w:rsid w:val="00462A75"/>
    <w:rsid w:val="0046393D"/>
    <w:rsid w:val="0047558C"/>
    <w:rsid w:val="004764BB"/>
    <w:rsid w:val="00477751"/>
    <w:rsid w:val="00485AE4"/>
    <w:rsid w:val="00496195"/>
    <w:rsid w:val="00496283"/>
    <w:rsid w:val="004A111D"/>
    <w:rsid w:val="004A7F1C"/>
    <w:rsid w:val="004A7FF2"/>
    <w:rsid w:val="004B001F"/>
    <w:rsid w:val="004C0B25"/>
    <w:rsid w:val="004C3700"/>
    <w:rsid w:val="004D1BB1"/>
    <w:rsid w:val="004D1EFA"/>
    <w:rsid w:val="004E05D4"/>
    <w:rsid w:val="004E6FA9"/>
    <w:rsid w:val="004F0EFF"/>
    <w:rsid w:val="004F2733"/>
    <w:rsid w:val="004F2A15"/>
    <w:rsid w:val="0050040F"/>
    <w:rsid w:val="00501B3B"/>
    <w:rsid w:val="005061AD"/>
    <w:rsid w:val="00506271"/>
    <w:rsid w:val="005065DF"/>
    <w:rsid w:val="00507260"/>
    <w:rsid w:val="00520269"/>
    <w:rsid w:val="005210AE"/>
    <w:rsid w:val="0053070B"/>
    <w:rsid w:val="00530FFD"/>
    <w:rsid w:val="00555985"/>
    <w:rsid w:val="005575F0"/>
    <w:rsid w:val="0056051A"/>
    <w:rsid w:val="00560B0E"/>
    <w:rsid w:val="00565B62"/>
    <w:rsid w:val="005672AF"/>
    <w:rsid w:val="00571D01"/>
    <w:rsid w:val="005801DD"/>
    <w:rsid w:val="00581AC6"/>
    <w:rsid w:val="005836FD"/>
    <w:rsid w:val="00584C35"/>
    <w:rsid w:val="00586FB6"/>
    <w:rsid w:val="00593171"/>
    <w:rsid w:val="00596C5F"/>
    <w:rsid w:val="005A10D8"/>
    <w:rsid w:val="005A12FA"/>
    <w:rsid w:val="005A6802"/>
    <w:rsid w:val="005B1938"/>
    <w:rsid w:val="005C15B9"/>
    <w:rsid w:val="005C1CB0"/>
    <w:rsid w:val="005C4C41"/>
    <w:rsid w:val="005D014E"/>
    <w:rsid w:val="005D5551"/>
    <w:rsid w:val="005D78A6"/>
    <w:rsid w:val="005F1277"/>
    <w:rsid w:val="005F59FD"/>
    <w:rsid w:val="005F67DE"/>
    <w:rsid w:val="005F7DED"/>
    <w:rsid w:val="00603D28"/>
    <w:rsid w:val="00610A2D"/>
    <w:rsid w:val="006116D0"/>
    <w:rsid w:val="00617411"/>
    <w:rsid w:val="00620601"/>
    <w:rsid w:val="00621C19"/>
    <w:rsid w:val="006513CC"/>
    <w:rsid w:val="00652441"/>
    <w:rsid w:val="00653A71"/>
    <w:rsid w:val="006551B0"/>
    <w:rsid w:val="00670147"/>
    <w:rsid w:val="00670A4B"/>
    <w:rsid w:val="00670A54"/>
    <w:rsid w:val="006723B6"/>
    <w:rsid w:val="006821D3"/>
    <w:rsid w:val="006834D6"/>
    <w:rsid w:val="006838B4"/>
    <w:rsid w:val="00683B9E"/>
    <w:rsid w:val="00684C44"/>
    <w:rsid w:val="00691784"/>
    <w:rsid w:val="006918BB"/>
    <w:rsid w:val="006940C8"/>
    <w:rsid w:val="00694BAC"/>
    <w:rsid w:val="006A272C"/>
    <w:rsid w:val="006A4EA5"/>
    <w:rsid w:val="006A5B93"/>
    <w:rsid w:val="006A5D28"/>
    <w:rsid w:val="006A690E"/>
    <w:rsid w:val="006B179E"/>
    <w:rsid w:val="006B21B6"/>
    <w:rsid w:val="006B6432"/>
    <w:rsid w:val="006C287D"/>
    <w:rsid w:val="006D727C"/>
    <w:rsid w:val="006D74E4"/>
    <w:rsid w:val="006E4E08"/>
    <w:rsid w:val="006E707C"/>
    <w:rsid w:val="006F44BD"/>
    <w:rsid w:val="006F5021"/>
    <w:rsid w:val="00704B9B"/>
    <w:rsid w:val="00713998"/>
    <w:rsid w:val="007212C3"/>
    <w:rsid w:val="00721AED"/>
    <w:rsid w:val="00726258"/>
    <w:rsid w:val="00730F28"/>
    <w:rsid w:val="00731CCF"/>
    <w:rsid w:val="00733422"/>
    <w:rsid w:val="007346FE"/>
    <w:rsid w:val="00737223"/>
    <w:rsid w:val="0073773C"/>
    <w:rsid w:val="00740E55"/>
    <w:rsid w:val="00743105"/>
    <w:rsid w:val="0074659C"/>
    <w:rsid w:val="00747699"/>
    <w:rsid w:val="007476B4"/>
    <w:rsid w:val="00750BFF"/>
    <w:rsid w:val="00755EBE"/>
    <w:rsid w:val="00761033"/>
    <w:rsid w:val="0076265B"/>
    <w:rsid w:val="007752ED"/>
    <w:rsid w:val="00775D48"/>
    <w:rsid w:val="00777CB0"/>
    <w:rsid w:val="0078249B"/>
    <w:rsid w:val="00785726"/>
    <w:rsid w:val="00785877"/>
    <w:rsid w:val="007868D0"/>
    <w:rsid w:val="00791BE5"/>
    <w:rsid w:val="00792ABC"/>
    <w:rsid w:val="00792AF5"/>
    <w:rsid w:val="00793A72"/>
    <w:rsid w:val="007A0853"/>
    <w:rsid w:val="007A240F"/>
    <w:rsid w:val="007A2682"/>
    <w:rsid w:val="007A4883"/>
    <w:rsid w:val="007B1E6D"/>
    <w:rsid w:val="007B32C2"/>
    <w:rsid w:val="007B444A"/>
    <w:rsid w:val="007C2061"/>
    <w:rsid w:val="007C6650"/>
    <w:rsid w:val="007D0FAD"/>
    <w:rsid w:val="007D1D3D"/>
    <w:rsid w:val="007D48E9"/>
    <w:rsid w:val="007E21A9"/>
    <w:rsid w:val="007F1C9D"/>
    <w:rsid w:val="007F4A78"/>
    <w:rsid w:val="007F4FE7"/>
    <w:rsid w:val="007F6E27"/>
    <w:rsid w:val="00810E87"/>
    <w:rsid w:val="00815B52"/>
    <w:rsid w:val="008169B6"/>
    <w:rsid w:val="0082262B"/>
    <w:rsid w:val="00823C2B"/>
    <w:rsid w:val="00824069"/>
    <w:rsid w:val="00841CA6"/>
    <w:rsid w:val="00842CB9"/>
    <w:rsid w:val="008442B4"/>
    <w:rsid w:val="00846EB3"/>
    <w:rsid w:val="008551F5"/>
    <w:rsid w:val="00856166"/>
    <w:rsid w:val="008577EB"/>
    <w:rsid w:val="0086480D"/>
    <w:rsid w:val="0087467D"/>
    <w:rsid w:val="008775DB"/>
    <w:rsid w:val="008826EC"/>
    <w:rsid w:val="00885341"/>
    <w:rsid w:val="00891DC9"/>
    <w:rsid w:val="00893650"/>
    <w:rsid w:val="00893A96"/>
    <w:rsid w:val="008A4DFA"/>
    <w:rsid w:val="008A7414"/>
    <w:rsid w:val="008A7B21"/>
    <w:rsid w:val="008B1707"/>
    <w:rsid w:val="008B3706"/>
    <w:rsid w:val="008B44C1"/>
    <w:rsid w:val="008D0A6A"/>
    <w:rsid w:val="008E4ECA"/>
    <w:rsid w:val="008E5470"/>
    <w:rsid w:val="008F21B4"/>
    <w:rsid w:val="008F32A0"/>
    <w:rsid w:val="008F4986"/>
    <w:rsid w:val="008F4B5F"/>
    <w:rsid w:val="008F4E39"/>
    <w:rsid w:val="00910F1E"/>
    <w:rsid w:val="00914D02"/>
    <w:rsid w:val="00915879"/>
    <w:rsid w:val="00930D0C"/>
    <w:rsid w:val="0093625B"/>
    <w:rsid w:val="00940B42"/>
    <w:rsid w:val="009442C0"/>
    <w:rsid w:val="00954A9C"/>
    <w:rsid w:val="00960B5E"/>
    <w:rsid w:val="00962812"/>
    <w:rsid w:val="009629B3"/>
    <w:rsid w:val="0097052B"/>
    <w:rsid w:val="009740FF"/>
    <w:rsid w:val="00974720"/>
    <w:rsid w:val="00975815"/>
    <w:rsid w:val="009765DA"/>
    <w:rsid w:val="009835C2"/>
    <w:rsid w:val="0098388D"/>
    <w:rsid w:val="00987077"/>
    <w:rsid w:val="00997A0A"/>
    <w:rsid w:val="00997D30"/>
    <w:rsid w:val="009A3DC6"/>
    <w:rsid w:val="009B187A"/>
    <w:rsid w:val="009B260E"/>
    <w:rsid w:val="009B60EB"/>
    <w:rsid w:val="009B741D"/>
    <w:rsid w:val="009C189F"/>
    <w:rsid w:val="009C348A"/>
    <w:rsid w:val="009D58AD"/>
    <w:rsid w:val="009D63D8"/>
    <w:rsid w:val="009D691A"/>
    <w:rsid w:val="009D7AC4"/>
    <w:rsid w:val="009E1A26"/>
    <w:rsid w:val="009E21EF"/>
    <w:rsid w:val="009F0307"/>
    <w:rsid w:val="009F16D7"/>
    <w:rsid w:val="009F1BD1"/>
    <w:rsid w:val="009F284F"/>
    <w:rsid w:val="009F523E"/>
    <w:rsid w:val="009F5771"/>
    <w:rsid w:val="009F5D46"/>
    <w:rsid w:val="00A027A3"/>
    <w:rsid w:val="00A04A24"/>
    <w:rsid w:val="00A0563E"/>
    <w:rsid w:val="00A069DA"/>
    <w:rsid w:val="00A074B2"/>
    <w:rsid w:val="00A17215"/>
    <w:rsid w:val="00A20B1B"/>
    <w:rsid w:val="00A306A3"/>
    <w:rsid w:val="00A3703D"/>
    <w:rsid w:val="00A44BBA"/>
    <w:rsid w:val="00A4552A"/>
    <w:rsid w:val="00A45A48"/>
    <w:rsid w:val="00A47C47"/>
    <w:rsid w:val="00A50627"/>
    <w:rsid w:val="00A54632"/>
    <w:rsid w:val="00A54706"/>
    <w:rsid w:val="00A55C96"/>
    <w:rsid w:val="00A604DE"/>
    <w:rsid w:val="00A64DD6"/>
    <w:rsid w:val="00A75C19"/>
    <w:rsid w:val="00A87A96"/>
    <w:rsid w:val="00A918A8"/>
    <w:rsid w:val="00A92603"/>
    <w:rsid w:val="00A9473E"/>
    <w:rsid w:val="00AA221E"/>
    <w:rsid w:val="00AA39AE"/>
    <w:rsid w:val="00AA416F"/>
    <w:rsid w:val="00AA5380"/>
    <w:rsid w:val="00AC0D3F"/>
    <w:rsid w:val="00AC5803"/>
    <w:rsid w:val="00AC6952"/>
    <w:rsid w:val="00AC7436"/>
    <w:rsid w:val="00AD1814"/>
    <w:rsid w:val="00AD5715"/>
    <w:rsid w:val="00AD7627"/>
    <w:rsid w:val="00AE199A"/>
    <w:rsid w:val="00AE494F"/>
    <w:rsid w:val="00AF0100"/>
    <w:rsid w:val="00AF4E48"/>
    <w:rsid w:val="00AF533E"/>
    <w:rsid w:val="00B07560"/>
    <w:rsid w:val="00B12223"/>
    <w:rsid w:val="00B139C8"/>
    <w:rsid w:val="00B14BB3"/>
    <w:rsid w:val="00B21D91"/>
    <w:rsid w:val="00B2581E"/>
    <w:rsid w:val="00B25F5A"/>
    <w:rsid w:val="00B34BDE"/>
    <w:rsid w:val="00B36BC8"/>
    <w:rsid w:val="00B40F6F"/>
    <w:rsid w:val="00B4300C"/>
    <w:rsid w:val="00B43029"/>
    <w:rsid w:val="00B55D5D"/>
    <w:rsid w:val="00B6436F"/>
    <w:rsid w:val="00B652E5"/>
    <w:rsid w:val="00B66DC5"/>
    <w:rsid w:val="00B67282"/>
    <w:rsid w:val="00B70BB3"/>
    <w:rsid w:val="00B72F64"/>
    <w:rsid w:val="00B758BA"/>
    <w:rsid w:val="00B84A2A"/>
    <w:rsid w:val="00B859DB"/>
    <w:rsid w:val="00B928B3"/>
    <w:rsid w:val="00BA071A"/>
    <w:rsid w:val="00BA508C"/>
    <w:rsid w:val="00BB0471"/>
    <w:rsid w:val="00BC23BA"/>
    <w:rsid w:val="00BC2E40"/>
    <w:rsid w:val="00BC4F0C"/>
    <w:rsid w:val="00BE0A92"/>
    <w:rsid w:val="00BE1077"/>
    <w:rsid w:val="00BE2E4B"/>
    <w:rsid w:val="00BE32E5"/>
    <w:rsid w:val="00BE414B"/>
    <w:rsid w:val="00BE5204"/>
    <w:rsid w:val="00BF6BD5"/>
    <w:rsid w:val="00C04F8E"/>
    <w:rsid w:val="00C06A32"/>
    <w:rsid w:val="00C1179D"/>
    <w:rsid w:val="00C166E9"/>
    <w:rsid w:val="00C27B99"/>
    <w:rsid w:val="00C27D7C"/>
    <w:rsid w:val="00C3643F"/>
    <w:rsid w:val="00C401CF"/>
    <w:rsid w:val="00C43C83"/>
    <w:rsid w:val="00C45479"/>
    <w:rsid w:val="00C46230"/>
    <w:rsid w:val="00C519FF"/>
    <w:rsid w:val="00C577C7"/>
    <w:rsid w:val="00C80D94"/>
    <w:rsid w:val="00C83427"/>
    <w:rsid w:val="00C83BDF"/>
    <w:rsid w:val="00C85F9E"/>
    <w:rsid w:val="00C906F0"/>
    <w:rsid w:val="00C91699"/>
    <w:rsid w:val="00C92967"/>
    <w:rsid w:val="00CA0677"/>
    <w:rsid w:val="00CA2FFA"/>
    <w:rsid w:val="00CA5517"/>
    <w:rsid w:val="00CA7D84"/>
    <w:rsid w:val="00CB0751"/>
    <w:rsid w:val="00CB228D"/>
    <w:rsid w:val="00CB79F0"/>
    <w:rsid w:val="00CC1B19"/>
    <w:rsid w:val="00CC3F36"/>
    <w:rsid w:val="00CE08A4"/>
    <w:rsid w:val="00CE3478"/>
    <w:rsid w:val="00CE7EC0"/>
    <w:rsid w:val="00CF48E1"/>
    <w:rsid w:val="00D02485"/>
    <w:rsid w:val="00D072EC"/>
    <w:rsid w:val="00D12553"/>
    <w:rsid w:val="00D13E82"/>
    <w:rsid w:val="00D14DCA"/>
    <w:rsid w:val="00D17D90"/>
    <w:rsid w:val="00D26D9F"/>
    <w:rsid w:val="00D33D6D"/>
    <w:rsid w:val="00D47BA2"/>
    <w:rsid w:val="00D50807"/>
    <w:rsid w:val="00D6594B"/>
    <w:rsid w:val="00D73FA3"/>
    <w:rsid w:val="00D7475B"/>
    <w:rsid w:val="00D818EA"/>
    <w:rsid w:val="00D819D8"/>
    <w:rsid w:val="00D828C9"/>
    <w:rsid w:val="00D85F53"/>
    <w:rsid w:val="00D911E3"/>
    <w:rsid w:val="00D92A1A"/>
    <w:rsid w:val="00D93ECE"/>
    <w:rsid w:val="00D95FE6"/>
    <w:rsid w:val="00D976B7"/>
    <w:rsid w:val="00DA0980"/>
    <w:rsid w:val="00DB7546"/>
    <w:rsid w:val="00DC4BD0"/>
    <w:rsid w:val="00DD1722"/>
    <w:rsid w:val="00DE0DD3"/>
    <w:rsid w:val="00DE46E3"/>
    <w:rsid w:val="00DE4D49"/>
    <w:rsid w:val="00DF2483"/>
    <w:rsid w:val="00E07710"/>
    <w:rsid w:val="00E12F61"/>
    <w:rsid w:val="00E13244"/>
    <w:rsid w:val="00E15F5E"/>
    <w:rsid w:val="00E166CB"/>
    <w:rsid w:val="00E34FAC"/>
    <w:rsid w:val="00E42077"/>
    <w:rsid w:val="00E43351"/>
    <w:rsid w:val="00E4749C"/>
    <w:rsid w:val="00E51394"/>
    <w:rsid w:val="00E54171"/>
    <w:rsid w:val="00E623AF"/>
    <w:rsid w:val="00E731F9"/>
    <w:rsid w:val="00E738D0"/>
    <w:rsid w:val="00E74D0F"/>
    <w:rsid w:val="00E752CD"/>
    <w:rsid w:val="00E77C79"/>
    <w:rsid w:val="00E802BA"/>
    <w:rsid w:val="00E81825"/>
    <w:rsid w:val="00E86D63"/>
    <w:rsid w:val="00E9353A"/>
    <w:rsid w:val="00E95BD9"/>
    <w:rsid w:val="00EA024C"/>
    <w:rsid w:val="00EB62AF"/>
    <w:rsid w:val="00ED2992"/>
    <w:rsid w:val="00EE078C"/>
    <w:rsid w:val="00EE19E5"/>
    <w:rsid w:val="00EE1F5C"/>
    <w:rsid w:val="00EE2ED3"/>
    <w:rsid w:val="00EF6F9D"/>
    <w:rsid w:val="00F036C9"/>
    <w:rsid w:val="00F0451A"/>
    <w:rsid w:val="00F05DBF"/>
    <w:rsid w:val="00F1552D"/>
    <w:rsid w:val="00F214F9"/>
    <w:rsid w:val="00F330CD"/>
    <w:rsid w:val="00F42E21"/>
    <w:rsid w:val="00F46785"/>
    <w:rsid w:val="00F52911"/>
    <w:rsid w:val="00F54A68"/>
    <w:rsid w:val="00F54CBF"/>
    <w:rsid w:val="00F5586D"/>
    <w:rsid w:val="00F647A5"/>
    <w:rsid w:val="00F66F1A"/>
    <w:rsid w:val="00F67396"/>
    <w:rsid w:val="00F72F4C"/>
    <w:rsid w:val="00F91AD3"/>
    <w:rsid w:val="00F9472D"/>
    <w:rsid w:val="00F96683"/>
    <w:rsid w:val="00F96C2D"/>
    <w:rsid w:val="00FA1FB3"/>
    <w:rsid w:val="00FA3092"/>
    <w:rsid w:val="00FA4E45"/>
    <w:rsid w:val="00FB5B25"/>
    <w:rsid w:val="00FC1F93"/>
    <w:rsid w:val="00FD5B46"/>
    <w:rsid w:val="00FD7106"/>
    <w:rsid w:val="00FE6AB6"/>
    <w:rsid w:val="00FE775A"/>
    <w:rsid w:val="00FF552B"/>
    <w:rsid w:val="010D54DF"/>
    <w:rsid w:val="01192C1F"/>
    <w:rsid w:val="01303AC5"/>
    <w:rsid w:val="013632FD"/>
    <w:rsid w:val="01395070"/>
    <w:rsid w:val="01436A31"/>
    <w:rsid w:val="01457157"/>
    <w:rsid w:val="014F4893"/>
    <w:rsid w:val="01510D16"/>
    <w:rsid w:val="01537778"/>
    <w:rsid w:val="0156352C"/>
    <w:rsid w:val="015974C0"/>
    <w:rsid w:val="01600663"/>
    <w:rsid w:val="016705B4"/>
    <w:rsid w:val="0167398B"/>
    <w:rsid w:val="01744CCD"/>
    <w:rsid w:val="01791910"/>
    <w:rsid w:val="018207C5"/>
    <w:rsid w:val="019329D2"/>
    <w:rsid w:val="019B1886"/>
    <w:rsid w:val="019D115B"/>
    <w:rsid w:val="019F7072"/>
    <w:rsid w:val="01AB168C"/>
    <w:rsid w:val="01E43B32"/>
    <w:rsid w:val="01F12D4C"/>
    <w:rsid w:val="01FC43EC"/>
    <w:rsid w:val="020611E9"/>
    <w:rsid w:val="020E3E06"/>
    <w:rsid w:val="021533E7"/>
    <w:rsid w:val="021F4265"/>
    <w:rsid w:val="02380E83"/>
    <w:rsid w:val="024C2B81"/>
    <w:rsid w:val="02502671"/>
    <w:rsid w:val="026125F0"/>
    <w:rsid w:val="02661868"/>
    <w:rsid w:val="02696A52"/>
    <w:rsid w:val="02AB78A5"/>
    <w:rsid w:val="02AE1145"/>
    <w:rsid w:val="02D212D8"/>
    <w:rsid w:val="02D50DC8"/>
    <w:rsid w:val="02E34920"/>
    <w:rsid w:val="02E351F8"/>
    <w:rsid w:val="02E62FD5"/>
    <w:rsid w:val="02EB4B57"/>
    <w:rsid w:val="03391357"/>
    <w:rsid w:val="033B7E5E"/>
    <w:rsid w:val="033D294B"/>
    <w:rsid w:val="03451AAA"/>
    <w:rsid w:val="034675D0"/>
    <w:rsid w:val="035072E8"/>
    <w:rsid w:val="03575C81"/>
    <w:rsid w:val="035B508E"/>
    <w:rsid w:val="03661A20"/>
    <w:rsid w:val="036F5EFC"/>
    <w:rsid w:val="037B196F"/>
    <w:rsid w:val="038C3093"/>
    <w:rsid w:val="038C76D9"/>
    <w:rsid w:val="0392072B"/>
    <w:rsid w:val="0393000E"/>
    <w:rsid w:val="039C2AFE"/>
    <w:rsid w:val="03AF786B"/>
    <w:rsid w:val="03B83B8E"/>
    <w:rsid w:val="03B9732F"/>
    <w:rsid w:val="03BB7FBE"/>
    <w:rsid w:val="03C15E16"/>
    <w:rsid w:val="03CD1C7C"/>
    <w:rsid w:val="03DF35CA"/>
    <w:rsid w:val="03F91EB2"/>
    <w:rsid w:val="04090D29"/>
    <w:rsid w:val="04185410"/>
    <w:rsid w:val="042C16F6"/>
    <w:rsid w:val="04477AA3"/>
    <w:rsid w:val="046545C2"/>
    <w:rsid w:val="04706FFA"/>
    <w:rsid w:val="047100A8"/>
    <w:rsid w:val="0486237A"/>
    <w:rsid w:val="048E122E"/>
    <w:rsid w:val="049525BD"/>
    <w:rsid w:val="049B394B"/>
    <w:rsid w:val="049C1B9D"/>
    <w:rsid w:val="04BF763A"/>
    <w:rsid w:val="04D0112E"/>
    <w:rsid w:val="04E05EEF"/>
    <w:rsid w:val="04E2157A"/>
    <w:rsid w:val="04E452F2"/>
    <w:rsid w:val="04E84DE3"/>
    <w:rsid w:val="04F75026"/>
    <w:rsid w:val="04FA68C4"/>
    <w:rsid w:val="0506170D"/>
    <w:rsid w:val="051A51B8"/>
    <w:rsid w:val="053B53AA"/>
    <w:rsid w:val="05464BA2"/>
    <w:rsid w:val="054B0918"/>
    <w:rsid w:val="05502988"/>
    <w:rsid w:val="056A3A4A"/>
    <w:rsid w:val="056C5A14"/>
    <w:rsid w:val="05712ADB"/>
    <w:rsid w:val="058D598A"/>
    <w:rsid w:val="05926AFC"/>
    <w:rsid w:val="05942F31"/>
    <w:rsid w:val="059F7287"/>
    <w:rsid w:val="05A056BD"/>
    <w:rsid w:val="05A62DC6"/>
    <w:rsid w:val="05B66C8F"/>
    <w:rsid w:val="05C84C14"/>
    <w:rsid w:val="05CC20CD"/>
    <w:rsid w:val="05E6492C"/>
    <w:rsid w:val="05F64E43"/>
    <w:rsid w:val="05FD666C"/>
    <w:rsid w:val="060578B0"/>
    <w:rsid w:val="060E7FC6"/>
    <w:rsid w:val="06233BF8"/>
    <w:rsid w:val="06245967"/>
    <w:rsid w:val="06255BC2"/>
    <w:rsid w:val="06345E06"/>
    <w:rsid w:val="065D08AA"/>
    <w:rsid w:val="06826B71"/>
    <w:rsid w:val="06951B35"/>
    <w:rsid w:val="069A6270"/>
    <w:rsid w:val="069D7E4F"/>
    <w:rsid w:val="06BB7332"/>
    <w:rsid w:val="06CB49BC"/>
    <w:rsid w:val="07061550"/>
    <w:rsid w:val="07133C6D"/>
    <w:rsid w:val="071C6FC5"/>
    <w:rsid w:val="072B4C0A"/>
    <w:rsid w:val="07375BAD"/>
    <w:rsid w:val="076B2A35"/>
    <w:rsid w:val="077B0190"/>
    <w:rsid w:val="078F59E9"/>
    <w:rsid w:val="07A64AE1"/>
    <w:rsid w:val="07A87714"/>
    <w:rsid w:val="07AA637F"/>
    <w:rsid w:val="07AB20F7"/>
    <w:rsid w:val="07AF1BE8"/>
    <w:rsid w:val="07C0493F"/>
    <w:rsid w:val="07C136C9"/>
    <w:rsid w:val="07C5140B"/>
    <w:rsid w:val="07C66F31"/>
    <w:rsid w:val="07C713FA"/>
    <w:rsid w:val="07D22791"/>
    <w:rsid w:val="07D96C64"/>
    <w:rsid w:val="07E05B80"/>
    <w:rsid w:val="07F10C94"/>
    <w:rsid w:val="080710D7"/>
    <w:rsid w:val="080C0DE8"/>
    <w:rsid w:val="08114650"/>
    <w:rsid w:val="08147C9D"/>
    <w:rsid w:val="08193505"/>
    <w:rsid w:val="083F685E"/>
    <w:rsid w:val="08460E76"/>
    <w:rsid w:val="0849203C"/>
    <w:rsid w:val="084A5DB4"/>
    <w:rsid w:val="085F24FC"/>
    <w:rsid w:val="086230FE"/>
    <w:rsid w:val="086D5027"/>
    <w:rsid w:val="087868E0"/>
    <w:rsid w:val="08821701"/>
    <w:rsid w:val="08902AD5"/>
    <w:rsid w:val="08B17BE1"/>
    <w:rsid w:val="08C4519E"/>
    <w:rsid w:val="08C47915"/>
    <w:rsid w:val="08CE42EF"/>
    <w:rsid w:val="08E21B49"/>
    <w:rsid w:val="08E458C1"/>
    <w:rsid w:val="08E73603"/>
    <w:rsid w:val="08E90B2F"/>
    <w:rsid w:val="08F07E7A"/>
    <w:rsid w:val="09012917"/>
    <w:rsid w:val="09045F63"/>
    <w:rsid w:val="09170397"/>
    <w:rsid w:val="091E5277"/>
    <w:rsid w:val="09320D22"/>
    <w:rsid w:val="09483375"/>
    <w:rsid w:val="095347F5"/>
    <w:rsid w:val="09535827"/>
    <w:rsid w:val="09540384"/>
    <w:rsid w:val="096864F2"/>
    <w:rsid w:val="096B603F"/>
    <w:rsid w:val="096D6D8A"/>
    <w:rsid w:val="09774371"/>
    <w:rsid w:val="09872A66"/>
    <w:rsid w:val="098F7F23"/>
    <w:rsid w:val="099512B1"/>
    <w:rsid w:val="09AD2157"/>
    <w:rsid w:val="09C37BCC"/>
    <w:rsid w:val="09CF031F"/>
    <w:rsid w:val="09D771D4"/>
    <w:rsid w:val="09D9119E"/>
    <w:rsid w:val="09E35B78"/>
    <w:rsid w:val="09E71B0D"/>
    <w:rsid w:val="09F67F51"/>
    <w:rsid w:val="0A014251"/>
    <w:rsid w:val="0A03621B"/>
    <w:rsid w:val="0A1B17B6"/>
    <w:rsid w:val="0A314B36"/>
    <w:rsid w:val="0A3F2D14"/>
    <w:rsid w:val="0A4B4CBC"/>
    <w:rsid w:val="0A500AC9"/>
    <w:rsid w:val="0A64315D"/>
    <w:rsid w:val="0A73514E"/>
    <w:rsid w:val="0A982E07"/>
    <w:rsid w:val="0A9B28F7"/>
    <w:rsid w:val="0AAA2B3A"/>
    <w:rsid w:val="0ABD461B"/>
    <w:rsid w:val="0ABD68F9"/>
    <w:rsid w:val="0ACB31DC"/>
    <w:rsid w:val="0ACC485F"/>
    <w:rsid w:val="0ADC2C01"/>
    <w:rsid w:val="0AF0679F"/>
    <w:rsid w:val="0AF94F39"/>
    <w:rsid w:val="0B0E4E77"/>
    <w:rsid w:val="0B10397C"/>
    <w:rsid w:val="0B113F67"/>
    <w:rsid w:val="0B1306DF"/>
    <w:rsid w:val="0B3B3792"/>
    <w:rsid w:val="0B3C188E"/>
    <w:rsid w:val="0B472137"/>
    <w:rsid w:val="0B6131F9"/>
    <w:rsid w:val="0B6B488C"/>
    <w:rsid w:val="0B725406"/>
    <w:rsid w:val="0B7A69B0"/>
    <w:rsid w:val="0B865355"/>
    <w:rsid w:val="0B8E420A"/>
    <w:rsid w:val="0B9E3A4B"/>
    <w:rsid w:val="0BA24FF4"/>
    <w:rsid w:val="0BAB4CBE"/>
    <w:rsid w:val="0BC47A87"/>
    <w:rsid w:val="0BDE2A9B"/>
    <w:rsid w:val="0BF422BF"/>
    <w:rsid w:val="0BFB7B4E"/>
    <w:rsid w:val="0C040258"/>
    <w:rsid w:val="0C0B585A"/>
    <w:rsid w:val="0C0F70F9"/>
    <w:rsid w:val="0C1B5A9E"/>
    <w:rsid w:val="0C2506CA"/>
    <w:rsid w:val="0C452C63"/>
    <w:rsid w:val="0C4D5E73"/>
    <w:rsid w:val="0C563332"/>
    <w:rsid w:val="0C6531BD"/>
    <w:rsid w:val="0C654C9D"/>
    <w:rsid w:val="0C7D22B4"/>
    <w:rsid w:val="0C88598F"/>
    <w:rsid w:val="0C992E66"/>
    <w:rsid w:val="0CA9119A"/>
    <w:rsid w:val="0CC55A09"/>
    <w:rsid w:val="0CCA1272"/>
    <w:rsid w:val="0CD65E68"/>
    <w:rsid w:val="0D001142"/>
    <w:rsid w:val="0D276E65"/>
    <w:rsid w:val="0D31309F"/>
    <w:rsid w:val="0D3606B5"/>
    <w:rsid w:val="0D837D9E"/>
    <w:rsid w:val="0D916BE2"/>
    <w:rsid w:val="0DCD726B"/>
    <w:rsid w:val="0DCE6B40"/>
    <w:rsid w:val="0DDA24D6"/>
    <w:rsid w:val="0DE34399"/>
    <w:rsid w:val="0DF90060"/>
    <w:rsid w:val="0E060087"/>
    <w:rsid w:val="0E154C1E"/>
    <w:rsid w:val="0E356BBF"/>
    <w:rsid w:val="0E4806A0"/>
    <w:rsid w:val="0E666D78"/>
    <w:rsid w:val="0E884F40"/>
    <w:rsid w:val="0E8B67DF"/>
    <w:rsid w:val="0EAC50D3"/>
    <w:rsid w:val="0EAF0CD7"/>
    <w:rsid w:val="0EBB3B81"/>
    <w:rsid w:val="0EC51CF1"/>
    <w:rsid w:val="0EC817E1"/>
    <w:rsid w:val="0ECC361B"/>
    <w:rsid w:val="0ED62150"/>
    <w:rsid w:val="0EDD528C"/>
    <w:rsid w:val="0EF57191"/>
    <w:rsid w:val="0EFE3455"/>
    <w:rsid w:val="0F1E7653"/>
    <w:rsid w:val="0F3330FE"/>
    <w:rsid w:val="0F334EAC"/>
    <w:rsid w:val="0F3D3F7D"/>
    <w:rsid w:val="0F4C5F6E"/>
    <w:rsid w:val="0F655282"/>
    <w:rsid w:val="0F6C1114"/>
    <w:rsid w:val="0F7F00F1"/>
    <w:rsid w:val="0F957915"/>
    <w:rsid w:val="0F9D21AF"/>
    <w:rsid w:val="0FA97864"/>
    <w:rsid w:val="0FB029A1"/>
    <w:rsid w:val="0FC14BAE"/>
    <w:rsid w:val="0FC33437"/>
    <w:rsid w:val="0FCD0356"/>
    <w:rsid w:val="0FD66D22"/>
    <w:rsid w:val="0FD855DF"/>
    <w:rsid w:val="0FE73EE9"/>
    <w:rsid w:val="0FE95096"/>
    <w:rsid w:val="0FE95EB3"/>
    <w:rsid w:val="0FF5469B"/>
    <w:rsid w:val="101747CE"/>
    <w:rsid w:val="10202116"/>
    <w:rsid w:val="10284C2D"/>
    <w:rsid w:val="102D3FF1"/>
    <w:rsid w:val="103763E2"/>
    <w:rsid w:val="10480E2B"/>
    <w:rsid w:val="10611EED"/>
    <w:rsid w:val="106E4813"/>
    <w:rsid w:val="1090632E"/>
    <w:rsid w:val="10C5422A"/>
    <w:rsid w:val="10D32962"/>
    <w:rsid w:val="10D95F27"/>
    <w:rsid w:val="10E46E02"/>
    <w:rsid w:val="10E741A0"/>
    <w:rsid w:val="10F36FE9"/>
    <w:rsid w:val="113662D7"/>
    <w:rsid w:val="113B44EC"/>
    <w:rsid w:val="11496C09"/>
    <w:rsid w:val="114E06C3"/>
    <w:rsid w:val="115832F0"/>
    <w:rsid w:val="11684816"/>
    <w:rsid w:val="1169026E"/>
    <w:rsid w:val="116972AB"/>
    <w:rsid w:val="1173306A"/>
    <w:rsid w:val="11D213B6"/>
    <w:rsid w:val="11DA6192"/>
    <w:rsid w:val="11E363DD"/>
    <w:rsid w:val="11E44B84"/>
    <w:rsid w:val="11E93F48"/>
    <w:rsid w:val="120B3E68"/>
    <w:rsid w:val="120D502F"/>
    <w:rsid w:val="12137217"/>
    <w:rsid w:val="1248752A"/>
    <w:rsid w:val="128A31A9"/>
    <w:rsid w:val="128A74D9"/>
    <w:rsid w:val="128C031E"/>
    <w:rsid w:val="128E0622"/>
    <w:rsid w:val="129351A3"/>
    <w:rsid w:val="12980596"/>
    <w:rsid w:val="12AB56A1"/>
    <w:rsid w:val="12B96010"/>
    <w:rsid w:val="12BE652F"/>
    <w:rsid w:val="12E50BB3"/>
    <w:rsid w:val="12E53EF3"/>
    <w:rsid w:val="133C6E65"/>
    <w:rsid w:val="13533D6F"/>
    <w:rsid w:val="137665AC"/>
    <w:rsid w:val="137912FC"/>
    <w:rsid w:val="13833F28"/>
    <w:rsid w:val="13882BD5"/>
    <w:rsid w:val="139D3DC9"/>
    <w:rsid w:val="13A9135A"/>
    <w:rsid w:val="13D17842"/>
    <w:rsid w:val="13D910C2"/>
    <w:rsid w:val="13DD7ADC"/>
    <w:rsid w:val="13DF637D"/>
    <w:rsid w:val="13F6251E"/>
    <w:rsid w:val="13F967EA"/>
    <w:rsid w:val="14244F37"/>
    <w:rsid w:val="14467430"/>
    <w:rsid w:val="147A17CF"/>
    <w:rsid w:val="148461AA"/>
    <w:rsid w:val="148512C7"/>
    <w:rsid w:val="14972381"/>
    <w:rsid w:val="14AE5667"/>
    <w:rsid w:val="14B06F9F"/>
    <w:rsid w:val="14BE16BC"/>
    <w:rsid w:val="14C91E0F"/>
    <w:rsid w:val="14D902A4"/>
    <w:rsid w:val="14E12BBF"/>
    <w:rsid w:val="14E37374"/>
    <w:rsid w:val="14FA6B07"/>
    <w:rsid w:val="1518406F"/>
    <w:rsid w:val="1530627B"/>
    <w:rsid w:val="155362A8"/>
    <w:rsid w:val="15606733"/>
    <w:rsid w:val="158C247F"/>
    <w:rsid w:val="158E5532"/>
    <w:rsid w:val="159611F5"/>
    <w:rsid w:val="15966195"/>
    <w:rsid w:val="15973E5E"/>
    <w:rsid w:val="159F14ED"/>
    <w:rsid w:val="15CA4090"/>
    <w:rsid w:val="15D13671"/>
    <w:rsid w:val="15DB629E"/>
    <w:rsid w:val="15F10ACB"/>
    <w:rsid w:val="15F555B1"/>
    <w:rsid w:val="15FE5AE5"/>
    <w:rsid w:val="16014C46"/>
    <w:rsid w:val="1602382A"/>
    <w:rsid w:val="160E0421"/>
    <w:rsid w:val="162E4E61"/>
    <w:rsid w:val="16413F01"/>
    <w:rsid w:val="16445BF1"/>
    <w:rsid w:val="16685D83"/>
    <w:rsid w:val="167376B3"/>
    <w:rsid w:val="167C35DD"/>
    <w:rsid w:val="168D57EA"/>
    <w:rsid w:val="16AA6696"/>
    <w:rsid w:val="16D10200"/>
    <w:rsid w:val="16DE1BA1"/>
    <w:rsid w:val="16E01DBD"/>
    <w:rsid w:val="16F810AC"/>
    <w:rsid w:val="16FA2753"/>
    <w:rsid w:val="16FE2A24"/>
    <w:rsid w:val="17147CB9"/>
    <w:rsid w:val="17183704"/>
    <w:rsid w:val="171D2AD6"/>
    <w:rsid w:val="1720040C"/>
    <w:rsid w:val="1720665E"/>
    <w:rsid w:val="172F68A1"/>
    <w:rsid w:val="17361E04"/>
    <w:rsid w:val="173E3A86"/>
    <w:rsid w:val="17410382"/>
    <w:rsid w:val="175D340E"/>
    <w:rsid w:val="17650515"/>
    <w:rsid w:val="17683B61"/>
    <w:rsid w:val="177644D0"/>
    <w:rsid w:val="17832749"/>
    <w:rsid w:val="178730E2"/>
    <w:rsid w:val="17884203"/>
    <w:rsid w:val="17B1375A"/>
    <w:rsid w:val="17B31280"/>
    <w:rsid w:val="17C3523B"/>
    <w:rsid w:val="17F11DA8"/>
    <w:rsid w:val="181139FA"/>
    <w:rsid w:val="1824469F"/>
    <w:rsid w:val="18276547"/>
    <w:rsid w:val="182F681F"/>
    <w:rsid w:val="183172BA"/>
    <w:rsid w:val="183A374F"/>
    <w:rsid w:val="183F0D66"/>
    <w:rsid w:val="18487457"/>
    <w:rsid w:val="184F23B0"/>
    <w:rsid w:val="184F7319"/>
    <w:rsid w:val="185C0FDF"/>
    <w:rsid w:val="187C78C4"/>
    <w:rsid w:val="18842C1C"/>
    <w:rsid w:val="18900F51"/>
    <w:rsid w:val="189746FE"/>
    <w:rsid w:val="189A2440"/>
    <w:rsid w:val="18A50B1D"/>
    <w:rsid w:val="18A961DF"/>
    <w:rsid w:val="18BE083C"/>
    <w:rsid w:val="18C33745"/>
    <w:rsid w:val="18D25736"/>
    <w:rsid w:val="18D53478"/>
    <w:rsid w:val="18DC0363"/>
    <w:rsid w:val="18F27B86"/>
    <w:rsid w:val="18FA2EDF"/>
    <w:rsid w:val="190F698A"/>
    <w:rsid w:val="191E4E1F"/>
    <w:rsid w:val="19211ABB"/>
    <w:rsid w:val="193264F6"/>
    <w:rsid w:val="194B1C0F"/>
    <w:rsid w:val="197762DD"/>
    <w:rsid w:val="19780029"/>
    <w:rsid w:val="197D49F6"/>
    <w:rsid w:val="1983309B"/>
    <w:rsid w:val="19893FDC"/>
    <w:rsid w:val="19924EC5"/>
    <w:rsid w:val="19996254"/>
    <w:rsid w:val="19BB703C"/>
    <w:rsid w:val="19D43730"/>
    <w:rsid w:val="19D54550"/>
    <w:rsid w:val="19E11176"/>
    <w:rsid w:val="19E5593D"/>
    <w:rsid w:val="19EE511C"/>
    <w:rsid w:val="19EF40C6"/>
    <w:rsid w:val="19F07944"/>
    <w:rsid w:val="19F171D4"/>
    <w:rsid w:val="19FC50E4"/>
    <w:rsid w:val="1A1678A4"/>
    <w:rsid w:val="1A1A3838"/>
    <w:rsid w:val="1A2024D1"/>
    <w:rsid w:val="1A292810"/>
    <w:rsid w:val="1A3601CA"/>
    <w:rsid w:val="1A3B2391"/>
    <w:rsid w:val="1A3C4288"/>
    <w:rsid w:val="1A462678"/>
    <w:rsid w:val="1A495ECC"/>
    <w:rsid w:val="1A4E703E"/>
    <w:rsid w:val="1A5D54D3"/>
    <w:rsid w:val="1A7171D0"/>
    <w:rsid w:val="1A756CC1"/>
    <w:rsid w:val="1A7B1DFD"/>
    <w:rsid w:val="1A9D1D74"/>
    <w:rsid w:val="1AAE3F81"/>
    <w:rsid w:val="1AB23A71"/>
    <w:rsid w:val="1AD559B1"/>
    <w:rsid w:val="1ADE4866"/>
    <w:rsid w:val="1AE41750"/>
    <w:rsid w:val="1AE92047"/>
    <w:rsid w:val="1AEF6A73"/>
    <w:rsid w:val="1B00004C"/>
    <w:rsid w:val="1B097409"/>
    <w:rsid w:val="1B0B3181"/>
    <w:rsid w:val="1B0F0EC3"/>
    <w:rsid w:val="1B1F4E7E"/>
    <w:rsid w:val="1B293607"/>
    <w:rsid w:val="1B3F107D"/>
    <w:rsid w:val="1B542D7A"/>
    <w:rsid w:val="1B592A87"/>
    <w:rsid w:val="1B632FBD"/>
    <w:rsid w:val="1B634D6B"/>
    <w:rsid w:val="1B656D35"/>
    <w:rsid w:val="1B7C7BDB"/>
    <w:rsid w:val="1B7E1BA5"/>
    <w:rsid w:val="1BA3785E"/>
    <w:rsid w:val="1BA51172"/>
    <w:rsid w:val="1BA809D0"/>
    <w:rsid w:val="1BB738C0"/>
    <w:rsid w:val="1BC7354C"/>
    <w:rsid w:val="1BCA6B98"/>
    <w:rsid w:val="1BCD0437"/>
    <w:rsid w:val="1BD9502D"/>
    <w:rsid w:val="1BF14125"/>
    <w:rsid w:val="1BFB1448"/>
    <w:rsid w:val="1C0876C1"/>
    <w:rsid w:val="1C0B6CC5"/>
    <w:rsid w:val="1C116575"/>
    <w:rsid w:val="1C252021"/>
    <w:rsid w:val="1C26576A"/>
    <w:rsid w:val="1C2E5379"/>
    <w:rsid w:val="1C346708"/>
    <w:rsid w:val="1C424981"/>
    <w:rsid w:val="1C456157"/>
    <w:rsid w:val="1C6000E4"/>
    <w:rsid w:val="1C7D1E5D"/>
    <w:rsid w:val="1C8C20A0"/>
    <w:rsid w:val="1C901B90"/>
    <w:rsid w:val="1C951E9A"/>
    <w:rsid w:val="1C9B22E3"/>
    <w:rsid w:val="1CA321BF"/>
    <w:rsid w:val="1CA4388D"/>
    <w:rsid w:val="1CA910AD"/>
    <w:rsid w:val="1CB03FE0"/>
    <w:rsid w:val="1CB617E9"/>
    <w:rsid w:val="1CB810E7"/>
    <w:rsid w:val="1CBD494F"/>
    <w:rsid w:val="1CCC4B92"/>
    <w:rsid w:val="1CD221A8"/>
    <w:rsid w:val="1CEC1E00"/>
    <w:rsid w:val="1CF46A5F"/>
    <w:rsid w:val="1D0B7468"/>
    <w:rsid w:val="1D11460D"/>
    <w:rsid w:val="1D137C4C"/>
    <w:rsid w:val="1D2E7226"/>
    <w:rsid w:val="1D48246B"/>
    <w:rsid w:val="1D484219"/>
    <w:rsid w:val="1D4D5CD3"/>
    <w:rsid w:val="1D666D95"/>
    <w:rsid w:val="1D785968"/>
    <w:rsid w:val="1D7C2114"/>
    <w:rsid w:val="1D8C59D8"/>
    <w:rsid w:val="1DA022A7"/>
    <w:rsid w:val="1DBA2C3C"/>
    <w:rsid w:val="1DD40965"/>
    <w:rsid w:val="1DEA1774"/>
    <w:rsid w:val="1DF95513"/>
    <w:rsid w:val="1E0740D4"/>
    <w:rsid w:val="1E0931B8"/>
    <w:rsid w:val="1E0A3BC4"/>
    <w:rsid w:val="1E171E3D"/>
    <w:rsid w:val="1E1A0C0C"/>
    <w:rsid w:val="1E256308"/>
    <w:rsid w:val="1E3B17F8"/>
    <w:rsid w:val="1E3B1FCF"/>
    <w:rsid w:val="1E5170FD"/>
    <w:rsid w:val="1E60749F"/>
    <w:rsid w:val="1E6339A5"/>
    <w:rsid w:val="1E693F76"/>
    <w:rsid w:val="1E8012A7"/>
    <w:rsid w:val="1E9D4821"/>
    <w:rsid w:val="1EBB4EBE"/>
    <w:rsid w:val="1EBD0C36"/>
    <w:rsid w:val="1EC44C3A"/>
    <w:rsid w:val="1EC56347"/>
    <w:rsid w:val="1EFC0E8A"/>
    <w:rsid w:val="1F073C5F"/>
    <w:rsid w:val="1F0A5450"/>
    <w:rsid w:val="1F120F82"/>
    <w:rsid w:val="1F2C41FC"/>
    <w:rsid w:val="1F3233D2"/>
    <w:rsid w:val="1F5C21FD"/>
    <w:rsid w:val="1F6317DE"/>
    <w:rsid w:val="1F686DF4"/>
    <w:rsid w:val="1F6B2D3B"/>
    <w:rsid w:val="1F7C6E58"/>
    <w:rsid w:val="1F933745"/>
    <w:rsid w:val="1F973235"/>
    <w:rsid w:val="1FAF0693"/>
    <w:rsid w:val="1FAF4A23"/>
    <w:rsid w:val="1FBB33C8"/>
    <w:rsid w:val="1FC97167"/>
    <w:rsid w:val="1FD6494D"/>
    <w:rsid w:val="2005413E"/>
    <w:rsid w:val="202306A5"/>
    <w:rsid w:val="202F16C0"/>
    <w:rsid w:val="20391D63"/>
    <w:rsid w:val="20495917"/>
    <w:rsid w:val="205102FB"/>
    <w:rsid w:val="20621A95"/>
    <w:rsid w:val="20670E5A"/>
    <w:rsid w:val="2080016D"/>
    <w:rsid w:val="20A976C4"/>
    <w:rsid w:val="20AC266A"/>
    <w:rsid w:val="20CB7E8D"/>
    <w:rsid w:val="20D504B9"/>
    <w:rsid w:val="20E2725E"/>
    <w:rsid w:val="20F27107"/>
    <w:rsid w:val="211B1C44"/>
    <w:rsid w:val="21216CB4"/>
    <w:rsid w:val="21455C79"/>
    <w:rsid w:val="214B42D7"/>
    <w:rsid w:val="215C4736"/>
    <w:rsid w:val="216013A3"/>
    <w:rsid w:val="21696E53"/>
    <w:rsid w:val="216F7EA8"/>
    <w:rsid w:val="21703D3E"/>
    <w:rsid w:val="217C0EAC"/>
    <w:rsid w:val="218D2336"/>
    <w:rsid w:val="21CE6FC1"/>
    <w:rsid w:val="21E9408A"/>
    <w:rsid w:val="21FC1A76"/>
    <w:rsid w:val="21FF3314"/>
    <w:rsid w:val="221015CE"/>
    <w:rsid w:val="221943D6"/>
    <w:rsid w:val="223C71EA"/>
    <w:rsid w:val="22656DE8"/>
    <w:rsid w:val="2284785A"/>
    <w:rsid w:val="229C0B63"/>
    <w:rsid w:val="229E0D7F"/>
    <w:rsid w:val="22B51564"/>
    <w:rsid w:val="22BD1205"/>
    <w:rsid w:val="22C13C2C"/>
    <w:rsid w:val="22D24584"/>
    <w:rsid w:val="22F2532D"/>
    <w:rsid w:val="22F511E4"/>
    <w:rsid w:val="22F85AD8"/>
    <w:rsid w:val="230230BC"/>
    <w:rsid w:val="23034FF2"/>
    <w:rsid w:val="2309444A"/>
    <w:rsid w:val="232B2A4D"/>
    <w:rsid w:val="232E5C5F"/>
    <w:rsid w:val="232F19D7"/>
    <w:rsid w:val="234C07DB"/>
    <w:rsid w:val="234E4A38"/>
    <w:rsid w:val="23616034"/>
    <w:rsid w:val="23821690"/>
    <w:rsid w:val="23865A9B"/>
    <w:rsid w:val="23A81D74"/>
    <w:rsid w:val="23AB72AF"/>
    <w:rsid w:val="23B24AE2"/>
    <w:rsid w:val="23E255AA"/>
    <w:rsid w:val="23F0560A"/>
    <w:rsid w:val="23F131A4"/>
    <w:rsid w:val="23F3486F"/>
    <w:rsid w:val="24044C11"/>
    <w:rsid w:val="240A66CC"/>
    <w:rsid w:val="242B03F0"/>
    <w:rsid w:val="2448718D"/>
    <w:rsid w:val="24572166"/>
    <w:rsid w:val="2459141E"/>
    <w:rsid w:val="245C2C9F"/>
    <w:rsid w:val="2460453E"/>
    <w:rsid w:val="24651B54"/>
    <w:rsid w:val="24773687"/>
    <w:rsid w:val="24A0493A"/>
    <w:rsid w:val="24CC4A20"/>
    <w:rsid w:val="24F36364"/>
    <w:rsid w:val="250255F5"/>
    <w:rsid w:val="250824DF"/>
    <w:rsid w:val="2513335E"/>
    <w:rsid w:val="25186BC6"/>
    <w:rsid w:val="25196CBA"/>
    <w:rsid w:val="251D1057"/>
    <w:rsid w:val="25201F1F"/>
    <w:rsid w:val="2524471A"/>
    <w:rsid w:val="25377A4F"/>
    <w:rsid w:val="25461985"/>
    <w:rsid w:val="2561056D"/>
    <w:rsid w:val="259D531E"/>
    <w:rsid w:val="25B52667"/>
    <w:rsid w:val="25C12DBA"/>
    <w:rsid w:val="25CB1E8B"/>
    <w:rsid w:val="25D311A3"/>
    <w:rsid w:val="25DA28A3"/>
    <w:rsid w:val="25E706DC"/>
    <w:rsid w:val="26061115"/>
    <w:rsid w:val="26065807"/>
    <w:rsid w:val="26112CDF"/>
    <w:rsid w:val="26143832"/>
    <w:rsid w:val="261A4BC0"/>
    <w:rsid w:val="261E2766"/>
    <w:rsid w:val="261F21D6"/>
    <w:rsid w:val="262477ED"/>
    <w:rsid w:val="26270EA6"/>
    <w:rsid w:val="26284B53"/>
    <w:rsid w:val="262B0B7B"/>
    <w:rsid w:val="263C1A9E"/>
    <w:rsid w:val="2649379D"/>
    <w:rsid w:val="267F3376"/>
    <w:rsid w:val="2688673E"/>
    <w:rsid w:val="26A34BB6"/>
    <w:rsid w:val="26A5448A"/>
    <w:rsid w:val="26D70E01"/>
    <w:rsid w:val="26E256DE"/>
    <w:rsid w:val="26E33204"/>
    <w:rsid w:val="26E53D27"/>
    <w:rsid w:val="26E72CF4"/>
    <w:rsid w:val="26E87F4D"/>
    <w:rsid w:val="26EA00EF"/>
    <w:rsid w:val="26EB3E67"/>
    <w:rsid w:val="26ED5E31"/>
    <w:rsid w:val="26EF1BA9"/>
    <w:rsid w:val="27000A72"/>
    <w:rsid w:val="2719547E"/>
    <w:rsid w:val="27351CB2"/>
    <w:rsid w:val="273B6B9C"/>
    <w:rsid w:val="274A5031"/>
    <w:rsid w:val="274C0DA9"/>
    <w:rsid w:val="27604855"/>
    <w:rsid w:val="27677991"/>
    <w:rsid w:val="277A2E88"/>
    <w:rsid w:val="27822A1D"/>
    <w:rsid w:val="278E592E"/>
    <w:rsid w:val="27BB72C5"/>
    <w:rsid w:val="27C13545"/>
    <w:rsid w:val="27C6290A"/>
    <w:rsid w:val="27DE7695"/>
    <w:rsid w:val="27E56B08"/>
    <w:rsid w:val="27F751B9"/>
    <w:rsid w:val="27FD77C3"/>
    <w:rsid w:val="2816186A"/>
    <w:rsid w:val="28341F69"/>
    <w:rsid w:val="283E4B96"/>
    <w:rsid w:val="28445F24"/>
    <w:rsid w:val="284B72B3"/>
    <w:rsid w:val="2852419D"/>
    <w:rsid w:val="285A12A4"/>
    <w:rsid w:val="28687E65"/>
    <w:rsid w:val="28722A91"/>
    <w:rsid w:val="287B7B98"/>
    <w:rsid w:val="28893937"/>
    <w:rsid w:val="28966B51"/>
    <w:rsid w:val="28A013AD"/>
    <w:rsid w:val="28A864B3"/>
    <w:rsid w:val="28AD3ACA"/>
    <w:rsid w:val="28B40413"/>
    <w:rsid w:val="28C44C2F"/>
    <w:rsid w:val="28CB0F8D"/>
    <w:rsid w:val="28D9041B"/>
    <w:rsid w:val="28DE2738"/>
    <w:rsid w:val="28F75EED"/>
    <w:rsid w:val="28FC6C87"/>
    <w:rsid w:val="29037B8D"/>
    <w:rsid w:val="29072B1E"/>
    <w:rsid w:val="290851A4"/>
    <w:rsid w:val="290C0968"/>
    <w:rsid w:val="2919442A"/>
    <w:rsid w:val="293E0BC6"/>
    <w:rsid w:val="29490B37"/>
    <w:rsid w:val="294C08EC"/>
    <w:rsid w:val="295412E9"/>
    <w:rsid w:val="29712D49"/>
    <w:rsid w:val="299B07F1"/>
    <w:rsid w:val="299B7DC6"/>
    <w:rsid w:val="29BF3AB4"/>
    <w:rsid w:val="29C466B5"/>
    <w:rsid w:val="29D07A70"/>
    <w:rsid w:val="29D3130E"/>
    <w:rsid w:val="29D532D8"/>
    <w:rsid w:val="29E654E5"/>
    <w:rsid w:val="29E76B67"/>
    <w:rsid w:val="29F37C02"/>
    <w:rsid w:val="2A0239A1"/>
    <w:rsid w:val="2A0E2346"/>
    <w:rsid w:val="2A104310"/>
    <w:rsid w:val="2A17569E"/>
    <w:rsid w:val="2A1A390D"/>
    <w:rsid w:val="2A385615"/>
    <w:rsid w:val="2A5266D7"/>
    <w:rsid w:val="2A5A558B"/>
    <w:rsid w:val="2A6F54DA"/>
    <w:rsid w:val="2A704DAF"/>
    <w:rsid w:val="2A783C63"/>
    <w:rsid w:val="2A8820F8"/>
    <w:rsid w:val="2A944F41"/>
    <w:rsid w:val="2AA52B94"/>
    <w:rsid w:val="2AB729DE"/>
    <w:rsid w:val="2AC66409"/>
    <w:rsid w:val="2ACD3F01"/>
    <w:rsid w:val="2AE31A25"/>
    <w:rsid w:val="2AEB08D9"/>
    <w:rsid w:val="2B0379D1"/>
    <w:rsid w:val="2B165956"/>
    <w:rsid w:val="2B2A24E3"/>
    <w:rsid w:val="2B5D4856"/>
    <w:rsid w:val="2B6E5792"/>
    <w:rsid w:val="2B6F32B8"/>
    <w:rsid w:val="2B7663F5"/>
    <w:rsid w:val="2B9E594C"/>
    <w:rsid w:val="2BA03472"/>
    <w:rsid w:val="2BAD5B8F"/>
    <w:rsid w:val="2BB45838"/>
    <w:rsid w:val="2BC12932"/>
    <w:rsid w:val="2BC311E8"/>
    <w:rsid w:val="2BC35549"/>
    <w:rsid w:val="2BCE4483"/>
    <w:rsid w:val="2BE92FDB"/>
    <w:rsid w:val="2BF51A0F"/>
    <w:rsid w:val="2BF546A7"/>
    <w:rsid w:val="2BF97DCD"/>
    <w:rsid w:val="2C05375B"/>
    <w:rsid w:val="2C102DCB"/>
    <w:rsid w:val="2C161986"/>
    <w:rsid w:val="2C1C51EE"/>
    <w:rsid w:val="2C267E1B"/>
    <w:rsid w:val="2C763007"/>
    <w:rsid w:val="2C7D11F9"/>
    <w:rsid w:val="2C9F0B8C"/>
    <w:rsid w:val="2CD77367"/>
    <w:rsid w:val="2CDE24A4"/>
    <w:rsid w:val="2D263E4A"/>
    <w:rsid w:val="2D314CC9"/>
    <w:rsid w:val="2D410C84"/>
    <w:rsid w:val="2D4B4F87"/>
    <w:rsid w:val="2D4B565F"/>
    <w:rsid w:val="2D5269EE"/>
    <w:rsid w:val="2D594220"/>
    <w:rsid w:val="2D652BC5"/>
    <w:rsid w:val="2D76540B"/>
    <w:rsid w:val="2D984D48"/>
    <w:rsid w:val="2D990AC0"/>
    <w:rsid w:val="2D9C2B68"/>
    <w:rsid w:val="2DBB27E5"/>
    <w:rsid w:val="2DC31699"/>
    <w:rsid w:val="2DD64AF9"/>
    <w:rsid w:val="2DFF7816"/>
    <w:rsid w:val="2E053A60"/>
    <w:rsid w:val="2E1A39AF"/>
    <w:rsid w:val="2E2873BA"/>
    <w:rsid w:val="2E3F51C4"/>
    <w:rsid w:val="2E407D27"/>
    <w:rsid w:val="2E412FB9"/>
    <w:rsid w:val="2E442B91"/>
    <w:rsid w:val="2E536EC1"/>
    <w:rsid w:val="2E813A2E"/>
    <w:rsid w:val="2E9279E9"/>
    <w:rsid w:val="2EC62A28"/>
    <w:rsid w:val="2EC62B67"/>
    <w:rsid w:val="2ECB4CA9"/>
    <w:rsid w:val="2ECC2D9C"/>
    <w:rsid w:val="2ECF0C01"/>
    <w:rsid w:val="2F032695"/>
    <w:rsid w:val="2F0B09F4"/>
    <w:rsid w:val="2F171C9D"/>
    <w:rsid w:val="2F2C0B1D"/>
    <w:rsid w:val="2F4B2FCD"/>
    <w:rsid w:val="2F503401"/>
    <w:rsid w:val="2F57653D"/>
    <w:rsid w:val="2F757C4D"/>
    <w:rsid w:val="2F776BDF"/>
    <w:rsid w:val="2F7B047E"/>
    <w:rsid w:val="2F7C41F6"/>
    <w:rsid w:val="2F7E5AF2"/>
    <w:rsid w:val="2F89790B"/>
    <w:rsid w:val="2FA86B77"/>
    <w:rsid w:val="2FAE3BB0"/>
    <w:rsid w:val="2FAF1ED5"/>
    <w:rsid w:val="2FB219C5"/>
    <w:rsid w:val="2FC33BD3"/>
    <w:rsid w:val="2FC93106"/>
    <w:rsid w:val="2FE14059"/>
    <w:rsid w:val="2FF1420B"/>
    <w:rsid w:val="2FF41FDE"/>
    <w:rsid w:val="2FFC25FA"/>
    <w:rsid w:val="30032221"/>
    <w:rsid w:val="30096652"/>
    <w:rsid w:val="30150C61"/>
    <w:rsid w:val="3018616B"/>
    <w:rsid w:val="302C5048"/>
    <w:rsid w:val="30497E1A"/>
    <w:rsid w:val="305331A8"/>
    <w:rsid w:val="307B1539"/>
    <w:rsid w:val="3081020E"/>
    <w:rsid w:val="3096674E"/>
    <w:rsid w:val="30BD3257"/>
    <w:rsid w:val="30C23E8A"/>
    <w:rsid w:val="30F76774"/>
    <w:rsid w:val="30FD4EC2"/>
    <w:rsid w:val="30FF50DE"/>
    <w:rsid w:val="31012C04"/>
    <w:rsid w:val="31093867"/>
    <w:rsid w:val="31117376"/>
    <w:rsid w:val="31464ABB"/>
    <w:rsid w:val="3151710E"/>
    <w:rsid w:val="31734CC5"/>
    <w:rsid w:val="318850D4"/>
    <w:rsid w:val="31973569"/>
    <w:rsid w:val="31A35A6A"/>
    <w:rsid w:val="31BA6EE9"/>
    <w:rsid w:val="31BE4652"/>
    <w:rsid w:val="31E517CB"/>
    <w:rsid w:val="31F6203D"/>
    <w:rsid w:val="31FD7E1A"/>
    <w:rsid w:val="31FE5396"/>
    <w:rsid w:val="32075FF9"/>
    <w:rsid w:val="323D1A1A"/>
    <w:rsid w:val="325A6A70"/>
    <w:rsid w:val="32700C5D"/>
    <w:rsid w:val="32787B12"/>
    <w:rsid w:val="328533C1"/>
    <w:rsid w:val="3288489A"/>
    <w:rsid w:val="3291620A"/>
    <w:rsid w:val="32951856"/>
    <w:rsid w:val="32A4443E"/>
    <w:rsid w:val="32A95302"/>
    <w:rsid w:val="32AF043E"/>
    <w:rsid w:val="32C33F44"/>
    <w:rsid w:val="32CC0FF0"/>
    <w:rsid w:val="32CE4D68"/>
    <w:rsid w:val="32D731D7"/>
    <w:rsid w:val="32E10397"/>
    <w:rsid w:val="32FC7B27"/>
    <w:rsid w:val="33136C1F"/>
    <w:rsid w:val="331A4424"/>
    <w:rsid w:val="332B21BB"/>
    <w:rsid w:val="335C2374"/>
    <w:rsid w:val="338E69A7"/>
    <w:rsid w:val="339A6A80"/>
    <w:rsid w:val="339E473B"/>
    <w:rsid w:val="33A969EF"/>
    <w:rsid w:val="33AB6E58"/>
    <w:rsid w:val="33B020BC"/>
    <w:rsid w:val="33B50A84"/>
    <w:rsid w:val="340824FC"/>
    <w:rsid w:val="341113B0"/>
    <w:rsid w:val="34205A03"/>
    <w:rsid w:val="34205C46"/>
    <w:rsid w:val="34AB35B3"/>
    <w:rsid w:val="34C06933"/>
    <w:rsid w:val="34C93A39"/>
    <w:rsid w:val="34D66156"/>
    <w:rsid w:val="350523B2"/>
    <w:rsid w:val="35123210"/>
    <w:rsid w:val="3521651D"/>
    <w:rsid w:val="352F64C7"/>
    <w:rsid w:val="35305866"/>
    <w:rsid w:val="35417A73"/>
    <w:rsid w:val="3586192A"/>
    <w:rsid w:val="35A91C14"/>
    <w:rsid w:val="35B2271F"/>
    <w:rsid w:val="35C43864"/>
    <w:rsid w:val="35C6441D"/>
    <w:rsid w:val="35D22DC1"/>
    <w:rsid w:val="35E13F11"/>
    <w:rsid w:val="36274EBB"/>
    <w:rsid w:val="362A1092"/>
    <w:rsid w:val="36481A4A"/>
    <w:rsid w:val="36482FB6"/>
    <w:rsid w:val="365C2B8E"/>
    <w:rsid w:val="365F1A78"/>
    <w:rsid w:val="366652B8"/>
    <w:rsid w:val="366854D4"/>
    <w:rsid w:val="36743E79"/>
    <w:rsid w:val="367F56FB"/>
    <w:rsid w:val="368045CB"/>
    <w:rsid w:val="36806379"/>
    <w:rsid w:val="36810B8F"/>
    <w:rsid w:val="36882EA0"/>
    <w:rsid w:val="369D10EE"/>
    <w:rsid w:val="36AC3612"/>
    <w:rsid w:val="36B85B13"/>
    <w:rsid w:val="36C639C4"/>
    <w:rsid w:val="36D9513A"/>
    <w:rsid w:val="36F31241"/>
    <w:rsid w:val="36FB1EA4"/>
    <w:rsid w:val="36FC6348"/>
    <w:rsid w:val="372D47B0"/>
    <w:rsid w:val="373C4996"/>
    <w:rsid w:val="374B41AC"/>
    <w:rsid w:val="376B702A"/>
    <w:rsid w:val="376E7705"/>
    <w:rsid w:val="37735EDE"/>
    <w:rsid w:val="37871F49"/>
    <w:rsid w:val="378D51F2"/>
    <w:rsid w:val="37A83DDA"/>
    <w:rsid w:val="37EA7532"/>
    <w:rsid w:val="37F232A7"/>
    <w:rsid w:val="37F30DCD"/>
    <w:rsid w:val="37F708BD"/>
    <w:rsid w:val="38130AA1"/>
    <w:rsid w:val="38163439"/>
    <w:rsid w:val="382471D8"/>
    <w:rsid w:val="384C5EB1"/>
    <w:rsid w:val="38544318"/>
    <w:rsid w:val="385B52F0"/>
    <w:rsid w:val="385E26EA"/>
    <w:rsid w:val="38743CBC"/>
    <w:rsid w:val="38797524"/>
    <w:rsid w:val="388B3187"/>
    <w:rsid w:val="389E6F8B"/>
    <w:rsid w:val="38AF1198"/>
    <w:rsid w:val="38C7746E"/>
    <w:rsid w:val="38D10418"/>
    <w:rsid w:val="38D806EF"/>
    <w:rsid w:val="38DE5D55"/>
    <w:rsid w:val="38E47094"/>
    <w:rsid w:val="38F96C02"/>
    <w:rsid w:val="390037A2"/>
    <w:rsid w:val="39127D2B"/>
    <w:rsid w:val="39200DE4"/>
    <w:rsid w:val="39276F80"/>
    <w:rsid w:val="393370B9"/>
    <w:rsid w:val="3941502B"/>
    <w:rsid w:val="394E275F"/>
    <w:rsid w:val="394F0120"/>
    <w:rsid w:val="395F671A"/>
    <w:rsid w:val="39602492"/>
    <w:rsid w:val="396D4118"/>
    <w:rsid w:val="39842625"/>
    <w:rsid w:val="39A64349"/>
    <w:rsid w:val="39BA4A39"/>
    <w:rsid w:val="39BE3C67"/>
    <w:rsid w:val="39F96B6F"/>
    <w:rsid w:val="3A117E08"/>
    <w:rsid w:val="3A19597F"/>
    <w:rsid w:val="3A1A574A"/>
    <w:rsid w:val="3A2F07E2"/>
    <w:rsid w:val="3A313A14"/>
    <w:rsid w:val="3A384179"/>
    <w:rsid w:val="3A441C36"/>
    <w:rsid w:val="3A611DF6"/>
    <w:rsid w:val="3A850402"/>
    <w:rsid w:val="3A9643BE"/>
    <w:rsid w:val="3A9D26B4"/>
    <w:rsid w:val="3AA06FEA"/>
    <w:rsid w:val="3AAC233A"/>
    <w:rsid w:val="3ABE1D64"/>
    <w:rsid w:val="3ABE3914"/>
    <w:rsid w:val="3AC56A51"/>
    <w:rsid w:val="3AC740C0"/>
    <w:rsid w:val="3AD23AF6"/>
    <w:rsid w:val="3AD47C5D"/>
    <w:rsid w:val="3AE635A9"/>
    <w:rsid w:val="3B1E2F28"/>
    <w:rsid w:val="3B277F29"/>
    <w:rsid w:val="3B3140E6"/>
    <w:rsid w:val="3B451940"/>
    <w:rsid w:val="3B6E533A"/>
    <w:rsid w:val="3B854432"/>
    <w:rsid w:val="3BA15C79"/>
    <w:rsid w:val="3BAC6B5C"/>
    <w:rsid w:val="3BDB4052"/>
    <w:rsid w:val="3BE949C1"/>
    <w:rsid w:val="3BF82E56"/>
    <w:rsid w:val="3C0435A9"/>
    <w:rsid w:val="3C2459F9"/>
    <w:rsid w:val="3C265E62"/>
    <w:rsid w:val="3C3A6681"/>
    <w:rsid w:val="3C3E020A"/>
    <w:rsid w:val="3C4A0360"/>
    <w:rsid w:val="3C50228E"/>
    <w:rsid w:val="3C56526E"/>
    <w:rsid w:val="3C643B4F"/>
    <w:rsid w:val="3C666012"/>
    <w:rsid w:val="3C6B187A"/>
    <w:rsid w:val="3CA1704A"/>
    <w:rsid w:val="3CCF005B"/>
    <w:rsid w:val="3CD25455"/>
    <w:rsid w:val="3CE04016"/>
    <w:rsid w:val="3CE27D8E"/>
    <w:rsid w:val="3CE84EAE"/>
    <w:rsid w:val="3CFC5231"/>
    <w:rsid w:val="3CFD4BC8"/>
    <w:rsid w:val="3D053A7C"/>
    <w:rsid w:val="3D332398"/>
    <w:rsid w:val="3D412D68"/>
    <w:rsid w:val="3D4C54F7"/>
    <w:rsid w:val="3D5B3EE4"/>
    <w:rsid w:val="3D663711"/>
    <w:rsid w:val="3D6668A6"/>
    <w:rsid w:val="3D793B23"/>
    <w:rsid w:val="3D81206E"/>
    <w:rsid w:val="3D9016CF"/>
    <w:rsid w:val="3DA43295"/>
    <w:rsid w:val="3DB8289D"/>
    <w:rsid w:val="3DCB4014"/>
    <w:rsid w:val="3DDD2303"/>
    <w:rsid w:val="3DF338D5"/>
    <w:rsid w:val="3E06048E"/>
    <w:rsid w:val="3E0E070F"/>
    <w:rsid w:val="3E1D4DF6"/>
    <w:rsid w:val="3E3C34CE"/>
    <w:rsid w:val="3E4B1963"/>
    <w:rsid w:val="3E75253C"/>
    <w:rsid w:val="3E840D10"/>
    <w:rsid w:val="3E982047"/>
    <w:rsid w:val="3EAD617A"/>
    <w:rsid w:val="3EB05C6A"/>
    <w:rsid w:val="3EC62D97"/>
    <w:rsid w:val="3ECC21A9"/>
    <w:rsid w:val="3EE33949"/>
    <w:rsid w:val="3F0A35CC"/>
    <w:rsid w:val="3F1A5865"/>
    <w:rsid w:val="3F1C6E5B"/>
    <w:rsid w:val="3F312907"/>
    <w:rsid w:val="3F3917BB"/>
    <w:rsid w:val="3F3D292B"/>
    <w:rsid w:val="3F3F34F1"/>
    <w:rsid w:val="3F47037C"/>
    <w:rsid w:val="3F54679F"/>
    <w:rsid w:val="3F6C7DE3"/>
    <w:rsid w:val="3F724CCD"/>
    <w:rsid w:val="3FA01C25"/>
    <w:rsid w:val="3FC714BD"/>
    <w:rsid w:val="3FD414E4"/>
    <w:rsid w:val="3FE060DB"/>
    <w:rsid w:val="3FEC4CDF"/>
    <w:rsid w:val="400E3B92"/>
    <w:rsid w:val="40307062"/>
    <w:rsid w:val="40330B47"/>
    <w:rsid w:val="4043592E"/>
    <w:rsid w:val="404D701A"/>
    <w:rsid w:val="405A7C3B"/>
    <w:rsid w:val="405D76B5"/>
    <w:rsid w:val="407F76A2"/>
    <w:rsid w:val="40902A17"/>
    <w:rsid w:val="40A14EA0"/>
    <w:rsid w:val="40A157BC"/>
    <w:rsid w:val="40A62E81"/>
    <w:rsid w:val="40B078B8"/>
    <w:rsid w:val="40B26D12"/>
    <w:rsid w:val="40B3412B"/>
    <w:rsid w:val="40B525F3"/>
    <w:rsid w:val="40B76E3C"/>
    <w:rsid w:val="40C31C84"/>
    <w:rsid w:val="40D35F4D"/>
    <w:rsid w:val="40ED6D01"/>
    <w:rsid w:val="40F24318"/>
    <w:rsid w:val="40FC6F44"/>
    <w:rsid w:val="4100341E"/>
    <w:rsid w:val="41115672"/>
    <w:rsid w:val="411249BA"/>
    <w:rsid w:val="41320BB8"/>
    <w:rsid w:val="41384420"/>
    <w:rsid w:val="413C6FDE"/>
    <w:rsid w:val="41432DC5"/>
    <w:rsid w:val="414D154E"/>
    <w:rsid w:val="415B010F"/>
    <w:rsid w:val="41686388"/>
    <w:rsid w:val="418A09F4"/>
    <w:rsid w:val="4198181A"/>
    <w:rsid w:val="419B050B"/>
    <w:rsid w:val="41AC44C7"/>
    <w:rsid w:val="41B830B4"/>
    <w:rsid w:val="41C04416"/>
    <w:rsid w:val="41D414AF"/>
    <w:rsid w:val="41E11026"/>
    <w:rsid w:val="41E9396D"/>
    <w:rsid w:val="42091919"/>
    <w:rsid w:val="421259C5"/>
    <w:rsid w:val="422B74F8"/>
    <w:rsid w:val="423C1CEE"/>
    <w:rsid w:val="42552980"/>
    <w:rsid w:val="425A03C6"/>
    <w:rsid w:val="426359F2"/>
    <w:rsid w:val="42674891"/>
    <w:rsid w:val="4267663F"/>
    <w:rsid w:val="426E3E72"/>
    <w:rsid w:val="42710D92"/>
    <w:rsid w:val="42B37AD7"/>
    <w:rsid w:val="42C615B8"/>
    <w:rsid w:val="42E84E58"/>
    <w:rsid w:val="42E858D7"/>
    <w:rsid w:val="42EC6AB4"/>
    <w:rsid w:val="42EE0B0F"/>
    <w:rsid w:val="43000F6E"/>
    <w:rsid w:val="43014CE6"/>
    <w:rsid w:val="43095949"/>
    <w:rsid w:val="43104F29"/>
    <w:rsid w:val="431F270B"/>
    <w:rsid w:val="432F145E"/>
    <w:rsid w:val="43407946"/>
    <w:rsid w:val="43456981"/>
    <w:rsid w:val="4346170B"/>
    <w:rsid w:val="43545E2A"/>
    <w:rsid w:val="43624A57"/>
    <w:rsid w:val="43885E1B"/>
    <w:rsid w:val="43944BCA"/>
    <w:rsid w:val="4396542E"/>
    <w:rsid w:val="439E3355"/>
    <w:rsid w:val="43BB30E7"/>
    <w:rsid w:val="43C53F65"/>
    <w:rsid w:val="43C875B2"/>
    <w:rsid w:val="43CF26EE"/>
    <w:rsid w:val="43D83C99"/>
    <w:rsid w:val="43E268C5"/>
    <w:rsid w:val="43E77A38"/>
    <w:rsid w:val="43E837B0"/>
    <w:rsid w:val="43F565F9"/>
    <w:rsid w:val="43F73926"/>
    <w:rsid w:val="43FD725B"/>
    <w:rsid w:val="441C3B9A"/>
    <w:rsid w:val="441F0268"/>
    <w:rsid w:val="442A5B77"/>
    <w:rsid w:val="442F10A5"/>
    <w:rsid w:val="444963F9"/>
    <w:rsid w:val="445378BD"/>
    <w:rsid w:val="44654E01"/>
    <w:rsid w:val="446E12A2"/>
    <w:rsid w:val="44827D33"/>
    <w:rsid w:val="448714B7"/>
    <w:rsid w:val="4492209A"/>
    <w:rsid w:val="449450C7"/>
    <w:rsid w:val="44983428"/>
    <w:rsid w:val="44B813D4"/>
    <w:rsid w:val="44C55F14"/>
    <w:rsid w:val="44E75F68"/>
    <w:rsid w:val="44EA6B51"/>
    <w:rsid w:val="44EE129A"/>
    <w:rsid w:val="451E392D"/>
    <w:rsid w:val="45442C68"/>
    <w:rsid w:val="454A6D4C"/>
    <w:rsid w:val="45526C85"/>
    <w:rsid w:val="455A0D4E"/>
    <w:rsid w:val="4588349D"/>
    <w:rsid w:val="459040FF"/>
    <w:rsid w:val="459B67E1"/>
    <w:rsid w:val="45A60739"/>
    <w:rsid w:val="45AC0F39"/>
    <w:rsid w:val="45B47DEE"/>
    <w:rsid w:val="45D14C98"/>
    <w:rsid w:val="45D36EEF"/>
    <w:rsid w:val="45D95C77"/>
    <w:rsid w:val="45ED6D9B"/>
    <w:rsid w:val="45EE1552"/>
    <w:rsid w:val="45FD02EB"/>
    <w:rsid w:val="45FF375F"/>
    <w:rsid w:val="46001285"/>
    <w:rsid w:val="460F3276"/>
    <w:rsid w:val="46144D30"/>
    <w:rsid w:val="4615276B"/>
    <w:rsid w:val="461D5993"/>
    <w:rsid w:val="462C02CC"/>
    <w:rsid w:val="465670F7"/>
    <w:rsid w:val="466967F6"/>
    <w:rsid w:val="467F08FC"/>
    <w:rsid w:val="46A75BA4"/>
    <w:rsid w:val="46D32C92"/>
    <w:rsid w:val="46E97F6B"/>
    <w:rsid w:val="46EB1271"/>
    <w:rsid w:val="46FC37FA"/>
    <w:rsid w:val="47046B53"/>
    <w:rsid w:val="470705DB"/>
    <w:rsid w:val="471825FE"/>
    <w:rsid w:val="47264D1B"/>
    <w:rsid w:val="47525B10"/>
    <w:rsid w:val="47541888"/>
    <w:rsid w:val="47833F1C"/>
    <w:rsid w:val="47863A0C"/>
    <w:rsid w:val="4794128C"/>
    <w:rsid w:val="4799373F"/>
    <w:rsid w:val="47A10846"/>
    <w:rsid w:val="47AA76FA"/>
    <w:rsid w:val="47B16CDB"/>
    <w:rsid w:val="47EA074C"/>
    <w:rsid w:val="48027536"/>
    <w:rsid w:val="480C5CBF"/>
    <w:rsid w:val="48292120"/>
    <w:rsid w:val="48384D06"/>
    <w:rsid w:val="48435459"/>
    <w:rsid w:val="48466FD3"/>
    <w:rsid w:val="484D0086"/>
    <w:rsid w:val="484F3DFE"/>
    <w:rsid w:val="48547666"/>
    <w:rsid w:val="485B27A2"/>
    <w:rsid w:val="485B6C46"/>
    <w:rsid w:val="48691363"/>
    <w:rsid w:val="48733F90"/>
    <w:rsid w:val="487675DC"/>
    <w:rsid w:val="48835193"/>
    <w:rsid w:val="48914416"/>
    <w:rsid w:val="48961EDF"/>
    <w:rsid w:val="48AC2FFE"/>
    <w:rsid w:val="48C4659A"/>
    <w:rsid w:val="48CE11C6"/>
    <w:rsid w:val="48D82045"/>
    <w:rsid w:val="48D83DF3"/>
    <w:rsid w:val="49105C83"/>
    <w:rsid w:val="491F7DA8"/>
    <w:rsid w:val="493F6DDE"/>
    <w:rsid w:val="4944090D"/>
    <w:rsid w:val="49470F79"/>
    <w:rsid w:val="495021E1"/>
    <w:rsid w:val="49674173"/>
    <w:rsid w:val="4977185E"/>
    <w:rsid w:val="498B5309"/>
    <w:rsid w:val="49B24171"/>
    <w:rsid w:val="49C37A4D"/>
    <w:rsid w:val="49D17ABD"/>
    <w:rsid w:val="49FE3D2D"/>
    <w:rsid w:val="4A064990"/>
    <w:rsid w:val="4A0A0A51"/>
    <w:rsid w:val="4A0A0F8F"/>
    <w:rsid w:val="4A1A0935"/>
    <w:rsid w:val="4A20161B"/>
    <w:rsid w:val="4A280DAA"/>
    <w:rsid w:val="4A37417F"/>
    <w:rsid w:val="4A434F0F"/>
    <w:rsid w:val="4A462AB4"/>
    <w:rsid w:val="4A4D25BF"/>
    <w:rsid w:val="4A4F6337"/>
    <w:rsid w:val="4A513E5D"/>
    <w:rsid w:val="4A7638C4"/>
    <w:rsid w:val="4A7753E1"/>
    <w:rsid w:val="4A7A7858"/>
    <w:rsid w:val="4A944F6E"/>
    <w:rsid w:val="4AA64021"/>
    <w:rsid w:val="4AB368C6"/>
    <w:rsid w:val="4ABF0710"/>
    <w:rsid w:val="4AC97417"/>
    <w:rsid w:val="4B0215FB"/>
    <w:rsid w:val="4B043E66"/>
    <w:rsid w:val="4B052E99"/>
    <w:rsid w:val="4B173CAA"/>
    <w:rsid w:val="4B481704"/>
    <w:rsid w:val="4B4B4BA2"/>
    <w:rsid w:val="4B647BC0"/>
    <w:rsid w:val="4B7047B7"/>
    <w:rsid w:val="4B773D97"/>
    <w:rsid w:val="4B7A73E4"/>
    <w:rsid w:val="4B983D0E"/>
    <w:rsid w:val="4BAA51DD"/>
    <w:rsid w:val="4BAD1567"/>
    <w:rsid w:val="4BB24DCF"/>
    <w:rsid w:val="4BB5041C"/>
    <w:rsid w:val="4BC62D8B"/>
    <w:rsid w:val="4BEE0035"/>
    <w:rsid w:val="4BEE392E"/>
    <w:rsid w:val="4BF47196"/>
    <w:rsid w:val="4BFA0524"/>
    <w:rsid w:val="4C211B45"/>
    <w:rsid w:val="4C2303EE"/>
    <w:rsid w:val="4C3E28EB"/>
    <w:rsid w:val="4C4B0D80"/>
    <w:rsid w:val="4C4C5224"/>
    <w:rsid w:val="4C6C31D0"/>
    <w:rsid w:val="4C6D519A"/>
    <w:rsid w:val="4C7E73A7"/>
    <w:rsid w:val="4C85229A"/>
    <w:rsid w:val="4C8648C9"/>
    <w:rsid w:val="4C87578E"/>
    <w:rsid w:val="4C8775C8"/>
    <w:rsid w:val="4C880D77"/>
    <w:rsid w:val="4CA6347B"/>
    <w:rsid w:val="4CEC2563"/>
    <w:rsid w:val="4CEE1203"/>
    <w:rsid w:val="4D07114B"/>
    <w:rsid w:val="4D096C71"/>
    <w:rsid w:val="4D113D78"/>
    <w:rsid w:val="4D13189E"/>
    <w:rsid w:val="4D4F5191"/>
    <w:rsid w:val="4D7F6F33"/>
    <w:rsid w:val="4D810EFD"/>
    <w:rsid w:val="4D93478D"/>
    <w:rsid w:val="4D9C3AC1"/>
    <w:rsid w:val="4D9F3131"/>
    <w:rsid w:val="4DA3213D"/>
    <w:rsid w:val="4DAE5A6A"/>
    <w:rsid w:val="4DB7491F"/>
    <w:rsid w:val="4DB90697"/>
    <w:rsid w:val="4DD3727F"/>
    <w:rsid w:val="4DDE3BB8"/>
    <w:rsid w:val="4DDF4E97"/>
    <w:rsid w:val="4E0C2A7A"/>
    <w:rsid w:val="4E23783B"/>
    <w:rsid w:val="4E2B70BB"/>
    <w:rsid w:val="4E2C471D"/>
    <w:rsid w:val="4E2E44B5"/>
    <w:rsid w:val="4E3659E8"/>
    <w:rsid w:val="4E502308"/>
    <w:rsid w:val="4E5C54C6"/>
    <w:rsid w:val="4E7B637F"/>
    <w:rsid w:val="4E7B76FB"/>
    <w:rsid w:val="4E7E368F"/>
    <w:rsid w:val="4E9764FE"/>
    <w:rsid w:val="4EA330F5"/>
    <w:rsid w:val="4EB046F2"/>
    <w:rsid w:val="4EC340CE"/>
    <w:rsid w:val="4EF70D4B"/>
    <w:rsid w:val="4F1064E4"/>
    <w:rsid w:val="4F2002A2"/>
    <w:rsid w:val="4F2B3C1E"/>
    <w:rsid w:val="4F3B1CA9"/>
    <w:rsid w:val="4F5F33D1"/>
    <w:rsid w:val="4F63760E"/>
    <w:rsid w:val="4F895E47"/>
    <w:rsid w:val="4F8A7B95"/>
    <w:rsid w:val="4F905FB0"/>
    <w:rsid w:val="4F9273F2"/>
    <w:rsid w:val="4F9C5ED9"/>
    <w:rsid w:val="4FA64DF5"/>
    <w:rsid w:val="4FAD5FDA"/>
    <w:rsid w:val="4FB2265D"/>
    <w:rsid w:val="4FBA4253"/>
    <w:rsid w:val="4FBC621D"/>
    <w:rsid w:val="4FC0590F"/>
    <w:rsid w:val="4FF05EC6"/>
    <w:rsid w:val="50042DE1"/>
    <w:rsid w:val="50067498"/>
    <w:rsid w:val="50214404"/>
    <w:rsid w:val="50245B70"/>
    <w:rsid w:val="502B338D"/>
    <w:rsid w:val="50320046"/>
    <w:rsid w:val="50336663"/>
    <w:rsid w:val="50391267"/>
    <w:rsid w:val="504A1A7A"/>
    <w:rsid w:val="505228F3"/>
    <w:rsid w:val="50577CF3"/>
    <w:rsid w:val="505C7A00"/>
    <w:rsid w:val="5060129E"/>
    <w:rsid w:val="5080549C"/>
    <w:rsid w:val="50832D50"/>
    <w:rsid w:val="5085668E"/>
    <w:rsid w:val="508F534F"/>
    <w:rsid w:val="509E7406"/>
    <w:rsid w:val="50CA2A66"/>
    <w:rsid w:val="50D47596"/>
    <w:rsid w:val="50D852D8"/>
    <w:rsid w:val="50D92B4F"/>
    <w:rsid w:val="50DE21C3"/>
    <w:rsid w:val="51292338"/>
    <w:rsid w:val="51297982"/>
    <w:rsid w:val="513B7615"/>
    <w:rsid w:val="516923D4"/>
    <w:rsid w:val="51697F01"/>
    <w:rsid w:val="517774C2"/>
    <w:rsid w:val="517B5C63"/>
    <w:rsid w:val="518F5B09"/>
    <w:rsid w:val="519501CD"/>
    <w:rsid w:val="51A438B2"/>
    <w:rsid w:val="51A60F32"/>
    <w:rsid w:val="51A74CAA"/>
    <w:rsid w:val="51C15D6C"/>
    <w:rsid w:val="51C41C87"/>
    <w:rsid w:val="51DA53A6"/>
    <w:rsid w:val="51E23F34"/>
    <w:rsid w:val="520420FD"/>
    <w:rsid w:val="52100AA2"/>
    <w:rsid w:val="522002AE"/>
    <w:rsid w:val="52262073"/>
    <w:rsid w:val="523302EC"/>
    <w:rsid w:val="524A3FB4"/>
    <w:rsid w:val="527B6398"/>
    <w:rsid w:val="528075B4"/>
    <w:rsid w:val="52974D1F"/>
    <w:rsid w:val="52A81A14"/>
    <w:rsid w:val="52AD009F"/>
    <w:rsid w:val="52AF1926"/>
    <w:rsid w:val="52BE3092"/>
    <w:rsid w:val="52D83BAF"/>
    <w:rsid w:val="52E53CDC"/>
    <w:rsid w:val="52F069E0"/>
    <w:rsid w:val="53095C1D"/>
    <w:rsid w:val="53107713"/>
    <w:rsid w:val="53191BD8"/>
    <w:rsid w:val="53202F66"/>
    <w:rsid w:val="532C1A28"/>
    <w:rsid w:val="53417AE1"/>
    <w:rsid w:val="53513120"/>
    <w:rsid w:val="53605111"/>
    <w:rsid w:val="536A652E"/>
    <w:rsid w:val="537D5CC3"/>
    <w:rsid w:val="53837051"/>
    <w:rsid w:val="538E6122"/>
    <w:rsid w:val="53934E99"/>
    <w:rsid w:val="539A4AC7"/>
    <w:rsid w:val="53BC2C8F"/>
    <w:rsid w:val="53CC4567"/>
    <w:rsid w:val="53DF47C7"/>
    <w:rsid w:val="53E06252"/>
    <w:rsid w:val="541F09B0"/>
    <w:rsid w:val="543E18F6"/>
    <w:rsid w:val="544113E6"/>
    <w:rsid w:val="544B5DC1"/>
    <w:rsid w:val="544B7B6F"/>
    <w:rsid w:val="54617393"/>
    <w:rsid w:val="54624EB9"/>
    <w:rsid w:val="54642EDA"/>
    <w:rsid w:val="546B6463"/>
    <w:rsid w:val="54BF40B9"/>
    <w:rsid w:val="54D1317C"/>
    <w:rsid w:val="54FB3BA5"/>
    <w:rsid w:val="55147E97"/>
    <w:rsid w:val="5519029D"/>
    <w:rsid w:val="55230AEC"/>
    <w:rsid w:val="552A59D6"/>
    <w:rsid w:val="554051FA"/>
    <w:rsid w:val="55410F72"/>
    <w:rsid w:val="554967A4"/>
    <w:rsid w:val="554F18E1"/>
    <w:rsid w:val="555011E8"/>
    <w:rsid w:val="555220FC"/>
    <w:rsid w:val="55546EF7"/>
    <w:rsid w:val="55570796"/>
    <w:rsid w:val="5557225F"/>
    <w:rsid w:val="555D5DAC"/>
    <w:rsid w:val="55627866"/>
    <w:rsid w:val="55693F12"/>
    <w:rsid w:val="55733821"/>
    <w:rsid w:val="55886BA1"/>
    <w:rsid w:val="55AC6D33"/>
    <w:rsid w:val="55B465E9"/>
    <w:rsid w:val="55B81234"/>
    <w:rsid w:val="55C45E2B"/>
    <w:rsid w:val="55E36E4A"/>
    <w:rsid w:val="55E42029"/>
    <w:rsid w:val="56044479"/>
    <w:rsid w:val="56133150"/>
    <w:rsid w:val="56187F25"/>
    <w:rsid w:val="56292132"/>
    <w:rsid w:val="5630526E"/>
    <w:rsid w:val="563E6289"/>
    <w:rsid w:val="56475A92"/>
    <w:rsid w:val="56505911"/>
    <w:rsid w:val="5668781B"/>
    <w:rsid w:val="567F1D52"/>
    <w:rsid w:val="56850F51"/>
    <w:rsid w:val="568B5AC5"/>
    <w:rsid w:val="56A233C9"/>
    <w:rsid w:val="56B85988"/>
    <w:rsid w:val="56C37E91"/>
    <w:rsid w:val="56CB4F97"/>
    <w:rsid w:val="56DC0F52"/>
    <w:rsid w:val="56FC122F"/>
    <w:rsid w:val="570A0DF5"/>
    <w:rsid w:val="57144B90"/>
    <w:rsid w:val="57482663"/>
    <w:rsid w:val="576B23E6"/>
    <w:rsid w:val="578A4E52"/>
    <w:rsid w:val="578F349A"/>
    <w:rsid w:val="579B705F"/>
    <w:rsid w:val="579D0ED8"/>
    <w:rsid w:val="57B5124D"/>
    <w:rsid w:val="57B95737"/>
    <w:rsid w:val="58136F36"/>
    <w:rsid w:val="58421289"/>
    <w:rsid w:val="58496ABB"/>
    <w:rsid w:val="5853793A"/>
    <w:rsid w:val="58646A2B"/>
    <w:rsid w:val="586C6306"/>
    <w:rsid w:val="58737694"/>
    <w:rsid w:val="58767185"/>
    <w:rsid w:val="587D49B7"/>
    <w:rsid w:val="588B0E82"/>
    <w:rsid w:val="58B77EC9"/>
    <w:rsid w:val="58C779E0"/>
    <w:rsid w:val="58CD4FF7"/>
    <w:rsid w:val="58DA7713"/>
    <w:rsid w:val="58E32A6C"/>
    <w:rsid w:val="58FF717A"/>
    <w:rsid w:val="591311F4"/>
    <w:rsid w:val="5919648E"/>
    <w:rsid w:val="59253518"/>
    <w:rsid w:val="592719F3"/>
    <w:rsid w:val="59552D32"/>
    <w:rsid w:val="595B0854"/>
    <w:rsid w:val="595E0345"/>
    <w:rsid w:val="596A1B92"/>
    <w:rsid w:val="598D387F"/>
    <w:rsid w:val="59A044B9"/>
    <w:rsid w:val="59AC10B0"/>
    <w:rsid w:val="59B0405C"/>
    <w:rsid w:val="59DB3743"/>
    <w:rsid w:val="59DB7BE7"/>
    <w:rsid w:val="5A1960A3"/>
    <w:rsid w:val="5A2052BD"/>
    <w:rsid w:val="5A272E2C"/>
    <w:rsid w:val="5A3115B5"/>
    <w:rsid w:val="5A4968FF"/>
    <w:rsid w:val="5A56726E"/>
    <w:rsid w:val="5A584166"/>
    <w:rsid w:val="5A765EB2"/>
    <w:rsid w:val="5A834D9F"/>
    <w:rsid w:val="5A922FFE"/>
    <w:rsid w:val="5A9E4AEA"/>
    <w:rsid w:val="5AC74684"/>
    <w:rsid w:val="5AD74EFD"/>
    <w:rsid w:val="5ADA7086"/>
    <w:rsid w:val="5AED1980"/>
    <w:rsid w:val="5AF24829"/>
    <w:rsid w:val="5AFD7DC8"/>
    <w:rsid w:val="5B005D79"/>
    <w:rsid w:val="5B565CC3"/>
    <w:rsid w:val="5B6854AA"/>
    <w:rsid w:val="5B743E4F"/>
    <w:rsid w:val="5B7F45A2"/>
    <w:rsid w:val="5B961F5E"/>
    <w:rsid w:val="5BBD57F6"/>
    <w:rsid w:val="5BD16573"/>
    <w:rsid w:val="5BDE751B"/>
    <w:rsid w:val="5BE014E5"/>
    <w:rsid w:val="5BE30FD5"/>
    <w:rsid w:val="5BF8682E"/>
    <w:rsid w:val="5C02145B"/>
    <w:rsid w:val="5C02731F"/>
    <w:rsid w:val="5C043425"/>
    <w:rsid w:val="5C0A47B4"/>
    <w:rsid w:val="5C1473E0"/>
    <w:rsid w:val="5C1B076F"/>
    <w:rsid w:val="5C2A2760"/>
    <w:rsid w:val="5C2A66D5"/>
    <w:rsid w:val="5C335AB8"/>
    <w:rsid w:val="5C3F26AF"/>
    <w:rsid w:val="5C433822"/>
    <w:rsid w:val="5C44045E"/>
    <w:rsid w:val="5C5D2B35"/>
    <w:rsid w:val="5C780E62"/>
    <w:rsid w:val="5C8371C8"/>
    <w:rsid w:val="5CA10E57"/>
    <w:rsid w:val="5CA65096"/>
    <w:rsid w:val="5CAB0D1C"/>
    <w:rsid w:val="5CAE513F"/>
    <w:rsid w:val="5CB32755"/>
    <w:rsid w:val="5CB32D48"/>
    <w:rsid w:val="5CC76201"/>
    <w:rsid w:val="5CD560E5"/>
    <w:rsid w:val="5CD64696"/>
    <w:rsid w:val="5CDA79DE"/>
    <w:rsid w:val="5CEB0141"/>
    <w:rsid w:val="5CEE0752"/>
    <w:rsid w:val="5D096819"/>
    <w:rsid w:val="5D0A2C95"/>
    <w:rsid w:val="5D215911"/>
    <w:rsid w:val="5D3314EF"/>
    <w:rsid w:val="5D3A2E77"/>
    <w:rsid w:val="5D477101"/>
    <w:rsid w:val="5D5F6439"/>
    <w:rsid w:val="5D884E3B"/>
    <w:rsid w:val="5DA70ACF"/>
    <w:rsid w:val="5DBA365C"/>
    <w:rsid w:val="5DC15346"/>
    <w:rsid w:val="5DDE11C6"/>
    <w:rsid w:val="5DE132F2"/>
    <w:rsid w:val="5DE41B8A"/>
    <w:rsid w:val="5DED613B"/>
    <w:rsid w:val="5DFB43B4"/>
    <w:rsid w:val="5DFC3467"/>
    <w:rsid w:val="5E034D06"/>
    <w:rsid w:val="5E385608"/>
    <w:rsid w:val="5E421FE3"/>
    <w:rsid w:val="5E4775F9"/>
    <w:rsid w:val="5E4B198C"/>
    <w:rsid w:val="5E4C4C10"/>
    <w:rsid w:val="5E53552F"/>
    <w:rsid w:val="5E543AC4"/>
    <w:rsid w:val="5E6F6B50"/>
    <w:rsid w:val="5E7A41AB"/>
    <w:rsid w:val="5E7F7C60"/>
    <w:rsid w:val="5E850121"/>
    <w:rsid w:val="5EAA7B88"/>
    <w:rsid w:val="5EAC56AE"/>
    <w:rsid w:val="5EAE58CA"/>
    <w:rsid w:val="5EC241B6"/>
    <w:rsid w:val="5EDA66BF"/>
    <w:rsid w:val="5EFA466C"/>
    <w:rsid w:val="5EFC4888"/>
    <w:rsid w:val="5F0454EA"/>
    <w:rsid w:val="5F57386C"/>
    <w:rsid w:val="5F6D12E1"/>
    <w:rsid w:val="5F7B4267"/>
    <w:rsid w:val="5F903E25"/>
    <w:rsid w:val="5F922AF6"/>
    <w:rsid w:val="5F933132"/>
    <w:rsid w:val="5FA6391A"/>
    <w:rsid w:val="5FAB3BB8"/>
    <w:rsid w:val="5FC133DB"/>
    <w:rsid w:val="5FC5117A"/>
    <w:rsid w:val="5FCD7FD2"/>
    <w:rsid w:val="5FD2383A"/>
    <w:rsid w:val="5FD255E8"/>
    <w:rsid w:val="5FD4009B"/>
    <w:rsid w:val="5FE22FDD"/>
    <w:rsid w:val="5FEB0F05"/>
    <w:rsid w:val="5FF27A39"/>
    <w:rsid w:val="60002155"/>
    <w:rsid w:val="600C0AFA"/>
    <w:rsid w:val="602816AC"/>
    <w:rsid w:val="606A7932"/>
    <w:rsid w:val="60795A64"/>
    <w:rsid w:val="607B3826"/>
    <w:rsid w:val="60915F8F"/>
    <w:rsid w:val="60932FCA"/>
    <w:rsid w:val="609603C4"/>
    <w:rsid w:val="60B13F76"/>
    <w:rsid w:val="60B46A9C"/>
    <w:rsid w:val="60BD6B07"/>
    <w:rsid w:val="60C34F31"/>
    <w:rsid w:val="60F83E23"/>
    <w:rsid w:val="611A5875"/>
    <w:rsid w:val="61237025"/>
    <w:rsid w:val="6129748A"/>
    <w:rsid w:val="612A1D26"/>
    <w:rsid w:val="613F6CAD"/>
    <w:rsid w:val="61477910"/>
    <w:rsid w:val="617C3A5E"/>
    <w:rsid w:val="61834DEC"/>
    <w:rsid w:val="618D5C6B"/>
    <w:rsid w:val="61A54DAC"/>
    <w:rsid w:val="61C80A51"/>
    <w:rsid w:val="61F71336"/>
    <w:rsid w:val="622F45CC"/>
    <w:rsid w:val="62306240"/>
    <w:rsid w:val="624F1F26"/>
    <w:rsid w:val="62620EA5"/>
    <w:rsid w:val="628506F0"/>
    <w:rsid w:val="62864468"/>
    <w:rsid w:val="628C5F22"/>
    <w:rsid w:val="628D2AC0"/>
    <w:rsid w:val="62A34105"/>
    <w:rsid w:val="62AE1FF1"/>
    <w:rsid w:val="62C86FE8"/>
    <w:rsid w:val="62D03575"/>
    <w:rsid w:val="62D85253"/>
    <w:rsid w:val="62E573E1"/>
    <w:rsid w:val="62F617C0"/>
    <w:rsid w:val="62F94639"/>
    <w:rsid w:val="62FA7330"/>
    <w:rsid w:val="63003F30"/>
    <w:rsid w:val="63016ADF"/>
    <w:rsid w:val="63051B4E"/>
    <w:rsid w:val="63093BE8"/>
    <w:rsid w:val="630E06E5"/>
    <w:rsid w:val="631A4904"/>
    <w:rsid w:val="633A772C"/>
    <w:rsid w:val="63641F7B"/>
    <w:rsid w:val="63D85DA4"/>
    <w:rsid w:val="63DD1FDA"/>
    <w:rsid w:val="63DE531B"/>
    <w:rsid w:val="64032214"/>
    <w:rsid w:val="6410048D"/>
    <w:rsid w:val="64144421"/>
    <w:rsid w:val="643248A8"/>
    <w:rsid w:val="64460353"/>
    <w:rsid w:val="6449216A"/>
    <w:rsid w:val="644B2E9F"/>
    <w:rsid w:val="64524F4A"/>
    <w:rsid w:val="646709F5"/>
    <w:rsid w:val="646E7142"/>
    <w:rsid w:val="64740A1C"/>
    <w:rsid w:val="64796DAA"/>
    <w:rsid w:val="647C6FD2"/>
    <w:rsid w:val="64805B23"/>
    <w:rsid w:val="649410BE"/>
    <w:rsid w:val="6497295D"/>
    <w:rsid w:val="649B244D"/>
    <w:rsid w:val="64AD2180"/>
    <w:rsid w:val="64B06235"/>
    <w:rsid w:val="64B21544"/>
    <w:rsid w:val="64DC2D75"/>
    <w:rsid w:val="64E03DEB"/>
    <w:rsid w:val="64EC0EFA"/>
    <w:rsid w:val="64F37922"/>
    <w:rsid w:val="64FF3BC6"/>
    <w:rsid w:val="6509319A"/>
    <w:rsid w:val="650A1380"/>
    <w:rsid w:val="650E70C3"/>
    <w:rsid w:val="65165F77"/>
    <w:rsid w:val="651915C4"/>
    <w:rsid w:val="651B04F6"/>
    <w:rsid w:val="65206DF6"/>
    <w:rsid w:val="65257F68"/>
    <w:rsid w:val="652712CC"/>
    <w:rsid w:val="65336417"/>
    <w:rsid w:val="655D7702"/>
    <w:rsid w:val="65735178"/>
    <w:rsid w:val="65870C23"/>
    <w:rsid w:val="65B5035D"/>
    <w:rsid w:val="65E10333"/>
    <w:rsid w:val="65E676F8"/>
    <w:rsid w:val="65F8742B"/>
    <w:rsid w:val="66032529"/>
    <w:rsid w:val="661701F9"/>
    <w:rsid w:val="662B5A52"/>
    <w:rsid w:val="662E109F"/>
    <w:rsid w:val="66791857"/>
    <w:rsid w:val="66B141AA"/>
    <w:rsid w:val="66BC6C93"/>
    <w:rsid w:val="66BD78CB"/>
    <w:rsid w:val="66C61F13"/>
    <w:rsid w:val="66C7577B"/>
    <w:rsid w:val="66C8423B"/>
    <w:rsid w:val="66D505B8"/>
    <w:rsid w:val="66F2343B"/>
    <w:rsid w:val="66F342B1"/>
    <w:rsid w:val="670C7632"/>
    <w:rsid w:val="671464E6"/>
    <w:rsid w:val="673E5311"/>
    <w:rsid w:val="674943E2"/>
    <w:rsid w:val="674E5DE1"/>
    <w:rsid w:val="677F7E04"/>
    <w:rsid w:val="678A67A9"/>
    <w:rsid w:val="6793565D"/>
    <w:rsid w:val="679B2764"/>
    <w:rsid w:val="679C6C08"/>
    <w:rsid w:val="67E934CF"/>
    <w:rsid w:val="67EB107D"/>
    <w:rsid w:val="68040309"/>
    <w:rsid w:val="681C4EA3"/>
    <w:rsid w:val="681C54DE"/>
    <w:rsid w:val="681E7C15"/>
    <w:rsid w:val="683055A2"/>
    <w:rsid w:val="68476448"/>
    <w:rsid w:val="686A4E4C"/>
    <w:rsid w:val="68757459"/>
    <w:rsid w:val="687E630D"/>
    <w:rsid w:val="68AB3861"/>
    <w:rsid w:val="68CA1553"/>
    <w:rsid w:val="68D1547F"/>
    <w:rsid w:val="68D73C6F"/>
    <w:rsid w:val="68DA4684"/>
    <w:rsid w:val="68E02B24"/>
    <w:rsid w:val="690C1FA6"/>
    <w:rsid w:val="690F6F65"/>
    <w:rsid w:val="69146407"/>
    <w:rsid w:val="691A339C"/>
    <w:rsid w:val="69434E61"/>
    <w:rsid w:val="69564B94"/>
    <w:rsid w:val="69765236"/>
    <w:rsid w:val="698711F2"/>
    <w:rsid w:val="698E3367"/>
    <w:rsid w:val="69931944"/>
    <w:rsid w:val="69A578CA"/>
    <w:rsid w:val="69B27FF3"/>
    <w:rsid w:val="69BD2E65"/>
    <w:rsid w:val="69C123EE"/>
    <w:rsid w:val="69C75A92"/>
    <w:rsid w:val="6A040A94"/>
    <w:rsid w:val="6A236912"/>
    <w:rsid w:val="6A3C022E"/>
    <w:rsid w:val="6A503CD9"/>
    <w:rsid w:val="6A5D01A4"/>
    <w:rsid w:val="6A6717D9"/>
    <w:rsid w:val="6A7443FA"/>
    <w:rsid w:val="6A7774B8"/>
    <w:rsid w:val="6A835E5D"/>
    <w:rsid w:val="6A9A5638"/>
    <w:rsid w:val="6AAB53B4"/>
    <w:rsid w:val="6AB17955"/>
    <w:rsid w:val="6AB44268"/>
    <w:rsid w:val="6AB75B07"/>
    <w:rsid w:val="6AC465CB"/>
    <w:rsid w:val="6AC83870"/>
    <w:rsid w:val="6AF64881"/>
    <w:rsid w:val="6AFB1E97"/>
    <w:rsid w:val="6B075367"/>
    <w:rsid w:val="6B1D0B6D"/>
    <w:rsid w:val="6B2622D4"/>
    <w:rsid w:val="6B397B65"/>
    <w:rsid w:val="6B657311"/>
    <w:rsid w:val="6B7543D9"/>
    <w:rsid w:val="6B7B6B34"/>
    <w:rsid w:val="6BA75B7B"/>
    <w:rsid w:val="6BA87EE4"/>
    <w:rsid w:val="6BAC52C7"/>
    <w:rsid w:val="6BAD2A66"/>
    <w:rsid w:val="6BBD0EFB"/>
    <w:rsid w:val="6BC32289"/>
    <w:rsid w:val="6BCC55E2"/>
    <w:rsid w:val="6BD149A6"/>
    <w:rsid w:val="6BEE7306"/>
    <w:rsid w:val="6C30791F"/>
    <w:rsid w:val="6C3311BD"/>
    <w:rsid w:val="6C3513D9"/>
    <w:rsid w:val="6C411B2C"/>
    <w:rsid w:val="6C537AB1"/>
    <w:rsid w:val="6C77554D"/>
    <w:rsid w:val="6C785AF0"/>
    <w:rsid w:val="6C8477ED"/>
    <w:rsid w:val="6C9D0D2C"/>
    <w:rsid w:val="6C9F3EF6"/>
    <w:rsid w:val="6CA200F0"/>
    <w:rsid w:val="6CA43E69"/>
    <w:rsid w:val="6CB70040"/>
    <w:rsid w:val="6CBC7404"/>
    <w:rsid w:val="6CC938CF"/>
    <w:rsid w:val="6CCC1053"/>
    <w:rsid w:val="6CE8644B"/>
    <w:rsid w:val="6CF46B9E"/>
    <w:rsid w:val="6D002E80"/>
    <w:rsid w:val="6D013069"/>
    <w:rsid w:val="6D0F4FF4"/>
    <w:rsid w:val="6D196605"/>
    <w:rsid w:val="6D2B4915"/>
    <w:rsid w:val="6D2C27DC"/>
    <w:rsid w:val="6D430B66"/>
    <w:rsid w:val="6D6A50B2"/>
    <w:rsid w:val="6D9E2FAE"/>
    <w:rsid w:val="6DA06D26"/>
    <w:rsid w:val="6DBB3B60"/>
    <w:rsid w:val="6DE213D7"/>
    <w:rsid w:val="6DEF0D29"/>
    <w:rsid w:val="6DEF3809"/>
    <w:rsid w:val="6E04527A"/>
    <w:rsid w:val="6E406E1E"/>
    <w:rsid w:val="6E407BC1"/>
    <w:rsid w:val="6E651FC0"/>
    <w:rsid w:val="6E6718B9"/>
    <w:rsid w:val="6E7004A6"/>
    <w:rsid w:val="6E710C21"/>
    <w:rsid w:val="6E781A51"/>
    <w:rsid w:val="6E82642B"/>
    <w:rsid w:val="6E8B3532"/>
    <w:rsid w:val="6E8F307F"/>
    <w:rsid w:val="6EA1017E"/>
    <w:rsid w:val="6EA31639"/>
    <w:rsid w:val="6EB1286D"/>
    <w:rsid w:val="6EB70505"/>
    <w:rsid w:val="6EC32CCC"/>
    <w:rsid w:val="6EDD3662"/>
    <w:rsid w:val="6EF91F24"/>
    <w:rsid w:val="6F3E42CF"/>
    <w:rsid w:val="6F4954A1"/>
    <w:rsid w:val="6F51652A"/>
    <w:rsid w:val="6F745972"/>
    <w:rsid w:val="6F80296B"/>
    <w:rsid w:val="6F911CD1"/>
    <w:rsid w:val="6F96218E"/>
    <w:rsid w:val="6F9B77A5"/>
    <w:rsid w:val="6FC46C36"/>
    <w:rsid w:val="702773D1"/>
    <w:rsid w:val="70357BF9"/>
    <w:rsid w:val="703B372B"/>
    <w:rsid w:val="70463876"/>
    <w:rsid w:val="70473489"/>
    <w:rsid w:val="706B2FF9"/>
    <w:rsid w:val="70765B1C"/>
    <w:rsid w:val="707C596B"/>
    <w:rsid w:val="70811566"/>
    <w:rsid w:val="70893AA1"/>
    <w:rsid w:val="709050D6"/>
    <w:rsid w:val="70A22DB5"/>
    <w:rsid w:val="70BC3E77"/>
    <w:rsid w:val="70C920F0"/>
    <w:rsid w:val="70D34BAC"/>
    <w:rsid w:val="70DD3DED"/>
    <w:rsid w:val="70E67FED"/>
    <w:rsid w:val="70F85604"/>
    <w:rsid w:val="711D243B"/>
    <w:rsid w:val="711E068D"/>
    <w:rsid w:val="7121017E"/>
    <w:rsid w:val="712B2DAA"/>
    <w:rsid w:val="71397275"/>
    <w:rsid w:val="713C287D"/>
    <w:rsid w:val="714B6FA9"/>
    <w:rsid w:val="714F6A99"/>
    <w:rsid w:val="71553D25"/>
    <w:rsid w:val="716515BC"/>
    <w:rsid w:val="716E69D1"/>
    <w:rsid w:val="717209D9"/>
    <w:rsid w:val="71810C1C"/>
    <w:rsid w:val="71902C0D"/>
    <w:rsid w:val="719941B8"/>
    <w:rsid w:val="719B1813"/>
    <w:rsid w:val="71AF0F24"/>
    <w:rsid w:val="71C72AD3"/>
    <w:rsid w:val="71E15806"/>
    <w:rsid w:val="71EA67C2"/>
    <w:rsid w:val="71F91BD6"/>
    <w:rsid w:val="72281098"/>
    <w:rsid w:val="722914B8"/>
    <w:rsid w:val="7238577F"/>
    <w:rsid w:val="72444124"/>
    <w:rsid w:val="724825CD"/>
    <w:rsid w:val="7249173A"/>
    <w:rsid w:val="72650F87"/>
    <w:rsid w:val="729130E1"/>
    <w:rsid w:val="72AB41A3"/>
    <w:rsid w:val="72B03567"/>
    <w:rsid w:val="72BC34E9"/>
    <w:rsid w:val="72C7174B"/>
    <w:rsid w:val="72C963D7"/>
    <w:rsid w:val="72F3799F"/>
    <w:rsid w:val="72F42E4A"/>
    <w:rsid w:val="730F434A"/>
    <w:rsid w:val="73102258"/>
    <w:rsid w:val="731955B0"/>
    <w:rsid w:val="732775A1"/>
    <w:rsid w:val="73466848"/>
    <w:rsid w:val="734B14E2"/>
    <w:rsid w:val="735018BD"/>
    <w:rsid w:val="735A34D3"/>
    <w:rsid w:val="735F5996"/>
    <w:rsid w:val="737722D7"/>
    <w:rsid w:val="739015EB"/>
    <w:rsid w:val="73942E89"/>
    <w:rsid w:val="73A155A6"/>
    <w:rsid w:val="73C51294"/>
    <w:rsid w:val="73C800F3"/>
    <w:rsid w:val="73CA7097"/>
    <w:rsid w:val="73DF1078"/>
    <w:rsid w:val="73F25E01"/>
    <w:rsid w:val="740468B3"/>
    <w:rsid w:val="741144D9"/>
    <w:rsid w:val="74123DAE"/>
    <w:rsid w:val="74365CEE"/>
    <w:rsid w:val="74393A30"/>
    <w:rsid w:val="743C163B"/>
    <w:rsid w:val="74463A57"/>
    <w:rsid w:val="745B39A7"/>
    <w:rsid w:val="74712592"/>
    <w:rsid w:val="74716D26"/>
    <w:rsid w:val="7485400A"/>
    <w:rsid w:val="748D1686"/>
    <w:rsid w:val="74A17C91"/>
    <w:rsid w:val="74A470FC"/>
    <w:rsid w:val="74B15375"/>
    <w:rsid w:val="74BD640F"/>
    <w:rsid w:val="74DF3DE2"/>
    <w:rsid w:val="74E92D60"/>
    <w:rsid w:val="74FF4332"/>
    <w:rsid w:val="75091655"/>
    <w:rsid w:val="751E17D1"/>
    <w:rsid w:val="7529427B"/>
    <w:rsid w:val="753541F8"/>
    <w:rsid w:val="753617AB"/>
    <w:rsid w:val="75491A51"/>
    <w:rsid w:val="75507C0C"/>
    <w:rsid w:val="75745E44"/>
    <w:rsid w:val="757545F4"/>
    <w:rsid w:val="757E794D"/>
    <w:rsid w:val="75AB44BA"/>
    <w:rsid w:val="75AF2FCB"/>
    <w:rsid w:val="75B710B1"/>
    <w:rsid w:val="75C559DB"/>
    <w:rsid w:val="75CE7BD7"/>
    <w:rsid w:val="75D67789"/>
    <w:rsid w:val="75DE488F"/>
    <w:rsid w:val="75E15C8F"/>
    <w:rsid w:val="75EF084A"/>
    <w:rsid w:val="76037E52"/>
    <w:rsid w:val="761E4C8C"/>
    <w:rsid w:val="76236746"/>
    <w:rsid w:val="7625601A"/>
    <w:rsid w:val="76306D3F"/>
    <w:rsid w:val="76571F4C"/>
    <w:rsid w:val="765B1A3C"/>
    <w:rsid w:val="76602DC0"/>
    <w:rsid w:val="767D5E56"/>
    <w:rsid w:val="767E572A"/>
    <w:rsid w:val="768A40CF"/>
    <w:rsid w:val="768D26CA"/>
    <w:rsid w:val="76A809F9"/>
    <w:rsid w:val="76BE0CB7"/>
    <w:rsid w:val="76C57705"/>
    <w:rsid w:val="76E47C83"/>
    <w:rsid w:val="76FB321F"/>
    <w:rsid w:val="77277B70"/>
    <w:rsid w:val="772968EB"/>
    <w:rsid w:val="772D090D"/>
    <w:rsid w:val="77366005"/>
    <w:rsid w:val="7763329E"/>
    <w:rsid w:val="776D2DCF"/>
    <w:rsid w:val="777F5BFE"/>
    <w:rsid w:val="7788046C"/>
    <w:rsid w:val="778D031B"/>
    <w:rsid w:val="77AE203F"/>
    <w:rsid w:val="77B91110"/>
    <w:rsid w:val="77D06AAB"/>
    <w:rsid w:val="77D47CF8"/>
    <w:rsid w:val="77DA1086"/>
    <w:rsid w:val="77DF6B77"/>
    <w:rsid w:val="77FE4D75"/>
    <w:rsid w:val="781015B2"/>
    <w:rsid w:val="78160310"/>
    <w:rsid w:val="78177F28"/>
    <w:rsid w:val="783A32F9"/>
    <w:rsid w:val="78486C98"/>
    <w:rsid w:val="7856695F"/>
    <w:rsid w:val="785726D7"/>
    <w:rsid w:val="785D3994"/>
    <w:rsid w:val="7861676D"/>
    <w:rsid w:val="787946A8"/>
    <w:rsid w:val="787F5E4F"/>
    <w:rsid w:val="78827754"/>
    <w:rsid w:val="788B0CA9"/>
    <w:rsid w:val="7896328A"/>
    <w:rsid w:val="78A35031"/>
    <w:rsid w:val="78A84CE1"/>
    <w:rsid w:val="78AA2807"/>
    <w:rsid w:val="78C064CE"/>
    <w:rsid w:val="78C41106"/>
    <w:rsid w:val="78C73F6C"/>
    <w:rsid w:val="78D15FE5"/>
    <w:rsid w:val="78DE0702"/>
    <w:rsid w:val="78F35090"/>
    <w:rsid w:val="78FB12B4"/>
    <w:rsid w:val="78FD502C"/>
    <w:rsid w:val="790C526F"/>
    <w:rsid w:val="791C6FA5"/>
    <w:rsid w:val="794E5888"/>
    <w:rsid w:val="79507852"/>
    <w:rsid w:val="79674B9C"/>
    <w:rsid w:val="796B2693"/>
    <w:rsid w:val="797346B7"/>
    <w:rsid w:val="79735685"/>
    <w:rsid w:val="798C63B0"/>
    <w:rsid w:val="798E037A"/>
    <w:rsid w:val="798F1263"/>
    <w:rsid w:val="799E36BC"/>
    <w:rsid w:val="799E4ABE"/>
    <w:rsid w:val="79A951B4"/>
    <w:rsid w:val="79AE6327"/>
    <w:rsid w:val="79CB4153"/>
    <w:rsid w:val="79D45258"/>
    <w:rsid w:val="79D833A4"/>
    <w:rsid w:val="79E263E6"/>
    <w:rsid w:val="79F3642F"/>
    <w:rsid w:val="7A172828"/>
    <w:rsid w:val="7A28432B"/>
    <w:rsid w:val="7A2860D9"/>
    <w:rsid w:val="7A2E1215"/>
    <w:rsid w:val="7A5C5D83"/>
    <w:rsid w:val="7A67448F"/>
    <w:rsid w:val="7A6B4218"/>
    <w:rsid w:val="7A7059B7"/>
    <w:rsid w:val="7A7A445B"/>
    <w:rsid w:val="7A7F1A71"/>
    <w:rsid w:val="7A8F3886"/>
    <w:rsid w:val="7AB125CF"/>
    <w:rsid w:val="7ABE6A3D"/>
    <w:rsid w:val="7AC0509F"/>
    <w:rsid w:val="7ACD0A2E"/>
    <w:rsid w:val="7AD718AD"/>
    <w:rsid w:val="7ADE4A38"/>
    <w:rsid w:val="7AF65F7F"/>
    <w:rsid w:val="7AFD3821"/>
    <w:rsid w:val="7B0C59FB"/>
    <w:rsid w:val="7B114DBF"/>
    <w:rsid w:val="7B29035B"/>
    <w:rsid w:val="7B3D1D12"/>
    <w:rsid w:val="7B51165F"/>
    <w:rsid w:val="7B6018A2"/>
    <w:rsid w:val="7B672C31"/>
    <w:rsid w:val="7B6770D5"/>
    <w:rsid w:val="7B7F441F"/>
    <w:rsid w:val="7B8D6D92"/>
    <w:rsid w:val="7BAD47D9"/>
    <w:rsid w:val="7BAE3EBB"/>
    <w:rsid w:val="7BDC53CD"/>
    <w:rsid w:val="7BE94620"/>
    <w:rsid w:val="7C016BE2"/>
    <w:rsid w:val="7C0E0C66"/>
    <w:rsid w:val="7C305719"/>
    <w:rsid w:val="7C38637B"/>
    <w:rsid w:val="7C4A6DC7"/>
    <w:rsid w:val="7C5A4544"/>
    <w:rsid w:val="7C6A0C2B"/>
    <w:rsid w:val="7C8F5AFC"/>
    <w:rsid w:val="7C927B16"/>
    <w:rsid w:val="7C9712F4"/>
    <w:rsid w:val="7C977546"/>
    <w:rsid w:val="7CA53A11"/>
    <w:rsid w:val="7CB60A26"/>
    <w:rsid w:val="7CBB4E42"/>
    <w:rsid w:val="7CBE2D25"/>
    <w:rsid w:val="7CD442F6"/>
    <w:rsid w:val="7CE76D26"/>
    <w:rsid w:val="7D0050EB"/>
    <w:rsid w:val="7D0B5CD7"/>
    <w:rsid w:val="7D0C1CE2"/>
    <w:rsid w:val="7D2F3C22"/>
    <w:rsid w:val="7D366D5F"/>
    <w:rsid w:val="7D44147C"/>
    <w:rsid w:val="7D511DEB"/>
    <w:rsid w:val="7D5B3807"/>
    <w:rsid w:val="7D5D078F"/>
    <w:rsid w:val="7D677327"/>
    <w:rsid w:val="7D7B0C16"/>
    <w:rsid w:val="7D7D498E"/>
    <w:rsid w:val="7D9379BA"/>
    <w:rsid w:val="7D985324"/>
    <w:rsid w:val="7DB5340F"/>
    <w:rsid w:val="7DC840BF"/>
    <w:rsid w:val="7DD00D6C"/>
    <w:rsid w:val="7DFA5FDE"/>
    <w:rsid w:val="7E130E4E"/>
    <w:rsid w:val="7E1A3F8B"/>
    <w:rsid w:val="7E3075BA"/>
    <w:rsid w:val="7E357016"/>
    <w:rsid w:val="7E413175"/>
    <w:rsid w:val="7E4C45F3"/>
    <w:rsid w:val="7E6B230A"/>
    <w:rsid w:val="7E81722C"/>
    <w:rsid w:val="7E9E696A"/>
    <w:rsid w:val="7EB473B2"/>
    <w:rsid w:val="7EBE525E"/>
    <w:rsid w:val="7EC91848"/>
    <w:rsid w:val="7ED95BF4"/>
    <w:rsid w:val="7EDC56E4"/>
    <w:rsid w:val="7F0A04A3"/>
    <w:rsid w:val="7F182BC0"/>
    <w:rsid w:val="7F1B7FBA"/>
    <w:rsid w:val="7F203823"/>
    <w:rsid w:val="7F34107C"/>
    <w:rsid w:val="7F405C73"/>
    <w:rsid w:val="7F4E0F4B"/>
    <w:rsid w:val="7F572082"/>
    <w:rsid w:val="7F607C5D"/>
    <w:rsid w:val="7F735436"/>
    <w:rsid w:val="7F923FF5"/>
    <w:rsid w:val="7F9C54B3"/>
    <w:rsid w:val="7FA51F7A"/>
    <w:rsid w:val="7FAC0EB7"/>
    <w:rsid w:val="7FBE5B36"/>
    <w:rsid w:val="7FC20D7E"/>
    <w:rsid w:val="7FC37168"/>
    <w:rsid w:val="7FD13DEF"/>
    <w:rsid w:val="7FDC2A88"/>
    <w:rsid w:val="7FDD34C2"/>
    <w:rsid w:val="7FE24F7C"/>
    <w:rsid w:val="7FEE1B73"/>
    <w:rsid w:val="7FF151BF"/>
    <w:rsid w:val="7FF724C5"/>
    <w:rsid w:val="7FFA22C6"/>
    <w:rsid w:val="7FFF5B2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s-I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firstLine="240" w:firstLineChars="100"/>
      <w:jc w:val="center"/>
    </w:pPr>
    <w:rPr>
      <w:rFonts w:ascii="Times New Roman" w:hAnsi="Times New Roman" w:eastAsia="宋体" w:cs="Times New Roman"/>
      <w:kern w:val="2"/>
      <w:sz w:val="24"/>
      <w:szCs w:val="21"/>
      <w:lang w:val="en-US" w:eastAsia="zh-CN" w:bidi="ar-SA"/>
    </w:rPr>
  </w:style>
  <w:style w:type="paragraph" w:styleId="2">
    <w:name w:val="heading 1"/>
    <w:basedOn w:val="1"/>
    <w:link w:val="26"/>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2"/>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alloon Text"/>
    <w:basedOn w:val="1"/>
    <w:link w:val="47"/>
    <w:qFormat/>
    <w:uiPriority w:val="0"/>
    <w:rPr>
      <w:rFonts w:ascii="Tahoma" w:hAnsi="Tahoma" w:cs="Tahoma"/>
      <w:sz w:val="16"/>
      <w:szCs w:val="16"/>
    </w:rPr>
  </w:style>
  <w:style w:type="paragraph" w:styleId="8">
    <w:name w:val="footer"/>
    <w:basedOn w:val="1"/>
    <w:autoRedefine/>
    <w:qFormat/>
    <w:uiPriority w:val="99"/>
    <w:pPr>
      <w:tabs>
        <w:tab w:val="center" w:pos="4536"/>
        <w:tab w:val="right" w:pos="9072"/>
      </w:tabs>
    </w:pPr>
  </w:style>
  <w:style w:type="paragraph" w:styleId="9">
    <w:name w:val="header"/>
    <w:basedOn w:val="1"/>
    <w:autoRedefine/>
    <w:qFormat/>
    <w:uiPriority w:val="99"/>
    <w:pPr>
      <w:tabs>
        <w:tab w:val="center" w:pos="4536"/>
        <w:tab w:val="right" w:pos="9072"/>
      </w:tabs>
    </w:pPr>
    <w:rPr>
      <w:lang w:val="zh-C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1">
    <w:name w:val="Normal (Web)"/>
    <w:basedOn w:val="1"/>
    <w:autoRedefine/>
    <w:qFormat/>
    <w:uiPriority w:val="99"/>
    <w:pPr>
      <w:spacing w:beforeAutospacing="1" w:afterAutospacing="1"/>
    </w:pPr>
    <w:rPr>
      <w:kern w:val="0"/>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line number"/>
    <w:basedOn w:val="14"/>
    <w:autoRedefine/>
    <w:qFormat/>
    <w:uiPriority w:val="0"/>
  </w:style>
  <w:style w:type="character" w:styleId="17">
    <w:name w:val="Hyperlink"/>
    <w:basedOn w:val="14"/>
    <w:autoRedefine/>
    <w:qFormat/>
    <w:uiPriority w:val="0"/>
    <w:rPr>
      <w:color w:val="0000FF"/>
      <w:u w:val="single"/>
    </w:rPr>
  </w:style>
  <w:style w:type="paragraph" w:customStyle="1" w:styleId="18">
    <w:name w:val="Head 1"/>
    <w:basedOn w:val="1"/>
    <w:autoRedefine/>
    <w:qFormat/>
    <w:uiPriority w:val="0"/>
    <w:pPr>
      <w:spacing w:before="163" w:after="163" w:afterLines="50"/>
    </w:pPr>
    <w:rPr>
      <w:b/>
      <w:sz w:val="28"/>
      <w:szCs w:val="40"/>
    </w:rPr>
  </w:style>
  <w:style w:type="paragraph" w:customStyle="1" w:styleId="19">
    <w:name w:val="EndNote Bibliography Title"/>
    <w:basedOn w:val="1"/>
    <w:link w:val="20"/>
    <w:autoRedefine/>
    <w:qFormat/>
    <w:uiPriority w:val="0"/>
    <w:rPr>
      <w:rFonts w:ascii="Calibri" w:hAnsi="Calibri" w:cs="Calibri"/>
      <w:sz w:val="20"/>
    </w:rPr>
  </w:style>
  <w:style w:type="character" w:customStyle="1" w:styleId="20">
    <w:name w:val="EndNote Bibliography Title 字符"/>
    <w:basedOn w:val="14"/>
    <w:link w:val="19"/>
    <w:autoRedefine/>
    <w:qFormat/>
    <w:uiPriority w:val="0"/>
    <w:rPr>
      <w:rFonts w:ascii="Calibri" w:hAnsi="Calibri" w:cs="Calibri"/>
      <w:kern w:val="2"/>
      <w:szCs w:val="24"/>
    </w:rPr>
  </w:style>
  <w:style w:type="paragraph" w:customStyle="1" w:styleId="21">
    <w:name w:val="EndNote Bibliography"/>
    <w:basedOn w:val="1"/>
    <w:link w:val="22"/>
    <w:autoRedefine/>
    <w:qFormat/>
    <w:uiPriority w:val="0"/>
    <w:rPr>
      <w:rFonts w:ascii="Calibri" w:hAnsi="Calibri" w:cs="Calibri"/>
      <w:sz w:val="20"/>
    </w:rPr>
  </w:style>
  <w:style w:type="character" w:customStyle="1" w:styleId="22">
    <w:name w:val="EndNote Bibliography 字符"/>
    <w:basedOn w:val="14"/>
    <w:link w:val="21"/>
    <w:autoRedefine/>
    <w:qFormat/>
    <w:uiPriority w:val="0"/>
    <w:rPr>
      <w:rFonts w:ascii="Calibri" w:hAnsi="Calibri" w:cs="Calibri"/>
      <w:kern w:val="2"/>
      <w:szCs w:val="24"/>
    </w:rPr>
  </w:style>
  <w:style w:type="paragraph" w:customStyle="1" w:styleId="23">
    <w:name w:val="Title1"/>
    <w:basedOn w:val="1"/>
    <w:autoRedefine/>
    <w:qFormat/>
    <w:uiPriority w:val="0"/>
    <w:rPr>
      <w:b/>
    </w:rPr>
  </w:style>
  <w:style w:type="table" w:customStyle="1" w:styleId="24">
    <w:name w:val="三线表"/>
    <w:autoRedefine/>
    <w:qFormat/>
    <w:uiPriority w:val="99"/>
    <w:rPr>
      <w:rFonts w:ascii="Calibri" w:hAnsi="Calibri" w:eastAsia="Times New Roman"/>
      <w:kern w:val="2"/>
      <w:sz w:val="24"/>
      <w:szCs w:val="22"/>
      <w:lang w:val="en-IN" w:eastAsia="en-IN" w:bidi="as-IN"/>
    </w:rPr>
    <w:tblPr>
      <w:tblBorders>
        <w:top w:val="single" w:color="auto" w:sz="12" w:space="0"/>
        <w:bottom w:val="single" w:color="auto" w:sz="12" w:space="0"/>
      </w:tblBorders>
      <w:tblCellMar>
        <w:top w:w="0" w:type="dxa"/>
        <w:left w:w="0" w:type="dxa"/>
        <w:bottom w:w="0" w:type="dxa"/>
        <w:right w:w="0" w:type="dxa"/>
      </w:tblCellMar>
    </w:tblPr>
    <w:tblStylePr w:type="firstRow">
      <w:tcPr>
        <w:tcBorders>
          <w:bottom w:val="single" w:color="auto" w:sz="4" w:space="0"/>
        </w:tcBorders>
      </w:tcPr>
    </w:tblStylePr>
  </w:style>
  <w:style w:type="paragraph" w:customStyle="1" w:styleId="25">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6">
    <w:name w:val="标题 1 字符"/>
    <w:basedOn w:val="14"/>
    <w:link w:val="2"/>
    <w:autoRedefine/>
    <w:qFormat/>
    <w:uiPriority w:val="9"/>
    <w:rPr>
      <w:rFonts w:ascii="宋体" w:hAnsi="宋体" w:cs="宋体"/>
      <w:b/>
      <w:bCs/>
      <w:kern w:val="36"/>
      <w:sz w:val="48"/>
      <w:szCs w:val="48"/>
    </w:rPr>
  </w:style>
  <w:style w:type="character" w:customStyle="1" w:styleId="27">
    <w:name w:val="title-text"/>
    <w:basedOn w:val="14"/>
    <w:autoRedefine/>
    <w:qFormat/>
    <w:uiPriority w:val="0"/>
  </w:style>
  <w:style w:type="character" w:customStyle="1" w:styleId="28">
    <w:name w:val="标题 3 字符"/>
    <w:basedOn w:val="14"/>
    <w:link w:val="4"/>
    <w:autoRedefine/>
    <w:qFormat/>
    <w:uiPriority w:val="0"/>
    <w:rPr>
      <w:rFonts w:asciiTheme="minorHAnsi" w:hAnsiTheme="minorHAnsi" w:eastAsiaTheme="minorEastAsia" w:cstheme="minorBidi"/>
      <w:b/>
      <w:bCs/>
      <w:kern w:val="2"/>
      <w:sz w:val="32"/>
      <w:szCs w:val="32"/>
    </w:rPr>
  </w:style>
  <w:style w:type="paragraph" w:customStyle="1" w:styleId="29">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0">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1">
    <w:name w:val="修订4"/>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2">
    <w:name w:val="标题 2 字符"/>
    <w:basedOn w:val="14"/>
    <w:link w:val="3"/>
    <w:semiHidden/>
    <w:qFormat/>
    <w:uiPriority w:val="0"/>
    <w:rPr>
      <w:rFonts w:asciiTheme="majorHAnsi" w:hAnsiTheme="majorHAnsi" w:eastAsiaTheme="majorEastAsia" w:cstheme="majorBidi"/>
      <w:b/>
      <w:bCs/>
      <w:kern w:val="2"/>
      <w:sz w:val="32"/>
      <w:szCs w:val="32"/>
    </w:rPr>
  </w:style>
  <w:style w:type="paragraph" w:styleId="33">
    <w:name w:val="List Paragraph"/>
    <w:basedOn w:val="1"/>
    <w:unhideWhenUsed/>
    <w:qFormat/>
    <w:uiPriority w:val="99"/>
    <w:pPr>
      <w:ind w:firstLine="420" w:firstLineChars="200"/>
    </w:pPr>
  </w:style>
  <w:style w:type="paragraph" w:customStyle="1" w:styleId="34">
    <w:name w:val="修订5"/>
    <w:hidden/>
    <w:unhideWhenUsed/>
    <w:qFormat/>
    <w:uiPriority w:val="99"/>
    <w:rPr>
      <w:rFonts w:ascii="Times New Roman" w:hAnsi="Times New Roman" w:eastAsia="宋体" w:cs="Times New Roman"/>
      <w:kern w:val="2"/>
      <w:sz w:val="24"/>
      <w:szCs w:val="24"/>
      <w:lang w:val="en-US" w:eastAsia="zh-CN" w:bidi="ar-SA"/>
    </w:rPr>
  </w:style>
  <w:style w:type="paragraph" w:customStyle="1" w:styleId="35">
    <w:name w:val="Table of contents"/>
    <w:basedOn w:val="1"/>
    <w:qFormat/>
    <w:uiPriority w:val="0"/>
  </w:style>
  <w:style w:type="character" w:customStyle="1" w:styleId="36">
    <w:name w:val="fontstyle01"/>
    <w:basedOn w:val="14"/>
    <w:qFormat/>
    <w:uiPriority w:val="0"/>
    <w:rPr>
      <w:rFonts w:hint="default" w:ascii="Times New Roman" w:hAnsi="Times New Roman" w:cs="Times New Roman"/>
      <w:b/>
      <w:bCs/>
      <w:color w:val="000000"/>
      <w:sz w:val="24"/>
      <w:szCs w:val="24"/>
    </w:rPr>
  </w:style>
  <w:style w:type="paragraph" w:customStyle="1" w:styleId="37">
    <w:name w:val="修订6"/>
    <w:hidden/>
    <w:unhideWhenUsed/>
    <w:qFormat/>
    <w:uiPriority w:val="99"/>
    <w:rPr>
      <w:rFonts w:ascii="Times New Roman" w:hAnsi="Times New Roman" w:eastAsia="宋体" w:cs="Times New Roman"/>
      <w:kern w:val="2"/>
      <w:sz w:val="24"/>
      <w:szCs w:val="24"/>
      <w:lang w:val="en-US" w:eastAsia="zh-CN" w:bidi="ar-SA"/>
    </w:rPr>
  </w:style>
  <w:style w:type="paragraph" w:customStyle="1" w:styleId="38">
    <w:name w:val="修订7"/>
    <w:hidden/>
    <w:unhideWhenUsed/>
    <w:qFormat/>
    <w:uiPriority w:val="99"/>
    <w:rPr>
      <w:rFonts w:ascii="Times New Roman" w:hAnsi="Times New Roman" w:eastAsia="宋体" w:cs="Times New Roman"/>
      <w:kern w:val="2"/>
      <w:sz w:val="24"/>
      <w:szCs w:val="24"/>
      <w:lang w:val="en-US" w:eastAsia="zh-CN" w:bidi="ar-SA"/>
    </w:rPr>
  </w:style>
  <w:style w:type="paragraph" w:customStyle="1" w:styleId="39">
    <w:name w:val="修订8"/>
    <w:hidden/>
    <w:unhideWhenUsed/>
    <w:qFormat/>
    <w:uiPriority w:val="99"/>
    <w:rPr>
      <w:rFonts w:ascii="Times New Roman" w:hAnsi="Times New Roman" w:eastAsia="宋体" w:cs="Times New Roman"/>
      <w:kern w:val="2"/>
      <w:sz w:val="24"/>
      <w:szCs w:val="24"/>
      <w:lang w:val="en-US" w:eastAsia="zh-CN" w:bidi="ar-SA"/>
    </w:rPr>
  </w:style>
  <w:style w:type="paragraph" w:customStyle="1" w:styleId="40">
    <w:name w:val="修订9"/>
    <w:hidden/>
    <w:unhideWhenUsed/>
    <w:qFormat/>
    <w:uiPriority w:val="99"/>
    <w:rPr>
      <w:rFonts w:ascii="Times New Roman" w:hAnsi="Times New Roman" w:eastAsia="宋体" w:cs="Times New Roman"/>
      <w:kern w:val="2"/>
      <w:sz w:val="24"/>
      <w:szCs w:val="24"/>
      <w:lang w:val="en-US" w:eastAsia="zh-CN" w:bidi="ar-SA"/>
    </w:rPr>
  </w:style>
  <w:style w:type="paragraph" w:customStyle="1" w:styleId="41">
    <w:name w:val="修订10"/>
    <w:hidden/>
    <w:unhideWhenUsed/>
    <w:qFormat/>
    <w:uiPriority w:val="99"/>
    <w:rPr>
      <w:rFonts w:ascii="Times New Roman" w:hAnsi="Times New Roman" w:eastAsia="宋体" w:cs="Times New Roman"/>
      <w:kern w:val="2"/>
      <w:sz w:val="24"/>
      <w:szCs w:val="24"/>
      <w:lang w:val="en-US" w:eastAsia="zh-CN" w:bidi="ar-SA"/>
    </w:rPr>
  </w:style>
  <w:style w:type="paragraph" w:customStyle="1" w:styleId="42">
    <w:name w:val="修订11"/>
    <w:hidden/>
    <w:unhideWhenUsed/>
    <w:qFormat/>
    <w:uiPriority w:val="99"/>
    <w:rPr>
      <w:rFonts w:ascii="Times New Roman" w:hAnsi="Times New Roman" w:eastAsia="宋体" w:cs="Times New Roman"/>
      <w:kern w:val="2"/>
      <w:sz w:val="24"/>
      <w:szCs w:val="24"/>
      <w:lang w:val="en-US" w:eastAsia="zh-CN" w:bidi="ar-SA"/>
    </w:rPr>
  </w:style>
  <w:style w:type="paragraph" w:customStyle="1" w:styleId="43">
    <w:name w:val="修订12"/>
    <w:hidden/>
    <w:unhideWhenUsed/>
    <w:qFormat/>
    <w:uiPriority w:val="99"/>
    <w:rPr>
      <w:rFonts w:ascii="Times New Roman" w:hAnsi="Times New Roman" w:eastAsia="宋体" w:cs="Times New Roman"/>
      <w:kern w:val="2"/>
      <w:sz w:val="24"/>
      <w:szCs w:val="24"/>
      <w:lang w:val="en-US" w:eastAsia="zh-CN" w:bidi="ar-SA"/>
    </w:rPr>
  </w:style>
  <w:style w:type="paragraph" w:customStyle="1" w:styleId="44">
    <w:name w:val="修订13"/>
    <w:hidden/>
    <w:unhideWhenUsed/>
    <w:qFormat/>
    <w:uiPriority w:val="99"/>
    <w:rPr>
      <w:rFonts w:ascii="Times New Roman" w:hAnsi="Times New Roman" w:eastAsia="宋体" w:cs="Times New Roman"/>
      <w:kern w:val="2"/>
      <w:sz w:val="24"/>
      <w:szCs w:val="24"/>
      <w:lang w:val="en-US" w:eastAsia="zh-CN" w:bidi="ar-SA"/>
    </w:rPr>
  </w:style>
  <w:style w:type="paragraph" w:customStyle="1" w:styleId="45">
    <w:name w:val="修订14"/>
    <w:hidden/>
    <w:unhideWhenUsed/>
    <w:qFormat/>
    <w:uiPriority w:val="99"/>
    <w:rPr>
      <w:rFonts w:ascii="Times New Roman" w:hAnsi="Times New Roman" w:eastAsia="宋体" w:cs="Times New Roman"/>
      <w:kern w:val="2"/>
      <w:sz w:val="24"/>
      <w:szCs w:val="24"/>
      <w:lang w:val="en-US" w:eastAsia="zh-CN" w:bidi="ar-SA"/>
    </w:rPr>
  </w:style>
  <w:style w:type="paragraph" w:customStyle="1" w:styleId="46">
    <w:name w:val="修订15"/>
    <w:hidden/>
    <w:unhideWhenUsed/>
    <w:qFormat/>
    <w:uiPriority w:val="99"/>
    <w:rPr>
      <w:rFonts w:ascii="Times New Roman" w:hAnsi="Times New Roman" w:eastAsia="宋体" w:cs="Times New Roman"/>
      <w:kern w:val="2"/>
      <w:sz w:val="24"/>
      <w:szCs w:val="24"/>
      <w:lang w:val="en-US" w:eastAsia="zh-CN" w:bidi="ar-SA"/>
    </w:rPr>
  </w:style>
  <w:style w:type="character" w:customStyle="1" w:styleId="47">
    <w:name w:val="批注框文本 字符"/>
    <w:basedOn w:val="14"/>
    <w:link w:val="7"/>
    <w:qFormat/>
    <w:uiPriority w:val="0"/>
    <w:rPr>
      <w:rFonts w:ascii="Tahoma" w:hAnsi="Tahoma" w:cs="Tahoma"/>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tiff"/><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tiff"/><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tiff"/><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tiff"/><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5301</Words>
  <Characters>27654</Characters>
  <Lines>730</Lines>
  <Paragraphs>371</Paragraphs>
  <TotalTime>4</TotalTime>
  <ScaleCrop>false</ScaleCrop>
  <LinksUpToDate>false</LinksUpToDate>
  <CharactersWithSpaces>32786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2025-09-25T16:43:00Z</dcterms:created>
  <dc:creator>14332</dc:creator>
  <cp:lastModifiedBy>LL</cp:lastModifiedBy>
  <dcterms:modified xsi:type="dcterms:W3CDTF">2026-04-05T03:17:38Z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A0D9D42E58E4418794D1A7DEEBBFF718_13</vt:lpwstr>
  </property>
  <property fmtid="{D5CDD505-2E9C-101B-9397-08002B2CF9AE}" pid="4" name="KSOTemplateDocerSaveRecord">
    <vt:lpwstr>eyJoZGlkIjoiYWZjYThhNWMxZTVhYmMxYmU4ZWVhNDVlYjI4MGIxYzAiLCJ1c2VySWQiOiIyNTU5ODkxNzUifQ==</vt:lpwstr>
  </property>
</Properties>
</file>