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DCE9E" w14:textId="77777777" w:rsidR="00B670A2" w:rsidRPr="009902BB" w:rsidRDefault="00000000">
      <w:pPr>
        <w:autoSpaceDE w:val="0"/>
        <w:autoSpaceDN w:val="0"/>
        <w:adjustRightInd w:val="0"/>
        <w:snapToGrid w:val="0"/>
        <w:spacing w:line="480" w:lineRule="auto"/>
        <w:jc w:val="center"/>
        <w:rPr>
          <w:rFonts w:ascii="宋体" w:eastAsia="宋体" w:hAnsi="宋体" w:cs="宋体" w:hint="eastAsia"/>
          <w:color w:val="00B050"/>
          <w:sz w:val="24"/>
        </w:rPr>
      </w:pPr>
      <w:r w:rsidRPr="009902BB">
        <w:rPr>
          <w:rFonts w:ascii="Times New Roman" w:eastAsia="Segoe UI Emoji" w:hAnsi="Times New Roman" w:cs="Times New Roman"/>
          <w:b/>
          <w:bCs/>
          <w:color w:val="000000"/>
          <w:sz w:val="24"/>
          <w:shd w:val="clear" w:color="auto" w:fill="FFFFFF"/>
        </w:rPr>
        <w:t xml:space="preserve">Table S1. </w:t>
      </w:r>
      <w:r w:rsidRPr="009902BB">
        <w:rPr>
          <w:rFonts w:ascii="Times New Roman" w:eastAsia="Segoe UI Emoji" w:hAnsi="Times New Roman" w:cs="Times New Roman"/>
          <w:color w:val="000000"/>
          <w:sz w:val="24"/>
          <w:shd w:val="clear" w:color="auto" w:fill="FFFFFF"/>
        </w:rPr>
        <w:t xml:space="preserve">Main </w:t>
      </w:r>
      <w:r w:rsidRPr="009902BB">
        <w:rPr>
          <w:rFonts w:ascii="Times New Roman" w:eastAsia="Segoe UI Emoji" w:hAnsi="Times New Roman" w:cs="Times New Roman" w:hint="eastAsia"/>
          <w:color w:val="000000"/>
          <w:sz w:val="24"/>
          <w:shd w:val="clear" w:color="auto" w:fill="FFFFFF"/>
        </w:rPr>
        <w:t>p</w:t>
      </w:r>
      <w:r w:rsidRPr="009902BB">
        <w:rPr>
          <w:rFonts w:ascii="Times New Roman" w:eastAsia="Segoe UI Emoji" w:hAnsi="Times New Roman" w:cs="Times New Roman"/>
          <w:color w:val="000000"/>
          <w:sz w:val="24"/>
          <w:shd w:val="clear" w:color="auto" w:fill="FFFFFF"/>
        </w:rPr>
        <w:t xml:space="preserve">reparation </w:t>
      </w:r>
      <w:r w:rsidRPr="009902BB">
        <w:rPr>
          <w:rFonts w:ascii="Times New Roman" w:eastAsia="Segoe UI Emoji" w:hAnsi="Times New Roman" w:cs="Times New Roman" w:hint="eastAsia"/>
          <w:color w:val="000000"/>
          <w:sz w:val="24"/>
          <w:shd w:val="clear" w:color="auto" w:fill="FFFFFF"/>
        </w:rPr>
        <w:t>s</w:t>
      </w:r>
      <w:r w:rsidRPr="009902BB">
        <w:rPr>
          <w:rFonts w:ascii="Times New Roman" w:eastAsia="Segoe UI Emoji" w:hAnsi="Times New Roman" w:cs="Times New Roman"/>
          <w:color w:val="000000"/>
          <w:sz w:val="24"/>
          <w:shd w:val="clear" w:color="auto" w:fill="FFFFFF"/>
        </w:rPr>
        <w:t xml:space="preserve">trategies for </w:t>
      </w:r>
      <w:r w:rsidRPr="009902BB">
        <w:rPr>
          <w:rFonts w:ascii="Times New Roman" w:eastAsia="Segoe UI Emoji" w:hAnsi="Times New Roman" w:cs="Times New Roman" w:hint="eastAsia"/>
          <w:color w:val="000000"/>
          <w:sz w:val="24"/>
          <w:shd w:val="clear" w:color="auto" w:fill="FFFFFF"/>
        </w:rPr>
        <w:t>g</w:t>
      </w:r>
      <w:r w:rsidRPr="009902BB">
        <w:rPr>
          <w:rFonts w:ascii="Times New Roman" w:eastAsia="Segoe UI Emoji" w:hAnsi="Times New Roman" w:cs="Times New Roman"/>
          <w:color w:val="000000"/>
          <w:sz w:val="24"/>
          <w:shd w:val="clear" w:color="auto" w:fill="FFFFFF"/>
        </w:rPr>
        <w:t xml:space="preserve">reen </w:t>
      </w:r>
      <w:r w:rsidRPr="009902BB">
        <w:rPr>
          <w:rFonts w:ascii="Times New Roman" w:eastAsia="Segoe UI Emoji" w:hAnsi="Times New Roman" w:cs="Times New Roman" w:hint="eastAsia"/>
          <w:color w:val="000000"/>
          <w:sz w:val="24"/>
          <w:shd w:val="clear" w:color="auto" w:fill="FFFFFF"/>
        </w:rPr>
        <w:t>s</w:t>
      </w:r>
      <w:r w:rsidRPr="009902BB">
        <w:rPr>
          <w:rFonts w:ascii="Times New Roman" w:eastAsia="Segoe UI Emoji" w:hAnsi="Times New Roman" w:cs="Times New Roman"/>
          <w:color w:val="000000"/>
          <w:sz w:val="24"/>
          <w:shd w:val="clear" w:color="auto" w:fill="FFFFFF"/>
        </w:rPr>
        <w:t>elf-</w:t>
      </w:r>
      <w:r w:rsidRPr="009902BB">
        <w:rPr>
          <w:rFonts w:ascii="Times New Roman" w:eastAsia="Segoe UI Emoji" w:hAnsi="Times New Roman" w:cs="Times New Roman" w:hint="eastAsia"/>
          <w:color w:val="000000"/>
          <w:sz w:val="24"/>
          <w:shd w:val="clear" w:color="auto" w:fill="FFFFFF"/>
        </w:rPr>
        <w:t>a</w:t>
      </w:r>
      <w:r w:rsidRPr="009902BB">
        <w:rPr>
          <w:rFonts w:ascii="Times New Roman" w:eastAsia="Segoe UI Emoji" w:hAnsi="Times New Roman" w:cs="Times New Roman"/>
          <w:color w:val="000000"/>
          <w:sz w:val="24"/>
          <w:shd w:val="clear" w:color="auto" w:fill="FFFFFF"/>
        </w:rPr>
        <w:t xml:space="preserve">ssembly of </w:t>
      </w:r>
      <w:r w:rsidRPr="009902BB">
        <w:rPr>
          <w:rFonts w:ascii="Times New Roman" w:eastAsia="Segoe UI Emoji" w:hAnsi="Times New Roman" w:cs="Times New Roman" w:hint="eastAsia"/>
          <w:color w:val="000000"/>
          <w:sz w:val="24"/>
          <w:shd w:val="clear" w:color="auto" w:fill="FFFFFF"/>
        </w:rPr>
        <w:t>p</w:t>
      </w:r>
      <w:r w:rsidRPr="009902BB">
        <w:rPr>
          <w:rFonts w:ascii="Times New Roman" w:eastAsia="Segoe UI Emoji" w:hAnsi="Times New Roman" w:cs="Times New Roman"/>
          <w:color w:val="000000"/>
          <w:sz w:val="24"/>
          <w:shd w:val="clear" w:color="auto" w:fill="FFFFFF"/>
        </w:rPr>
        <w:t>lant-</w:t>
      </w:r>
      <w:r w:rsidRPr="009902BB">
        <w:rPr>
          <w:rFonts w:ascii="Times New Roman" w:eastAsia="Segoe UI Emoji" w:hAnsi="Times New Roman" w:cs="Times New Roman" w:hint="eastAsia"/>
          <w:color w:val="000000"/>
          <w:sz w:val="24"/>
          <w:shd w:val="clear" w:color="auto" w:fill="FFFFFF"/>
        </w:rPr>
        <w:t>d</w:t>
      </w:r>
      <w:r w:rsidRPr="009902BB">
        <w:rPr>
          <w:rFonts w:ascii="Times New Roman" w:eastAsia="Segoe UI Emoji" w:hAnsi="Times New Roman" w:cs="Times New Roman"/>
          <w:color w:val="000000"/>
          <w:sz w:val="24"/>
          <w:shd w:val="clear" w:color="auto" w:fill="FFFFFF"/>
        </w:rPr>
        <w:t xml:space="preserve">erived </w:t>
      </w:r>
      <w:r w:rsidRPr="009902BB">
        <w:rPr>
          <w:rFonts w:ascii="Times New Roman" w:eastAsia="Segoe UI Emoji" w:hAnsi="Times New Roman" w:cs="Times New Roman" w:hint="eastAsia"/>
          <w:color w:val="000000"/>
          <w:sz w:val="24"/>
          <w:shd w:val="clear" w:color="auto" w:fill="FFFFFF"/>
        </w:rPr>
        <w:t>n</w:t>
      </w:r>
      <w:r w:rsidRPr="009902BB">
        <w:rPr>
          <w:rFonts w:ascii="Times New Roman" w:eastAsia="Segoe UI Emoji" w:hAnsi="Times New Roman" w:cs="Times New Roman"/>
          <w:color w:val="000000"/>
          <w:sz w:val="24"/>
          <w:shd w:val="clear" w:color="auto" w:fill="FFFFFF"/>
        </w:rPr>
        <w:t>anoparticles</w:t>
      </w:r>
    </w:p>
    <w:tbl>
      <w:tblPr>
        <w:tblStyle w:val="a7"/>
        <w:tblW w:w="1523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3879"/>
        <w:gridCol w:w="3843"/>
        <w:gridCol w:w="4283"/>
      </w:tblGrid>
      <w:tr w:rsidR="00B670A2" w14:paraId="567939A5" w14:textId="77777777" w:rsidTr="000E69CC">
        <w:trPr>
          <w:jc w:val="center"/>
        </w:trPr>
        <w:tc>
          <w:tcPr>
            <w:tcW w:w="3232" w:type="dxa"/>
            <w:tcBorders>
              <w:top w:val="single" w:sz="12" w:space="0" w:color="auto"/>
              <w:bottom w:val="single" w:sz="12" w:space="0" w:color="auto"/>
              <w:tl2br w:val="single" w:sz="8" w:space="0" w:color="auto"/>
            </w:tcBorders>
          </w:tcPr>
          <w:p w14:paraId="07134DD6" w14:textId="77777777" w:rsidR="00B670A2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ind w:firstLineChars="700" w:firstLine="1687"/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Segoe UI Emoji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S</w:t>
            </w:r>
            <w:r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trategies</w:t>
            </w:r>
          </w:p>
          <w:p w14:paraId="76B06D49" w14:textId="77777777" w:rsidR="00B670A2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Characteristics</w:t>
            </w:r>
          </w:p>
        </w:tc>
        <w:tc>
          <w:tcPr>
            <w:tcW w:w="38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463BC6" w14:textId="77777777" w:rsidR="00B670A2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Heating-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i</w:t>
            </w:r>
            <w:r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nduced Method</w:t>
            </w:r>
          </w:p>
        </w:tc>
        <w:tc>
          <w:tcPr>
            <w:tcW w:w="3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22956B" w14:textId="77777777" w:rsidR="00B670A2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Nanoprecipitation Method</w:t>
            </w:r>
          </w:p>
        </w:tc>
        <w:tc>
          <w:tcPr>
            <w:tcW w:w="4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049E6E" w14:textId="77777777" w:rsidR="00B670A2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pH/Ion-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t</w:t>
            </w:r>
            <w:r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riggered Method</w:t>
            </w:r>
          </w:p>
        </w:tc>
      </w:tr>
      <w:tr w:rsidR="00B670A2" w14:paraId="7F4B295F" w14:textId="77777777">
        <w:trPr>
          <w:jc w:val="center"/>
        </w:trPr>
        <w:tc>
          <w:tcPr>
            <w:tcW w:w="3232" w:type="dxa"/>
            <w:tcBorders>
              <w:top w:val="single" w:sz="12" w:space="0" w:color="auto"/>
            </w:tcBorders>
            <w:vAlign w:val="center"/>
          </w:tcPr>
          <w:p w14:paraId="667AFFA1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Core</w:t>
            </w:r>
            <w:r w:rsidRPr="009902BB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 xml:space="preserve"> d</w:t>
            </w: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 xml:space="preserve">riving </w:t>
            </w:r>
            <w:r w:rsidRPr="009902BB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f</w:t>
            </w: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 xml:space="preserve">orce and </w:t>
            </w:r>
            <w:r w:rsidRPr="009902BB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p</w:t>
            </w: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rinciple</w:t>
            </w:r>
          </w:p>
        </w:tc>
        <w:tc>
          <w:tcPr>
            <w:tcW w:w="3879" w:type="dxa"/>
            <w:tcBorders>
              <w:top w:val="single" w:sz="12" w:space="0" w:color="auto"/>
            </w:tcBorders>
            <w:vAlign w:val="center"/>
          </w:tcPr>
          <w:p w14:paraId="50CCFA28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Thermal energy input provides kinetic energy for molecular self-assembly and promotes the formation of thermodynamically stable structures.</w:t>
            </w:r>
          </w:p>
        </w:tc>
        <w:tc>
          <w:tcPr>
            <w:tcW w:w="3843" w:type="dxa"/>
            <w:tcBorders>
              <w:top w:val="single" w:sz="12" w:space="0" w:color="auto"/>
            </w:tcBorders>
            <w:vAlign w:val="center"/>
          </w:tcPr>
          <w:p w14:paraId="5E7A7E58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Solubility change caused by abrupt solvent polarity variation drives hydrophobic aggregation and hydrophilic stabilization.</w:t>
            </w:r>
          </w:p>
        </w:tc>
        <w:tc>
          <w:tcPr>
            <w:tcW w:w="4283" w:type="dxa"/>
            <w:tcBorders>
              <w:top w:val="single" w:sz="12" w:space="0" w:color="auto"/>
            </w:tcBorders>
            <w:vAlign w:val="center"/>
          </w:tcPr>
          <w:p w14:paraId="1C01E1CF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Regulates the ionization state and electrostatic interaction of molecules by altering the concentration of H⁺ or electrolytes.</w:t>
            </w:r>
          </w:p>
        </w:tc>
      </w:tr>
      <w:tr w:rsidR="00B670A2" w14:paraId="0A8A092E" w14:textId="77777777">
        <w:trPr>
          <w:trHeight w:val="780"/>
          <w:jc w:val="center"/>
        </w:trPr>
        <w:tc>
          <w:tcPr>
            <w:tcW w:w="3232" w:type="dxa"/>
            <w:vAlign w:val="center"/>
          </w:tcPr>
          <w:p w14:paraId="7ED1D9F1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 xml:space="preserve">Applicable </w:t>
            </w:r>
            <w:r w:rsidRPr="009902BB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m</w:t>
            </w: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 xml:space="preserve">olecular </w:t>
            </w:r>
            <w:r w:rsidRPr="009902BB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t</w:t>
            </w: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ypes</w:t>
            </w:r>
          </w:p>
        </w:tc>
        <w:tc>
          <w:tcPr>
            <w:tcW w:w="3879" w:type="dxa"/>
            <w:vAlign w:val="center"/>
          </w:tcPr>
          <w:p w14:paraId="37367AA4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proofErr w:type="spellStart"/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Thermoresponsive</w:t>
            </w:r>
            <w:proofErr w:type="spellEnd"/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 xml:space="preserve"> molecules (e.g., certain flavonoids, alkaloids)</w:t>
            </w:r>
          </w:p>
        </w:tc>
        <w:tc>
          <w:tcPr>
            <w:tcW w:w="3843" w:type="dxa"/>
            <w:vAlign w:val="center"/>
          </w:tcPr>
          <w:p w14:paraId="323C7E1F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 xml:space="preserve">Explicitly amphiphilic molecules (e.g., saponins, </w:t>
            </w:r>
            <w:proofErr w:type="spellStart"/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triterpenic</w:t>
            </w:r>
            <w:proofErr w:type="spellEnd"/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 xml:space="preserve"> acids)</w:t>
            </w:r>
          </w:p>
        </w:tc>
        <w:tc>
          <w:tcPr>
            <w:tcW w:w="4283" w:type="dxa"/>
            <w:vAlign w:val="center"/>
          </w:tcPr>
          <w:p w14:paraId="0BFE321E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Molecules with ionizable functional groups (e.g., compounds containing carboxyl or amino groups)</w:t>
            </w:r>
          </w:p>
        </w:tc>
      </w:tr>
      <w:tr w:rsidR="00B670A2" w14:paraId="617B541A" w14:textId="77777777">
        <w:trPr>
          <w:jc w:val="center"/>
        </w:trPr>
        <w:tc>
          <w:tcPr>
            <w:tcW w:w="3232" w:type="dxa"/>
            <w:vAlign w:val="center"/>
          </w:tcPr>
          <w:p w14:paraId="37182844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 xml:space="preserve">Key </w:t>
            </w:r>
            <w:r w:rsidRPr="009902BB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c</w:t>
            </w: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 xml:space="preserve">ontrol </w:t>
            </w:r>
            <w:r w:rsidRPr="009902BB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p</w:t>
            </w: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arameters</w:t>
            </w:r>
          </w:p>
        </w:tc>
        <w:tc>
          <w:tcPr>
            <w:tcW w:w="3879" w:type="dxa"/>
            <w:vAlign w:val="center"/>
          </w:tcPr>
          <w:p w14:paraId="5B0848B0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Temperature, heating/cooling rate, time</w:t>
            </w:r>
          </w:p>
        </w:tc>
        <w:tc>
          <w:tcPr>
            <w:tcW w:w="3843" w:type="dxa"/>
            <w:vAlign w:val="center"/>
          </w:tcPr>
          <w:p w14:paraId="7AB794C7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Solvent polarity, mixing rate, concentration, aqueous phase composition</w:t>
            </w:r>
          </w:p>
          <w:p w14:paraId="5EDF5513" w14:textId="77777777" w:rsidR="00B670A2" w:rsidRPr="009902BB" w:rsidRDefault="00B670A2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3" w:type="dxa"/>
            <w:vAlign w:val="center"/>
          </w:tcPr>
          <w:p w14:paraId="782A4C47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pH value, ionic strength and type, buffer system</w:t>
            </w:r>
          </w:p>
        </w:tc>
      </w:tr>
      <w:tr w:rsidR="00B670A2" w14:paraId="09CD137B" w14:textId="77777777">
        <w:trPr>
          <w:jc w:val="center"/>
        </w:trPr>
        <w:tc>
          <w:tcPr>
            <w:tcW w:w="3232" w:type="dxa"/>
            <w:vAlign w:val="center"/>
          </w:tcPr>
          <w:p w14:paraId="3E228722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 xml:space="preserve">Core </w:t>
            </w:r>
            <w:r w:rsidRPr="009902BB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a</w:t>
            </w: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dvantages</w:t>
            </w:r>
          </w:p>
        </w:tc>
        <w:tc>
          <w:tcPr>
            <w:tcW w:w="3879" w:type="dxa"/>
          </w:tcPr>
          <w:p w14:paraId="386470E2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1. Relatively simple process without the need for complex equipment</w:t>
            </w:r>
            <w:r w:rsidRPr="009902BB">
              <w:rPr>
                <w:rFonts w:ascii="Times New Roman" w:eastAsia="宋体" w:hAnsi="Times New Roman" w:cs="Times New Roman" w:hint="eastAsia"/>
                <w:color w:val="000000"/>
                <w:sz w:val="24"/>
                <w:shd w:val="clear" w:color="auto" w:fill="FFFFFF"/>
              </w:rPr>
              <w:t>.</w:t>
            </w:r>
          </w:p>
          <w:p w14:paraId="410E70BC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2. Unique effect on the transformation of some natural products (e.g., polysaccharides, partial polyphenols).</w:t>
            </w:r>
          </w:p>
          <w:p w14:paraId="1123DCA8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3. Easy integration with the traditional decoction extraction process.</w:t>
            </w:r>
          </w:p>
        </w:tc>
        <w:tc>
          <w:tcPr>
            <w:tcW w:w="3843" w:type="dxa"/>
          </w:tcPr>
          <w:p w14:paraId="2AA90A9A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1. Extremely simple and fast operation with a low experimental threshold.</w:t>
            </w:r>
          </w:p>
          <w:p w14:paraId="2EE8292E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2. Easy realization of continuous flow production with clear scaling-up potential.</w:t>
            </w:r>
          </w:p>
          <w:p w14:paraId="3BBE24EE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3. High universality for amphiphilic molecules with uniform particle morphology.</w:t>
            </w:r>
          </w:p>
          <w:p w14:paraId="7ED266F5" w14:textId="77777777" w:rsidR="00B670A2" w:rsidRPr="009902BB" w:rsidRDefault="00B670A2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3" w:type="dxa"/>
          </w:tcPr>
          <w:p w14:paraId="75D5F48D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1. The greenest and most environmentally friendly process, usually carried out at room temperature in an aqueous phase.</w:t>
            </w:r>
          </w:p>
          <w:p w14:paraId="5F417FF2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2. The most precise and reversible regulation, enabling dynamic and reversible structural transformation via pH/ions.</w:t>
            </w:r>
          </w:p>
          <w:p w14:paraId="53907AC2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3. No organic solvents required, with extremely high biocompatibility.</w:t>
            </w:r>
          </w:p>
          <w:p w14:paraId="30ACA1E4" w14:textId="77777777" w:rsidR="00B670A2" w:rsidRPr="009902BB" w:rsidRDefault="00B670A2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B670A2" w14:paraId="508985AA" w14:textId="77777777">
        <w:trPr>
          <w:trHeight w:val="6643"/>
          <w:jc w:val="center"/>
        </w:trPr>
        <w:tc>
          <w:tcPr>
            <w:tcW w:w="3232" w:type="dxa"/>
            <w:vAlign w:val="center"/>
          </w:tcPr>
          <w:p w14:paraId="3F020A51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lastRenderedPageBreak/>
              <w:t xml:space="preserve">Limitations and </w:t>
            </w:r>
            <w:r w:rsidRPr="009902BB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c</w:t>
            </w: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hallenges</w:t>
            </w:r>
          </w:p>
        </w:tc>
        <w:tc>
          <w:tcPr>
            <w:tcW w:w="3879" w:type="dxa"/>
          </w:tcPr>
          <w:p w14:paraId="5558D9ED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1. High energy consumption, with significant thermal management costs during large-scale production.</w:t>
            </w:r>
          </w:p>
          <w:p w14:paraId="66A846E7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2. Heat-sensitive active ingredients are prone to degradation (e.g., certain essential oils, proteins).</w:t>
            </w:r>
          </w:p>
          <w:p w14:paraId="14878310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 xml:space="preserve">3. Narrow applicable system scope, heavily dependent on the </w:t>
            </w:r>
            <w:proofErr w:type="spellStart"/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thermoresponsiveness</w:t>
            </w:r>
            <w:proofErr w:type="spellEnd"/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 xml:space="preserve"> of molecules.</w:t>
            </w:r>
          </w:p>
          <w:p w14:paraId="31765F6B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4. Uneven heat transfer in large-scale production easily leads to batch-to-batch differences.</w:t>
            </w:r>
          </w:p>
        </w:tc>
        <w:tc>
          <w:tcPr>
            <w:tcW w:w="3843" w:type="dxa"/>
          </w:tcPr>
          <w:p w14:paraId="1FD3036E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1. Usually dependent on organic solvents (e.g., DMSO, acetone), with issues of residue and environmental pollution.</w:t>
            </w:r>
          </w:p>
          <w:p w14:paraId="5961D3EB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2. Particle size is determined by mixing efficiency; changes in hydrodynamics during scaling-up easily cause the broadening of particle size distribution.</w:t>
            </w:r>
          </w:p>
          <w:p w14:paraId="2A36260C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3. The product may require</w:t>
            </w:r>
            <w:r w:rsidRPr="009902BB">
              <w:rPr>
                <w:rFonts w:ascii="Times New Roman" w:eastAsia="宋体" w:hAnsi="Times New Roman" w:cs="Times New Roman" w:hint="eastAsia"/>
                <w:color w:val="000000"/>
                <w:sz w:val="24"/>
                <w:shd w:val="clear" w:color="auto" w:fill="FFFFFF"/>
              </w:rPr>
              <w:t xml:space="preserve"> </w:t>
            </w: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additional purification steps to replace or remove solvents.</w:t>
            </w:r>
          </w:p>
          <w:p w14:paraId="095FC1CE" w14:textId="77777777" w:rsidR="00B670A2" w:rsidRPr="009902BB" w:rsidRDefault="00B670A2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3" w:type="dxa"/>
          </w:tcPr>
          <w:p w14:paraId="60B30C9C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1. Highly dependent on the medium environment; buffer salts and impurity ions can seriously interfere with the results.</w:t>
            </w:r>
          </w:p>
          <w:p w14:paraId="1A743C5A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2. The process window (range of pH/ionic strength) may be narrow, demanding high control precision.</w:t>
            </w:r>
          </w:p>
          <w:p w14:paraId="10FF03D8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3. In complex component systems (e.g., crude extracts), the competitive effect of various ions will lead to inaccurate regulation.</w:t>
            </w:r>
          </w:p>
          <w:p w14:paraId="45F75059" w14:textId="77777777" w:rsidR="00B670A2" w:rsidRPr="009902BB" w:rsidRDefault="00B670A2">
            <w:pPr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B670A2" w14:paraId="75092296" w14:textId="77777777">
        <w:trPr>
          <w:trHeight w:val="835"/>
          <w:jc w:val="center"/>
        </w:trPr>
        <w:tc>
          <w:tcPr>
            <w:tcW w:w="3232" w:type="dxa"/>
            <w:vAlign w:val="center"/>
          </w:tcPr>
          <w:p w14:paraId="49CBE1F3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Style w:val="a8"/>
                <w:rFonts w:ascii="Times New Roman" w:eastAsia="宋体" w:hAnsi="Times New Roman" w:cs="Times New Roman"/>
                <w:bCs/>
                <w:color w:val="0F1115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 xml:space="preserve">Key to </w:t>
            </w:r>
            <w:r w:rsidRPr="009902BB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r</w:t>
            </w: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eproducibility</w:t>
            </w:r>
          </w:p>
        </w:tc>
        <w:tc>
          <w:tcPr>
            <w:tcW w:w="3879" w:type="dxa"/>
            <w:vAlign w:val="center"/>
          </w:tcPr>
          <w:p w14:paraId="79EBD14B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Absolute precise control of temperature and time programs</w:t>
            </w:r>
          </w:p>
        </w:tc>
        <w:tc>
          <w:tcPr>
            <w:tcW w:w="3843" w:type="dxa"/>
            <w:vAlign w:val="center"/>
          </w:tcPr>
          <w:p w14:paraId="7A891690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 xml:space="preserve">Consistency of solvent mixing kinetics (flow rate, type of mixer and </w:t>
            </w: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energy input)</w:t>
            </w:r>
          </w:p>
        </w:tc>
        <w:tc>
          <w:tcPr>
            <w:tcW w:w="4283" w:type="dxa"/>
            <w:vAlign w:val="center"/>
          </w:tcPr>
          <w:p w14:paraId="0F836926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 xml:space="preserve">Strict constancy of medium chemical composition (water quality, buffer system, </w:t>
            </w: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ionic strength)</w:t>
            </w:r>
          </w:p>
        </w:tc>
      </w:tr>
      <w:tr w:rsidR="00B670A2" w14:paraId="22F9B4A3" w14:textId="77777777">
        <w:trPr>
          <w:jc w:val="center"/>
        </w:trPr>
        <w:tc>
          <w:tcPr>
            <w:tcW w:w="3232" w:type="dxa"/>
            <w:tcBorders>
              <w:bottom w:val="single" w:sz="12" w:space="0" w:color="auto"/>
            </w:tcBorders>
            <w:vAlign w:val="center"/>
          </w:tcPr>
          <w:p w14:paraId="2840CE6C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Style w:val="a8"/>
                <w:rFonts w:ascii="Times New Roman" w:eastAsia="宋体" w:hAnsi="Times New Roman" w:cs="Times New Roman"/>
                <w:bCs/>
                <w:color w:val="0F1115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lastRenderedPageBreak/>
              <w:t xml:space="preserve">Judgment on </w:t>
            </w:r>
            <w:r w:rsidRPr="009902BB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s</w:t>
            </w: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 xml:space="preserve">caling-up </w:t>
            </w:r>
            <w:r w:rsidRPr="009902BB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hd w:val="clear" w:color="auto" w:fill="FFFFFF"/>
              </w:rPr>
              <w:t>p</w:t>
            </w:r>
            <w:r w:rsidRPr="009902BB">
              <w:rPr>
                <w:rFonts w:ascii="Times New Roman" w:eastAsia="Segoe UI Emoji" w:hAnsi="Times New Roman" w:cs="Times New Roman"/>
                <w:b/>
                <w:bCs/>
                <w:color w:val="000000"/>
                <w:sz w:val="24"/>
                <w:shd w:val="clear" w:color="auto" w:fill="FFFFFF"/>
              </w:rPr>
              <w:t>rospect</w:t>
            </w:r>
          </w:p>
        </w:tc>
        <w:tc>
          <w:tcPr>
            <w:tcW w:w="3879" w:type="dxa"/>
            <w:tcBorders>
              <w:bottom w:val="single" w:sz="12" w:space="0" w:color="auto"/>
            </w:tcBorders>
            <w:vAlign w:val="center"/>
          </w:tcPr>
          <w:p w14:paraId="136565F8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Relatively challenging. Suitable for high-value, heat-stable niche products or as a pre-treatment step.</w:t>
            </w:r>
          </w:p>
        </w:tc>
        <w:tc>
          <w:tcPr>
            <w:tcW w:w="3843" w:type="dxa"/>
            <w:tcBorders>
              <w:bottom w:val="single" w:sz="12" w:space="0" w:color="auto"/>
            </w:tcBorders>
            <w:vAlign w:val="center"/>
          </w:tcPr>
          <w:p w14:paraId="24E7F234" w14:textId="77777777" w:rsidR="00B670A2" w:rsidRPr="009902BB" w:rsidRDefault="00000000">
            <w:pPr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9902BB">
              <w:rPr>
                <w:rFonts w:ascii="Times New Roman" w:eastAsia="Segoe UI Emoji" w:hAnsi="Times New Roman" w:cs="Times New Roman"/>
                <w:color w:val="000000"/>
                <w:sz w:val="24"/>
                <w:shd w:val="clear" w:color="auto" w:fill="FFFFFF"/>
              </w:rPr>
              <w:t>Broad prospects. It is the most easily integrated pathway with microreactors and continuous flow technologies, and a key focus for engineering breakthroughs.</w:t>
            </w:r>
          </w:p>
        </w:tc>
        <w:tc>
          <w:tcPr>
            <w:tcW w:w="4283" w:type="dxa"/>
            <w:tcBorders>
              <w:bottom w:val="single" w:sz="12" w:space="0" w:color="auto"/>
            </w:tcBorders>
            <w:vAlign w:val="center"/>
          </w:tcPr>
          <w:p w14:paraId="72D5CBFE" w14:textId="77777777" w:rsidR="00B670A2" w:rsidRPr="009902BB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9902BB">
              <w:rPr>
                <w:rFonts w:ascii="Times New Roman" w:eastAsia="宋体" w:hAnsi="Times New Roman" w:cs="Times New Roman"/>
                <w:color w:val="000000"/>
                <w:sz w:val="24"/>
                <w:shd w:val="clear" w:color="auto" w:fill="FFFFFF"/>
              </w:rPr>
              <w:t>Irreplaceable in high-end pharmaceutical and cosmetic fields with zero requirements for solvent residues, but the production environment needs to be highly clean and controllable.</w:t>
            </w:r>
          </w:p>
        </w:tc>
      </w:tr>
    </w:tbl>
    <w:p w14:paraId="5A7BBDD2" w14:textId="77777777" w:rsidR="00B670A2" w:rsidRDefault="00B670A2">
      <w:pPr>
        <w:spacing w:line="480" w:lineRule="auto"/>
      </w:pPr>
    </w:p>
    <w:sectPr w:rsidR="00B670A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40B"/>
    <w:rsid w:val="00032695"/>
    <w:rsid w:val="000E69CC"/>
    <w:rsid w:val="001279F5"/>
    <w:rsid w:val="0020340B"/>
    <w:rsid w:val="00440068"/>
    <w:rsid w:val="005525B2"/>
    <w:rsid w:val="006119F9"/>
    <w:rsid w:val="009902BB"/>
    <w:rsid w:val="00B670A2"/>
    <w:rsid w:val="00F34F33"/>
    <w:rsid w:val="076C1C3B"/>
    <w:rsid w:val="0C847B91"/>
    <w:rsid w:val="0FC14BAE"/>
    <w:rsid w:val="20732A5C"/>
    <w:rsid w:val="2B18375A"/>
    <w:rsid w:val="30F524B2"/>
    <w:rsid w:val="3FA44371"/>
    <w:rsid w:val="40442B0E"/>
    <w:rsid w:val="43025113"/>
    <w:rsid w:val="4C7E0512"/>
    <w:rsid w:val="5B743E4F"/>
    <w:rsid w:val="5DD60DF1"/>
    <w:rsid w:val="6ACB7804"/>
    <w:rsid w:val="6D5831F2"/>
    <w:rsid w:val="7171209F"/>
    <w:rsid w:val="7490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67BE045-7A26-4399-A346-AAFC90FA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4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健 鞠</cp:lastModifiedBy>
  <cp:revision>4</cp:revision>
  <dcterms:created xsi:type="dcterms:W3CDTF">2026-02-06T02:18:00Z</dcterms:created>
  <dcterms:modified xsi:type="dcterms:W3CDTF">2026-03-04T12:01:00Z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eyJoZGlkIjoiN2YzNjBkOTgyNWQ1YTMxYzM3MzMwNWFiODNmOWIzYWMiLCJ1c2VySWQiOiIxMjcxMDc3MjgxIn0=</vt:lpwstr>
  </property>
  <property fmtid="{D5CDD505-2E9C-101B-9397-08002B2CF9AE}" pid="4" name="ICV">
    <vt:lpwstr>77F1B71B3D4547A6B8CF3367BE114C39_12</vt:lpwstr>
  </property>
</Properties>
</file>