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BCADB" w14:textId="77777777" w:rsidR="00905414" w:rsidRPr="00130408" w:rsidRDefault="00000000">
      <w:pPr>
        <w:topLinePunct/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 w:rsidRPr="00130408">
        <w:rPr>
          <w:rStyle w:val="a4"/>
          <w:rFonts w:ascii="Times New Roman" w:eastAsia="宋体" w:hAnsi="Times New Roman" w:cs="Times New Roman" w:hint="eastAsia"/>
          <w:bCs/>
          <w:color w:val="0F1115"/>
          <w:sz w:val="24"/>
          <w:shd w:val="clear" w:color="auto" w:fill="FFFFFF"/>
        </w:rPr>
        <w:t>Table S</w:t>
      </w:r>
      <w:r w:rsidRPr="00130408">
        <w:rPr>
          <w:rStyle w:val="a4"/>
          <w:rFonts w:ascii="Times New Roman" w:eastAsia="宋体" w:hAnsi="Times New Roman" w:cs="Times New Roman"/>
          <w:bCs/>
          <w:color w:val="0F1115"/>
          <w:sz w:val="24"/>
          <w:shd w:val="clear" w:color="auto" w:fill="FFFFFF"/>
        </w:rPr>
        <w:t xml:space="preserve">2. </w:t>
      </w:r>
      <w:r w:rsidRPr="00130408">
        <w:rPr>
          <w:rFonts w:ascii="Times New Roman" w:eastAsia="宋体" w:hAnsi="Times New Roman" w:cs="Times New Roman"/>
          <w:color w:val="0F1115"/>
          <w:sz w:val="24"/>
          <w:shd w:val="clear" w:color="auto" w:fill="FFFFFF"/>
        </w:rPr>
        <w:t>Comprehensive comparison of SA-PNP-NPs with other typical self-assembled systems</w:t>
      </w:r>
    </w:p>
    <w:tbl>
      <w:tblPr>
        <w:tblStyle w:val="a3"/>
        <w:tblW w:w="16412" w:type="dxa"/>
        <w:jc w:val="center"/>
        <w:tblLayout w:type="fixed"/>
        <w:tblLook w:val="04A0" w:firstRow="1" w:lastRow="0" w:firstColumn="1" w:lastColumn="0" w:noHBand="0" w:noVBand="1"/>
      </w:tblPr>
      <w:tblGrid>
        <w:gridCol w:w="1722"/>
        <w:gridCol w:w="2673"/>
        <w:gridCol w:w="2410"/>
        <w:gridCol w:w="2551"/>
        <w:gridCol w:w="2268"/>
        <w:gridCol w:w="2268"/>
        <w:gridCol w:w="2520"/>
      </w:tblGrid>
      <w:tr w:rsidR="00905414" w14:paraId="3422EEE8" w14:textId="77777777" w:rsidTr="00404617">
        <w:trPr>
          <w:trHeight w:val="1471"/>
          <w:tblHeader/>
          <w:jc w:val="center"/>
        </w:trPr>
        <w:tc>
          <w:tcPr>
            <w:tcW w:w="172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  <w:tl2br w:val="single" w:sz="8" w:space="0" w:color="auto"/>
            </w:tcBorders>
          </w:tcPr>
          <w:p w14:paraId="14AB4C74" w14:textId="77777777" w:rsidR="00905414" w:rsidRDefault="00000000">
            <w:pPr>
              <w:topLinePunct/>
              <w:snapToGrid w:val="0"/>
              <w:spacing w:line="480" w:lineRule="auto"/>
              <w:ind w:leftChars="114" w:left="721" w:hangingChars="200" w:hanging="482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Systems</w:t>
            </w:r>
          </w:p>
          <w:p w14:paraId="14711ED8" w14:textId="77777777" w:rsidR="00905414" w:rsidRDefault="00905414">
            <w:pPr>
              <w:topLinePunct/>
              <w:snapToGrid w:val="0"/>
              <w:spacing w:line="480" w:lineRule="auto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</w:p>
          <w:p w14:paraId="0BAAD5CC" w14:textId="77777777" w:rsidR="00905414" w:rsidRDefault="00000000">
            <w:pPr>
              <w:topLinePunct/>
              <w:snapToGrid w:val="0"/>
              <w:spacing w:line="480" w:lineRule="auto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Differences</w:t>
            </w:r>
          </w:p>
        </w:tc>
        <w:tc>
          <w:tcPr>
            <w:tcW w:w="26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41A71B" w14:textId="77777777" w:rsidR="00905414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SA-PNP-NPs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6ED6FA" w14:textId="77777777" w:rsidR="00905414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Synthetic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olymer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elf-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ssembled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ystems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8435726" w14:textId="77777777" w:rsidR="00905414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Liposome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elf-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ssembled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ystems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18B169B" w14:textId="77777777" w:rsidR="00905414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Peptide-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b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ased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elf-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ssembled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ystems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7787D56" w14:textId="77777777" w:rsidR="00905414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Metal-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o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rganic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f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rameworks (MOFs)</w:t>
            </w: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D46BFA7" w14:textId="77777777" w:rsidR="00905414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Nucleic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cid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elf-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ssembled 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</w:rPr>
              <w:t>ystems</w:t>
            </w:r>
          </w:p>
        </w:tc>
      </w:tr>
      <w:tr w:rsidR="00905414" w14:paraId="73FC3186" w14:textId="77777777">
        <w:trPr>
          <w:tblHeader/>
          <w:jc w:val="center"/>
        </w:trPr>
        <w:tc>
          <w:tcPr>
            <w:tcW w:w="17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3C6571F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Core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b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uilding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b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locks</w:t>
            </w:r>
          </w:p>
        </w:tc>
        <w:tc>
          <w:tcPr>
            <w:tcW w:w="267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81831B0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Natural complex systems: plant polysaccharides, proteins, polyphenols, etc., with diverse structures and chemical heterogeneity.</w:t>
            </w: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CC5D7A2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Engineered homopolymers/block copolymers: e.g., PLA, PEG, PLGA, with definite, uniform and precisely designable structures.</w:t>
            </w:r>
          </w:p>
        </w:tc>
        <w:tc>
          <w:tcPr>
            <w:tcW w:w="255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82F1B6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Well-defined amphiphilic molecules: phospholipids (natural/synthetic) with standard hydrophilic heads and hydrophobic tails.</w:t>
            </w:r>
          </w:p>
          <w:p w14:paraId="1444184E" w14:textId="77777777" w:rsidR="00905414" w:rsidRPr="00130408" w:rsidRDefault="00905414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89DC390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Short peptides with precise sequences: encoded by specific amino acid sequences, with highly predictable structures.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A64A6F1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Inorganic-organic hybrid modules: metal ions/clusters (nodes) and rigid organic ligands (linkers), with definite and designable structures.</w:t>
            </w:r>
          </w:p>
          <w:p w14:paraId="5D88ECB2" w14:textId="77777777" w:rsidR="00905414" w:rsidRPr="00130408" w:rsidRDefault="00905414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74D8B42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Informational biomacromolecules: single strands/fragments of DNA or RNA, with precise sequences, following the principle of complementary base pairing.</w:t>
            </w:r>
          </w:p>
        </w:tc>
      </w:tr>
      <w:tr w:rsidR="00905414" w14:paraId="25AE3416" w14:textId="77777777">
        <w:trPr>
          <w:tblHeader/>
          <w:jc w:val="center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FAA90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lastRenderedPageBreak/>
              <w:t xml:space="preserve">Dominant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d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riving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f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orces and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c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haracteristics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1D4E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Synergistic network of multiple weak interactions: dynamic coordination of hydrophobic interactions, hydrogen bonds, π-π stacking, etc., with environmental responsiveness and diverse assembly pathways.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241B6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Relatively single combination of driving forces: mainly dependent on the hydrophobic-hydrophilic balance between blocks, electrostatic interactions, etc., with definite thermodynamic driving forces and controllable pathways.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2FDEB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Classical hydrophobic association: the hydrophobic effect of phospholipid tails drives the formation of bilamellar/multilamellar membranes, with a single and stable intrinsic driving force.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088E3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Conformation-directed precise assembly: the formation of β-sheets or α-helices dominated by hydrogen bonds serves as the prerequisite and core driving force, with strong conformation and sequence dependence.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B0818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Dominated by strong coordination bonds, combined with π-π stacking, van der Waals forces, etc. The driving forces are strong and directionally definite, forming highly ordered and stable crystal structures.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B71B6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Highly specific complementary base pairing (A-T/U, G-C) with highly predictable and programmable driving forces, enabling precise self-assembly from one-dimensional sequences to complex two/three-dimensional structures.</w:t>
            </w:r>
          </w:p>
        </w:tc>
      </w:tr>
      <w:tr w:rsidR="00905414" w14:paraId="7911A8A0" w14:textId="77777777">
        <w:trPr>
          <w:tblHeader/>
          <w:jc w:val="center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16F19" w14:textId="77777777" w:rsidR="00905414" w:rsidRPr="00130408" w:rsidRDefault="00000000">
            <w:pPr>
              <w:overflowPunct w:val="0"/>
              <w:autoSpaceDE w:val="0"/>
              <w:autoSpaceDN w:val="0"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lastRenderedPageBreak/>
              <w:t xml:space="preserve">Structural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c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haracteristics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ED881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Multicomponent hybrid core-shell or network structures: often heterogeneous in structure and diverse in morphology (spherical, fibrous, etc.), with active ingredients integrable into the structure in situ.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6AA1B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Well-defined phase-separated structures: e.g., micelles (distinct core-shell), vesicles, etc., with morphology and size precisely tunable via molecular weight and block ratio.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62DA9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Standard biomimetic membrane structures: forming bilamellar/multilamellar vesicles with an aqueous inner phase, featuring high structural uniformity and regularity.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7EBF4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Highly ordered nanostructures: capable of forming fibers, tubes, ribbons, etc., with structures precisely determined by peptide sequences and high atomic-level orderliness.</w:t>
            </w:r>
          </w:p>
          <w:p w14:paraId="27E0C593" w14:textId="77777777" w:rsidR="00905414" w:rsidRPr="00130408" w:rsidRDefault="00905414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28941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Highly ordered periodic crystalline porous materials with ultrahigh specific surface area, and highly tunable pore size and shape, featuring relatively rigid structures.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56A07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Programmable nanostructures (e.g., tetrahedrons, cubes, tubes, sheets, etc.), with size and shape precisely controlled by sequence design, and structures combining precision with certain dynamics (e.g., strand displacement reaction).</w:t>
            </w:r>
          </w:p>
        </w:tc>
      </w:tr>
      <w:tr w:rsidR="00905414" w14:paraId="1815D037" w14:textId="77777777">
        <w:trPr>
          <w:tblHeader/>
          <w:jc w:val="center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6D4D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lastRenderedPageBreak/>
              <w:t xml:space="preserve">Preparation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s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trategies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206C5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Guiding nature: inducing the intrinsic assembly potential of natural components via mild physical or biomimetic chemical methods with minimal intervention.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57289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Engineering fabrication: constructing target structures from purified monomers or polymers relying on standardized processes such as solvent exchange, dialysis, emulsification.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C491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Biomimetic reconstruction: reconstituting phospholipid molecules into standard membrane structures using methods such as thin-film hydration and extrusion, with a controllable process.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E443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Biomimicry: triggering the spontaneous folding and assembly of preset sequences under specific pH, ionic strength and other conditions, with high biomimetic properties.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ED4C7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i/>
                <w:iCs/>
                <w:color w:val="0F1115"/>
                <w:sz w:val="24"/>
                <w:shd w:val="clear" w:color="auto" w:fill="FFFFFF"/>
              </w:rPr>
              <w:t>Crystal engineering</w:t>
            </w: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: usually requiring solvothermal/hydrothermal methods, diffusion methods, etc., for crystal growth and deposition under specific temperature and pressure, with high process control requirements.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86BFD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Molecular programming: triggering the spontaneous folding and hybridization of preset sequences according to the rules of base pairing via thermal cycling processes such as denaturation-annealing to form target structures.</w:t>
            </w:r>
          </w:p>
        </w:tc>
      </w:tr>
      <w:tr w:rsidR="00905414" w14:paraId="68C78600" w14:textId="77777777">
        <w:trPr>
          <w:tblHeader/>
          <w:jc w:val="center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D620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lastRenderedPageBreak/>
              <w:t xml:space="preserve">Core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dvantages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3E60B156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Excellent biocompatibility and safety.</w:t>
            </w:r>
          </w:p>
          <w:p w14:paraId="1E800FC7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 xml:space="preserve">2. Intrinsic biological activity </w:t>
            </w:r>
          </w:p>
          <w:p w14:paraId="31EA0F79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Good biodegradability and environmental friendliness.</w:t>
            </w:r>
          </w:p>
          <w:p w14:paraId="7B60680D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Multifunctional integration.</w:t>
            </w:r>
          </w:p>
          <w:p w14:paraId="3A5F502A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5. Widely available and renewable raw materials.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6093EC1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High structural and performance programmability.</w:t>
            </w:r>
          </w:p>
          <w:p w14:paraId="6BB95E9B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Excellent batch-to-batch consistency and reproducibility.</w:t>
            </w:r>
          </w:p>
          <w:p w14:paraId="416F611C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Precisely tunable mechanical properties and degradation rate.</w:t>
            </w:r>
          </w:p>
          <w:p w14:paraId="761DDEA2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Suitable for large-scale industrial production.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5E0229A8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 xml:space="preserve">1. Excellent </w:t>
            </w:r>
            <w:proofErr w:type="spellStart"/>
            <w:r w:rsidRPr="00130408">
              <w:rPr>
                <w:rFonts w:ascii="Times New Roman" w:eastAsia="宋体" w:hAnsi="Times New Roman" w:cs="Times New Roman"/>
                <w:sz w:val="24"/>
              </w:rPr>
              <w:t>biomembrane</w:t>
            </w:r>
            <w:proofErr w:type="spellEnd"/>
            <w:r w:rsidRPr="00130408">
              <w:rPr>
                <w:rFonts w:ascii="Times New Roman" w:eastAsia="宋体" w:hAnsi="Times New Roman" w:cs="Times New Roman"/>
                <w:sz w:val="24"/>
              </w:rPr>
              <w:t xml:space="preserve"> affinity and cellular uptake efficiency.</w:t>
            </w:r>
          </w:p>
          <w:p w14:paraId="14050726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Capable of encapsulating both hydrophilic and hydrophobic molecules simultaneously.</w:t>
            </w:r>
          </w:p>
          <w:p w14:paraId="1FEFEC9C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Facile surface functional modification.</w:t>
            </w:r>
          </w:p>
          <w:p w14:paraId="4347A22B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In-depth research with numerous clinical translation examples.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7A05017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Atomic-level structural precision and designability.</w:t>
            </w:r>
          </w:p>
          <w:p w14:paraId="4C2D4C29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Excellent biological activity and smart responsiveness.</w:t>
            </w:r>
          </w:p>
          <w:p w14:paraId="00CF9784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Outstanding biocompatibility and low immunogenicity.</w:t>
            </w:r>
          </w:p>
          <w:p w14:paraId="5F2D1DFC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Great potential in cutting-edge fields such as molecular diagnosis and tissue engineering.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34C0B8F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1. Extremely high porosity and loading capacity.</w:t>
            </w:r>
          </w:p>
          <w:p w14:paraId="57644C7B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2. Highly designable structure, pore size and functional groups.</w:t>
            </w:r>
          </w:p>
          <w:p w14:paraId="3DD6FB3A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3. Excellent physicochemical properties for catalysis, sensing, gas adsorption, etc.</w:t>
            </w:r>
          </w:p>
          <w:p w14:paraId="550E7C08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4. Some MOFs exhibit stimulus responsiveness.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6E94759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Atomic-level structural precision and programmability.</w:t>
            </w:r>
          </w:p>
          <w:p w14:paraId="3E62CEF7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Excellent biological recognition ability.</w:t>
            </w:r>
          </w:p>
          <w:p w14:paraId="6FAAA4F5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Capable of designing dynamic and intelligent nanomachines or logic gates.</w:t>
            </w:r>
          </w:p>
          <w:p w14:paraId="7E4E79AA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Good biocompatibility.</w:t>
            </w:r>
          </w:p>
        </w:tc>
      </w:tr>
      <w:tr w:rsidR="00905414" w14:paraId="31099754" w14:textId="77777777">
        <w:trPr>
          <w:tblHeader/>
          <w:jc w:val="center"/>
        </w:trPr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39CF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lastRenderedPageBreak/>
              <w:t xml:space="preserve">Main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l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imitations and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c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hallenges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</w:tcPr>
          <w:p w14:paraId="584CE56F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Large batch-to-batch differences.</w:t>
            </w:r>
          </w:p>
          <w:p w14:paraId="190AA586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Limited precision in structural regulation and complex formation mechanisms.</w:t>
            </w:r>
          </w:p>
          <w:p w14:paraId="487CC31F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Possible insufficient long-term physical stability.</w:t>
            </w:r>
          </w:p>
          <w:p w14:paraId="75565400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Challenges in separation, purification and standardized production.</w:t>
            </w:r>
          </w:p>
          <w:p w14:paraId="7D6433A3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5. Difficulty in precise elucidation of structure-activity relationships.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78F4665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Potential biocompatibility issues.</w:t>
            </w:r>
          </w:p>
          <w:p w14:paraId="2E8C7E17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Lack of intrinsic biological activity, requiring additional introduction of functional groups.</w:t>
            </w:r>
          </w:p>
          <w:p w14:paraId="202F016D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Possible involvement of toxic solvent residues.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26A4F3F6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Relatively poor physical and chemical stability.</w:t>
            </w:r>
          </w:p>
          <w:p w14:paraId="212FE435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Sometimes low encapsulation efficiency, especially for hydrophilic drugs.</w:t>
            </w:r>
          </w:p>
          <w:p w14:paraId="455295CD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Challenges in large-scale production and sterilization processes.</w:t>
            </w:r>
          </w:p>
          <w:p w14:paraId="00D4EB89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High cost of raw materials.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6C22F15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High production cost.</w:t>
            </w:r>
          </w:p>
          <w:p w14:paraId="12953AC8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Difficulty in large-scale production and purification.</w:t>
            </w:r>
          </w:p>
          <w:p w14:paraId="01FCD1C4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Possible limited stability in complex physiological environments.</w:t>
            </w:r>
          </w:p>
          <w:p w14:paraId="5B9D7780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High threshold for designing peptide sequences with complex functions.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E0F9462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1. Insufficient chemical stability in many physiological environments.</w:t>
            </w:r>
          </w:p>
          <w:p w14:paraId="26BC35EA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2. Poor biodegradability and potential metal ion toxicity.</w:t>
            </w:r>
          </w:p>
          <w:p w14:paraId="1D6D2255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3. Difficulty in large-scale green synthesis and forming processing.</w:t>
            </w:r>
          </w:p>
          <w:p w14:paraId="7E6E4AA4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4. High cost.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AEA3472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1. Extremely high production cost.</w:t>
            </w:r>
          </w:p>
          <w:p w14:paraId="45EAD3C7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2. Prone to rapid degradation by nucleases in organisms.</w:t>
            </w:r>
          </w:p>
          <w:p w14:paraId="5CCB5561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3. Extremely challenging large-scale production and purification.</w:t>
            </w:r>
          </w:p>
          <w:p w14:paraId="4CCECF9C" w14:textId="77777777" w:rsidR="00905414" w:rsidRPr="00130408" w:rsidRDefault="00000000">
            <w:pPr>
              <w:topLinePunct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4. Relatively limited mechanical strength and stability.</w:t>
            </w:r>
          </w:p>
        </w:tc>
      </w:tr>
      <w:tr w:rsidR="00905414" w14:paraId="73BCB0B4" w14:textId="77777777">
        <w:trPr>
          <w:tblHeader/>
          <w:jc w:val="center"/>
        </w:trPr>
        <w:tc>
          <w:tcPr>
            <w:tcW w:w="17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7778A82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lastRenderedPageBreak/>
              <w:t xml:space="preserve">Dominant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a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 xml:space="preserve">pplication </w:t>
            </w:r>
            <w:r w:rsidRPr="00130408">
              <w:rPr>
                <w:rFonts w:ascii="Times New Roman" w:eastAsia="宋体" w:hAnsi="Times New Roman" w:cs="Times New Roman" w:hint="eastAsia"/>
                <w:b/>
                <w:bCs/>
                <w:sz w:val="24"/>
              </w:rPr>
              <w:t>f</w:t>
            </w:r>
            <w:r w:rsidRPr="00130408">
              <w:rPr>
                <w:rFonts w:ascii="Times New Roman" w:eastAsia="宋体" w:hAnsi="Times New Roman" w:cs="Times New Roman"/>
                <w:b/>
                <w:bCs/>
                <w:sz w:val="24"/>
              </w:rPr>
              <w:t>ields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EB6924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Green and multifunctional in vivo applications: functional foods/health products, natural-source cosmetics, oral/transdermal drug delivery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CD3EA1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High drug loading and controlled delivery: intravenous anticancer nanomedicines, long-acting sustained-release injections, implants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5C4AEB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 w:rsidRPr="00130408">
              <w:rPr>
                <w:rFonts w:ascii="Times New Roman" w:eastAsia="宋体" w:hAnsi="Times New Roman" w:cs="Times New Roman"/>
                <w:sz w:val="24"/>
              </w:rPr>
              <w:t>Biomembrane</w:t>
            </w:r>
            <w:proofErr w:type="spellEnd"/>
            <w:r w:rsidRPr="00130408">
              <w:rPr>
                <w:rFonts w:ascii="Times New Roman" w:eastAsia="宋体" w:hAnsi="Times New Roman" w:cs="Times New Roman"/>
                <w:sz w:val="24"/>
              </w:rPr>
              <w:t>-affinity delivery: injectable anticancer drugs, vaccine adjuvants, mRNA vaccines, topical transdermal preparations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0EA57A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sz w:val="24"/>
              </w:rPr>
              <w:t>Cutting-edge applications with high biological activity: tissue engineering scaffolds, antibacterial materials, targeted tumor diagnosis and therapy, molecular detection probes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820262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Applications leveraging high porosity and tunable chemistry: gas storage/separation, catalysis, sensing, pollutant adsorption, high-loading delivery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2F9EE6C" w14:textId="77777777" w:rsidR="00905414" w:rsidRPr="00130408" w:rsidRDefault="00000000">
            <w:pPr>
              <w:topLinePunct/>
              <w:snapToGrid w:val="0"/>
              <w:spacing w:line="48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 w:rsidRPr="00130408">
              <w:rPr>
                <w:rFonts w:ascii="Times New Roman" w:eastAsia="宋体" w:hAnsi="Times New Roman" w:cs="Times New Roman"/>
                <w:color w:val="0F1115"/>
                <w:sz w:val="24"/>
                <w:shd w:val="clear" w:color="auto" w:fill="FFFFFF"/>
              </w:rPr>
              <w:t>Applications for programmed recognition and dynamic response: smart drug delivery, biosensing, molecular computing, gene regulation</w:t>
            </w:r>
          </w:p>
        </w:tc>
      </w:tr>
    </w:tbl>
    <w:p w14:paraId="3DE7D911" w14:textId="77777777" w:rsidR="00905414" w:rsidRDefault="00905414">
      <w:pPr>
        <w:topLinePunct/>
        <w:spacing w:line="480" w:lineRule="auto"/>
        <w:rPr>
          <w:rFonts w:ascii="Times New Roman" w:hAnsi="Times New Roman" w:cs="Times New Roman"/>
          <w:sz w:val="24"/>
        </w:rPr>
      </w:pPr>
    </w:p>
    <w:sectPr w:rsidR="0090541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384B2" w14:textId="77777777" w:rsidR="00947DF2" w:rsidRDefault="00947DF2" w:rsidP="00404617">
      <w:r>
        <w:separator/>
      </w:r>
    </w:p>
  </w:endnote>
  <w:endnote w:type="continuationSeparator" w:id="0">
    <w:p w14:paraId="48ABF7F6" w14:textId="77777777" w:rsidR="00947DF2" w:rsidRDefault="00947DF2" w:rsidP="00404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4B3AD" w14:textId="77777777" w:rsidR="00947DF2" w:rsidRDefault="00947DF2" w:rsidP="00404617">
      <w:r>
        <w:separator/>
      </w:r>
    </w:p>
  </w:footnote>
  <w:footnote w:type="continuationSeparator" w:id="0">
    <w:p w14:paraId="0894199E" w14:textId="77777777" w:rsidR="00947DF2" w:rsidRDefault="00947DF2" w:rsidP="004046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DCA"/>
    <w:rsid w:val="00093DCA"/>
    <w:rsid w:val="000A37E7"/>
    <w:rsid w:val="00130408"/>
    <w:rsid w:val="0025373A"/>
    <w:rsid w:val="00404617"/>
    <w:rsid w:val="00440068"/>
    <w:rsid w:val="00816C6D"/>
    <w:rsid w:val="0082740A"/>
    <w:rsid w:val="00905414"/>
    <w:rsid w:val="00947DF2"/>
    <w:rsid w:val="009D50F2"/>
    <w:rsid w:val="00B03BB9"/>
    <w:rsid w:val="00B34823"/>
    <w:rsid w:val="00C011FD"/>
    <w:rsid w:val="00D05C94"/>
    <w:rsid w:val="00F57BA6"/>
    <w:rsid w:val="00F958F1"/>
    <w:rsid w:val="095C12F1"/>
    <w:rsid w:val="0BE1433A"/>
    <w:rsid w:val="0BE31EDA"/>
    <w:rsid w:val="10284614"/>
    <w:rsid w:val="14070D92"/>
    <w:rsid w:val="1C054074"/>
    <w:rsid w:val="3CA71399"/>
    <w:rsid w:val="43761230"/>
    <w:rsid w:val="447A2F4D"/>
    <w:rsid w:val="59FC73F6"/>
    <w:rsid w:val="693C3AD3"/>
    <w:rsid w:val="695E7EED"/>
    <w:rsid w:val="7A170370"/>
    <w:rsid w:val="7E47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B9D88A4E-45FC-474C-8B4F-61ED09BF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4046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0461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4046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0461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7</Pages>
  <Words>1261</Words>
  <Characters>7194</Characters>
  <Application>Microsoft Office Word</Application>
  <DocSecurity>0</DocSecurity>
  <Lines>59</Lines>
  <Paragraphs>16</Paragraphs>
  <ScaleCrop>false</ScaleCrop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HONOR</dc:creator>
  <cp:lastModifiedBy>健 鞠</cp:lastModifiedBy>
  <cp:revision>7</cp:revision>
  <dcterms:created xsi:type="dcterms:W3CDTF">2026-02-04T00:55:00Z</dcterms:created>
  <dcterms:modified xsi:type="dcterms:W3CDTF">2026-03-04T12:01:00Z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eyJoZGlkIjoiN2YzNjBkOTgyNWQ1YTMxYzM3MzMwNWFiODNmOWIzYWMiLCJ1c2VySWQiOiIxMjcxMDc3MjgxIn0=</vt:lpwstr>
  </property>
  <property fmtid="{D5CDD505-2E9C-101B-9397-08002B2CF9AE}" pid="4" name="ICV">
    <vt:lpwstr>734151BD2D5B402DA78D3E92C7A62B5A_12</vt:lpwstr>
  </property>
</Properties>
</file>