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AFA86" w14:textId="73702A3D" w:rsidR="001669EB" w:rsidRDefault="00000000" w:rsidP="005004D6">
      <w:pPr>
        <w:jc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b/>
          <w:bCs/>
          <w:color w:val="0F1115"/>
          <w:sz w:val="24"/>
          <w:shd w:val="clear" w:color="auto" w:fill="FFFFFF"/>
        </w:rPr>
        <w:t xml:space="preserve">Table </w:t>
      </w:r>
      <w:r>
        <w:rPr>
          <w:rFonts w:ascii="Times New Roman" w:eastAsia="宋体" w:hAnsi="Times New Roman" w:cs="Times New Roman" w:hint="eastAsia"/>
          <w:b/>
          <w:bCs/>
          <w:color w:val="0F1115"/>
          <w:sz w:val="24"/>
          <w:shd w:val="clear" w:color="auto" w:fill="FFFFFF"/>
        </w:rPr>
        <w:t>S</w:t>
      </w:r>
      <w:r>
        <w:rPr>
          <w:rFonts w:ascii="Times New Roman" w:eastAsia="宋体" w:hAnsi="Times New Roman" w:cs="Times New Roman"/>
          <w:b/>
          <w:bCs/>
          <w:color w:val="0F1115"/>
          <w:sz w:val="24"/>
          <w:shd w:val="clear" w:color="auto" w:fill="FFFFFF"/>
        </w:rPr>
        <w:t>3</w:t>
      </w:r>
      <w:r w:rsidR="002D316A">
        <w:rPr>
          <w:rFonts w:ascii="Times New Roman" w:eastAsia="宋体" w:hAnsi="Times New Roman" w:cs="Times New Roman" w:hint="eastAsia"/>
          <w:color w:val="0F1115"/>
          <w:sz w:val="24"/>
          <w:shd w:val="clear" w:color="auto" w:fill="FFFFFF"/>
        </w:rPr>
        <w:t>.</w:t>
      </w:r>
      <w:r>
        <w:rPr>
          <w:rFonts w:ascii="Times New Roman" w:eastAsia="宋体" w:hAnsi="Times New Roman" w:cs="Times New Roman" w:hint="eastAsia"/>
          <w:color w:val="0F1115"/>
          <w:sz w:val="24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/>
          <w:color w:val="0F1115"/>
          <w:sz w:val="24"/>
          <w:shd w:val="clear" w:color="auto" w:fill="FFFFFF"/>
        </w:rPr>
        <w:t xml:space="preserve">Main </w:t>
      </w:r>
      <w:r>
        <w:rPr>
          <w:rFonts w:ascii="Times New Roman" w:eastAsia="宋体" w:hAnsi="Times New Roman" w:cs="Times New Roman" w:hint="eastAsia"/>
          <w:color w:val="0F1115"/>
          <w:sz w:val="24"/>
          <w:shd w:val="clear" w:color="auto" w:fill="FFFFFF"/>
        </w:rPr>
        <w:t>c</w:t>
      </w:r>
      <w:r>
        <w:rPr>
          <w:rFonts w:ascii="Times New Roman" w:eastAsia="宋体" w:hAnsi="Times New Roman" w:cs="Times New Roman"/>
          <w:color w:val="0F1115"/>
          <w:sz w:val="24"/>
          <w:shd w:val="clear" w:color="auto" w:fill="FFFFFF"/>
        </w:rPr>
        <w:t xml:space="preserve">omputational </w:t>
      </w:r>
      <w:r>
        <w:rPr>
          <w:rFonts w:ascii="Times New Roman" w:eastAsia="宋体" w:hAnsi="Times New Roman" w:cs="Times New Roman" w:hint="eastAsia"/>
          <w:color w:val="0F1115"/>
          <w:sz w:val="24"/>
          <w:shd w:val="clear" w:color="auto" w:fill="FFFFFF"/>
        </w:rPr>
        <w:t>m</w:t>
      </w:r>
      <w:r>
        <w:rPr>
          <w:rFonts w:ascii="Times New Roman" w:eastAsia="宋体" w:hAnsi="Times New Roman" w:cs="Times New Roman"/>
          <w:color w:val="0F1115"/>
          <w:sz w:val="24"/>
          <w:shd w:val="clear" w:color="auto" w:fill="FFFFFF"/>
        </w:rPr>
        <w:t xml:space="preserve">ethods and </w:t>
      </w:r>
      <w:r>
        <w:rPr>
          <w:rFonts w:ascii="Times New Roman" w:eastAsia="宋体" w:hAnsi="Times New Roman" w:cs="Times New Roman" w:hint="eastAsia"/>
          <w:color w:val="0F1115"/>
          <w:sz w:val="24"/>
          <w:shd w:val="clear" w:color="auto" w:fill="FFFFFF"/>
        </w:rPr>
        <w:t>t</w:t>
      </w:r>
      <w:r>
        <w:rPr>
          <w:rFonts w:ascii="Times New Roman" w:eastAsia="宋体" w:hAnsi="Times New Roman" w:cs="Times New Roman"/>
          <w:color w:val="0F1115"/>
          <w:sz w:val="24"/>
          <w:shd w:val="clear" w:color="auto" w:fill="FFFFFF"/>
        </w:rPr>
        <w:t xml:space="preserve">heir </w:t>
      </w:r>
      <w:r>
        <w:rPr>
          <w:rFonts w:ascii="Times New Roman" w:eastAsia="宋体" w:hAnsi="Times New Roman" w:cs="Times New Roman" w:hint="eastAsia"/>
          <w:color w:val="0F1115"/>
          <w:sz w:val="24"/>
          <w:shd w:val="clear" w:color="auto" w:fill="FFFFFF"/>
        </w:rPr>
        <w:t>c</w:t>
      </w:r>
      <w:r>
        <w:rPr>
          <w:rFonts w:ascii="Times New Roman" w:eastAsia="宋体" w:hAnsi="Times New Roman" w:cs="Times New Roman"/>
          <w:color w:val="0F1115"/>
          <w:sz w:val="24"/>
          <w:shd w:val="clear" w:color="auto" w:fill="FFFFFF"/>
        </w:rPr>
        <w:t xml:space="preserve">haracteristics for the </w:t>
      </w:r>
      <w:r>
        <w:rPr>
          <w:rFonts w:ascii="Times New Roman" w:eastAsia="宋体" w:hAnsi="Times New Roman" w:cs="Times New Roman" w:hint="eastAsia"/>
          <w:color w:val="0F1115"/>
          <w:sz w:val="24"/>
          <w:shd w:val="clear" w:color="auto" w:fill="FFFFFF"/>
        </w:rPr>
        <w:t>a</w:t>
      </w:r>
      <w:r>
        <w:rPr>
          <w:rFonts w:ascii="Times New Roman" w:eastAsia="宋体" w:hAnsi="Times New Roman" w:cs="Times New Roman"/>
          <w:color w:val="0F1115"/>
          <w:sz w:val="24"/>
          <w:shd w:val="clear" w:color="auto" w:fill="FFFFFF"/>
        </w:rPr>
        <w:t xml:space="preserve">nalysis of </w:t>
      </w:r>
      <w:r>
        <w:rPr>
          <w:rFonts w:ascii="Times New Roman" w:eastAsia="宋体" w:hAnsi="Times New Roman" w:cs="Times New Roman" w:hint="eastAsia"/>
          <w:color w:val="0F1115"/>
          <w:sz w:val="24"/>
          <w:shd w:val="clear" w:color="auto" w:fill="FFFFFF"/>
        </w:rPr>
        <w:t>s</w:t>
      </w:r>
      <w:r>
        <w:rPr>
          <w:rFonts w:ascii="Times New Roman" w:eastAsia="宋体" w:hAnsi="Times New Roman" w:cs="Times New Roman"/>
          <w:color w:val="0F1115"/>
          <w:sz w:val="24"/>
          <w:shd w:val="clear" w:color="auto" w:fill="FFFFFF"/>
        </w:rPr>
        <w:t>elf-</w:t>
      </w:r>
      <w:r>
        <w:rPr>
          <w:rFonts w:ascii="Times New Roman" w:eastAsia="宋体" w:hAnsi="Times New Roman" w:cs="Times New Roman" w:hint="eastAsia"/>
          <w:color w:val="0F1115"/>
          <w:sz w:val="24"/>
          <w:shd w:val="clear" w:color="auto" w:fill="FFFFFF"/>
        </w:rPr>
        <w:t>a</w:t>
      </w:r>
      <w:r>
        <w:rPr>
          <w:rFonts w:ascii="Times New Roman" w:eastAsia="宋体" w:hAnsi="Times New Roman" w:cs="Times New Roman"/>
          <w:color w:val="0F1115"/>
          <w:sz w:val="24"/>
          <w:shd w:val="clear" w:color="auto" w:fill="FFFFFF"/>
        </w:rPr>
        <w:t xml:space="preserve">ssembly </w:t>
      </w:r>
      <w:r>
        <w:rPr>
          <w:rFonts w:ascii="Times New Roman" w:eastAsia="宋体" w:hAnsi="Times New Roman" w:cs="Times New Roman" w:hint="eastAsia"/>
          <w:color w:val="0F1115"/>
          <w:sz w:val="24"/>
          <w:shd w:val="clear" w:color="auto" w:fill="FFFFFF"/>
        </w:rPr>
        <w:t>m</w:t>
      </w:r>
      <w:r>
        <w:rPr>
          <w:rFonts w:ascii="Times New Roman" w:eastAsia="宋体" w:hAnsi="Times New Roman" w:cs="Times New Roman"/>
          <w:color w:val="0F1115"/>
          <w:sz w:val="24"/>
          <w:shd w:val="clear" w:color="auto" w:fill="FFFFFF"/>
        </w:rPr>
        <w:t>echanisms of SA-PNP-NPs</w:t>
      </w:r>
    </w:p>
    <w:tbl>
      <w:tblPr>
        <w:tblStyle w:val="a3"/>
        <w:tblW w:w="15593" w:type="dxa"/>
        <w:jc w:val="center"/>
        <w:tblBorders>
          <w:top w:val="single" w:sz="12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2"/>
        <w:gridCol w:w="3197"/>
        <w:gridCol w:w="3360"/>
        <w:gridCol w:w="3625"/>
        <w:gridCol w:w="3489"/>
      </w:tblGrid>
      <w:tr w:rsidR="001669EB" w14:paraId="50AEF6A2" w14:textId="77777777" w:rsidTr="00D007B3">
        <w:trPr>
          <w:trHeight w:val="942"/>
          <w:jc w:val="center"/>
        </w:trPr>
        <w:tc>
          <w:tcPr>
            <w:tcW w:w="1922" w:type="dxa"/>
            <w:tcBorders>
              <w:top w:val="single" w:sz="12" w:space="0" w:color="auto"/>
              <w:bottom w:val="single" w:sz="12" w:space="0" w:color="auto"/>
              <w:tl2br w:val="single" w:sz="8" w:space="0" w:color="auto"/>
            </w:tcBorders>
            <w:vAlign w:val="center"/>
          </w:tcPr>
          <w:p w14:paraId="053A41EA" w14:textId="77777777" w:rsidR="001669EB" w:rsidRDefault="00000000" w:rsidP="005004D6">
            <w:pPr>
              <w:snapToGrid w:val="0"/>
              <w:spacing w:line="480" w:lineRule="auto"/>
              <w:ind w:firstLineChars="400" w:firstLine="964"/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</w:rPr>
              <w:t>I</w:t>
            </w:r>
            <w:r>
              <w:rPr>
                <w:rFonts w:ascii="Times New Roman" w:eastAsia="宋体" w:hAnsi="Times New Roman" w:cs="Times New Roman"/>
                <w:b/>
                <w:sz w:val="24"/>
              </w:rPr>
              <w:t>tem</w:t>
            </w:r>
            <w:r>
              <w:rPr>
                <w:rFonts w:ascii="Times New Roman" w:eastAsia="宋体" w:hAnsi="Times New Roman" w:cs="Times New Roman" w:hint="eastAsia"/>
                <w:b/>
                <w:sz w:val="24"/>
              </w:rPr>
              <w:t xml:space="preserve">             </w:t>
            </w:r>
          </w:p>
          <w:p w14:paraId="6A3E85DC" w14:textId="77777777" w:rsidR="001669EB" w:rsidRDefault="00000000" w:rsidP="005004D6">
            <w:pPr>
              <w:snapToGrid w:val="0"/>
              <w:spacing w:line="480" w:lineRule="auto"/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</w:rPr>
              <w:t>C</w:t>
            </w:r>
            <w:r>
              <w:rPr>
                <w:rFonts w:ascii="Times New Roman" w:eastAsia="宋体" w:hAnsi="Times New Roman" w:cs="Times New Roman"/>
                <w:b/>
                <w:sz w:val="24"/>
              </w:rPr>
              <w:t>ategory</w:t>
            </w:r>
          </w:p>
        </w:tc>
        <w:tc>
          <w:tcPr>
            <w:tcW w:w="3197" w:type="dxa"/>
            <w:tcBorders>
              <w:bottom w:val="single" w:sz="12" w:space="0" w:color="auto"/>
            </w:tcBorders>
            <w:vAlign w:val="center"/>
          </w:tcPr>
          <w:p w14:paraId="57205256" w14:textId="77777777" w:rsidR="001669EB" w:rsidRDefault="00000000" w:rsidP="005004D6">
            <w:pPr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color w:val="0F1115"/>
                <w:sz w:val="24"/>
                <w:shd w:val="clear" w:color="auto" w:fill="FFFFFF"/>
              </w:rPr>
              <w:t>Electronic/</w:t>
            </w:r>
            <w:r>
              <w:rPr>
                <w:rFonts w:ascii="Times New Roman" w:eastAsia="宋体" w:hAnsi="Times New Roman" w:cs="Times New Roman" w:hint="eastAsia"/>
                <w:b/>
                <w:color w:val="0F1115"/>
                <w:sz w:val="24"/>
                <w:shd w:val="clear" w:color="auto" w:fill="FFFFFF"/>
              </w:rPr>
              <w:t>a</w:t>
            </w:r>
            <w:r>
              <w:rPr>
                <w:rFonts w:ascii="Times New Roman" w:eastAsia="宋体" w:hAnsi="Times New Roman" w:cs="Times New Roman"/>
                <w:b/>
                <w:color w:val="0F1115"/>
                <w:sz w:val="24"/>
                <w:shd w:val="clear" w:color="auto" w:fill="FFFFFF"/>
              </w:rPr>
              <w:t xml:space="preserve">tomic </w:t>
            </w:r>
            <w:r>
              <w:rPr>
                <w:rFonts w:ascii="Times New Roman" w:eastAsia="宋体" w:hAnsi="Times New Roman" w:cs="Times New Roman" w:hint="eastAsia"/>
                <w:b/>
                <w:color w:val="0F1115"/>
                <w:sz w:val="24"/>
                <w:shd w:val="clear" w:color="auto" w:fill="FFFFFF"/>
              </w:rPr>
              <w:t>s</w:t>
            </w:r>
            <w:r>
              <w:rPr>
                <w:rFonts w:ascii="Times New Roman" w:eastAsia="宋体" w:hAnsi="Times New Roman" w:cs="Times New Roman"/>
                <w:b/>
                <w:color w:val="0F1115"/>
                <w:sz w:val="24"/>
                <w:shd w:val="clear" w:color="auto" w:fill="FFFFFF"/>
              </w:rPr>
              <w:t>cale</w:t>
            </w:r>
          </w:p>
        </w:tc>
        <w:tc>
          <w:tcPr>
            <w:tcW w:w="3360" w:type="dxa"/>
            <w:tcBorders>
              <w:bottom w:val="single" w:sz="12" w:space="0" w:color="auto"/>
            </w:tcBorders>
            <w:vAlign w:val="center"/>
          </w:tcPr>
          <w:p w14:paraId="689B75F0" w14:textId="77777777" w:rsidR="001669EB" w:rsidRDefault="00000000" w:rsidP="005004D6">
            <w:pPr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color w:val="0F1115"/>
                <w:sz w:val="24"/>
                <w:shd w:val="clear" w:color="auto" w:fill="FFFFFF"/>
              </w:rPr>
              <w:t xml:space="preserve">Molecular </w:t>
            </w:r>
            <w:r>
              <w:rPr>
                <w:rFonts w:ascii="Times New Roman" w:eastAsia="宋体" w:hAnsi="Times New Roman" w:cs="Times New Roman" w:hint="eastAsia"/>
                <w:b/>
                <w:color w:val="0F1115"/>
                <w:sz w:val="24"/>
                <w:shd w:val="clear" w:color="auto" w:fill="FFFFFF"/>
              </w:rPr>
              <w:t>s</w:t>
            </w:r>
            <w:r>
              <w:rPr>
                <w:rFonts w:ascii="Times New Roman" w:eastAsia="宋体" w:hAnsi="Times New Roman" w:cs="Times New Roman"/>
                <w:b/>
                <w:color w:val="0F1115"/>
                <w:sz w:val="24"/>
                <w:shd w:val="clear" w:color="auto" w:fill="FFFFFF"/>
              </w:rPr>
              <w:t>cale</w:t>
            </w:r>
          </w:p>
        </w:tc>
        <w:tc>
          <w:tcPr>
            <w:tcW w:w="3625" w:type="dxa"/>
            <w:tcBorders>
              <w:bottom w:val="single" w:sz="12" w:space="0" w:color="auto"/>
            </w:tcBorders>
            <w:vAlign w:val="center"/>
          </w:tcPr>
          <w:p w14:paraId="0E145311" w14:textId="77777777" w:rsidR="001669EB" w:rsidRDefault="00000000" w:rsidP="005004D6">
            <w:pPr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color w:val="0F1115"/>
                <w:sz w:val="24"/>
                <w:shd w:val="clear" w:color="auto" w:fill="FFFFFF"/>
              </w:rPr>
              <w:t xml:space="preserve">Mesoscopic </w:t>
            </w:r>
            <w:r>
              <w:rPr>
                <w:rFonts w:ascii="Times New Roman" w:eastAsia="宋体" w:hAnsi="Times New Roman" w:cs="Times New Roman" w:hint="eastAsia"/>
                <w:b/>
                <w:color w:val="0F1115"/>
                <w:sz w:val="24"/>
                <w:shd w:val="clear" w:color="auto" w:fill="FFFFFF"/>
              </w:rPr>
              <w:t>s</w:t>
            </w:r>
            <w:r>
              <w:rPr>
                <w:rFonts w:ascii="Times New Roman" w:eastAsia="宋体" w:hAnsi="Times New Roman" w:cs="Times New Roman"/>
                <w:b/>
                <w:color w:val="0F1115"/>
                <w:sz w:val="24"/>
                <w:shd w:val="clear" w:color="auto" w:fill="FFFFFF"/>
              </w:rPr>
              <w:t>cale</w:t>
            </w:r>
          </w:p>
        </w:tc>
        <w:tc>
          <w:tcPr>
            <w:tcW w:w="3489" w:type="dxa"/>
            <w:tcBorders>
              <w:bottom w:val="single" w:sz="12" w:space="0" w:color="auto"/>
            </w:tcBorders>
            <w:vAlign w:val="center"/>
          </w:tcPr>
          <w:p w14:paraId="73AE0724" w14:textId="77777777" w:rsidR="001669EB" w:rsidRDefault="00000000" w:rsidP="005004D6">
            <w:pPr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color w:val="0F1115"/>
                <w:sz w:val="24"/>
                <w:shd w:val="clear" w:color="auto" w:fill="FFFFFF"/>
              </w:rPr>
              <w:t>Data-</w:t>
            </w:r>
            <w:r>
              <w:rPr>
                <w:rFonts w:ascii="Times New Roman" w:eastAsia="宋体" w:hAnsi="Times New Roman" w:cs="Times New Roman" w:hint="eastAsia"/>
                <w:b/>
                <w:color w:val="0F1115"/>
                <w:sz w:val="24"/>
                <w:shd w:val="clear" w:color="auto" w:fill="FFFFFF"/>
              </w:rPr>
              <w:t>d</w:t>
            </w:r>
            <w:r>
              <w:rPr>
                <w:rFonts w:ascii="Times New Roman" w:eastAsia="宋体" w:hAnsi="Times New Roman" w:cs="Times New Roman"/>
                <w:b/>
                <w:color w:val="0F1115"/>
                <w:sz w:val="24"/>
                <w:shd w:val="clear" w:color="auto" w:fill="FFFFFF"/>
              </w:rPr>
              <w:t xml:space="preserve">riven </w:t>
            </w:r>
            <w:r>
              <w:rPr>
                <w:rFonts w:ascii="Times New Roman" w:eastAsia="宋体" w:hAnsi="Times New Roman" w:cs="Times New Roman" w:hint="eastAsia"/>
                <w:b/>
                <w:color w:val="0F1115"/>
                <w:sz w:val="24"/>
                <w:shd w:val="clear" w:color="auto" w:fill="FFFFFF"/>
              </w:rPr>
              <w:t>p</w:t>
            </w:r>
            <w:r>
              <w:rPr>
                <w:rFonts w:ascii="Times New Roman" w:eastAsia="宋体" w:hAnsi="Times New Roman" w:cs="Times New Roman"/>
                <w:b/>
                <w:color w:val="0F1115"/>
                <w:sz w:val="24"/>
                <w:shd w:val="clear" w:color="auto" w:fill="FFFFFF"/>
              </w:rPr>
              <w:t>aradigm</w:t>
            </w:r>
          </w:p>
        </w:tc>
      </w:tr>
      <w:tr w:rsidR="001669EB" w14:paraId="41F3295B" w14:textId="77777777">
        <w:trPr>
          <w:jc w:val="center"/>
        </w:trPr>
        <w:tc>
          <w:tcPr>
            <w:tcW w:w="1922" w:type="dxa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14E98862" w14:textId="77777777" w:rsidR="001669EB" w:rsidRDefault="00000000" w:rsidP="005004D6">
            <w:pPr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color w:val="0F1115"/>
                <w:sz w:val="24"/>
                <w:shd w:val="clear" w:color="auto" w:fill="FFFFFF"/>
              </w:rPr>
              <w:t xml:space="preserve">Typical </w:t>
            </w:r>
            <w:r>
              <w:rPr>
                <w:rFonts w:ascii="Times New Roman" w:eastAsia="宋体" w:hAnsi="Times New Roman" w:cs="Times New Roman" w:hint="eastAsia"/>
                <w:b/>
                <w:color w:val="0F1115"/>
                <w:sz w:val="24"/>
                <w:shd w:val="clear" w:color="auto" w:fill="FFFFFF"/>
              </w:rPr>
              <w:t>m</w:t>
            </w:r>
            <w:r>
              <w:rPr>
                <w:rFonts w:ascii="Times New Roman" w:eastAsia="宋体" w:hAnsi="Times New Roman" w:cs="Times New Roman"/>
                <w:b/>
                <w:color w:val="0F1115"/>
                <w:sz w:val="24"/>
                <w:shd w:val="clear" w:color="auto" w:fill="FFFFFF"/>
              </w:rPr>
              <w:t>ethods</w:t>
            </w:r>
          </w:p>
        </w:tc>
        <w:tc>
          <w:tcPr>
            <w:tcW w:w="3197" w:type="dxa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68872CB3" w14:textId="77777777" w:rsidR="001669EB" w:rsidRDefault="00000000" w:rsidP="005004D6">
            <w:pPr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  <w:t>Quantum chemical calculations (e.g., DFT)</w:t>
            </w:r>
          </w:p>
        </w:tc>
        <w:tc>
          <w:tcPr>
            <w:tcW w:w="3360" w:type="dxa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28831FFD" w14:textId="77777777" w:rsidR="001669EB" w:rsidRDefault="00000000" w:rsidP="005004D6">
            <w:pPr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  <w:t>All-atom molecular dynamics simulation</w:t>
            </w:r>
          </w:p>
        </w:tc>
        <w:tc>
          <w:tcPr>
            <w:tcW w:w="3625" w:type="dxa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213B0277" w14:textId="77777777" w:rsidR="001669EB" w:rsidRDefault="00000000" w:rsidP="005004D6">
            <w:pPr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  <w:t>Coarse-grained molecular dynamics, dissipative particle dynamics</w:t>
            </w:r>
          </w:p>
        </w:tc>
        <w:tc>
          <w:tcPr>
            <w:tcW w:w="3489" w:type="dxa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216E5B79" w14:textId="77777777" w:rsidR="001669EB" w:rsidRDefault="00000000" w:rsidP="005004D6">
            <w:pPr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  <w:t>Machine learning (ML)</w:t>
            </w:r>
          </w:p>
        </w:tc>
      </w:tr>
      <w:tr w:rsidR="001669EB" w14:paraId="12335C89" w14:textId="77777777">
        <w:trPr>
          <w:jc w:val="center"/>
        </w:trPr>
        <w:tc>
          <w:tcPr>
            <w:tcW w:w="1922" w:type="dxa"/>
            <w:tcBorders>
              <w:tl2br w:val="nil"/>
              <w:tr2bl w:val="nil"/>
            </w:tcBorders>
            <w:vAlign w:val="center"/>
          </w:tcPr>
          <w:p w14:paraId="26CE6BEE" w14:textId="77777777" w:rsidR="001669EB" w:rsidRDefault="00000000" w:rsidP="005004D6">
            <w:pPr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color w:val="0F1115"/>
                <w:sz w:val="24"/>
                <w:shd w:val="clear" w:color="auto" w:fill="FFFFFF"/>
              </w:rPr>
              <w:t xml:space="preserve">Applicable </w:t>
            </w:r>
            <w:r>
              <w:rPr>
                <w:rFonts w:ascii="Times New Roman" w:eastAsia="宋体" w:hAnsi="Times New Roman" w:cs="Times New Roman" w:hint="eastAsia"/>
                <w:b/>
                <w:color w:val="0F1115"/>
                <w:sz w:val="24"/>
                <w:shd w:val="clear" w:color="auto" w:fill="FFFFFF"/>
              </w:rPr>
              <w:t>s</w:t>
            </w:r>
            <w:r>
              <w:rPr>
                <w:rFonts w:ascii="Times New Roman" w:eastAsia="宋体" w:hAnsi="Times New Roman" w:cs="Times New Roman"/>
                <w:b/>
                <w:color w:val="0F1115"/>
                <w:sz w:val="24"/>
                <w:shd w:val="clear" w:color="auto" w:fill="FFFFFF"/>
              </w:rPr>
              <w:t>patial/</w:t>
            </w:r>
            <w:r>
              <w:rPr>
                <w:rFonts w:ascii="Times New Roman" w:eastAsia="宋体" w:hAnsi="Times New Roman" w:cs="Times New Roman" w:hint="eastAsia"/>
                <w:b/>
                <w:color w:val="0F1115"/>
                <w:sz w:val="24"/>
                <w:shd w:val="clear" w:color="auto" w:fill="FFFFFF"/>
              </w:rPr>
              <w:t>t</w:t>
            </w:r>
            <w:r>
              <w:rPr>
                <w:rFonts w:ascii="Times New Roman" w:eastAsia="宋体" w:hAnsi="Times New Roman" w:cs="Times New Roman"/>
                <w:b/>
                <w:color w:val="0F1115"/>
                <w:sz w:val="24"/>
                <w:shd w:val="clear" w:color="auto" w:fill="FFFFFF"/>
              </w:rPr>
              <w:t xml:space="preserve">emporal </w:t>
            </w:r>
            <w:r>
              <w:rPr>
                <w:rFonts w:ascii="Times New Roman" w:eastAsia="宋体" w:hAnsi="Times New Roman" w:cs="Times New Roman" w:hint="eastAsia"/>
                <w:b/>
                <w:color w:val="0F1115"/>
                <w:sz w:val="24"/>
                <w:shd w:val="clear" w:color="auto" w:fill="FFFFFF"/>
              </w:rPr>
              <w:t>s</w:t>
            </w:r>
            <w:r>
              <w:rPr>
                <w:rFonts w:ascii="Times New Roman" w:eastAsia="宋体" w:hAnsi="Times New Roman" w:cs="Times New Roman"/>
                <w:b/>
                <w:color w:val="0F1115"/>
                <w:sz w:val="24"/>
                <w:shd w:val="clear" w:color="auto" w:fill="FFFFFF"/>
              </w:rPr>
              <w:t>cales</w:t>
            </w:r>
          </w:p>
        </w:tc>
        <w:tc>
          <w:tcPr>
            <w:tcW w:w="3197" w:type="dxa"/>
            <w:tcBorders>
              <w:tl2br w:val="nil"/>
              <w:tr2bl w:val="nil"/>
            </w:tcBorders>
            <w:vAlign w:val="center"/>
          </w:tcPr>
          <w:p w14:paraId="6972A16D" w14:textId="77777777" w:rsidR="001669EB" w:rsidRDefault="00000000" w:rsidP="005004D6">
            <w:pPr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  <w:t>Atomic scale; static or short-time dynamics</w:t>
            </w:r>
          </w:p>
        </w:tc>
        <w:tc>
          <w:tcPr>
            <w:tcW w:w="3360" w:type="dxa"/>
            <w:tcBorders>
              <w:tl2br w:val="nil"/>
              <w:tr2bl w:val="nil"/>
            </w:tcBorders>
            <w:vAlign w:val="center"/>
          </w:tcPr>
          <w:p w14:paraId="74B7B64A" w14:textId="77777777" w:rsidR="001669EB" w:rsidRDefault="00000000" w:rsidP="005004D6">
            <w:pPr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  <w:t>Nanoscale; nanoseconds to microseconds</w:t>
            </w:r>
          </w:p>
        </w:tc>
        <w:tc>
          <w:tcPr>
            <w:tcW w:w="3625" w:type="dxa"/>
            <w:tcBorders>
              <w:tl2br w:val="nil"/>
              <w:tr2bl w:val="nil"/>
            </w:tcBorders>
            <w:vAlign w:val="center"/>
          </w:tcPr>
          <w:p w14:paraId="336927D1" w14:textId="77777777" w:rsidR="001669EB" w:rsidRDefault="00000000" w:rsidP="005004D6">
            <w:pPr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  <w:t>Tens to hundreds of nanometers; microseconds to milliseconds</w:t>
            </w:r>
          </w:p>
        </w:tc>
        <w:tc>
          <w:tcPr>
            <w:tcW w:w="3489" w:type="dxa"/>
            <w:tcBorders>
              <w:tl2br w:val="nil"/>
              <w:tr2bl w:val="nil"/>
            </w:tcBorders>
            <w:vAlign w:val="center"/>
          </w:tcPr>
          <w:p w14:paraId="024ADBEC" w14:textId="77777777" w:rsidR="001669EB" w:rsidRDefault="00000000" w:rsidP="005004D6">
            <w:pPr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  <w:t>Cross-scale</w:t>
            </w:r>
          </w:p>
        </w:tc>
      </w:tr>
      <w:tr w:rsidR="001669EB" w14:paraId="63A60399" w14:textId="77777777">
        <w:trPr>
          <w:jc w:val="center"/>
        </w:trPr>
        <w:tc>
          <w:tcPr>
            <w:tcW w:w="1922" w:type="dxa"/>
            <w:tcBorders>
              <w:tl2br w:val="nil"/>
              <w:tr2bl w:val="nil"/>
            </w:tcBorders>
            <w:vAlign w:val="center"/>
          </w:tcPr>
          <w:p w14:paraId="579A9DEC" w14:textId="77777777" w:rsidR="001669EB" w:rsidRDefault="00000000" w:rsidP="005004D6">
            <w:pPr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color w:val="0F1115"/>
                <w:sz w:val="24"/>
                <w:shd w:val="clear" w:color="auto" w:fill="FFFFFF"/>
              </w:rPr>
              <w:t xml:space="preserve">Core </w:t>
            </w:r>
            <w:r>
              <w:rPr>
                <w:rFonts w:ascii="Times New Roman" w:eastAsia="宋体" w:hAnsi="Times New Roman" w:cs="Times New Roman" w:hint="eastAsia"/>
                <w:b/>
                <w:color w:val="0F1115"/>
                <w:sz w:val="24"/>
                <w:shd w:val="clear" w:color="auto" w:fill="FFFFFF"/>
              </w:rPr>
              <w:t>a</w:t>
            </w:r>
            <w:r>
              <w:rPr>
                <w:rFonts w:ascii="Times New Roman" w:eastAsia="宋体" w:hAnsi="Times New Roman" w:cs="Times New Roman"/>
                <w:b/>
                <w:color w:val="0F1115"/>
                <w:sz w:val="24"/>
                <w:shd w:val="clear" w:color="auto" w:fill="FFFFFF"/>
              </w:rPr>
              <w:t>dvantages</w:t>
            </w:r>
          </w:p>
        </w:tc>
        <w:tc>
          <w:tcPr>
            <w:tcW w:w="3197" w:type="dxa"/>
            <w:tcBorders>
              <w:tl2br w:val="nil"/>
              <w:tr2bl w:val="nil"/>
            </w:tcBorders>
            <w:vAlign w:val="center"/>
          </w:tcPr>
          <w:p w14:paraId="481D685E" w14:textId="77777777" w:rsidR="001669EB" w:rsidRDefault="00000000" w:rsidP="005004D6">
            <w:pPr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  <w:t xml:space="preserve">High result accuracy, capable of precisely calculating binding energy and charge distribution, serving as the gold standard for intermolecular interactions </w:t>
            </w:r>
            <w:r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  <w:lastRenderedPageBreak/>
              <w:t>and the basis for force field parameterization.</w:t>
            </w:r>
          </w:p>
        </w:tc>
        <w:tc>
          <w:tcPr>
            <w:tcW w:w="3360" w:type="dxa"/>
            <w:tcBorders>
              <w:tl2br w:val="nil"/>
              <w:tr2bl w:val="nil"/>
            </w:tcBorders>
            <w:vAlign w:val="center"/>
          </w:tcPr>
          <w:p w14:paraId="6EBB272D" w14:textId="77777777" w:rsidR="001669EB" w:rsidRDefault="00000000" w:rsidP="005004D6">
            <w:pPr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  <w:lastRenderedPageBreak/>
              <w:t xml:space="preserve">Provides dynamic evolution information at atomic resolution and can intuitively demonstrate the dynamic formation and breakage of non-covalent bonds such as hydrogen bonds and </w:t>
            </w:r>
            <w:r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  <w:lastRenderedPageBreak/>
              <w:t>hydrophobic interactions.</w:t>
            </w:r>
          </w:p>
        </w:tc>
        <w:tc>
          <w:tcPr>
            <w:tcW w:w="3625" w:type="dxa"/>
            <w:tcBorders>
              <w:tl2br w:val="nil"/>
              <w:tr2bl w:val="nil"/>
            </w:tcBorders>
            <w:vAlign w:val="center"/>
          </w:tcPr>
          <w:p w14:paraId="6211D967" w14:textId="77777777" w:rsidR="001669EB" w:rsidRDefault="00000000" w:rsidP="005004D6">
            <w:pPr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  <w:lastRenderedPageBreak/>
              <w:t xml:space="preserve">Breaks through the spatiotemporal bottleneck of atomic simulations, directly simulates the spontaneous formation, morphological transformation and fusion process of nanostructures, and acts as a key </w:t>
            </w:r>
            <w:r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  <w:lastRenderedPageBreak/>
              <w:t>bridge connecting molecular events and mesoscopic structures.</w:t>
            </w:r>
          </w:p>
        </w:tc>
        <w:tc>
          <w:tcPr>
            <w:tcW w:w="3489" w:type="dxa"/>
            <w:tcBorders>
              <w:tl2br w:val="nil"/>
              <w:tr2bl w:val="nil"/>
            </w:tcBorders>
            <w:vAlign w:val="center"/>
          </w:tcPr>
          <w:p w14:paraId="175ED228" w14:textId="77777777" w:rsidR="001669EB" w:rsidRDefault="00000000" w:rsidP="005004D6">
            <w:pPr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  <w:lastRenderedPageBreak/>
              <w:t xml:space="preserve">Excels at processing high-dimensional and nonlinear relationships, can mine the quantitative structure-property relationships of molecular structure-assembly properties </w:t>
            </w:r>
            <w:r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  <w:lastRenderedPageBreak/>
              <w:t>from high-throughput data, and realize rapid prediction and virtual screening.</w:t>
            </w:r>
          </w:p>
        </w:tc>
      </w:tr>
      <w:tr w:rsidR="001669EB" w14:paraId="2C4ECF49" w14:textId="77777777">
        <w:trPr>
          <w:jc w:val="center"/>
        </w:trPr>
        <w:tc>
          <w:tcPr>
            <w:tcW w:w="1922" w:type="dxa"/>
            <w:tcBorders>
              <w:bottom w:val="single" w:sz="12" w:space="0" w:color="auto"/>
            </w:tcBorders>
            <w:vAlign w:val="center"/>
          </w:tcPr>
          <w:p w14:paraId="497C9B6A" w14:textId="77777777" w:rsidR="001669EB" w:rsidRDefault="00000000" w:rsidP="005004D6">
            <w:pPr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color w:val="0F1115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b/>
                <w:color w:val="0F1115"/>
                <w:sz w:val="24"/>
                <w:shd w:val="clear" w:color="auto" w:fill="FFFFFF"/>
              </w:rPr>
              <w:lastRenderedPageBreak/>
              <w:t xml:space="preserve">Main </w:t>
            </w:r>
            <w:r>
              <w:rPr>
                <w:rFonts w:ascii="Times New Roman" w:eastAsia="宋体" w:hAnsi="Times New Roman" w:cs="Times New Roman" w:hint="eastAsia"/>
                <w:b/>
                <w:color w:val="0F1115"/>
                <w:sz w:val="24"/>
                <w:shd w:val="clear" w:color="auto" w:fill="FFFFFF"/>
              </w:rPr>
              <w:t>l</w:t>
            </w:r>
            <w:r>
              <w:rPr>
                <w:rFonts w:ascii="Times New Roman" w:eastAsia="宋体" w:hAnsi="Times New Roman" w:cs="Times New Roman"/>
                <w:b/>
                <w:color w:val="0F1115"/>
                <w:sz w:val="24"/>
                <w:shd w:val="clear" w:color="auto" w:fill="FFFFFF"/>
              </w:rPr>
              <w:t xml:space="preserve">imitations and </w:t>
            </w:r>
            <w:r>
              <w:rPr>
                <w:rFonts w:ascii="Times New Roman" w:eastAsia="宋体" w:hAnsi="Times New Roman" w:cs="Times New Roman" w:hint="eastAsia"/>
                <w:b/>
                <w:color w:val="0F1115"/>
                <w:sz w:val="24"/>
                <w:shd w:val="clear" w:color="auto" w:fill="FFFFFF"/>
              </w:rPr>
              <w:t>c</w:t>
            </w:r>
            <w:r>
              <w:rPr>
                <w:rFonts w:ascii="Times New Roman" w:eastAsia="宋体" w:hAnsi="Times New Roman" w:cs="Times New Roman"/>
                <w:b/>
                <w:color w:val="0F1115"/>
                <w:sz w:val="24"/>
                <w:shd w:val="clear" w:color="auto" w:fill="FFFFFF"/>
              </w:rPr>
              <w:t>hallenges</w:t>
            </w:r>
          </w:p>
        </w:tc>
        <w:tc>
          <w:tcPr>
            <w:tcW w:w="3197" w:type="dxa"/>
            <w:tcBorders>
              <w:bottom w:val="single" w:sz="12" w:space="0" w:color="auto"/>
            </w:tcBorders>
            <w:vAlign w:val="center"/>
          </w:tcPr>
          <w:p w14:paraId="4C630F64" w14:textId="77777777" w:rsidR="001669EB" w:rsidRDefault="00000000" w:rsidP="005004D6">
            <w:pPr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  <w:t>Extremely high computational cost, only applicable to small systems with hundreds of atoms; unable to simulate solution environments and dynamic assembly processes.</w:t>
            </w:r>
          </w:p>
        </w:tc>
        <w:tc>
          <w:tcPr>
            <w:tcW w:w="3360" w:type="dxa"/>
            <w:tcBorders>
              <w:bottom w:val="single" w:sz="12" w:space="0" w:color="auto"/>
            </w:tcBorders>
            <w:vAlign w:val="center"/>
          </w:tcPr>
          <w:p w14:paraId="0F526006" w14:textId="77777777" w:rsidR="001669EB" w:rsidRDefault="00000000" w:rsidP="005004D6">
            <w:pPr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  <w:t>Restricted by computational resources, it is difficult to simulate the entire nucleation and growth process of complete nanoparticles (&gt;10 nm); accuracy depends on the force field.</w:t>
            </w:r>
          </w:p>
        </w:tc>
        <w:tc>
          <w:tcPr>
            <w:tcW w:w="3625" w:type="dxa"/>
            <w:tcBorders>
              <w:bottom w:val="single" w:sz="12" w:space="0" w:color="auto"/>
            </w:tcBorders>
            <w:vAlign w:val="center"/>
          </w:tcPr>
          <w:p w14:paraId="663A80D9" w14:textId="77777777" w:rsidR="001669EB" w:rsidRDefault="00000000" w:rsidP="005004D6">
            <w:pPr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  <w:t>Loss of precision; the lack of universal and reliable coarse-grained force fields for complex natural mixtures is the main bottleneck for its application.</w:t>
            </w:r>
          </w:p>
        </w:tc>
        <w:tc>
          <w:tcPr>
            <w:tcW w:w="3489" w:type="dxa"/>
            <w:tcBorders>
              <w:bottom w:val="single" w:sz="12" w:space="0" w:color="auto"/>
            </w:tcBorders>
            <w:vAlign w:val="center"/>
          </w:tcPr>
          <w:p w14:paraId="6D6DE749" w14:textId="77777777" w:rsidR="001669EB" w:rsidRDefault="00000000" w:rsidP="005004D6">
            <w:pPr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  <w:t>Model performance is highly dependent on the quality and coverage of training data; interpretability is usually weak, and it is necessary to form a closed loop in combination with physical models.</w:t>
            </w:r>
          </w:p>
        </w:tc>
      </w:tr>
    </w:tbl>
    <w:p w14:paraId="61814DCB" w14:textId="77777777" w:rsidR="001669EB" w:rsidRDefault="001669EB" w:rsidP="005004D6">
      <w:pPr>
        <w:jc w:val="center"/>
        <w:rPr>
          <w:rFonts w:ascii="Times New Roman" w:eastAsia="宋体" w:hAnsi="Times New Roman" w:cs="Times New Roman"/>
          <w:sz w:val="24"/>
        </w:rPr>
      </w:pPr>
    </w:p>
    <w:sectPr w:rsidR="001669E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1D2D"/>
    <w:rsid w:val="000B7C72"/>
    <w:rsid w:val="001669EB"/>
    <w:rsid w:val="002B6036"/>
    <w:rsid w:val="002D316A"/>
    <w:rsid w:val="003C1F99"/>
    <w:rsid w:val="005004D6"/>
    <w:rsid w:val="00661D2D"/>
    <w:rsid w:val="00824FC1"/>
    <w:rsid w:val="00C37FEA"/>
    <w:rsid w:val="00D007B3"/>
    <w:rsid w:val="00D05C94"/>
    <w:rsid w:val="00E75181"/>
    <w:rsid w:val="03222EC1"/>
    <w:rsid w:val="04FA4B16"/>
    <w:rsid w:val="17D940A5"/>
    <w:rsid w:val="1C295A89"/>
    <w:rsid w:val="2A544784"/>
    <w:rsid w:val="39C07A0C"/>
    <w:rsid w:val="3F367F1D"/>
    <w:rsid w:val="5EB7471A"/>
    <w:rsid w:val="62F87114"/>
    <w:rsid w:val="645C4BC2"/>
    <w:rsid w:val="68182006"/>
    <w:rsid w:val="6955290E"/>
    <w:rsid w:val="6BDF7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E554B4"/>
  <w15:docId w15:val="{B9D88A4E-45FC-474C-8B4F-61ED09BF9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HONOR</dc:creator>
  <cp:lastModifiedBy>健 鞠</cp:lastModifiedBy>
  <cp:revision>7</cp:revision>
  <dcterms:created xsi:type="dcterms:W3CDTF">2026-02-04T06:43:00Z</dcterms:created>
  <dcterms:modified xsi:type="dcterms:W3CDTF">2026-03-04T12:00:00Z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eyJoZGlkIjoiN2YzNjBkOTgyNWQ1YTMxYzM3MzMwNWFiODNmOWIzYWMiLCJ1c2VySWQiOiIxMjcxMDc3MjgxIn0=</vt:lpwstr>
  </property>
  <property fmtid="{D5CDD505-2E9C-101B-9397-08002B2CF9AE}" pid="4" name="ICV">
    <vt:lpwstr>4CCF1F3C4DBE438185434198056C7D3C_12</vt:lpwstr>
  </property>
</Properties>
</file>