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5F1026" w14:textId="46180FA6" w:rsidR="003B3E7C" w:rsidRPr="007F3758" w:rsidRDefault="007F3758">
      <w:pPr>
        <w:rPr>
          <w:rFonts w:ascii="Times New Roman" w:hAnsi="Times New Roman" w:cs="Times New Roman"/>
          <w:lang w:val="en-GB"/>
        </w:rPr>
      </w:pPr>
      <w:r w:rsidRPr="007F3758">
        <w:rPr>
          <w:rFonts w:ascii="Times New Roman" w:hAnsi="Times New Roman" w:cs="Times New Roman"/>
          <w:b/>
          <w:bCs/>
          <w:lang w:val="en-GB"/>
        </w:rPr>
        <w:t>Supplementary Figure S1</w:t>
      </w:r>
      <w:r w:rsidRPr="007F3758">
        <w:rPr>
          <w:rFonts w:ascii="Times New Roman" w:hAnsi="Times New Roman" w:cs="Times New Roman"/>
          <w:lang w:val="en-GB"/>
        </w:rPr>
        <w:t xml:space="preserve">. Changes in pH of PDA medium in single cultures of </w:t>
      </w:r>
      <w:proofErr w:type="spellStart"/>
      <w:r w:rsidRPr="006C48AA">
        <w:rPr>
          <w:rFonts w:ascii="Times New Roman" w:hAnsi="Times New Roman" w:cs="Times New Roman"/>
          <w:i/>
          <w:lang w:val="en-GB"/>
        </w:rPr>
        <w:t>Penicillium</w:t>
      </w:r>
      <w:proofErr w:type="spellEnd"/>
      <w:r w:rsidRPr="006C48AA">
        <w:rPr>
          <w:rFonts w:ascii="Times New Roman" w:hAnsi="Times New Roman" w:cs="Times New Roman"/>
          <w:i/>
          <w:lang w:val="en-GB"/>
        </w:rPr>
        <w:t xml:space="preserve"> </w:t>
      </w:r>
      <w:proofErr w:type="spellStart"/>
      <w:r w:rsidRPr="006C48AA">
        <w:rPr>
          <w:rFonts w:ascii="Times New Roman" w:hAnsi="Times New Roman" w:cs="Times New Roman"/>
          <w:i/>
          <w:lang w:val="en-GB"/>
        </w:rPr>
        <w:t>italicum</w:t>
      </w:r>
      <w:proofErr w:type="spellEnd"/>
      <w:r w:rsidRPr="007F3758">
        <w:rPr>
          <w:rFonts w:ascii="Times New Roman" w:hAnsi="Times New Roman" w:cs="Times New Roman"/>
          <w:lang w:val="en-GB"/>
        </w:rPr>
        <w:t xml:space="preserve"> and </w:t>
      </w:r>
      <w:bookmarkStart w:id="0" w:name="_GoBack"/>
      <w:proofErr w:type="spellStart"/>
      <w:r w:rsidRPr="006C48AA">
        <w:rPr>
          <w:rFonts w:ascii="Times New Roman" w:hAnsi="Times New Roman" w:cs="Times New Roman"/>
          <w:i/>
          <w:lang w:val="en-GB"/>
        </w:rPr>
        <w:t>Trichothecium</w:t>
      </w:r>
      <w:proofErr w:type="spellEnd"/>
      <w:r w:rsidRPr="006C48AA">
        <w:rPr>
          <w:rFonts w:ascii="Times New Roman" w:hAnsi="Times New Roman" w:cs="Times New Roman"/>
          <w:i/>
          <w:lang w:val="en-GB"/>
        </w:rPr>
        <w:t xml:space="preserve"> </w:t>
      </w:r>
      <w:proofErr w:type="spellStart"/>
      <w:r w:rsidRPr="006C48AA">
        <w:rPr>
          <w:rFonts w:ascii="Times New Roman" w:hAnsi="Times New Roman" w:cs="Times New Roman"/>
          <w:i/>
          <w:lang w:val="en-GB"/>
        </w:rPr>
        <w:t>roseum</w:t>
      </w:r>
      <w:proofErr w:type="spellEnd"/>
      <w:r w:rsidRPr="007F3758">
        <w:rPr>
          <w:rFonts w:ascii="Times New Roman" w:hAnsi="Times New Roman" w:cs="Times New Roman"/>
          <w:lang w:val="en-GB"/>
        </w:rPr>
        <w:t xml:space="preserve"> </w:t>
      </w:r>
      <w:bookmarkEnd w:id="0"/>
      <w:r w:rsidRPr="007F3758">
        <w:rPr>
          <w:rFonts w:ascii="Times New Roman" w:hAnsi="Times New Roman" w:cs="Times New Roman"/>
          <w:lang w:val="en-GB"/>
        </w:rPr>
        <w:t>and in dual cultures at initial pH 4.0 and 6.5. White bars indicate pH values at 1 day after inoculation and grey bars at 10 days after inoculation. Values are means ± standard error of three replicate plates for each treatment and sampling time. For each initial pH and sampling day, bars labelled with different letters differ significantly according to Tukey’s HSD test (P ≤ 0.05).</w:t>
      </w:r>
    </w:p>
    <w:p w14:paraId="08C0A152" w14:textId="2408C5B4" w:rsidR="007F3758" w:rsidRPr="007F3758" w:rsidRDefault="007F3758">
      <w:pPr>
        <w:rPr>
          <w:rFonts w:ascii="Times New Roman" w:hAnsi="Times New Roman" w:cs="Times New Roman"/>
          <w:lang w:val="en-GB"/>
        </w:rPr>
      </w:pPr>
      <w:r>
        <w:rPr>
          <w:noProof/>
          <w:lang w:eastAsia="it-IT"/>
        </w:rPr>
        <w:drawing>
          <wp:inline distT="0" distB="0" distL="0" distR="0" wp14:anchorId="7F955C22" wp14:editId="435D811D">
            <wp:extent cx="5838825" cy="3552825"/>
            <wp:effectExtent l="0" t="0" r="9525" b="9525"/>
            <wp:docPr id="591552936" name="Chart 1">
              <a:extLst xmlns:a="http://schemas.openxmlformats.org/drawingml/2006/main">
                <a:ext uri="{FF2B5EF4-FFF2-40B4-BE49-F238E27FC236}">
                  <a16:creationId xmlns:a16="http://schemas.microsoft.com/office/drawing/2014/main" id="{9D693F3C-E981-1B14-BCFD-8EB1BF9742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sectPr w:rsidR="007F3758" w:rsidRPr="007F375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758"/>
    <w:rsid w:val="00273F9D"/>
    <w:rsid w:val="003B3E7C"/>
    <w:rsid w:val="00567C91"/>
    <w:rsid w:val="006C48AA"/>
    <w:rsid w:val="007111A8"/>
    <w:rsid w:val="007F3758"/>
    <w:rsid w:val="00C8658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613C7"/>
  <w15:chartTrackingRefBased/>
  <w15:docId w15:val="{4E0F0D62-FAB1-401F-99BC-B5A847E59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7F37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F37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F375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F375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F375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F375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F375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F375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F375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F375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F375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F375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F375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F375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F375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F375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F375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F3758"/>
    <w:rPr>
      <w:rFonts w:eastAsiaTheme="majorEastAsia" w:cstheme="majorBidi"/>
      <w:color w:val="272727" w:themeColor="text1" w:themeTint="D8"/>
    </w:rPr>
  </w:style>
  <w:style w:type="paragraph" w:styleId="Titolo">
    <w:name w:val="Title"/>
    <w:basedOn w:val="Normale"/>
    <w:next w:val="Normale"/>
    <w:link w:val="TitoloCarattere"/>
    <w:uiPriority w:val="10"/>
    <w:qFormat/>
    <w:rsid w:val="007F37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F375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F375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F375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F375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F3758"/>
    <w:rPr>
      <w:i/>
      <w:iCs/>
      <w:color w:val="404040" w:themeColor="text1" w:themeTint="BF"/>
    </w:rPr>
  </w:style>
  <w:style w:type="paragraph" w:styleId="Paragrafoelenco">
    <w:name w:val="List Paragraph"/>
    <w:basedOn w:val="Normale"/>
    <w:uiPriority w:val="34"/>
    <w:qFormat/>
    <w:rsid w:val="007F3758"/>
    <w:pPr>
      <w:ind w:left="720"/>
      <w:contextualSpacing/>
    </w:pPr>
  </w:style>
  <w:style w:type="character" w:styleId="Enfasiintensa">
    <w:name w:val="Intense Emphasis"/>
    <w:basedOn w:val="Carpredefinitoparagrafo"/>
    <w:uiPriority w:val="21"/>
    <w:qFormat/>
    <w:rsid w:val="007F3758"/>
    <w:rPr>
      <w:i/>
      <w:iCs/>
      <w:color w:val="0F4761" w:themeColor="accent1" w:themeShade="BF"/>
    </w:rPr>
  </w:style>
  <w:style w:type="paragraph" w:styleId="Citazioneintensa">
    <w:name w:val="Intense Quote"/>
    <w:basedOn w:val="Normale"/>
    <w:next w:val="Normale"/>
    <w:link w:val="CitazioneintensaCarattere"/>
    <w:uiPriority w:val="30"/>
    <w:qFormat/>
    <w:rsid w:val="007F37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F3758"/>
    <w:rPr>
      <w:i/>
      <w:iCs/>
      <w:color w:val="0F4761" w:themeColor="accent1" w:themeShade="BF"/>
    </w:rPr>
  </w:style>
  <w:style w:type="character" w:styleId="Riferimentointenso">
    <w:name w:val="Intense Reference"/>
    <w:basedOn w:val="Carpredefinitoparagrafo"/>
    <w:uiPriority w:val="32"/>
    <w:qFormat/>
    <w:rsid w:val="007F375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UVIGHA%20Tech\Desktop\Trichothecium\New%20Microsoft%20Excel%20Worksheet.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72615923009624"/>
          <c:y val="0.18650517643627884"/>
          <c:w val="0.86218285214348211"/>
          <c:h val="0.49751494604841062"/>
        </c:manualLayout>
      </c:layout>
      <c:barChart>
        <c:barDir val="col"/>
        <c:grouping val="clustered"/>
        <c:varyColors val="0"/>
        <c:ser>
          <c:idx val="0"/>
          <c:order val="0"/>
          <c:tx>
            <c:strRef>
              <c:f>Sheet3!$E$43</c:f>
              <c:strCache>
                <c:ptCount val="1"/>
                <c:pt idx="0">
                  <c:v>1st d</c:v>
                </c:pt>
              </c:strCache>
            </c:strRef>
          </c:tx>
          <c:spPr>
            <a:solidFill>
              <a:schemeClr val="bg1"/>
            </a:solidFill>
            <a:ln>
              <a:solidFill>
                <a:schemeClr val="tx1"/>
              </a:solidFill>
            </a:ln>
            <a:effectLst/>
          </c:spPr>
          <c:invertIfNegative val="0"/>
          <c:dLbls>
            <c:dLbl>
              <c:idx val="0"/>
              <c:tx>
                <c:rich>
                  <a:bodyPr/>
                  <a:lstStyle/>
                  <a:p>
                    <a:r>
                      <a:rPr lang="en-US">
                        <a:solidFill>
                          <a:schemeClr val="tx1"/>
                        </a:solidFill>
                      </a:rPr>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39E-4F0C-A575-BFAD110789B8}"/>
                </c:ext>
              </c:extLst>
            </c:dLbl>
            <c:dLbl>
              <c:idx val="1"/>
              <c:tx>
                <c:rich>
                  <a:bodyPr/>
                  <a:lstStyle/>
                  <a:p>
                    <a:r>
                      <a:rPr lang="en-US">
                        <a:solidFill>
                          <a:schemeClr val="tx1"/>
                        </a:solidFill>
                      </a:rPr>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39E-4F0C-A575-BFAD110789B8}"/>
                </c:ext>
              </c:extLst>
            </c:dLbl>
            <c:dLbl>
              <c:idx val="2"/>
              <c:tx>
                <c:rich>
                  <a:bodyPr/>
                  <a:lstStyle/>
                  <a:p>
                    <a:r>
                      <a:rPr lang="en-US">
                        <a:solidFill>
                          <a:schemeClr val="tx1"/>
                        </a:solidFill>
                      </a:rPr>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39E-4F0C-A575-BFAD110789B8}"/>
                </c:ext>
              </c:extLst>
            </c:dLbl>
            <c:dLbl>
              <c:idx val="3"/>
              <c:tx>
                <c:rich>
                  <a:bodyPr/>
                  <a:lstStyle/>
                  <a:p>
                    <a:r>
                      <a:rPr lang="en-US">
                        <a:solidFill>
                          <a:schemeClr val="tx1"/>
                        </a:solidFill>
                      </a:rPr>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39E-4F0C-A575-BFAD110789B8}"/>
                </c:ext>
              </c:extLst>
            </c:dLbl>
            <c:dLbl>
              <c:idx val="4"/>
              <c:tx>
                <c:rich>
                  <a:bodyPr/>
                  <a:lstStyle/>
                  <a:p>
                    <a:r>
                      <a:rPr lang="en-US">
                        <a:solidFill>
                          <a:schemeClr val="tx1"/>
                        </a:solidFill>
                      </a:rPr>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39E-4F0C-A575-BFAD110789B8}"/>
                </c:ext>
              </c:extLst>
            </c:dLbl>
            <c:dLbl>
              <c:idx val="5"/>
              <c:tx>
                <c:rich>
                  <a:bodyPr/>
                  <a:lstStyle/>
                  <a:p>
                    <a:r>
                      <a:rPr lang="en-US">
                        <a:solidFill>
                          <a:schemeClr val="tx1"/>
                        </a:solidFill>
                      </a:rPr>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39E-4F0C-A575-BFAD110789B8}"/>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it-I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Sheet3!$C$44:$D$49</c:f>
              <c:multiLvlStrCache>
                <c:ptCount val="6"/>
                <c:lvl>
                  <c:pt idx="0">
                    <c:v>Both</c:v>
                  </c:pt>
                  <c:pt idx="1">
                    <c:v>P. italicum</c:v>
                  </c:pt>
                  <c:pt idx="2">
                    <c:v>T. roseum</c:v>
                  </c:pt>
                  <c:pt idx="3">
                    <c:v>Both</c:v>
                  </c:pt>
                  <c:pt idx="4">
                    <c:v>P. italicum</c:v>
                  </c:pt>
                  <c:pt idx="5">
                    <c:v>T. roseum</c:v>
                  </c:pt>
                </c:lvl>
                <c:lvl>
                  <c:pt idx="0">
                    <c:v>4</c:v>
                  </c:pt>
                  <c:pt idx="3">
                    <c:v>6.5</c:v>
                  </c:pt>
                </c:lvl>
              </c:multiLvlStrCache>
            </c:multiLvlStrRef>
          </c:cat>
          <c:val>
            <c:numRef>
              <c:f>Sheet3!$E$44:$E$49</c:f>
              <c:numCache>
                <c:formatCode>0.000000</c:formatCode>
                <c:ptCount val="6"/>
                <c:pt idx="0">
                  <c:v>4.0083333333333329</c:v>
                </c:pt>
                <c:pt idx="1">
                  <c:v>4.0133333333333328</c:v>
                </c:pt>
                <c:pt idx="2">
                  <c:v>4.0083333333333329</c:v>
                </c:pt>
                <c:pt idx="3">
                  <c:v>6.5</c:v>
                </c:pt>
                <c:pt idx="4">
                  <c:v>6.5</c:v>
                </c:pt>
                <c:pt idx="5">
                  <c:v>6.5</c:v>
                </c:pt>
              </c:numCache>
            </c:numRef>
          </c:val>
          <c:extLst>
            <c:ext xmlns:c16="http://schemas.microsoft.com/office/drawing/2014/chart" uri="{C3380CC4-5D6E-409C-BE32-E72D297353CC}">
              <c16:uniqueId val="{00000006-939E-4F0C-A575-BFAD110789B8}"/>
            </c:ext>
          </c:extLst>
        </c:ser>
        <c:ser>
          <c:idx val="1"/>
          <c:order val="1"/>
          <c:tx>
            <c:strRef>
              <c:f>Sheet3!$F$43</c:f>
              <c:strCache>
                <c:ptCount val="1"/>
                <c:pt idx="0">
                  <c:v>10th d</c:v>
                </c:pt>
              </c:strCache>
            </c:strRef>
          </c:tx>
          <c:spPr>
            <a:solidFill>
              <a:schemeClr val="bg2">
                <a:lumMod val="75000"/>
              </a:schemeClr>
            </a:solidFill>
            <a:ln>
              <a:solidFill>
                <a:schemeClr val="tx1"/>
              </a:solidFill>
            </a:ln>
            <a:effectLst/>
          </c:spPr>
          <c:invertIfNegative val="0"/>
          <c:dLbls>
            <c:dLbl>
              <c:idx val="0"/>
              <c:tx>
                <c:rich>
                  <a:bodyPr rot="0" spcFirstLastPara="1" vertOverflow="clip" horzOverflow="clip" vert="horz" wrap="square" lIns="38100" tIns="19050" rIns="38100" bIns="19050" anchor="ctr" anchorCtr="1">
                    <a:noAutofit/>
                  </a:bodyPr>
                  <a:lstStyle/>
                  <a:p>
                    <a:pPr>
                      <a:defRPr sz="900" b="1" i="0" u="none" strike="noStrike" kern="1200" baseline="0">
                        <a:solidFill>
                          <a:schemeClr val="tx1"/>
                        </a:solidFill>
                        <a:latin typeface="+mn-lt"/>
                        <a:ea typeface="+mn-ea"/>
                        <a:cs typeface="+mn-cs"/>
                      </a:defRPr>
                    </a:pPr>
                    <a:r>
                      <a:rPr lang="en-US">
                        <a:solidFill>
                          <a:schemeClr val="tx1"/>
                        </a:solidFill>
                      </a:rPr>
                      <a:t>b</a:t>
                    </a:r>
                  </a:p>
                </c:rich>
              </c:tx>
              <c:spPr>
                <a:solidFill>
                  <a:schemeClr val="lt1"/>
                </a:solidFill>
                <a:ln>
                  <a:noFill/>
                </a:ln>
                <a:effectLst/>
              </c:spPr>
              <c:txPr>
                <a:bodyPr rot="0" spcFirstLastPara="1" vertOverflow="clip" horzOverflow="clip" vert="horz" wrap="square" lIns="38100" tIns="19050" rIns="38100" bIns="19050" anchor="ctr" anchorCtr="1">
                  <a:noAutofit/>
                </a:bodyPr>
                <a:lstStyle/>
                <a:p>
                  <a:pPr>
                    <a:defRPr sz="900" b="1" i="0" u="none" strike="noStrike" kern="1200" baseline="0">
                      <a:solidFill>
                        <a:schemeClr val="tx1"/>
                      </a:solidFill>
                      <a:latin typeface="+mn-lt"/>
                      <a:ea typeface="+mn-ea"/>
                      <a:cs typeface="+mn-cs"/>
                    </a:defRPr>
                  </a:pPr>
                  <a:endParaRPr lang="it-IT"/>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7-939E-4F0C-A575-BFAD110789B8}"/>
                </c:ext>
              </c:extLst>
            </c:dLbl>
            <c:dLbl>
              <c:idx val="1"/>
              <c:tx>
                <c:rich>
                  <a:bodyPr/>
                  <a:lstStyle/>
                  <a:p>
                    <a:r>
                      <a:rPr lang="en-US">
                        <a:solidFill>
                          <a:schemeClr val="tx1"/>
                        </a:solidFill>
                      </a:rPr>
                      <a:t>c</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39E-4F0C-A575-BFAD110789B8}"/>
                </c:ext>
              </c:extLst>
            </c:dLbl>
            <c:dLbl>
              <c:idx val="2"/>
              <c:tx>
                <c:rich>
                  <a:bodyPr/>
                  <a:lstStyle/>
                  <a:p>
                    <a:r>
                      <a:rPr lang="en-US">
                        <a:solidFill>
                          <a:schemeClr val="tx1"/>
                        </a:solidFill>
                      </a:rPr>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39E-4F0C-A575-BFAD110789B8}"/>
                </c:ext>
              </c:extLst>
            </c:dLbl>
            <c:dLbl>
              <c:idx val="3"/>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939E-4F0C-A575-BFAD110789B8}"/>
                </c:ext>
              </c:extLst>
            </c:dLbl>
            <c:dLbl>
              <c:idx val="4"/>
              <c:tx>
                <c:rich>
                  <a:bodyPr/>
                  <a:lstStyle/>
                  <a:p>
                    <a:r>
                      <a:rPr lang="en-US"/>
                      <a:t>d</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939E-4F0C-A575-BFAD110789B8}"/>
                </c:ext>
              </c:extLst>
            </c:dLbl>
            <c:dLbl>
              <c:idx val="5"/>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939E-4F0C-A575-BFAD110789B8}"/>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it-I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Sheet3!$C$44:$D$49</c:f>
              <c:multiLvlStrCache>
                <c:ptCount val="6"/>
                <c:lvl>
                  <c:pt idx="0">
                    <c:v>Both</c:v>
                  </c:pt>
                  <c:pt idx="1">
                    <c:v>P. italicum</c:v>
                  </c:pt>
                  <c:pt idx="2">
                    <c:v>T. roseum</c:v>
                  </c:pt>
                  <c:pt idx="3">
                    <c:v>Both</c:v>
                  </c:pt>
                  <c:pt idx="4">
                    <c:v>P. italicum</c:v>
                  </c:pt>
                  <c:pt idx="5">
                    <c:v>T. roseum</c:v>
                  </c:pt>
                </c:lvl>
                <c:lvl>
                  <c:pt idx="0">
                    <c:v>4</c:v>
                  </c:pt>
                  <c:pt idx="3">
                    <c:v>6.5</c:v>
                  </c:pt>
                </c:lvl>
              </c:multiLvlStrCache>
            </c:multiLvlStrRef>
          </c:cat>
          <c:val>
            <c:numRef>
              <c:f>Sheet3!$F$44:$F$49</c:f>
              <c:numCache>
                <c:formatCode>General</c:formatCode>
                <c:ptCount val="6"/>
                <c:pt idx="0">
                  <c:v>6.05</c:v>
                </c:pt>
                <c:pt idx="1">
                  <c:v>3.94</c:v>
                </c:pt>
                <c:pt idx="2">
                  <c:v>6.25</c:v>
                </c:pt>
                <c:pt idx="3" formatCode="0.000000">
                  <c:v>7.211666666666666</c:v>
                </c:pt>
                <c:pt idx="4" formatCode="0.000000">
                  <c:v>4.4349999999999996</c:v>
                </c:pt>
                <c:pt idx="5" formatCode="0.000000">
                  <c:v>7.4616666666666669</c:v>
                </c:pt>
              </c:numCache>
            </c:numRef>
          </c:val>
          <c:extLst>
            <c:ext xmlns:c16="http://schemas.microsoft.com/office/drawing/2014/chart" uri="{C3380CC4-5D6E-409C-BE32-E72D297353CC}">
              <c16:uniqueId val="{0000000D-939E-4F0C-A575-BFAD110789B8}"/>
            </c:ext>
          </c:extLst>
        </c:ser>
        <c:ser>
          <c:idx val="2"/>
          <c:order val="2"/>
          <c:tx>
            <c:strRef>
              <c:f>Sheet3!$G$43</c:f>
              <c:strCache>
                <c:ptCount val="1"/>
              </c:strCache>
            </c:strRef>
          </c:tx>
          <c:spPr>
            <a:solidFill>
              <a:schemeClr val="bg1"/>
            </a:solidFill>
            <a:ln>
              <a:solidFill>
                <a:schemeClr val="tx1"/>
              </a:solidFill>
            </a:ln>
            <a:effectLst/>
          </c:spPr>
          <c:invertIfNegative val="0"/>
          <c:dLbls>
            <c:dLbl>
              <c:idx val="0"/>
              <c:tx>
                <c:rich>
                  <a:bodyPr rot="0" spcFirstLastPara="1" vertOverflow="ellipsis" vert="horz" wrap="square" lIns="38100" tIns="19050" rIns="38100" bIns="19050" anchor="ctr" anchorCtr="1">
                    <a:spAutoFit/>
                  </a:bodyPr>
                  <a:lstStyle/>
                  <a:p>
                    <a:pPr>
                      <a:defRPr sz="900" b="1" i="0" u="none" strike="noStrike" kern="1200" baseline="0">
                        <a:solidFill>
                          <a:srgbClr val="0070C0"/>
                        </a:solidFill>
                        <a:latin typeface="+mn-lt"/>
                        <a:ea typeface="+mn-ea"/>
                        <a:cs typeface="+mn-cs"/>
                      </a:defRPr>
                    </a:pPr>
                    <a:r>
                      <a:rPr lang="en-US">
                        <a:solidFill>
                          <a:srgbClr val="0070C0"/>
                        </a:solidFill>
                      </a:rPr>
                      <a:t>c</a:t>
                    </a:r>
                  </a:p>
                </c:rich>
              </c:tx>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0070C0"/>
                      </a:solidFill>
                      <a:latin typeface="+mn-lt"/>
                      <a:ea typeface="+mn-ea"/>
                      <a:cs typeface="+mn-cs"/>
                    </a:defRPr>
                  </a:pPr>
                  <a:endParaRPr lang="it-IT"/>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939E-4F0C-A575-BFAD110789B8}"/>
                </c:ext>
              </c:extLst>
            </c:dLbl>
            <c:dLbl>
              <c:idx val="1"/>
              <c:tx>
                <c:rich>
                  <a:bodyPr rot="0" spcFirstLastPara="1" vertOverflow="ellipsis" vert="horz" wrap="square" lIns="38100" tIns="19050" rIns="38100" bIns="19050" anchor="ctr" anchorCtr="1">
                    <a:spAutoFit/>
                  </a:bodyPr>
                  <a:lstStyle/>
                  <a:p>
                    <a:pPr>
                      <a:defRPr sz="900" b="1" i="0" u="none" strike="noStrike" kern="1200" baseline="0">
                        <a:solidFill>
                          <a:srgbClr val="0070C0"/>
                        </a:solidFill>
                        <a:latin typeface="+mn-lt"/>
                        <a:ea typeface="+mn-ea"/>
                        <a:cs typeface="+mn-cs"/>
                      </a:defRPr>
                    </a:pPr>
                    <a:r>
                      <a:rPr lang="en-US">
                        <a:solidFill>
                          <a:srgbClr val="0070C0"/>
                        </a:solidFill>
                      </a:rPr>
                      <a:t>a</a:t>
                    </a:r>
                  </a:p>
                </c:rich>
              </c:tx>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0070C0"/>
                      </a:solidFill>
                      <a:latin typeface="+mn-lt"/>
                      <a:ea typeface="+mn-ea"/>
                      <a:cs typeface="+mn-cs"/>
                    </a:defRPr>
                  </a:pPr>
                  <a:endParaRPr lang="it-IT"/>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939E-4F0C-A575-BFAD110789B8}"/>
                </c:ext>
              </c:extLst>
            </c:dLbl>
            <c:dLbl>
              <c:idx val="2"/>
              <c:tx>
                <c:rich>
                  <a:bodyPr rot="0" spcFirstLastPara="1" vertOverflow="ellipsis" vert="horz" wrap="square" lIns="38100" tIns="19050" rIns="38100" bIns="19050" anchor="ctr" anchorCtr="1">
                    <a:spAutoFit/>
                  </a:bodyPr>
                  <a:lstStyle/>
                  <a:p>
                    <a:pPr>
                      <a:defRPr sz="900" b="1" i="0" u="none" strike="noStrike" kern="1200" baseline="0">
                        <a:solidFill>
                          <a:srgbClr val="C00000"/>
                        </a:solidFill>
                        <a:latin typeface="+mn-lt"/>
                        <a:ea typeface="+mn-ea"/>
                        <a:cs typeface="+mn-cs"/>
                      </a:defRPr>
                    </a:pPr>
                    <a:r>
                      <a:rPr lang="en-US">
                        <a:solidFill>
                          <a:srgbClr val="C00000"/>
                        </a:solidFill>
                      </a:rPr>
                      <a:t>c</a:t>
                    </a:r>
                  </a:p>
                </c:rich>
              </c:tx>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C00000"/>
                      </a:solidFill>
                      <a:latin typeface="+mn-lt"/>
                      <a:ea typeface="+mn-ea"/>
                      <a:cs typeface="+mn-cs"/>
                    </a:defRPr>
                  </a:pPr>
                  <a:endParaRPr lang="it-IT"/>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939E-4F0C-A575-BFAD110789B8}"/>
                </c:ext>
              </c:extLst>
            </c:dLbl>
            <c:dLbl>
              <c:idx val="3"/>
              <c:tx>
                <c:rich>
                  <a:bodyPr rot="0" spcFirstLastPara="1" vertOverflow="ellipsis" vert="horz" wrap="square" lIns="38100" tIns="19050" rIns="38100" bIns="19050" anchor="ctr" anchorCtr="1">
                    <a:spAutoFit/>
                  </a:bodyPr>
                  <a:lstStyle/>
                  <a:p>
                    <a:pPr>
                      <a:defRPr sz="900" b="1" i="0" u="none" strike="noStrike" kern="1200" baseline="0">
                        <a:solidFill>
                          <a:srgbClr val="C00000"/>
                        </a:solidFill>
                        <a:latin typeface="+mn-lt"/>
                        <a:ea typeface="+mn-ea"/>
                        <a:cs typeface="+mn-cs"/>
                      </a:defRPr>
                    </a:pPr>
                    <a:r>
                      <a:rPr lang="en-US">
                        <a:solidFill>
                          <a:srgbClr val="C00000"/>
                        </a:solidFill>
                      </a:rPr>
                      <a:t>a</a:t>
                    </a:r>
                  </a:p>
                </c:rich>
              </c:tx>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C00000"/>
                      </a:solidFill>
                      <a:latin typeface="+mn-lt"/>
                      <a:ea typeface="+mn-ea"/>
                      <a:cs typeface="+mn-cs"/>
                    </a:defRPr>
                  </a:pPr>
                  <a:endParaRPr lang="it-IT"/>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939E-4F0C-A575-BFAD110789B8}"/>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it-I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Sheet3!$C$44:$D$49</c:f>
              <c:multiLvlStrCache>
                <c:ptCount val="6"/>
                <c:lvl>
                  <c:pt idx="0">
                    <c:v>Both</c:v>
                  </c:pt>
                  <c:pt idx="1">
                    <c:v>P. italicum</c:v>
                  </c:pt>
                  <c:pt idx="2">
                    <c:v>T. roseum</c:v>
                  </c:pt>
                  <c:pt idx="3">
                    <c:v>Both</c:v>
                  </c:pt>
                  <c:pt idx="4">
                    <c:v>P. italicum</c:v>
                  </c:pt>
                  <c:pt idx="5">
                    <c:v>T. roseum</c:v>
                  </c:pt>
                </c:lvl>
                <c:lvl>
                  <c:pt idx="0">
                    <c:v>4</c:v>
                  </c:pt>
                  <c:pt idx="3">
                    <c:v>6.5</c:v>
                  </c:pt>
                </c:lvl>
              </c:multiLvlStrCache>
            </c:multiLvlStrRef>
          </c:cat>
          <c:val>
            <c:numRef>
              <c:f>Sheet3!$G$44:$G$47</c:f>
              <c:numCache>
                <c:formatCode>General</c:formatCode>
                <c:ptCount val="4"/>
              </c:numCache>
            </c:numRef>
          </c:val>
          <c:extLst>
            <c:ext xmlns:c16="http://schemas.microsoft.com/office/drawing/2014/chart" uri="{C3380CC4-5D6E-409C-BE32-E72D297353CC}">
              <c16:uniqueId val="{00000012-939E-4F0C-A575-BFAD110789B8}"/>
            </c:ext>
          </c:extLst>
        </c:ser>
        <c:dLbls>
          <c:showLegendKey val="0"/>
          <c:showVal val="0"/>
          <c:showCatName val="0"/>
          <c:showSerName val="0"/>
          <c:showPercent val="0"/>
          <c:showBubbleSize val="0"/>
        </c:dLbls>
        <c:gapWidth val="219"/>
        <c:overlap val="-27"/>
        <c:axId val="1180419616"/>
        <c:axId val="1180426688"/>
      </c:barChart>
      <c:catAx>
        <c:axId val="118041961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5400000" spcFirstLastPara="1" vertOverflow="ellipsis" wrap="square" anchor="ctr" anchorCtr="1"/>
          <a:lstStyle/>
          <a:p>
            <a:pPr>
              <a:defRPr sz="900" b="1" i="1" u="none" strike="noStrike" kern="1200" baseline="0">
                <a:solidFill>
                  <a:sysClr val="windowText" lastClr="000000"/>
                </a:solidFill>
                <a:latin typeface="+mn-lt"/>
                <a:ea typeface="+mn-ea"/>
                <a:cs typeface="+mn-cs"/>
              </a:defRPr>
            </a:pPr>
            <a:endParaRPr lang="it-IT"/>
          </a:p>
        </c:txPr>
        <c:crossAx val="1180426688"/>
        <c:crosses val="autoZero"/>
        <c:auto val="1"/>
        <c:lblAlgn val="ctr"/>
        <c:lblOffset val="100"/>
        <c:noMultiLvlLbl val="0"/>
      </c:catAx>
      <c:valAx>
        <c:axId val="1180426688"/>
        <c:scaling>
          <c:orientation val="minMax"/>
          <c:max val="8"/>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1" i="0" u="none" strike="noStrike" kern="1200" baseline="0">
                    <a:solidFill>
                      <a:sysClr val="windowText" lastClr="000000"/>
                    </a:solidFill>
                  </a:rPr>
                  <a:t>pH values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it-IT"/>
            </a:p>
          </c:txPr>
        </c:title>
        <c:numFmt formatCode="0" sourceLinked="0"/>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it-IT"/>
          </a:p>
        </c:txPr>
        <c:crossAx val="1180419616"/>
        <c:crosses val="autoZero"/>
        <c:crossBetween val="between"/>
      </c:valAx>
      <c:spPr>
        <a:noFill/>
        <a:ln>
          <a:noFill/>
        </a:ln>
        <a:effectLst/>
      </c:spPr>
    </c:plotArea>
    <c:legend>
      <c:legendPos val="t"/>
      <c:legendEntry>
        <c:idx val="2"/>
        <c:delete val="1"/>
      </c:legendEntry>
      <c:layout>
        <c:manualLayout>
          <c:xMode val="edge"/>
          <c:yMode val="edge"/>
          <c:x val="0.78859470691163591"/>
          <c:y val="8.0601851851851855E-2"/>
          <c:w val="0.20614370078740157"/>
          <c:h val="7.8125546806649182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it-I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75</Words>
  <Characters>433</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Riolo</dc:creator>
  <cp:keywords/>
  <dc:description/>
  <cp:lastModifiedBy>PC</cp:lastModifiedBy>
  <cp:revision>2</cp:revision>
  <dcterms:created xsi:type="dcterms:W3CDTF">2025-12-26T08:12:00Z</dcterms:created>
  <dcterms:modified xsi:type="dcterms:W3CDTF">2025-12-26T08:12:00Z</dcterms:modified>
</cp:coreProperties>
</file>