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A8DF" w14:textId="0F35E447" w:rsidR="00F004C0" w:rsidRDefault="00D22CAB">
      <w:r>
        <w:rPr>
          <w:noProof/>
        </w:rPr>
        <w:drawing>
          <wp:anchor distT="0" distB="0" distL="114300" distR="114300" simplePos="0" relativeHeight="251658240" behindDoc="0" locked="0" layoutInCell="1" allowOverlap="1" wp14:anchorId="13865570" wp14:editId="3DA9880C">
            <wp:simplePos x="0" y="0"/>
            <wp:positionH relativeFrom="column">
              <wp:posOffset>-247650</wp:posOffset>
            </wp:positionH>
            <wp:positionV relativeFrom="paragraph">
              <wp:posOffset>399415</wp:posOffset>
            </wp:positionV>
            <wp:extent cx="6357620" cy="3505200"/>
            <wp:effectExtent l="0" t="0" r="5080" b="0"/>
            <wp:wrapTopAndBottom/>
            <wp:docPr id="2082920839" name="Picture 3" descr="A graph with red lines and a blue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20839" name="Picture 3" descr="A graph with red lines and a blue lin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62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2F218" w14:textId="2F7DFBE9" w:rsidR="00F004C0" w:rsidRDefault="00F004C0" w:rsidP="00F004C0"/>
    <w:p w14:paraId="4D219FF0" w14:textId="4F95B261" w:rsidR="00F004C0" w:rsidRDefault="00CC0724" w:rsidP="00CC0724">
      <w:pPr>
        <w:jc w:val="both"/>
      </w:pPr>
      <w:r w:rsidRPr="00CC0724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249C">
        <w:rPr>
          <w:rFonts w:ascii="Times New Roman" w:hAnsi="Times New Roman" w:cs="Times New Roman"/>
          <w:sz w:val="24"/>
          <w:szCs w:val="24"/>
        </w:rPr>
        <w:t>Logarithm of the odds (LOD) score plot of LG1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D249C">
        <w:rPr>
          <w:rFonts w:ascii="Times New Roman" w:hAnsi="Times New Roman" w:cs="Times New Roman"/>
          <w:sz w:val="24"/>
          <w:szCs w:val="24"/>
        </w:rPr>
        <w:t xml:space="preserve"> for mean </w:t>
      </w:r>
      <w:r>
        <w:rPr>
          <w:rFonts w:ascii="Times New Roman" w:hAnsi="Times New Roman" w:cs="Times New Roman"/>
          <w:sz w:val="24"/>
          <w:szCs w:val="24"/>
        </w:rPr>
        <w:t>percent lesion length (</w:t>
      </w:r>
      <w:r w:rsidRPr="009D249C">
        <w:rPr>
          <w:rFonts w:ascii="Times New Roman" w:hAnsi="Times New Roman" w:cs="Times New Roman"/>
          <w:sz w:val="24"/>
          <w:szCs w:val="24"/>
        </w:rPr>
        <w:t>PLL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D249C">
        <w:rPr>
          <w:rFonts w:ascii="Times New Roman" w:hAnsi="Times New Roman" w:cs="Times New Roman"/>
          <w:sz w:val="24"/>
          <w:szCs w:val="24"/>
        </w:rPr>
        <w:t xml:space="preserve"> following phenotyping of</w:t>
      </w:r>
      <w:r>
        <w:rPr>
          <w:rFonts w:ascii="Times New Roman" w:hAnsi="Times New Roman" w:cs="Times New Roman"/>
          <w:sz w:val="24"/>
          <w:szCs w:val="24"/>
        </w:rPr>
        <w:t xml:space="preserve"> the ‘18219’ </w:t>
      </w:r>
      <w:r w:rsidRPr="009D249C">
        <w:rPr>
          <w:rFonts w:ascii="Times New Roman" w:hAnsi="Times New Roman" w:cs="Times New Roman"/>
          <w:sz w:val="24"/>
          <w:szCs w:val="24"/>
        </w:rPr>
        <w:t>mapping population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70E"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770E">
        <w:rPr>
          <w:rFonts w:ascii="Times New Roman" w:hAnsi="Times New Roman" w:cs="Times New Roman"/>
          <w:i/>
          <w:iCs/>
          <w:sz w:val="24"/>
          <w:szCs w:val="24"/>
        </w:rPr>
        <w:t>amylovora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mutant </w:t>
      </w:r>
      <w:r>
        <w:rPr>
          <w:rFonts w:ascii="Times New Roman" w:hAnsi="Times New Roman" w:cs="Times New Roman"/>
          <w:sz w:val="24"/>
          <w:szCs w:val="24"/>
        </w:rPr>
        <w:t>strain</w:t>
      </w:r>
      <w:r w:rsidRPr="009D249C">
        <w:rPr>
          <w:rFonts w:ascii="Times New Roman" w:hAnsi="Times New Roman" w:cs="Times New Roman"/>
          <w:sz w:val="24"/>
          <w:szCs w:val="24"/>
        </w:rPr>
        <w:t xml:space="preserve"> Ea</w:t>
      </w:r>
      <w:r>
        <w:rPr>
          <w:rFonts w:ascii="Times New Roman" w:hAnsi="Times New Roman" w:cs="Times New Roman"/>
          <w:sz w:val="24"/>
          <w:szCs w:val="24"/>
        </w:rPr>
        <w:t xml:space="preserve">1189Δeop1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D249C">
        <w:rPr>
          <w:rFonts w:ascii="Times New Roman" w:hAnsi="Times New Roman" w:cs="Times New Roman"/>
          <w:b/>
          <w:bCs/>
          <w:sz w:val="24"/>
          <w:szCs w:val="24"/>
        </w:rPr>
        <w:t>left</w:t>
      </w:r>
      <w:r w:rsidRPr="009D249C">
        <w:rPr>
          <w:rFonts w:ascii="Times New Roman" w:hAnsi="Times New Roman" w:cs="Times New Roman"/>
          <w:sz w:val="24"/>
          <w:szCs w:val="24"/>
        </w:rPr>
        <w:t>). Box plot representing fire blight resistance and susceptibility in individuals according to alleles inherited at the CH</w:t>
      </w:r>
      <w:r>
        <w:rPr>
          <w:rFonts w:ascii="Times New Roman" w:hAnsi="Times New Roman" w:cs="Times New Roman"/>
          <w:sz w:val="24"/>
          <w:szCs w:val="24"/>
        </w:rPr>
        <w:t>03b10 l</w:t>
      </w:r>
      <w:r w:rsidRPr="009D249C">
        <w:rPr>
          <w:rFonts w:ascii="Times New Roman" w:hAnsi="Times New Roman" w:cs="Times New Roman"/>
          <w:sz w:val="24"/>
          <w:szCs w:val="24"/>
        </w:rPr>
        <w:t xml:space="preserve">ocus: </w:t>
      </w:r>
      <w:r>
        <w:rPr>
          <w:rFonts w:ascii="Times New Roman" w:hAnsi="Times New Roman" w:cs="Times New Roman"/>
          <w:sz w:val="24"/>
          <w:szCs w:val="24"/>
        </w:rPr>
        <w:t>117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49C">
        <w:rPr>
          <w:rFonts w:ascii="Times New Roman" w:hAnsi="Times New Roman" w:cs="Times New Roman"/>
          <w:sz w:val="24"/>
          <w:szCs w:val="24"/>
        </w:rPr>
        <w:t xml:space="preserve">bp and </w:t>
      </w:r>
      <w:r>
        <w:rPr>
          <w:rFonts w:ascii="Times New Roman" w:hAnsi="Times New Roman" w:cs="Times New Roman"/>
          <w:sz w:val="24"/>
          <w:szCs w:val="24"/>
        </w:rPr>
        <w:t>102 bp</w:t>
      </w:r>
      <w:r w:rsidRPr="009D24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D249C">
        <w:rPr>
          <w:rFonts w:ascii="Times New Roman" w:hAnsi="Times New Roman" w:cs="Times New Roman"/>
          <w:b/>
          <w:bCs/>
          <w:sz w:val="24"/>
          <w:szCs w:val="24"/>
        </w:rPr>
        <w:t>right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D249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F00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C0"/>
    <w:rsid w:val="00114423"/>
    <w:rsid w:val="00233DA0"/>
    <w:rsid w:val="002A2BA7"/>
    <w:rsid w:val="005730EA"/>
    <w:rsid w:val="00574240"/>
    <w:rsid w:val="00596736"/>
    <w:rsid w:val="005C2458"/>
    <w:rsid w:val="00930B8A"/>
    <w:rsid w:val="009664B0"/>
    <w:rsid w:val="00CC0724"/>
    <w:rsid w:val="00D22CAB"/>
    <w:rsid w:val="00F0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D8C56"/>
  <w15:chartTrackingRefBased/>
  <w15:docId w15:val="{C527DBA0-8824-4F42-A996-5D7EFA18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4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4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4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4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4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4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4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4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4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4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Verendus</dc:creator>
  <cp:keywords/>
  <dc:description/>
  <cp:lastModifiedBy>Emeriewen, Ofere Francis</cp:lastModifiedBy>
  <cp:revision>4</cp:revision>
  <dcterms:created xsi:type="dcterms:W3CDTF">2025-11-04T13:18:00Z</dcterms:created>
  <dcterms:modified xsi:type="dcterms:W3CDTF">2025-11-04T13:23:00Z</dcterms:modified>
</cp:coreProperties>
</file>