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FBE08" w14:textId="3E22C71C" w:rsidR="00050F9D" w:rsidRDefault="00050F9D">
      <w:pPr>
        <w:spacing w:after="60"/>
        <w:jc w:val="center"/>
        <w:rPr>
          <w:b/>
          <w:bCs/>
          <w:color w:val="2E4057"/>
          <w:sz w:val="34"/>
          <w:szCs w:val="34"/>
          <w:lang w:val="en-GB"/>
        </w:rPr>
      </w:pPr>
      <w:r>
        <w:rPr>
          <w:b/>
          <w:bCs/>
          <w:color w:val="2E4057"/>
          <w:sz w:val="34"/>
          <w:szCs w:val="34"/>
          <w:lang w:val="en-GB"/>
        </w:rPr>
        <w:t>Appendices</w:t>
      </w:r>
    </w:p>
    <w:p w14:paraId="26D5FB12" w14:textId="2A201B30" w:rsidR="00E71816" w:rsidRPr="004C0855" w:rsidRDefault="00000000">
      <w:pPr>
        <w:spacing w:after="60"/>
        <w:jc w:val="center"/>
        <w:rPr>
          <w:lang w:val="en-GB"/>
        </w:rPr>
      </w:pPr>
      <w:r w:rsidRPr="004C0855">
        <w:rPr>
          <w:b/>
          <w:bCs/>
          <w:color w:val="2E4057"/>
          <w:sz w:val="34"/>
          <w:szCs w:val="34"/>
          <w:lang w:val="en-GB"/>
        </w:rPr>
        <w:t>DOXA AND EPISTEME IN THE JANDRIĆ–THEMELIS/McGREAL DEBATE</w:t>
      </w:r>
    </w:p>
    <w:p w14:paraId="7A0D95E9" w14:textId="77777777" w:rsidR="00E71816" w:rsidRPr="004C0855" w:rsidRDefault="00000000">
      <w:pPr>
        <w:spacing w:after="60"/>
        <w:jc w:val="center"/>
        <w:rPr>
          <w:lang w:val="en-GB"/>
        </w:rPr>
      </w:pPr>
      <w:r w:rsidRPr="004C0855">
        <w:rPr>
          <w:i/>
          <w:iCs/>
          <w:color w:val="555555"/>
          <w:sz w:val="26"/>
          <w:szCs w:val="26"/>
          <w:lang w:val="en-GB"/>
        </w:rPr>
        <w:t>An Epistemic Analysis of GenAI and Academic Writing</w:t>
      </w:r>
    </w:p>
    <w:p w14:paraId="763D0A92" w14:textId="77777777" w:rsidR="00E71816" w:rsidRPr="004C0855" w:rsidRDefault="00000000">
      <w:pPr>
        <w:spacing w:before="60" w:after="80"/>
        <w:jc w:val="center"/>
        <w:rPr>
          <w:lang w:val="en-GB"/>
        </w:rPr>
      </w:pPr>
      <w:r w:rsidRPr="004C0855">
        <w:rPr>
          <w:color w:val="888888"/>
          <w:sz w:val="18"/>
          <w:szCs w:val="18"/>
          <w:lang w:val="en-GB"/>
        </w:rPr>
        <w:t>Analysed by: Claude (Anthropic) | Requested by: Themelis &amp; McGreal (2026) | Date: May 2026</w:t>
      </w:r>
    </w:p>
    <w:p w14:paraId="1ECB77DB" w14:textId="77777777" w:rsidR="00E71816" w:rsidRPr="004C0855" w:rsidRDefault="00E71816">
      <w:pPr>
        <w:pBdr>
          <w:bottom w:val="single" w:sz="6" w:space="1" w:color="2E4057"/>
        </w:pBdr>
        <w:spacing w:after="280"/>
        <w:rPr>
          <w:lang w:val="en-GB"/>
        </w:rPr>
      </w:pPr>
    </w:p>
    <w:p w14:paraId="662BEC2D" w14:textId="72FDBBF2" w:rsidR="00050F9D" w:rsidRDefault="00050F9D">
      <w:pPr>
        <w:pStyle w:val="Heading1"/>
        <w:spacing w:before="200" w:after="140"/>
        <w:rPr>
          <w:lang w:val="en-GB"/>
        </w:rPr>
      </w:pPr>
      <w:r>
        <w:rPr>
          <w:lang w:val="en-GB"/>
        </w:rPr>
        <w:t>Appendix 1</w:t>
      </w:r>
    </w:p>
    <w:p w14:paraId="7EC1C6ED" w14:textId="573D4FD1" w:rsidR="00E71816" w:rsidRPr="004C0855" w:rsidRDefault="00000000">
      <w:pPr>
        <w:pStyle w:val="Heading1"/>
        <w:spacing w:before="200" w:after="140"/>
        <w:rPr>
          <w:lang w:val="en-GB"/>
        </w:rPr>
      </w:pPr>
      <w:r w:rsidRPr="004C0855">
        <w:rPr>
          <w:lang w:val="en-GB"/>
        </w:rPr>
        <w:t>Part 1 — Defining the Terms</w:t>
      </w:r>
    </w:p>
    <w:p w14:paraId="6AF95F0B" w14:textId="77777777" w:rsidR="00E71816" w:rsidRPr="004C0855" w:rsidRDefault="00000000">
      <w:pPr>
        <w:pStyle w:val="Heading2"/>
        <w:spacing w:before="180" w:after="100"/>
        <w:rPr>
          <w:lang w:val="en-GB"/>
        </w:rPr>
      </w:pPr>
      <w:r w:rsidRPr="004C0855">
        <w:rPr>
          <w:color w:val="8B0000"/>
          <w:lang w:val="en-GB"/>
        </w:rPr>
        <w:t>Doxa</w:t>
      </w:r>
    </w:p>
    <w:p w14:paraId="7BC00707" w14:textId="77777777" w:rsidR="00E71816" w:rsidRPr="004C0855" w:rsidRDefault="00000000">
      <w:pPr>
        <w:spacing w:before="60" w:after="120"/>
        <w:rPr>
          <w:lang w:val="en-GB"/>
        </w:rPr>
      </w:pPr>
      <w:r w:rsidRPr="004C0855">
        <w:rPr>
          <w:lang w:val="en-GB"/>
        </w:rPr>
        <w:t>In Plato's dialogues — particularly the Meno, the Republic (Books V–VII), and the Theaetetus — doxa designates belief or opinion: the kind of cognition available to the unreflective person who apprehends appearances rather than realities. Doxa may happen to be correct, but it is not justified by reason, demonstration, or rigorous method. It is unstable, culturally conditioned, and resistant to falsification because it rests on intuition or social consensus rather than on logos. For Aristotle, in the Posterior Analytics and Nicomachean Ethics, doxa occupies the domain of the contingent and the probable: it governs deliberation and rhetoric, not demonstrative science.</w:t>
      </w:r>
    </w:p>
    <w:p w14:paraId="10DA9640" w14:textId="77777777" w:rsidR="00E71816" w:rsidRPr="004C0855" w:rsidRDefault="00000000">
      <w:pPr>
        <w:spacing w:before="60" w:after="120"/>
        <w:rPr>
          <w:lang w:val="en-GB"/>
        </w:rPr>
      </w:pPr>
      <w:r w:rsidRPr="004C0855">
        <w:rPr>
          <w:lang w:val="en-GB"/>
        </w:rPr>
        <w:t>In this analysis, doxa is applied to claims that: (</w:t>
      </w:r>
      <w:proofErr w:type="spellStart"/>
      <w:r w:rsidRPr="004C0855">
        <w:rPr>
          <w:lang w:val="en-GB"/>
        </w:rPr>
        <w:t>i</w:t>
      </w:r>
      <w:proofErr w:type="spellEnd"/>
      <w:r w:rsidRPr="004C0855">
        <w:rPr>
          <w:lang w:val="en-GB"/>
        </w:rPr>
        <w:t xml:space="preserve">) rely on personal judgment, aesthetic preference, or editorial intuition; (ii) cannot be falsified or </w:t>
      </w:r>
      <w:proofErr w:type="gramStart"/>
      <w:r w:rsidRPr="004C0855">
        <w:rPr>
          <w:lang w:val="en-GB"/>
        </w:rPr>
        <w:t>tested</w:t>
      </w:r>
      <w:proofErr w:type="gramEnd"/>
      <w:r w:rsidRPr="004C0855">
        <w:rPr>
          <w:lang w:val="en-GB"/>
        </w:rPr>
        <w:t>; (iii) are internally inconsistent; or (iv) rest on normative assertion without supporting evidence.</w:t>
      </w:r>
    </w:p>
    <w:p w14:paraId="2CC2CEB9" w14:textId="77777777" w:rsidR="00E71816" w:rsidRPr="004C0855" w:rsidRDefault="00000000">
      <w:pPr>
        <w:pStyle w:val="Heading2"/>
        <w:spacing w:before="180" w:after="100"/>
        <w:rPr>
          <w:lang w:val="en-GB"/>
        </w:rPr>
      </w:pPr>
      <w:r w:rsidRPr="004C0855">
        <w:rPr>
          <w:lang w:val="en-GB"/>
        </w:rPr>
        <w:t>Episteme</w:t>
      </w:r>
    </w:p>
    <w:p w14:paraId="48814EE5" w14:textId="77777777" w:rsidR="00E71816" w:rsidRPr="004C0855" w:rsidRDefault="00000000">
      <w:pPr>
        <w:spacing w:before="60" w:after="120"/>
        <w:rPr>
          <w:lang w:val="en-GB"/>
        </w:rPr>
      </w:pPr>
      <w:r w:rsidRPr="004C0855">
        <w:rPr>
          <w:lang w:val="en-GB"/>
        </w:rPr>
        <w:t>Episteme designates justified, stable knowledge — what can be demonstrated, verified, and traced to its causes. For Plato, episteme involves genuine understanding of the Forms, attainable through dialectic. For Aristotle, it is the product of demonstrative syllogism from first principles (Posterior Analytics I.2): to know something epistemically is to know why it is necessarily so, not merely that it is. Applied here, episteme characterises claims that: (</w:t>
      </w:r>
      <w:proofErr w:type="spellStart"/>
      <w:r w:rsidRPr="004C0855">
        <w:rPr>
          <w:lang w:val="en-GB"/>
        </w:rPr>
        <w:t>i</w:t>
      </w:r>
      <w:proofErr w:type="spellEnd"/>
      <w:r w:rsidRPr="004C0855">
        <w:rPr>
          <w:lang w:val="en-GB"/>
        </w:rPr>
        <w:t>) are empirically grounded in verifiable evidence; (ii) are logically derived from coherent premises; (iii) are falsifiable in principle; and (iv) engage with the state of the field's evidence base.</w:t>
      </w:r>
    </w:p>
    <w:p w14:paraId="23BC902B" w14:textId="77777777" w:rsidR="00E71816" w:rsidRPr="004C0855" w:rsidRDefault="00000000">
      <w:pPr>
        <w:spacing w:before="60" w:after="200"/>
        <w:rPr>
          <w:lang w:val="en-GB"/>
        </w:rPr>
      </w:pPr>
      <w:r w:rsidRPr="004C0855">
        <w:rPr>
          <w:i/>
          <w:iCs/>
          <w:color w:val="555555"/>
          <w:lang w:val="en-GB"/>
        </w:rPr>
        <w:t xml:space="preserve">Note on Aristotle's additional category: Aristotle also distinguished phronesis (practical wisdom) from both doxa and episteme. </w:t>
      </w:r>
      <w:proofErr w:type="gramStart"/>
      <w:r w:rsidRPr="004C0855">
        <w:rPr>
          <w:i/>
          <w:iCs/>
          <w:color w:val="555555"/>
          <w:lang w:val="en-GB"/>
        </w:rPr>
        <w:t>Several</w:t>
      </w:r>
      <w:proofErr w:type="gramEnd"/>
      <w:r w:rsidRPr="004C0855">
        <w:rPr>
          <w:i/>
          <w:iCs/>
          <w:color w:val="555555"/>
          <w:lang w:val="en-GB"/>
        </w:rPr>
        <w:t xml:space="preserve"> arguments in both texts might be classified as phronesis — normative judgments made under conditions of genuine uncertainty, where reasonable people may disagree. Where relevant, this is noted in the assessments below.</w:t>
      </w:r>
    </w:p>
    <w:p w14:paraId="13F38775" w14:textId="77777777" w:rsidR="00E71816" w:rsidRPr="004C0855" w:rsidRDefault="00000000">
      <w:pPr>
        <w:pStyle w:val="Heading1"/>
        <w:spacing w:before="200" w:after="100"/>
        <w:rPr>
          <w:lang w:val="en-GB"/>
        </w:rPr>
      </w:pPr>
      <w:r w:rsidRPr="004C0855">
        <w:rPr>
          <w:lang w:val="en-GB"/>
        </w:rPr>
        <w:t>Part 2 — Classifying the Arguments in Jandrić (2026)</w:t>
      </w:r>
    </w:p>
    <w:p w14:paraId="00A05213" w14:textId="77777777" w:rsidR="00E71816" w:rsidRPr="004C0855" w:rsidRDefault="00000000">
      <w:pPr>
        <w:spacing w:before="60" w:after="140"/>
        <w:rPr>
          <w:lang w:val="en-GB"/>
        </w:rPr>
      </w:pPr>
      <w:r w:rsidRPr="004C0855">
        <w:rPr>
          <w:i/>
          <w:iCs/>
          <w:color w:val="555555"/>
          <w:lang w:val="en-GB"/>
        </w:rPr>
        <w:t>The full text of Jandrić (2026) is not available for direct quotation; the following analysis draws on arguments attributed to and summarised from that text by Themelis &amp; McGreal (2026), cross-referenced against the field's known literature. Where Jandrić's own words are quoted within the response paper, those quotations are treated as primary evidence.</w:t>
      </w:r>
    </w:p>
    <w:tbl>
      <w:tblPr>
        <w:tblW w:w="9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78"/>
        <w:gridCol w:w="1541"/>
        <w:gridCol w:w="2978"/>
        <w:gridCol w:w="2889"/>
      </w:tblGrid>
      <w:tr w:rsidR="00E71816" w14:paraId="19CDBBD0" w14:textId="77777777">
        <w:trPr>
          <w:tblHeader/>
        </w:trPr>
        <w:tc>
          <w:tcPr>
            <w:tcW w:w="1" w:type="auto"/>
            <w:tcBorders>
              <w:top w:val="single" w:sz="1" w:space="0" w:color="AAAAAA"/>
              <w:left w:val="single" w:sz="1" w:space="0" w:color="AAAAAA"/>
              <w:bottom w:val="single" w:sz="1" w:space="0" w:color="AAAAAA"/>
              <w:right w:val="single" w:sz="1" w:space="0" w:color="AAAAAA"/>
            </w:tcBorders>
            <w:shd w:val="clear" w:color="auto" w:fill="2E4057"/>
            <w:tcMar>
              <w:top w:w="100" w:type="dxa"/>
              <w:left w:w="120" w:type="dxa"/>
              <w:bottom w:w="100" w:type="dxa"/>
              <w:right w:w="120" w:type="dxa"/>
            </w:tcMar>
          </w:tcPr>
          <w:p w14:paraId="217949B8" w14:textId="77777777" w:rsidR="00E71816" w:rsidRDefault="00000000">
            <w:pPr>
              <w:spacing w:before="40" w:after="40"/>
            </w:pPr>
            <w:proofErr w:type="spellStart"/>
            <w:r>
              <w:rPr>
                <w:b/>
                <w:bCs/>
                <w:sz w:val="20"/>
                <w:szCs w:val="20"/>
              </w:rPr>
              <w:t>Argument</w:t>
            </w:r>
            <w:proofErr w:type="spellEnd"/>
            <w:r>
              <w:rPr>
                <w:b/>
                <w:bCs/>
                <w:sz w:val="20"/>
                <w:szCs w:val="20"/>
              </w:rPr>
              <w:t xml:space="preserve"> (</w:t>
            </w:r>
            <w:proofErr w:type="spellStart"/>
            <w:r>
              <w:rPr>
                <w:b/>
                <w:bCs/>
                <w:sz w:val="20"/>
                <w:szCs w:val="20"/>
              </w:rPr>
              <w:t>Jandrić</w:t>
            </w:r>
            <w:proofErr w:type="spellEnd"/>
            <w:r>
              <w:rPr>
                <w:b/>
                <w:bCs/>
                <w:sz w:val="20"/>
                <w:szCs w:val="20"/>
              </w:rPr>
              <w:t>, 2026)</w:t>
            </w:r>
          </w:p>
        </w:tc>
        <w:tc>
          <w:tcPr>
            <w:tcW w:w="1" w:type="auto"/>
            <w:tcBorders>
              <w:top w:val="single" w:sz="1" w:space="0" w:color="AAAAAA"/>
              <w:left w:val="single" w:sz="1" w:space="0" w:color="AAAAAA"/>
              <w:bottom w:val="single" w:sz="1" w:space="0" w:color="AAAAAA"/>
              <w:right w:val="single" w:sz="1" w:space="0" w:color="AAAAAA"/>
            </w:tcBorders>
            <w:shd w:val="clear" w:color="auto" w:fill="2E4057"/>
            <w:tcMar>
              <w:top w:w="100" w:type="dxa"/>
              <w:left w:w="120" w:type="dxa"/>
              <w:bottom w:w="100" w:type="dxa"/>
              <w:right w:w="120" w:type="dxa"/>
            </w:tcMar>
          </w:tcPr>
          <w:p w14:paraId="450DCEC4" w14:textId="77777777" w:rsidR="00E71816" w:rsidRDefault="00000000">
            <w:pPr>
              <w:spacing w:before="40" w:after="40"/>
            </w:pPr>
            <w:proofErr w:type="spellStart"/>
            <w:r>
              <w:rPr>
                <w:b/>
                <w:bCs/>
                <w:sz w:val="20"/>
                <w:szCs w:val="20"/>
              </w:rPr>
              <w:t>Classification</w:t>
            </w:r>
            <w:proofErr w:type="spellEnd"/>
          </w:p>
        </w:tc>
        <w:tc>
          <w:tcPr>
            <w:tcW w:w="1" w:type="auto"/>
            <w:tcBorders>
              <w:top w:val="single" w:sz="1" w:space="0" w:color="AAAAAA"/>
              <w:left w:val="single" w:sz="1" w:space="0" w:color="AAAAAA"/>
              <w:bottom w:val="single" w:sz="1" w:space="0" w:color="AAAAAA"/>
              <w:right w:val="single" w:sz="1" w:space="0" w:color="AAAAAA"/>
            </w:tcBorders>
            <w:shd w:val="clear" w:color="auto" w:fill="2E4057"/>
            <w:tcMar>
              <w:top w:w="100" w:type="dxa"/>
              <w:left w:w="120" w:type="dxa"/>
              <w:bottom w:w="100" w:type="dxa"/>
              <w:right w:w="120" w:type="dxa"/>
            </w:tcMar>
          </w:tcPr>
          <w:p w14:paraId="3DC22004" w14:textId="77777777" w:rsidR="00E71816" w:rsidRDefault="00000000">
            <w:pPr>
              <w:spacing w:before="40" w:after="40"/>
            </w:pPr>
            <w:proofErr w:type="spellStart"/>
            <w:r>
              <w:rPr>
                <w:b/>
                <w:bCs/>
                <w:sz w:val="20"/>
                <w:szCs w:val="20"/>
              </w:rPr>
              <w:t>Justification</w:t>
            </w:r>
            <w:proofErr w:type="spellEnd"/>
          </w:p>
        </w:tc>
        <w:tc>
          <w:tcPr>
            <w:tcW w:w="1" w:type="auto"/>
            <w:tcBorders>
              <w:top w:val="single" w:sz="1" w:space="0" w:color="AAAAAA"/>
              <w:left w:val="single" w:sz="1" w:space="0" w:color="AAAAAA"/>
              <w:bottom w:val="single" w:sz="1" w:space="0" w:color="AAAAAA"/>
              <w:right w:val="single" w:sz="1" w:space="0" w:color="AAAAAA"/>
            </w:tcBorders>
            <w:shd w:val="clear" w:color="auto" w:fill="2E4057"/>
            <w:tcMar>
              <w:top w:w="100" w:type="dxa"/>
              <w:left w:w="120" w:type="dxa"/>
              <w:bottom w:w="100" w:type="dxa"/>
              <w:right w:w="120" w:type="dxa"/>
            </w:tcMar>
          </w:tcPr>
          <w:p w14:paraId="5B52FD56" w14:textId="77777777" w:rsidR="00E71816" w:rsidRDefault="00000000">
            <w:pPr>
              <w:spacing w:before="40" w:after="40"/>
            </w:pPr>
            <w:proofErr w:type="spellStart"/>
            <w:r>
              <w:rPr>
                <w:b/>
                <w:bCs/>
                <w:sz w:val="20"/>
                <w:szCs w:val="20"/>
              </w:rPr>
              <w:t>Accuracy</w:t>
            </w:r>
            <w:proofErr w:type="spellEnd"/>
            <w:r>
              <w:rPr>
                <w:b/>
                <w:bCs/>
                <w:sz w:val="20"/>
                <w:szCs w:val="20"/>
              </w:rPr>
              <w:t xml:space="preserve"> </w:t>
            </w:r>
            <w:proofErr w:type="spellStart"/>
            <w:r>
              <w:rPr>
                <w:b/>
                <w:bCs/>
                <w:sz w:val="20"/>
                <w:szCs w:val="20"/>
              </w:rPr>
              <w:t>Assessment</w:t>
            </w:r>
            <w:proofErr w:type="spellEnd"/>
          </w:p>
        </w:tc>
      </w:tr>
      <w:tr w:rsidR="00E71816" w:rsidRPr="00A93006" w14:paraId="01D3ED51" w14:textId="77777777">
        <w:tc>
          <w:tcPr>
            <w:tcW w:w="1" w:type="auto"/>
            <w:tcBorders>
              <w:top w:val="single" w:sz="1" w:space="0" w:color="AAAAAA"/>
              <w:left w:val="single" w:sz="1" w:space="0" w:color="AAAAAA"/>
              <w:bottom w:val="single" w:sz="1" w:space="0" w:color="AAAAAA"/>
              <w:right w:val="single" w:sz="1" w:space="0" w:color="AAAAAA"/>
            </w:tcBorders>
            <w:shd w:val="clear" w:color="auto" w:fill="F0F4F8"/>
            <w:tcMar>
              <w:top w:w="100" w:type="dxa"/>
              <w:left w:w="120" w:type="dxa"/>
              <w:bottom w:w="100" w:type="dxa"/>
              <w:right w:w="120" w:type="dxa"/>
            </w:tcMar>
          </w:tcPr>
          <w:p w14:paraId="04AADFCD" w14:textId="77777777" w:rsidR="00E71816" w:rsidRPr="004C0855" w:rsidRDefault="00000000">
            <w:pPr>
              <w:spacing w:before="40" w:after="40"/>
              <w:rPr>
                <w:lang w:val="en-GB"/>
              </w:rPr>
            </w:pPr>
            <w:r w:rsidRPr="004C0855">
              <w:rPr>
                <w:sz w:val="19"/>
                <w:szCs w:val="19"/>
                <w:lang w:val="en-GB"/>
              </w:rPr>
              <w:t xml:space="preserve">Detection of GenAI co-writing is a serious editorial challenge </w:t>
            </w:r>
            <w:r w:rsidRPr="004C0855">
              <w:rPr>
                <w:sz w:val="19"/>
                <w:szCs w:val="19"/>
                <w:lang w:val="en-GB"/>
              </w:rPr>
              <w:lastRenderedPageBreak/>
              <w:t>warranting zero-tolerance policy</w:t>
            </w:r>
          </w:p>
        </w:tc>
        <w:tc>
          <w:tcPr>
            <w:tcW w:w="1" w:type="auto"/>
            <w:tcBorders>
              <w:top w:val="single" w:sz="1" w:space="0" w:color="AAAAAA"/>
              <w:left w:val="single" w:sz="1" w:space="0" w:color="AAAAAA"/>
              <w:bottom w:val="single" w:sz="1" w:space="0" w:color="AAAAAA"/>
              <w:right w:val="single" w:sz="1" w:space="0" w:color="AAAAAA"/>
            </w:tcBorders>
            <w:shd w:val="clear" w:color="auto" w:fill="F0F4F8"/>
            <w:tcMar>
              <w:top w:w="100" w:type="dxa"/>
              <w:left w:w="120" w:type="dxa"/>
              <w:bottom w:w="100" w:type="dxa"/>
              <w:right w:w="120" w:type="dxa"/>
            </w:tcMar>
          </w:tcPr>
          <w:p w14:paraId="2A5868A8" w14:textId="77777777" w:rsidR="00E71816" w:rsidRDefault="00000000">
            <w:pPr>
              <w:spacing w:before="40" w:after="40"/>
            </w:pPr>
            <w:r>
              <w:rPr>
                <w:b/>
                <w:bCs/>
                <w:color w:val="8B0000"/>
                <w:sz w:val="19"/>
                <w:szCs w:val="19"/>
              </w:rPr>
              <w:lastRenderedPageBreak/>
              <w:t>DOXA</w:t>
            </w:r>
          </w:p>
        </w:tc>
        <w:tc>
          <w:tcPr>
            <w:tcW w:w="1" w:type="auto"/>
            <w:tcBorders>
              <w:top w:val="single" w:sz="1" w:space="0" w:color="AAAAAA"/>
              <w:left w:val="single" w:sz="1" w:space="0" w:color="AAAAAA"/>
              <w:bottom w:val="single" w:sz="1" w:space="0" w:color="AAAAAA"/>
              <w:right w:val="single" w:sz="1" w:space="0" w:color="AAAAAA"/>
            </w:tcBorders>
            <w:shd w:val="clear" w:color="auto" w:fill="F0F4F8"/>
            <w:tcMar>
              <w:top w:w="100" w:type="dxa"/>
              <w:left w:w="120" w:type="dxa"/>
              <w:bottom w:w="100" w:type="dxa"/>
              <w:right w:w="120" w:type="dxa"/>
            </w:tcMar>
          </w:tcPr>
          <w:p w14:paraId="1CB3BCD1" w14:textId="77777777" w:rsidR="00E71816" w:rsidRPr="004C0855" w:rsidRDefault="00000000">
            <w:pPr>
              <w:spacing w:before="40" w:after="40"/>
              <w:rPr>
                <w:lang w:val="en-GB"/>
              </w:rPr>
            </w:pPr>
            <w:r w:rsidRPr="004C0855">
              <w:rPr>
                <w:sz w:val="19"/>
                <w:szCs w:val="19"/>
                <w:lang w:val="en-GB"/>
              </w:rPr>
              <w:t xml:space="preserve">Jandrić himself acknowledges that detection is technically impossible. A policy resting on an unenforceable mechanism is </w:t>
            </w:r>
            <w:r w:rsidRPr="004C0855">
              <w:rPr>
                <w:sz w:val="19"/>
                <w:szCs w:val="19"/>
                <w:lang w:val="en-GB"/>
              </w:rPr>
              <w:lastRenderedPageBreak/>
              <w:t>opinion, not demonstrable knowledge. No empirical evidence is cited that zero-tolerance reduces unacknowledged AI use.</w:t>
            </w:r>
          </w:p>
        </w:tc>
        <w:tc>
          <w:tcPr>
            <w:tcW w:w="1" w:type="auto"/>
            <w:tcBorders>
              <w:top w:val="single" w:sz="1" w:space="0" w:color="AAAAAA"/>
              <w:left w:val="single" w:sz="1" w:space="0" w:color="AAAAAA"/>
              <w:bottom w:val="single" w:sz="1" w:space="0" w:color="AAAAAA"/>
              <w:right w:val="single" w:sz="1" w:space="0" w:color="AAAAAA"/>
            </w:tcBorders>
            <w:shd w:val="clear" w:color="auto" w:fill="F0F4F8"/>
            <w:tcMar>
              <w:top w:w="100" w:type="dxa"/>
              <w:left w:w="120" w:type="dxa"/>
              <w:bottom w:w="100" w:type="dxa"/>
              <w:right w:w="120" w:type="dxa"/>
            </w:tcMar>
          </w:tcPr>
          <w:p w14:paraId="365F51DA" w14:textId="77777777" w:rsidR="00E71816" w:rsidRPr="004C0855" w:rsidRDefault="00000000">
            <w:pPr>
              <w:spacing w:before="40" w:after="40"/>
              <w:rPr>
                <w:lang w:val="en-GB"/>
              </w:rPr>
            </w:pPr>
            <w:r w:rsidRPr="004C0855">
              <w:rPr>
                <w:sz w:val="19"/>
                <w:szCs w:val="19"/>
                <w:lang w:val="en-GB"/>
              </w:rPr>
              <w:lastRenderedPageBreak/>
              <w:t xml:space="preserve">Weak. Detection tools are demonstrably unreliable (Weber-Wulff et al., 2023; Liang et al., 2023; Sadasivan </w:t>
            </w:r>
            <w:r w:rsidRPr="004C0855">
              <w:rPr>
                <w:sz w:val="19"/>
                <w:szCs w:val="19"/>
                <w:lang w:val="en-GB"/>
              </w:rPr>
              <w:lastRenderedPageBreak/>
              <w:t>et al., 2024). The policy is internally inconsistent: Jandrić concedes the impossibility yet prescribes punishment.</w:t>
            </w:r>
          </w:p>
        </w:tc>
      </w:tr>
      <w:tr w:rsidR="00E71816" w:rsidRPr="00A93006" w14:paraId="6CB628A9" w14:textId="77777777">
        <w:tc>
          <w:tcPr>
            <w:tcW w:w="1"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20" w:type="dxa"/>
              <w:bottom w:w="100" w:type="dxa"/>
              <w:right w:w="120" w:type="dxa"/>
            </w:tcMar>
          </w:tcPr>
          <w:p w14:paraId="3A43FD17" w14:textId="77777777" w:rsidR="00E71816" w:rsidRPr="004C0855" w:rsidRDefault="00000000">
            <w:pPr>
              <w:spacing w:before="40" w:after="40"/>
              <w:rPr>
                <w:lang w:val="en-GB"/>
              </w:rPr>
            </w:pPr>
            <w:r w:rsidRPr="004C0855">
              <w:rPr>
                <w:sz w:val="19"/>
                <w:szCs w:val="19"/>
                <w:lang w:val="en-GB"/>
              </w:rPr>
              <w:lastRenderedPageBreak/>
              <w:t>GenAI produces 'aesthetically unpleasant' writing — 'sterile and boring, like great-looking industrially grown tomatoes with no taste or smell'</w:t>
            </w:r>
          </w:p>
        </w:tc>
        <w:tc>
          <w:tcPr>
            <w:tcW w:w="1"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20" w:type="dxa"/>
              <w:bottom w:w="100" w:type="dxa"/>
              <w:right w:w="120" w:type="dxa"/>
            </w:tcMar>
          </w:tcPr>
          <w:p w14:paraId="5D512BD4" w14:textId="77777777" w:rsidR="00E71816" w:rsidRDefault="00000000">
            <w:pPr>
              <w:spacing w:before="40" w:after="40"/>
            </w:pPr>
            <w:r>
              <w:rPr>
                <w:b/>
                <w:bCs/>
                <w:color w:val="8B0000"/>
                <w:sz w:val="19"/>
                <w:szCs w:val="19"/>
              </w:rPr>
              <w:t>DOXA</w:t>
            </w:r>
          </w:p>
        </w:tc>
        <w:tc>
          <w:tcPr>
            <w:tcW w:w="1"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20" w:type="dxa"/>
              <w:bottom w:w="100" w:type="dxa"/>
              <w:right w:w="120" w:type="dxa"/>
            </w:tcMar>
          </w:tcPr>
          <w:p w14:paraId="0E0B5802" w14:textId="77777777" w:rsidR="00E71816" w:rsidRDefault="00000000">
            <w:pPr>
              <w:spacing w:before="40" w:after="40"/>
            </w:pPr>
            <w:r w:rsidRPr="004C0855">
              <w:rPr>
                <w:sz w:val="19"/>
                <w:szCs w:val="19"/>
                <w:lang w:val="en-GB"/>
              </w:rPr>
              <w:t>An explicit personal aesthetic judgment. No epistemological criterion is provided. Taste (</w:t>
            </w:r>
            <w:proofErr w:type="spellStart"/>
            <w:r w:rsidRPr="004C0855">
              <w:rPr>
                <w:sz w:val="19"/>
                <w:szCs w:val="19"/>
                <w:lang w:val="en-GB"/>
              </w:rPr>
              <w:t>aisthesis</w:t>
            </w:r>
            <w:proofErr w:type="spellEnd"/>
            <w:r w:rsidRPr="004C0855">
              <w:rPr>
                <w:sz w:val="19"/>
                <w:szCs w:val="19"/>
                <w:lang w:val="en-GB"/>
              </w:rPr>
              <w:t xml:space="preserve">) is not a publishable basis for editorial rejection. </w:t>
            </w:r>
            <w:proofErr w:type="spellStart"/>
            <w:r>
              <w:rPr>
                <w:sz w:val="19"/>
                <w:szCs w:val="19"/>
              </w:rPr>
              <w:t>Unfalsifiable</w:t>
            </w:r>
            <w:proofErr w:type="spellEnd"/>
            <w:r>
              <w:rPr>
                <w:sz w:val="19"/>
                <w:szCs w:val="19"/>
              </w:rPr>
              <w:t xml:space="preserve"> — </w:t>
            </w:r>
            <w:proofErr w:type="spellStart"/>
            <w:r>
              <w:rPr>
                <w:sz w:val="19"/>
                <w:szCs w:val="19"/>
              </w:rPr>
              <w:t>different</w:t>
            </w:r>
            <w:proofErr w:type="spellEnd"/>
            <w:r>
              <w:rPr>
                <w:sz w:val="19"/>
                <w:szCs w:val="19"/>
              </w:rPr>
              <w:t xml:space="preserve"> </w:t>
            </w:r>
            <w:proofErr w:type="spellStart"/>
            <w:r>
              <w:rPr>
                <w:sz w:val="19"/>
                <w:szCs w:val="19"/>
              </w:rPr>
              <w:t>readers</w:t>
            </w:r>
            <w:proofErr w:type="spellEnd"/>
            <w:r>
              <w:rPr>
                <w:sz w:val="19"/>
                <w:szCs w:val="19"/>
              </w:rPr>
              <w:t xml:space="preserve"> </w:t>
            </w:r>
            <w:proofErr w:type="spellStart"/>
            <w:r>
              <w:rPr>
                <w:sz w:val="19"/>
                <w:szCs w:val="19"/>
              </w:rPr>
              <w:t>respond</w:t>
            </w:r>
            <w:proofErr w:type="spellEnd"/>
            <w:r>
              <w:rPr>
                <w:sz w:val="19"/>
                <w:szCs w:val="19"/>
              </w:rPr>
              <w:t xml:space="preserve"> </w:t>
            </w:r>
            <w:proofErr w:type="spellStart"/>
            <w:r>
              <w:rPr>
                <w:sz w:val="19"/>
                <w:szCs w:val="19"/>
              </w:rPr>
              <w:t>differently</w:t>
            </w:r>
            <w:proofErr w:type="spellEnd"/>
            <w:r>
              <w:rPr>
                <w:sz w:val="19"/>
                <w:szCs w:val="19"/>
              </w:rPr>
              <w:t xml:space="preserve"> </w:t>
            </w:r>
            <w:proofErr w:type="spellStart"/>
            <w:r>
              <w:rPr>
                <w:sz w:val="19"/>
                <w:szCs w:val="19"/>
              </w:rPr>
              <w:t>to</w:t>
            </w:r>
            <w:proofErr w:type="spellEnd"/>
            <w:r>
              <w:rPr>
                <w:sz w:val="19"/>
                <w:szCs w:val="19"/>
              </w:rPr>
              <w:t xml:space="preserve"> the </w:t>
            </w:r>
            <w:proofErr w:type="spellStart"/>
            <w:r>
              <w:rPr>
                <w:sz w:val="19"/>
                <w:szCs w:val="19"/>
              </w:rPr>
              <w:t>same</w:t>
            </w:r>
            <w:proofErr w:type="spellEnd"/>
            <w:r>
              <w:rPr>
                <w:sz w:val="19"/>
                <w:szCs w:val="19"/>
              </w:rPr>
              <w:t xml:space="preserve"> </w:t>
            </w:r>
            <w:proofErr w:type="spellStart"/>
            <w:r>
              <w:rPr>
                <w:sz w:val="19"/>
                <w:szCs w:val="19"/>
              </w:rPr>
              <w:t>text</w:t>
            </w:r>
            <w:proofErr w:type="spellEnd"/>
            <w:r>
              <w:rPr>
                <w:sz w:val="19"/>
                <w:szCs w:val="19"/>
              </w:rPr>
              <w:t>.</w:t>
            </w:r>
          </w:p>
        </w:tc>
        <w:tc>
          <w:tcPr>
            <w:tcW w:w="1"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20" w:type="dxa"/>
              <w:bottom w:w="100" w:type="dxa"/>
              <w:right w:w="120" w:type="dxa"/>
            </w:tcMar>
          </w:tcPr>
          <w:p w14:paraId="643BFF18" w14:textId="77777777" w:rsidR="00E71816" w:rsidRPr="004C0855" w:rsidRDefault="00000000">
            <w:pPr>
              <w:spacing w:before="40" w:after="40"/>
              <w:rPr>
                <w:lang w:val="en-GB"/>
              </w:rPr>
            </w:pPr>
            <w:r w:rsidRPr="004C0855">
              <w:rPr>
                <w:sz w:val="19"/>
                <w:szCs w:val="19"/>
                <w:lang w:val="en-GB"/>
              </w:rPr>
              <w:t>Weak as editorial criterion. Academic prose quality is evaluated by epistemological soundness, not stylistic taste. The conflation is a category error acknowledged implicitly by Themelis &amp; McGreal. Non-native English writers may find AI assistance epistemically neutral.</w:t>
            </w:r>
          </w:p>
        </w:tc>
      </w:tr>
      <w:tr w:rsidR="00E71816" w:rsidRPr="00A93006" w14:paraId="511DE3D0" w14:textId="77777777">
        <w:tc>
          <w:tcPr>
            <w:tcW w:w="1" w:type="auto"/>
            <w:tcBorders>
              <w:top w:val="single" w:sz="1" w:space="0" w:color="AAAAAA"/>
              <w:left w:val="single" w:sz="1" w:space="0" w:color="AAAAAA"/>
              <w:bottom w:val="single" w:sz="1" w:space="0" w:color="AAAAAA"/>
              <w:right w:val="single" w:sz="1" w:space="0" w:color="AAAAAA"/>
            </w:tcBorders>
            <w:shd w:val="clear" w:color="auto" w:fill="F0F4F8"/>
            <w:tcMar>
              <w:top w:w="100" w:type="dxa"/>
              <w:left w:w="120" w:type="dxa"/>
              <w:bottom w:w="100" w:type="dxa"/>
              <w:right w:w="120" w:type="dxa"/>
            </w:tcMar>
          </w:tcPr>
          <w:p w14:paraId="2342DFA5" w14:textId="77777777" w:rsidR="00E71816" w:rsidRPr="004C0855" w:rsidRDefault="00000000">
            <w:pPr>
              <w:spacing w:before="40" w:after="40"/>
              <w:rPr>
                <w:lang w:val="en-GB"/>
              </w:rPr>
            </w:pPr>
            <w:r w:rsidRPr="004C0855">
              <w:rPr>
                <w:sz w:val="19"/>
                <w:szCs w:val="19"/>
                <w:lang w:val="en-GB"/>
              </w:rPr>
              <w:t>AI-generated references constitute a novel scholarly misconduct problem requiring blacklisting</w:t>
            </w:r>
          </w:p>
        </w:tc>
        <w:tc>
          <w:tcPr>
            <w:tcW w:w="1" w:type="auto"/>
            <w:tcBorders>
              <w:top w:val="single" w:sz="1" w:space="0" w:color="AAAAAA"/>
              <w:left w:val="single" w:sz="1" w:space="0" w:color="AAAAAA"/>
              <w:bottom w:val="single" w:sz="1" w:space="0" w:color="AAAAAA"/>
              <w:right w:val="single" w:sz="1" w:space="0" w:color="AAAAAA"/>
            </w:tcBorders>
            <w:shd w:val="clear" w:color="auto" w:fill="F0F4F8"/>
            <w:tcMar>
              <w:top w:w="100" w:type="dxa"/>
              <w:left w:w="120" w:type="dxa"/>
              <w:bottom w:w="100" w:type="dxa"/>
              <w:right w:w="120" w:type="dxa"/>
            </w:tcMar>
          </w:tcPr>
          <w:p w14:paraId="578A8758" w14:textId="77777777" w:rsidR="00E71816" w:rsidRDefault="00000000">
            <w:pPr>
              <w:spacing w:before="40" w:after="40"/>
            </w:pPr>
            <w:r>
              <w:rPr>
                <w:b/>
                <w:bCs/>
                <w:color w:val="8B0000"/>
                <w:sz w:val="19"/>
                <w:szCs w:val="19"/>
              </w:rPr>
              <w:t>DOXA</w:t>
            </w:r>
          </w:p>
        </w:tc>
        <w:tc>
          <w:tcPr>
            <w:tcW w:w="1" w:type="auto"/>
            <w:tcBorders>
              <w:top w:val="single" w:sz="1" w:space="0" w:color="AAAAAA"/>
              <w:left w:val="single" w:sz="1" w:space="0" w:color="AAAAAA"/>
              <w:bottom w:val="single" w:sz="1" w:space="0" w:color="AAAAAA"/>
              <w:right w:val="single" w:sz="1" w:space="0" w:color="AAAAAA"/>
            </w:tcBorders>
            <w:shd w:val="clear" w:color="auto" w:fill="F0F4F8"/>
            <w:tcMar>
              <w:top w:w="100" w:type="dxa"/>
              <w:left w:w="120" w:type="dxa"/>
              <w:bottom w:w="100" w:type="dxa"/>
              <w:right w:w="120" w:type="dxa"/>
            </w:tcMar>
          </w:tcPr>
          <w:p w14:paraId="787722F7" w14:textId="77777777" w:rsidR="00E71816" w:rsidRPr="004C0855" w:rsidRDefault="00000000">
            <w:pPr>
              <w:spacing w:before="40" w:after="40"/>
              <w:rPr>
                <w:lang w:val="en-GB"/>
              </w:rPr>
            </w:pPr>
            <w:r w:rsidRPr="004C0855">
              <w:rPr>
                <w:sz w:val="19"/>
                <w:szCs w:val="19"/>
                <w:lang w:val="en-GB"/>
              </w:rPr>
              <w:t>Treats hallucinated references as an AI-specific novelty. No data is provided on the incidence rate. The causal argument — that GenAI creates rather than scales this problem — is asserted, not demonstrated.</w:t>
            </w:r>
          </w:p>
        </w:tc>
        <w:tc>
          <w:tcPr>
            <w:tcW w:w="1" w:type="auto"/>
            <w:tcBorders>
              <w:top w:val="single" w:sz="1" w:space="0" w:color="AAAAAA"/>
              <w:left w:val="single" w:sz="1" w:space="0" w:color="AAAAAA"/>
              <w:bottom w:val="single" w:sz="1" w:space="0" w:color="AAAAAA"/>
              <w:right w:val="single" w:sz="1" w:space="0" w:color="AAAAAA"/>
            </w:tcBorders>
            <w:shd w:val="clear" w:color="auto" w:fill="F0F4F8"/>
            <w:tcMar>
              <w:top w:w="100" w:type="dxa"/>
              <w:left w:w="120" w:type="dxa"/>
              <w:bottom w:w="100" w:type="dxa"/>
              <w:right w:w="120" w:type="dxa"/>
            </w:tcMar>
          </w:tcPr>
          <w:p w14:paraId="0D85626F" w14:textId="77777777" w:rsidR="00E71816" w:rsidRPr="004C0855" w:rsidRDefault="00000000">
            <w:pPr>
              <w:spacing w:before="40" w:after="40"/>
              <w:rPr>
                <w:lang w:val="en-GB"/>
              </w:rPr>
            </w:pPr>
            <w:r w:rsidRPr="004C0855">
              <w:rPr>
                <w:sz w:val="19"/>
                <w:szCs w:val="19"/>
                <w:lang w:val="en-GB"/>
              </w:rPr>
              <w:t>Contested. Kepes et al. (2022) and Retraction Watch (2025) document extensive pre-LLM reference fabrication. The claim is factually weakened by comparative evidence. The blacklist remedy does not follow logically.</w:t>
            </w:r>
          </w:p>
        </w:tc>
      </w:tr>
      <w:tr w:rsidR="00E71816" w:rsidRPr="00A93006" w14:paraId="400C290F" w14:textId="77777777">
        <w:tc>
          <w:tcPr>
            <w:tcW w:w="1"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20" w:type="dxa"/>
              <w:bottom w:w="100" w:type="dxa"/>
              <w:right w:w="120" w:type="dxa"/>
            </w:tcMar>
          </w:tcPr>
          <w:p w14:paraId="02B971D7" w14:textId="77777777" w:rsidR="00E71816" w:rsidRPr="004C0855" w:rsidRDefault="00000000">
            <w:pPr>
              <w:spacing w:before="40" w:after="40"/>
              <w:rPr>
                <w:lang w:val="en-GB"/>
              </w:rPr>
            </w:pPr>
            <w:r w:rsidRPr="004C0855">
              <w:rPr>
                <w:sz w:val="19"/>
                <w:szCs w:val="19"/>
                <w:lang w:val="en-GB"/>
              </w:rPr>
              <w:t>Episteme should be the goal of scholarly publishing (vs. doxa)</w:t>
            </w:r>
          </w:p>
        </w:tc>
        <w:tc>
          <w:tcPr>
            <w:tcW w:w="1"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20" w:type="dxa"/>
              <w:bottom w:w="100" w:type="dxa"/>
              <w:right w:w="120" w:type="dxa"/>
            </w:tcMar>
          </w:tcPr>
          <w:p w14:paraId="1F50FF54" w14:textId="77777777" w:rsidR="00E71816" w:rsidRDefault="00000000">
            <w:pPr>
              <w:spacing w:before="40" w:after="40"/>
            </w:pPr>
            <w:r>
              <w:rPr>
                <w:b/>
                <w:bCs/>
                <w:color w:val="1B5E20"/>
                <w:sz w:val="19"/>
                <w:szCs w:val="19"/>
              </w:rPr>
              <w:t>EPISTEME</w:t>
            </w:r>
          </w:p>
        </w:tc>
        <w:tc>
          <w:tcPr>
            <w:tcW w:w="1"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20" w:type="dxa"/>
              <w:bottom w:w="100" w:type="dxa"/>
              <w:right w:w="120" w:type="dxa"/>
            </w:tcMar>
          </w:tcPr>
          <w:p w14:paraId="015FF22B" w14:textId="77777777" w:rsidR="00E71816" w:rsidRDefault="00000000">
            <w:pPr>
              <w:spacing w:before="40" w:after="40"/>
            </w:pPr>
            <w:r w:rsidRPr="004C0855">
              <w:rPr>
                <w:sz w:val="19"/>
                <w:szCs w:val="19"/>
                <w:lang w:val="en-GB"/>
              </w:rPr>
              <w:t xml:space="preserve">This foundational claim is well-grounded in the history of philosophy. Plato (Meno, Republic) and Aristotle (Posterior Analytics) both establish that genuine knowledge requires justification beyond mere belief. </w:t>
            </w:r>
            <w:proofErr w:type="spellStart"/>
            <w:r>
              <w:rPr>
                <w:sz w:val="19"/>
                <w:szCs w:val="19"/>
              </w:rPr>
              <w:t>It</w:t>
            </w:r>
            <w:proofErr w:type="spellEnd"/>
            <w:r>
              <w:rPr>
                <w:sz w:val="19"/>
                <w:szCs w:val="19"/>
              </w:rPr>
              <w:t xml:space="preserve"> </w:t>
            </w:r>
            <w:proofErr w:type="spellStart"/>
            <w:r>
              <w:rPr>
                <w:sz w:val="19"/>
                <w:szCs w:val="19"/>
              </w:rPr>
              <w:t>is</w:t>
            </w:r>
            <w:proofErr w:type="spellEnd"/>
            <w:r>
              <w:rPr>
                <w:sz w:val="19"/>
                <w:szCs w:val="19"/>
              </w:rPr>
              <w:t xml:space="preserve"> </w:t>
            </w:r>
            <w:proofErr w:type="spellStart"/>
            <w:r>
              <w:rPr>
                <w:sz w:val="19"/>
                <w:szCs w:val="19"/>
              </w:rPr>
              <w:t>logically</w:t>
            </w:r>
            <w:proofErr w:type="spellEnd"/>
            <w:r>
              <w:rPr>
                <w:sz w:val="19"/>
                <w:szCs w:val="19"/>
              </w:rPr>
              <w:t xml:space="preserve"> </w:t>
            </w:r>
            <w:proofErr w:type="spellStart"/>
            <w:r>
              <w:rPr>
                <w:sz w:val="19"/>
                <w:szCs w:val="19"/>
              </w:rPr>
              <w:t>coherent</w:t>
            </w:r>
            <w:proofErr w:type="spellEnd"/>
            <w:r>
              <w:rPr>
                <w:sz w:val="19"/>
                <w:szCs w:val="19"/>
              </w:rPr>
              <w:t xml:space="preserve"> and </w:t>
            </w:r>
            <w:proofErr w:type="spellStart"/>
            <w:r>
              <w:rPr>
                <w:sz w:val="19"/>
                <w:szCs w:val="19"/>
              </w:rPr>
              <w:t>widely</w:t>
            </w:r>
            <w:proofErr w:type="spellEnd"/>
            <w:r>
              <w:rPr>
                <w:sz w:val="19"/>
                <w:szCs w:val="19"/>
              </w:rPr>
              <w:t xml:space="preserve"> </w:t>
            </w:r>
            <w:proofErr w:type="spellStart"/>
            <w:r>
              <w:rPr>
                <w:sz w:val="19"/>
                <w:szCs w:val="19"/>
              </w:rPr>
              <w:t>held</w:t>
            </w:r>
            <w:proofErr w:type="spellEnd"/>
            <w:r>
              <w:rPr>
                <w:sz w:val="19"/>
                <w:szCs w:val="19"/>
              </w:rPr>
              <w:t xml:space="preserve"> </w:t>
            </w:r>
            <w:proofErr w:type="spellStart"/>
            <w:r>
              <w:rPr>
                <w:sz w:val="19"/>
                <w:szCs w:val="19"/>
              </w:rPr>
              <w:t>among</w:t>
            </w:r>
            <w:proofErr w:type="spellEnd"/>
            <w:r>
              <w:rPr>
                <w:sz w:val="19"/>
                <w:szCs w:val="19"/>
              </w:rPr>
              <w:t xml:space="preserve"> </w:t>
            </w:r>
            <w:proofErr w:type="spellStart"/>
            <w:r>
              <w:rPr>
                <w:sz w:val="19"/>
                <w:szCs w:val="19"/>
              </w:rPr>
              <w:t>epistemologists</w:t>
            </w:r>
            <w:proofErr w:type="spellEnd"/>
            <w:r>
              <w:rPr>
                <w:sz w:val="19"/>
                <w:szCs w:val="19"/>
              </w:rPr>
              <w:t>.</w:t>
            </w:r>
          </w:p>
        </w:tc>
        <w:tc>
          <w:tcPr>
            <w:tcW w:w="1"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20" w:type="dxa"/>
              <w:bottom w:w="100" w:type="dxa"/>
              <w:right w:w="120" w:type="dxa"/>
            </w:tcMar>
          </w:tcPr>
          <w:p w14:paraId="58DA0C06" w14:textId="77777777" w:rsidR="00E71816" w:rsidRPr="004C0855" w:rsidRDefault="00000000">
            <w:pPr>
              <w:spacing w:before="40" w:after="40"/>
              <w:rPr>
                <w:lang w:val="en-GB"/>
              </w:rPr>
            </w:pPr>
            <w:r w:rsidRPr="004C0855">
              <w:rPr>
                <w:sz w:val="19"/>
                <w:szCs w:val="19"/>
                <w:lang w:val="en-GB"/>
              </w:rPr>
              <w:t xml:space="preserve">Well-supported. However, Jandrić does not consistently apply his own criterion: </w:t>
            </w:r>
            <w:proofErr w:type="gramStart"/>
            <w:r w:rsidRPr="004C0855">
              <w:rPr>
                <w:sz w:val="19"/>
                <w:szCs w:val="19"/>
                <w:lang w:val="en-GB"/>
              </w:rPr>
              <w:t>several of</w:t>
            </w:r>
            <w:proofErr w:type="gramEnd"/>
            <w:r w:rsidRPr="004C0855">
              <w:rPr>
                <w:sz w:val="19"/>
                <w:szCs w:val="19"/>
                <w:lang w:val="en-GB"/>
              </w:rPr>
              <w:t xml:space="preserve"> his arguments are, by this standard, doxa.</w:t>
            </w:r>
          </w:p>
        </w:tc>
      </w:tr>
      <w:tr w:rsidR="00E71816" w:rsidRPr="00A93006" w14:paraId="092DC2D0" w14:textId="77777777">
        <w:tc>
          <w:tcPr>
            <w:tcW w:w="1" w:type="auto"/>
            <w:tcBorders>
              <w:top w:val="single" w:sz="1" w:space="0" w:color="AAAAAA"/>
              <w:left w:val="single" w:sz="1" w:space="0" w:color="AAAAAA"/>
              <w:bottom w:val="single" w:sz="1" w:space="0" w:color="AAAAAA"/>
              <w:right w:val="single" w:sz="1" w:space="0" w:color="AAAAAA"/>
            </w:tcBorders>
            <w:shd w:val="clear" w:color="auto" w:fill="F0F4F8"/>
            <w:tcMar>
              <w:top w:w="100" w:type="dxa"/>
              <w:left w:w="120" w:type="dxa"/>
              <w:bottom w:w="100" w:type="dxa"/>
              <w:right w:w="120" w:type="dxa"/>
            </w:tcMar>
          </w:tcPr>
          <w:p w14:paraId="2D8FF273" w14:textId="77777777" w:rsidR="00E71816" w:rsidRPr="004C0855" w:rsidRDefault="00000000">
            <w:pPr>
              <w:spacing w:before="40" w:after="40"/>
              <w:rPr>
                <w:lang w:val="en-GB"/>
              </w:rPr>
            </w:pPr>
            <w:r w:rsidRPr="004C0855">
              <w:rPr>
                <w:sz w:val="19"/>
                <w:szCs w:val="19"/>
                <w:lang w:val="en-GB"/>
              </w:rPr>
              <w:t xml:space="preserve">Transparent human-GenAI collaboration (e.g., </w:t>
            </w:r>
            <w:proofErr w:type="spellStart"/>
            <w:r w:rsidRPr="004C0855">
              <w:rPr>
                <w:sz w:val="19"/>
                <w:szCs w:val="19"/>
                <w:lang w:val="en-GB"/>
              </w:rPr>
              <w:t>Palalas</w:t>
            </w:r>
            <w:proofErr w:type="spellEnd"/>
            <w:r w:rsidRPr="004C0855">
              <w:rPr>
                <w:sz w:val="19"/>
                <w:szCs w:val="19"/>
                <w:lang w:val="en-GB"/>
              </w:rPr>
              <w:t xml:space="preserve"> et al.; </w:t>
            </w:r>
            <w:proofErr w:type="spellStart"/>
            <w:r w:rsidRPr="004C0855">
              <w:rPr>
                <w:sz w:val="19"/>
                <w:szCs w:val="19"/>
                <w:lang w:val="en-GB"/>
              </w:rPr>
              <w:t>Escaño</w:t>
            </w:r>
            <w:proofErr w:type="spellEnd"/>
            <w:r w:rsidRPr="004C0855">
              <w:rPr>
                <w:sz w:val="19"/>
                <w:szCs w:val="19"/>
                <w:lang w:val="en-GB"/>
              </w:rPr>
              <w:t xml:space="preserve">; </w:t>
            </w:r>
            <w:proofErr w:type="spellStart"/>
            <w:r w:rsidRPr="004C0855">
              <w:rPr>
                <w:sz w:val="19"/>
                <w:szCs w:val="19"/>
                <w:lang w:val="en-GB"/>
              </w:rPr>
              <w:t>Veletsianos</w:t>
            </w:r>
            <w:proofErr w:type="spellEnd"/>
            <w:r w:rsidRPr="004C0855">
              <w:rPr>
                <w:sz w:val="19"/>
                <w:szCs w:val="19"/>
                <w:lang w:val="en-GB"/>
              </w:rPr>
              <w:t xml:space="preserve"> et al.) is acceptable scholarly practice</w:t>
            </w:r>
          </w:p>
        </w:tc>
        <w:tc>
          <w:tcPr>
            <w:tcW w:w="1" w:type="auto"/>
            <w:tcBorders>
              <w:top w:val="single" w:sz="1" w:space="0" w:color="AAAAAA"/>
              <w:left w:val="single" w:sz="1" w:space="0" w:color="AAAAAA"/>
              <w:bottom w:val="single" w:sz="1" w:space="0" w:color="AAAAAA"/>
              <w:right w:val="single" w:sz="1" w:space="0" w:color="AAAAAA"/>
            </w:tcBorders>
            <w:shd w:val="clear" w:color="auto" w:fill="F0F4F8"/>
            <w:tcMar>
              <w:top w:w="100" w:type="dxa"/>
              <w:left w:w="120" w:type="dxa"/>
              <w:bottom w:w="100" w:type="dxa"/>
              <w:right w:w="120" w:type="dxa"/>
            </w:tcMar>
          </w:tcPr>
          <w:p w14:paraId="065502FE" w14:textId="77777777" w:rsidR="00E71816" w:rsidRDefault="00000000">
            <w:pPr>
              <w:spacing w:before="40" w:after="40"/>
            </w:pPr>
            <w:r>
              <w:rPr>
                <w:b/>
                <w:bCs/>
                <w:color w:val="1B5E20"/>
                <w:sz w:val="19"/>
                <w:szCs w:val="19"/>
              </w:rPr>
              <w:t>EPISTEME</w:t>
            </w:r>
          </w:p>
        </w:tc>
        <w:tc>
          <w:tcPr>
            <w:tcW w:w="1" w:type="auto"/>
            <w:tcBorders>
              <w:top w:val="single" w:sz="1" w:space="0" w:color="AAAAAA"/>
              <w:left w:val="single" w:sz="1" w:space="0" w:color="AAAAAA"/>
              <w:bottom w:val="single" w:sz="1" w:space="0" w:color="AAAAAA"/>
              <w:right w:val="single" w:sz="1" w:space="0" w:color="AAAAAA"/>
            </w:tcBorders>
            <w:shd w:val="clear" w:color="auto" w:fill="F0F4F8"/>
            <w:tcMar>
              <w:top w:w="100" w:type="dxa"/>
              <w:left w:w="120" w:type="dxa"/>
              <w:bottom w:w="100" w:type="dxa"/>
              <w:right w:w="120" w:type="dxa"/>
            </w:tcMar>
          </w:tcPr>
          <w:p w14:paraId="06607C41" w14:textId="77777777" w:rsidR="00E71816" w:rsidRPr="004C0855" w:rsidRDefault="00000000">
            <w:pPr>
              <w:spacing w:before="40" w:after="40"/>
              <w:rPr>
                <w:lang w:val="en-GB"/>
              </w:rPr>
            </w:pPr>
            <w:r w:rsidRPr="004C0855">
              <w:rPr>
                <w:sz w:val="19"/>
                <w:szCs w:val="19"/>
                <w:lang w:val="en-GB"/>
              </w:rPr>
              <w:t>Supported by concrete cited examples with named papers and verifiable disclosure practices. Logically consistent with Jandrić's own epistemic values. Empirically grounded in observed, published cases.</w:t>
            </w:r>
          </w:p>
        </w:tc>
        <w:tc>
          <w:tcPr>
            <w:tcW w:w="1" w:type="auto"/>
            <w:tcBorders>
              <w:top w:val="single" w:sz="1" w:space="0" w:color="AAAAAA"/>
              <w:left w:val="single" w:sz="1" w:space="0" w:color="AAAAAA"/>
              <w:bottom w:val="single" w:sz="1" w:space="0" w:color="AAAAAA"/>
              <w:right w:val="single" w:sz="1" w:space="0" w:color="AAAAAA"/>
            </w:tcBorders>
            <w:shd w:val="clear" w:color="auto" w:fill="F0F4F8"/>
            <w:tcMar>
              <w:top w:w="100" w:type="dxa"/>
              <w:left w:w="120" w:type="dxa"/>
              <w:bottom w:w="100" w:type="dxa"/>
              <w:right w:w="120" w:type="dxa"/>
            </w:tcMar>
          </w:tcPr>
          <w:p w14:paraId="3E8B8302" w14:textId="77777777" w:rsidR="00E71816" w:rsidRPr="004C0855" w:rsidRDefault="00000000">
            <w:pPr>
              <w:spacing w:before="40" w:after="40"/>
              <w:rPr>
                <w:lang w:val="en-GB"/>
              </w:rPr>
            </w:pPr>
            <w:r w:rsidRPr="004C0855">
              <w:rPr>
                <w:sz w:val="19"/>
                <w:szCs w:val="19"/>
                <w:lang w:val="en-GB"/>
              </w:rPr>
              <w:t>Well-supported and internally consistent. This is the strongest epistemic ground in Jandrić's article. However, it sits in tension with his zero-tolerance stance: he approves transparent use but punishes undisclosed use even when undetectable.</w:t>
            </w:r>
          </w:p>
        </w:tc>
      </w:tr>
      <w:tr w:rsidR="00E71816" w:rsidRPr="00A93006" w14:paraId="696F3BB1" w14:textId="77777777">
        <w:tc>
          <w:tcPr>
            <w:tcW w:w="1"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20" w:type="dxa"/>
              <w:bottom w:w="100" w:type="dxa"/>
              <w:right w:w="120" w:type="dxa"/>
            </w:tcMar>
          </w:tcPr>
          <w:p w14:paraId="3B976C4C" w14:textId="77777777" w:rsidR="00E71816" w:rsidRPr="004C0855" w:rsidRDefault="00000000">
            <w:pPr>
              <w:spacing w:before="40" w:after="40"/>
              <w:rPr>
                <w:lang w:val="en-GB"/>
              </w:rPr>
            </w:pPr>
            <w:r w:rsidRPr="004C0855">
              <w:rPr>
                <w:sz w:val="19"/>
                <w:szCs w:val="19"/>
                <w:lang w:val="en-GB"/>
              </w:rPr>
              <w:t>A blacklist of authors who misuse GenAI is an appropriate editorial remedy</w:t>
            </w:r>
          </w:p>
        </w:tc>
        <w:tc>
          <w:tcPr>
            <w:tcW w:w="1"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20" w:type="dxa"/>
              <w:bottom w:w="100" w:type="dxa"/>
              <w:right w:w="120" w:type="dxa"/>
            </w:tcMar>
          </w:tcPr>
          <w:p w14:paraId="3B226512" w14:textId="77777777" w:rsidR="00E71816" w:rsidRDefault="00000000">
            <w:pPr>
              <w:spacing w:before="40" w:after="40"/>
            </w:pPr>
            <w:r>
              <w:rPr>
                <w:b/>
                <w:bCs/>
                <w:color w:val="8B0000"/>
                <w:sz w:val="19"/>
                <w:szCs w:val="19"/>
              </w:rPr>
              <w:t>DOXA</w:t>
            </w:r>
          </w:p>
        </w:tc>
        <w:tc>
          <w:tcPr>
            <w:tcW w:w="1"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20" w:type="dxa"/>
              <w:bottom w:w="100" w:type="dxa"/>
              <w:right w:w="120" w:type="dxa"/>
            </w:tcMar>
          </w:tcPr>
          <w:p w14:paraId="318C25A1" w14:textId="77777777" w:rsidR="00E71816" w:rsidRDefault="00000000">
            <w:pPr>
              <w:spacing w:before="40" w:after="40"/>
            </w:pPr>
            <w:r w:rsidRPr="004C0855">
              <w:rPr>
                <w:sz w:val="19"/>
                <w:szCs w:val="19"/>
                <w:lang w:val="en-GB"/>
              </w:rPr>
              <w:t xml:space="preserve">No evidence is cited that blacklists deter academic dishonesty. No procedural safeguards are described. The remedy does not follow from the diagnosis (if detection is impossible, enforcement is arbitrary). </w:t>
            </w:r>
            <w:r>
              <w:rPr>
                <w:sz w:val="19"/>
                <w:szCs w:val="19"/>
              </w:rPr>
              <w:t xml:space="preserve">A </w:t>
            </w:r>
            <w:proofErr w:type="spellStart"/>
            <w:r>
              <w:rPr>
                <w:sz w:val="19"/>
                <w:szCs w:val="19"/>
              </w:rPr>
              <w:t>moral</w:t>
            </w:r>
            <w:proofErr w:type="spellEnd"/>
            <w:r>
              <w:rPr>
                <w:sz w:val="19"/>
                <w:szCs w:val="19"/>
              </w:rPr>
              <w:t xml:space="preserve"> </w:t>
            </w:r>
            <w:proofErr w:type="spellStart"/>
            <w:r>
              <w:rPr>
                <w:sz w:val="19"/>
                <w:szCs w:val="19"/>
              </w:rPr>
              <w:t>intuition</w:t>
            </w:r>
            <w:proofErr w:type="spellEnd"/>
            <w:r>
              <w:rPr>
                <w:sz w:val="19"/>
                <w:szCs w:val="19"/>
              </w:rPr>
              <w:t xml:space="preserve"> </w:t>
            </w:r>
            <w:proofErr w:type="spellStart"/>
            <w:r>
              <w:rPr>
                <w:sz w:val="19"/>
                <w:szCs w:val="19"/>
              </w:rPr>
              <w:t>presented</w:t>
            </w:r>
            <w:proofErr w:type="spellEnd"/>
            <w:r>
              <w:rPr>
                <w:sz w:val="19"/>
                <w:szCs w:val="19"/>
              </w:rPr>
              <w:t xml:space="preserve"> </w:t>
            </w:r>
            <w:proofErr w:type="spellStart"/>
            <w:r>
              <w:rPr>
                <w:sz w:val="19"/>
                <w:szCs w:val="19"/>
              </w:rPr>
              <w:t>as</w:t>
            </w:r>
            <w:proofErr w:type="spellEnd"/>
            <w:r>
              <w:rPr>
                <w:sz w:val="19"/>
                <w:szCs w:val="19"/>
              </w:rPr>
              <w:t xml:space="preserve"> </w:t>
            </w:r>
            <w:proofErr w:type="spellStart"/>
            <w:r>
              <w:rPr>
                <w:sz w:val="19"/>
                <w:szCs w:val="19"/>
              </w:rPr>
              <w:t>policy</w:t>
            </w:r>
            <w:proofErr w:type="spellEnd"/>
            <w:r>
              <w:rPr>
                <w:sz w:val="19"/>
                <w:szCs w:val="19"/>
              </w:rPr>
              <w:t>.</w:t>
            </w:r>
          </w:p>
        </w:tc>
        <w:tc>
          <w:tcPr>
            <w:tcW w:w="1"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20" w:type="dxa"/>
              <w:bottom w:w="100" w:type="dxa"/>
              <w:right w:w="120" w:type="dxa"/>
            </w:tcMar>
          </w:tcPr>
          <w:p w14:paraId="688C4CE7" w14:textId="77777777" w:rsidR="00E71816" w:rsidRPr="004C0855" w:rsidRDefault="00000000">
            <w:pPr>
              <w:spacing w:before="40" w:after="40"/>
              <w:rPr>
                <w:lang w:val="en-GB"/>
              </w:rPr>
            </w:pPr>
            <w:r w:rsidRPr="004C0855">
              <w:rPr>
                <w:sz w:val="19"/>
                <w:szCs w:val="19"/>
                <w:lang w:val="en-GB"/>
              </w:rPr>
              <w:t>Weak. The blacklist mechanism contradicts blind review principles and lacks due process. Themelis &amp; McGreal's characterisation of it as analogous to a 'star chamber' is epistemically apt.</w:t>
            </w:r>
          </w:p>
        </w:tc>
      </w:tr>
    </w:tbl>
    <w:p w14:paraId="6E1F1A21" w14:textId="42277CC1" w:rsidR="00050F9D" w:rsidRDefault="00050F9D">
      <w:pPr>
        <w:pStyle w:val="Heading1"/>
        <w:spacing w:after="100"/>
        <w:rPr>
          <w:lang w:val="en-GB"/>
        </w:rPr>
      </w:pPr>
      <w:r>
        <w:rPr>
          <w:lang w:val="en-GB"/>
        </w:rPr>
        <w:lastRenderedPageBreak/>
        <w:t>Appendix 2</w:t>
      </w:r>
    </w:p>
    <w:p w14:paraId="6B51E637" w14:textId="0B20385E" w:rsidR="00E71816" w:rsidRPr="004C0855" w:rsidRDefault="00000000">
      <w:pPr>
        <w:pStyle w:val="Heading1"/>
        <w:spacing w:after="100"/>
        <w:rPr>
          <w:lang w:val="en-GB"/>
        </w:rPr>
      </w:pPr>
      <w:r w:rsidRPr="004C0855">
        <w:rPr>
          <w:lang w:val="en-GB"/>
        </w:rPr>
        <w:t>Part 3 — Classifying the Arguments in Themelis &amp; McGreal (2026)</w:t>
      </w:r>
    </w:p>
    <w:p w14:paraId="3FF9C1EB" w14:textId="77777777" w:rsidR="00E71816" w:rsidRPr="004C0855" w:rsidRDefault="00000000">
      <w:pPr>
        <w:spacing w:before="60" w:after="140"/>
        <w:rPr>
          <w:lang w:val="en-GB"/>
        </w:rPr>
      </w:pPr>
      <w:r w:rsidRPr="004C0855">
        <w:rPr>
          <w:i/>
          <w:iCs/>
          <w:color w:val="555555"/>
          <w:lang w:val="en-GB"/>
        </w:rPr>
        <w:t>The response paper is itself subject to the same epistemic audit. This is consistent with the spirit of the original prompt: the doxa/episteme distinction does not belong to one side of a debate.</w:t>
      </w:r>
    </w:p>
    <w:tbl>
      <w:tblPr>
        <w:tblW w:w="9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74"/>
        <w:gridCol w:w="1583"/>
        <w:gridCol w:w="3035"/>
        <w:gridCol w:w="2694"/>
      </w:tblGrid>
      <w:tr w:rsidR="00E71816" w14:paraId="6B9734DA" w14:textId="77777777">
        <w:trPr>
          <w:tblHeader/>
        </w:trPr>
        <w:tc>
          <w:tcPr>
            <w:tcW w:w="1" w:type="auto"/>
            <w:tcBorders>
              <w:top w:val="single" w:sz="1" w:space="0" w:color="AAAAAA"/>
              <w:left w:val="single" w:sz="1" w:space="0" w:color="AAAAAA"/>
              <w:bottom w:val="single" w:sz="1" w:space="0" w:color="AAAAAA"/>
              <w:right w:val="single" w:sz="1" w:space="0" w:color="AAAAAA"/>
            </w:tcBorders>
            <w:shd w:val="clear" w:color="auto" w:fill="2E4057"/>
            <w:tcMar>
              <w:top w:w="100" w:type="dxa"/>
              <w:left w:w="120" w:type="dxa"/>
              <w:bottom w:w="100" w:type="dxa"/>
              <w:right w:w="120" w:type="dxa"/>
            </w:tcMar>
          </w:tcPr>
          <w:p w14:paraId="6B912A9C" w14:textId="77777777" w:rsidR="00E71816" w:rsidRDefault="00000000">
            <w:pPr>
              <w:spacing w:before="40" w:after="40"/>
            </w:pPr>
            <w:proofErr w:type="spellStart"/>
            <w:r>
              <w:rPr>
                <w:b/>
                <w:bCs/>
                <w:sz w:val="20"/>
                <w:szCs w:val="20"/>
              </w:rPr>
              <w:t>Argument</w:t>
            </w:r>
            <w:proofErr w:type="spellEnd"/>
            <w:r>
              <w:rPr>
                <w:b/>
                <w:bCs/>
                <w:sz w:val="20"/>
                <w:szCs w:val="20"/>
              </w:rPr>
              <w:t xml:space="preserve"> (Themelis &amp; </w:t>
            </w:r>
            <w:proofErr w:type="spellStart"/>
            <w:r>
              <w:rPr>
                <w:b/>
                <w:bCs/>
                <w:sz w:val="20"/>
                <w:szCs w:val="20"/>
              </w:rPr>
              <w:t>McGreal</w:t>
            </w:r>
            <w:proofErr w:type="spellEnd"/>
            <w:r>
              <w:rPr>
                <w:b/>
                <w:bCs/>
                <w:sz w:val="20"/>
                <w:szCs w:val="20"/>
              </w:rPr>
              <w:t>, 2026)</w:t>
            </w:r>
          </w:p>
        </w:tc>
        <w:tc>
          <w:tcPr>
            <w:tcW w:w="1" w:type="auto"/>
            <w:tcBorders>
              <w:top w:val="single" w:sz="1" w:space="0" w:color="AAAAAA"/>
              <w:left w:val="single" w:sz="1" w:space="0" w:color="AAAAAA"/>
              <w:bottom w:val="single" w:sz="1" w:space="0" w:color="AAAAAA"/>
              <w:right w:val="single" w:sz="1" w:space="0" w:color="AAAAAA"/>
            </w:tcBorders>
            <w:shd w:val="clear" w:color="auto" w:fill="2E4057"/>
            <w:tcMar>
              <w:top w:w="100" w:type="dxa"/>
              <w:left w:w="120" w:type="dxa"/>
              <w:bottom w:w="100" w:type="dxa"/>
              <w:right w:w="120" w:type="dxa"/>
            </w:tcMar>
          </w:tcPr>
          <w:p w14:paraId="3B1CA57F" w14:textId="77777777" w:rsidR="00E71816" w:rsidRDefault="00000000">
            <w:pPr>
              <w:spacing w:before="40" w:after="40"/>
            </w:pPr>
            <w:proofErr w:type="spellStart"/>
            <w:r>
              <w:rPr>
                <w:b/>
                <w:bCs/>
                <w:sz w:val="20"/>
                <w:szCs w:val="20"/>
              </w:rPr>
              <w:t>Classification</w:t>
            </w:r>
            <w:proofErr w:type="spellEnd"/>
          </w:p>
        </w:tc>
        <w:tc>
          <w:tcPr>
            <w:tcW w:w="1" w:type="auto"/>
            <w:tcBorders>
              <w:top w:val="single" w:sz="1" w:space="0" w:color="AAAAAA"/>
              <w:left w:val="single" w:sz="1" w:space="0" w:color="AAAAAA"/>
              <w:bottom w:val="single" w:sz="1" w:space="0" w:color="AAAAAA"/>
              <w:right w:val="single" w:sz="1" w:space="0" w:color="AAAAAA"/>
            </w:tcBorders>
            <w:shd w:val="clear" w:color="auto" w:fill="2E4057"/>
            <w:tcMar>
              <w:top w:w="100" w:type="dxa"/>
              <w:left w:w="120" w:type="dxa"/>
              <w:bottom w:w="100" w:type="dxa"/>
              <w:right w:w="120" w:type="dxa"/>
            </w:tcMar>
          </w:tcPr>
          <w:p w14:paraId="5505D8AB" w14:textId="77777777" w:rsidR="00E71816" w:rsidRDefault="00000000">
            <w:pPr>
              <w:spacing w:before="40" w:after="40"/>
            </w:pPr>
            <w:proofErr w:type="spellStart"/>
            <w:r>
              <w:rPr>
                <w:b/>
                <w:bCs/>
                <w:sz w:val="20"/>
                <w:szCs w:val="20"/>
              </w:rPr>
              <w:t>Justification</w:t>
            </w:r>
            <w:proofErr w:type="spellEnd"/>
          </w:p>
        </w:tc>
        <w:tc>
          <w:tcPr>
            <w:tcW w:w="1" w:type="auto"/>
            <w:tcBorders>
              <w:top w:val="single" w:sz="1" w:space="0" w:color="AAAAAA"/>
              <w:left w:val="single" w:sz="1" w:space="0" w:color="AAAAAA"/>
              <w:bottom w:val="single" w:sz="1" w:space="0" w:color="AAAAAA"/>
              <w:right w:val="single" w:sz="1" w:space="0" w:color="AAAAAA"/>
            </w:tcBorders>
            <w:shd w:val="clear" w:color="auto" w:fill="2E4057"/>
            <w:tcMar>
              <w:top w:w="100" w:type="dxa"/>
              <w:left w:w="120" w:type="dxa"/>
              <w:bottom w:w="100" w:type="dxa"/>
              <w:right w:w="120" w:type="dxa"/>
            </w:tcMar>
          </w:tcPr>
          <w:p w14:paraId="5C5608A9" w14:textId="77777777" w:rsidR="00E71816" w:rsidRDefault="00000000">
            <w:pPr>
              <w:spacing w:before="40" w:after="40"/>
            </w:pPr>
            <w:proofErr w:type="spellStart"/>
            <w:r>
              <w:rPr>
                <w:b/>
                <w:bCs/>
                <w:sz w:val="20"/>
                <w:szCs w:val="20"/>
              </w:rPr>
              <w:t>Accuracy</w:t>
            </w:r>
            <w:proofErr w:type="spellEnd"/>
            <w:r>
              <w:rPr>
                <w:b/>
                <w:bCs/>
                <w:sz w:val="20"/>
                <w:szCs w:val="20"/>
              </w:rPr>
              <w:t xml:space="preserve"> </w:t>
            </w:r>
            <w:proofErr w:type="spellStart"/>
            <w:r>
              <w:rPr>
                <w:b/>
                <w:bCs/>
                <w:sz w:val="20"/>
                <w:szCs w:val="20"/>
              </w:rPr>
              <w:t>Assessment</w:t>
            </w:r>
            <w:proofErr w:type="spellEnd"/>
          </w:p>
        </w:tc>
      </w:tr>
      <w:tr w:rsidR="00E71816" w:rsidRPr="00A93006" w14:paraId="6F2CF811" w14:textId="77777777">
        <w:tc>
          <w:tcPr>
            <w:tcW w:w="1" w:type="auto"/>
            <w:tcBorders>
              <w:top w:val="single" w:sz="1" w:space="0" w:color="AAAAAA"/>
              <w:left w:val="single" w:sz="1" w:space="0" w:color="AAAAAA"/>
              <w:bottom w:val="single" w:sz="1" w:space="0" w:color="AAAAAA"/>
              <w:right w:val="single" w:sz="1" w:space="0" w:color="AAAAAA"/>
            </w:tcBorders>
            <w:shd w:val="clear" w:color="auto" w:fill="F0F4F8"/>
            <w:tcMar>
              <w:top w:w="100" w:type="dxa"/>
              <w:left w:w="120" w:type="dxa"/>
              <w:bottom w:w="100" w:type="dxa"/>
              <w:right w:w="120" w:type="dxa"/>
            </w:tcMar>
          </w:tcPr>
          <w:p w14:paraId="22D379E5" w14:textId="77777777" w:rsidR="00E71816" w:rsidRPr="004C0855" w:rsidRDefault="00000000">
            <w:pPr>
              <w:spacing w:before="40" w:after="40"/>
              <w:rPr>
                <w:lang w:val="en-GB"/>
              </w:rPr>
            </w:pPr>
            <w:r w:rsidRPr="004C0855">
              <w:rPr>
                <w:sz w:val="19"/>
                <w:szCs w:val="19"/>
                <w:lang w:val="en-GB"/>
              </w:rPr>
              <w:t xml:space="preserve">AI detection tools are neither accurate nor </w:t>
            </w:r>
            <w:proofErr w:type="gramStart"/>
            <w:r w:rsidRPr="004C0855">
              <w:rPr>
                <w:sz w:val="19"/>
                <w:szCs w:val="19"/>
                <w:lang w:val="en-GB"/>
              </w:rPr>
              <w:t>reliable</w:t>
            </w:r>
            <w:proofErr w:type="gramEnd"/>
          </w:p>
        </w:tc>
        <w:tc>
          <w:tcPr>
            <w:tcW w:w="1" w:type="auto"/>
            <w:tcBorders>
              <w:top w:val="single" w:sz="1" w:space="0" w:color="AAAAAA"/>
              <w:left w:val="single" w:sz="1" w:space="0" w:color="AAAAAA"/>
              <w:bottom w:val="single" w:sz="1" w:space="0" w:color="AAAAAA"/>
              <w:right w:val="single" w:sz="1" w:space="0" w:color="AAAAAA"/>
            </w:tcBorders>
            <w:shd w:val="clear" w:color="auto" w:fill="F0F4F8"/>
            <w:tcMar>
              <w:top w:w="100" w:type="dxa"/>
              <w:left w:w="120" w:type="dxa"/>
              <w:bottom w:w="100" w:type="dxa"/>
              <w:right w:w="120" w:type="dxa"/>
            </w:tcMar>
          </w:tcPr>
          <w:p w14:paraId="25F812D8" w14:textId="77777777" w:rsidR="00E71816" w:rsidRDefault="00000000">
            <w:pPr>
              <w:spacing w:before="40" w:after="40"/>
            </w:pPr>
            <w:r>
              <w:rPr>
                <w:b/>
                <w:bCs/>
                <w:color w:val="1B5E20"/>
                <w:sz w:val="19"/>
                <w:szCs w:val="19"/>
              </w:rPr>
              <w:t>EPISTEME</w:t>
            </w:r>
          </w:p>
        </w:tc>
        <w:tc>
          <w:tcPr>
            <w:tcW w:w="1" w:type="auto"/>
            <w:tcBorders>
              <w:top w:val="single" w:sz="1" w:space="0" w:color="AAAAAA"/>
              <w:left w:val="single" w:sz="1" w:space="0" w:color="AAAAAA"/>
              <w:bottom w:val="single" w:sz="1" w:space="0" w:color="AAAAAA"/>
              <w:right w:val="single" w:sz="1" w:space="0" w:color="AAAAAA"/>
            </w:tcBorders>
            <w:shd w:val="clear" w:color="auto" w:fill="F0F4F8"/>
            <w:tcMar>
              <w:top w:w="100" w:type="dxa"/>
              <w:left w:w="120" w:type="dxa"/>
              <w:bottom w:w="100" w:type="dxa"/>
              <w:right w:w="120" w:type="dxa"/>
            </w:tcMar>
          </w:tcPr>
          <w:p w14:paraId="38F7BB57" w14:textId="77777777" w:rsidR="00E71816" w:rsidRDefault="00000000">
            <w:pPr>
              <w:spacing w:before="40" w:after="40"/>
            </w:pPr>
            <w:r w:rsidRPr="004C0855">
              <w:rPr>
                <w:sz w:val="19"/>
                <w:szCs w:val="19"/>
                <w:lang w:val="en-GB"/>
              </w:rPr>
              <w:t xml:space="preserve">Three independent empirical studies are cited: Weber-Wulff et al. </w:t>
            </w:r>
            <w:r w:rsidRPr="00050F9D">
              <w:rPr>
                <w:sz w:val="19"/>
                <w:szCs w:val="19"/>
                <w:lang w:val="en-GB"/>
              </w:rPr>
              <w:t xml:space="preserve">(2023) </w:t>
            </w:r>
            <w:proofErr w:type="gramStart"/>
            <w:r w:rsidRPr="00050F9D">
              <w:rPr>
                <w:sz w:val="19"/>
                <w:szCs w:val="19"/>
                <w:lang w:val="en-GB"/>
              </w:rPr>
              <w:t>tested</w:t>
            </w:r>
            <w:proofErr w:type="gramEnd"/>
            <w:r w:rsidRPr="00050F9D">
              <w:rPr>
                <w:sz w:val="19"/>
                <w:szCs w:val="19"/>
                <w:lang w:val="en-GB"/>
              </w:rPr>
              <w:t xml:space="preserve"> 14 tools; Liang et al. (2023) demonstrated systematic bias against non-native writers; Sadasivan et al. </w:t>
            </w:r>
            <w:r>
              <w:rPr>
                <w:sz w:val="19"/>
                <w:szCs w:val="19"/>
              </w:rPr>
              <w:t xml:space="preserve">(2024) </w:t>
            </w:r>
            <w:proofErr w:type="spellStart"/>
            <w:r>
              <w:rPr>
                <w:sz w:val="19"/>
                <w:szCs w:val="19"/>
              </w:rPr>
              <w:t>showed</w:t>
            </w:r>
            <w:proofErr w:type="spellEnd"/>
            <w:r>
              <w:rPr>
                <w:sz w:val="19"/>
                <w:szCs w:val="19"/>
              </w:rPr>
              <w:t xml:space="preserve"> </w:t>
            </w:r>
            <w:proofErr w:type="spellStart"/>
            <w:r>
              <w:rPr>
                <w:sz w:val="19"/>
                <w:szCs w:val="19"/>
              </w:rPr>
              <w:t>trivial</w:t>
            </w:r>
            <w:proofErr w:type="spellEnd"/>
            <w:r>
              <w:rPr>
                <w:sz w:val="19"/>
                <w:szCs w:val="19"/>
              </w:rPr>
              <w:t xml:space="preserve"> </w:t>
            </w:r>
            <w:proofErr w:type="spellStart"/>
            <w:r>
              <w:rPr>
                <w:sz w:val="19"/>
                <w:szCs w:val="19"/>
              </w:rPr>
              <w:t>editability</w:t>
            </w:r>
            <w:proofErr w:type="spellEnd"/>
            <w:r>
              <w:rPr>
                <w:sz w:val="19"/>
                <w:szCs w:val="19"/>
              </w:rPr>
              <w:t xml:space="preserve">. </w:t>
            </w:r>
            <w:proofErr w:type="spellStart"/>
            <w:r>
              <w:rPr>
                <w:sz w:val="19"/>
                <w:szCs w:val="19"/>
              </w:rPr>
              <w:t>Falsifiable</w:t>
            </w:r>
            <w:proofErr w:type="spellEnd"/>
            <w:r>
              <w:rPr>
                <w:sz w:val="19"/>
                <w:szCs w:val="19"/>
              </w:rPr>
              <w:t xml:space="preserve"> and </w:t>
            </w:r>
            <w:proofErr w:type="spellStart"/>
            <w:r>
              <w:rPr>
                <w:sz w:val="19"/>
                <w:szCs w:val="19"/>
              </w:rPr>
              <w:t>verifiable</w:t>
            </w:r>
            <w:proofErr w:type="spellEnd"/>
            <w:r>
              <w:rPr>
                <w:sz w:val="19"/>
                <w:szCs w:val="19"/>
              </w:rPr>
              <w:t>.</w:t>
            </w:r>
          </w:p>
        </w:tc>
        <w:tc>
          <w:tcPr>
            <w:tcW w:w="1" w:type="auto"/>
            <w:tcBorders>
              <w:top w:val="single" w:sz="1" w:space="0" w:color="AAAAAA"/>
              <w:left w:val="single" w:sz="1" w:space="0" w:color="AAAAAA"/>
              <w:bottom w:val="single" w:sz="1" w:space="0" w:color="AAAAAA"/>
              <w:right w:val="single" w:sz="1" w:space="0" w:color="AAAAAA"/>
            </w:tcBorders>
            <w:shd w:val="clear" w:color="auto" w:fill="F0F4F8"/>
            <w:tcMar>
              <w:top w:w="100" w:type="dxa"/>
              <w:left w:w="120" w:type="dxa"/>
              <w:bottom w:w="100" w:type="dxa"/>
              <w:right w:w="120" w:type="dxa"/>
            </w:tcMar>
          </w:tcPr>
          <w:p w14:paraId="12DACE67" w14:textId="77777777" w:rsidR="00E71816" w:rsidRPr="004C0855" w:rsidRDefault="00000000">
            <w:pPr>
              <w:spacing w:before="40" w:after="40"/>
              <w:rPr>
                <w:lang w:val="en-GB"/>
              </w:rPr>
            </w:pPr>
            <w:r w:rsidRPr="004C0855">
              <w:rPr>
                <w:sz w:val="19"/>
                <w:szCs w:val="19"/>
                <w:lang w:val="en-GB"/>
              </w:rPr>
              <w:t>Well-supported. This is the strongest episteme claim in the paper. The evidence base is peer-reviewed and convergent across multiple research teams.</w:t>
            </w:r>
          </w:p>
        </w:tc>
      </w:tr>
      <w:tr w:rsidR="00E71816" w:rsidRPr="00A93006" w14:paraId="0853FD3F" w14:textId="77777777">
        <w:tc>
          <w:tcPr>
            <w:tcW w:w="1"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20" w:type="dxa"/>
              <w:bottom w:w="100" w:type="dxa"/>
              <w:right w:w="120" w:type="dxa"/>
            </w:tcMar>
          </w:tcPr>
          <w:p w14:paraId="2B359C4A" w14:textId="77777777" w:rsidR="00E71816" w:rsidRPr="004C0855" w:rsidRDefault="00000000">
            <w:pPr>
              <w:spacing w:before="40" w:after="40"/>
              <w:rPr>
                <w:lang w:val="en-GB"/>
              </w:rPr>
            </w:pPr>
            <w:r w:rsidRPr="004C0855">
              <w:rPr>
                <w:sz w:val="19"/>
                <w:szCs w:val="19"/>
                <w:lang w:val="en-GB"/>
              </w:rPr>
              <w:t>AI cannot hold copyright and cannot be an author (per Thaler v. Perlmutter, 2025; US Copyright Office, 2023; EU AI Act, 2024)</w:t>
            </w:r>
          </w:p>
        </w:tc>
        <w:tc>
          <w:tcPr>
            <w:tcW w:w="1"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20" w:type="dxa"/>
              <w:bottom w:w="100" w:type="dxa"/>
              <w:right w:w="120" w:type="dxa"/>
            </w:tcMar>
          </w:tcPr>
          <w:p w14:paraId="42B97CF4" w14:textId="77777777" w:rsidR="00E71816" w:rsidRDefault="00000000">
            <w:pPr>
              <w:spacing w:before="40" w:after="40"/>
            </w:pPr>
            <w:r>
              <w:rPr>
                <w:b/>
                <w:bCs/>
                <w:color w:val="1B5E20"/>
                <w:sz w:val="19"/>
                <w:szCs w:val="19"/>
              </w:rPr>
              <w:t>EPISTEME</w:t>
            </w:r>
          </w:p>
        </w:tc>
        <w:tc>
          <w:tcPr>
            <w:tcW w:w="1"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20" w:type="dxa"/>
              <w:bottom w:w="100" w:type="dxa"/>
              <w:right w:w="120" w:type="dxa"/>
            </w:tcMar>
          </w:tcPr>
          <w:p w14:paraId="60FB6DB6" w14:textId="77777777" w:rsidR="00E71816" w:rsidRPr="004C0855" w:rsidRDefault="00000000">
            <w:pPr>
              <w:spacing w:before="40" w:after="40"/>
              <w:rPr>
                <w:lang w:val="en-GB"/>
              </w:rPr>
            </w:pPr>
            <w:r w:rsidRPr="004C0855">
              <w:rPr>
                <w:sz w:val="19"/>
                <w:szCs w:val="19"/>
                <w:lang w:val="en-GB"/>
              </w:rPr>
              <w:t xml:space="preserve">Grounded in verifiable legal sources across three </w:t>
            </w:r>
            <w:proofErr w:type="gramStart"/>
            <w:r w:rsidRPr="004C0855">
              <w:rPr>
                <w:sz w:val="19"/>
                <w:szCs w:val="19"/>
                <w:lang w:val="en-GB"/>
              </w:rPr>
              <w:t>jurisdictions</w:t>
            </w:r>
            <w:proofErr w:type="gramEnd"/>
            <w:r w:rsidRPr="004C0855">
              <w:rPr>
                <w:sz w:val="19"/>
                <w:szCs w:val="19"/>
                <w:lang w:val="en-GB"/>
              </w:rPr>
              <w:t xml:space="preserve"> (US, EU, UK). The claim is not an opinion but a statement of current law. It is publicly accessible, citable, and falsifiable by subsequent legal change.</w:t>
            </w:r>
          </w:p>
        </w:tc>
        <w:tc>
          <w:tcPr>
            <w:tcW w:w="1"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20" w:type="dxa"/>
              <w:bottom w:w="100" w:type="dxa"/>
              <w:right w:w="120" w:type="dxa"/>
            </w:tcMar>
          </w:tcPr>
          <w:p w14:paraId="28ACCD7D" w14:textId="77777777" w:rsidR="00E71816" w:rsidRPr="004C0855" w:rsidRDefault="00000000">
            <w:pPr>
              <w:spacing w:before="40" w:after="40"/>
              <w:rPr>
                <w:lang w:val="en-GB"/>
              </w:rPr>
            </w:pPr>
            <w:r w:rsidRPr="004C0855">
              <w:rPr>
                <w:sz w:val="19"/>
                <w:szCs w:val="19"/>
                <w:lang w:val="en-GB"/>
              </w:rPr>
              <w:t>Well-supported. The legal argument is accurately cited and correctly interpreted. The inference — that AI should be treated as a tool, not a co-author — follows logically from the legal premises.</w:t>
            </w:r>
          </w:p>
        </w:tc>
      </w:tr>
      <w:tr w:rsidR="00E71816" w14:paraId="0A76D27F" w14:textId="77777777">
        <w:tc>
          <w:tcPr>
            <w:tcW w:w="1" w:type="auto"/>
            <w:tcBorders>
              <w:top w:val="single" w:sz="1" w:space="0" w:color="AAAAAA"/>
              <w:left w:val="single" w:sz="1" w:space="0" w:color="AAAAAA"/>
              <w:bottom w:val="single" w:sz="1" w:space="0" w:color="AAAAAA"/>
              <w:right w:val="single" w:sz="1" w:space="0" w:color="AAAAAA"/>
            </w:tcBorders>
            <w:shd w:val="clear" w:color="auto" w:fill="F0F4F8"/>
            <w:tcMar>
              <w:top w:w="100" w:type="dxa"/>
              <w:left w:w="120" w:type="dxa"/>
              <w:bottom w:w="100" w:type="dxa"/>
              <w:right w:w="120" w:type="dxa"/>
            </w:tcMar>
          </w:tcPr>
          <w:p w14:paraId="1926FC48" w14:textId="77777777" w:rsidR="00E71816" w:rsidRPr="004C0855" w:rsidRDefault="00000000">
            <w:pPr>
              <w:spacing w:before="40" w:after="40"/>
              <w:rPr>
                <w:lang w:val="en-GB"/>
              </w:rPr>
            </w:pPr>
            <w:r w:rsidRPr="004C0855">
              <w:rPr>
                <w:sz w:val="19"/>
                <w:szCs w:val="19"/>
                <w:lang w:val="en-GB"/>
              </w:rPr>
              <w:t>Questionable research practices predate GenAI and are widespread in prestigious journals</w:t>
            </w:r>
          </w:p>
        </w:tc>
        <w:tc>
          <w:tcPr>
            <w:tcW w:w="1" w:type="auto"/>
            <w:tcBorders>
              <w:top w:val="single" w:sz="1" w:space="0" w:color="AAAAAA"/>
              <w:left w:val="single" w:sz="1" w:space="0" w:color="AAAAAA"/>
              <w:bottom w:val="single" w:sz="1" w:space="0" w:color="AAAAAA"/>
              <w:right w:val="single" w:sz="1" w:space="0" w:color="AAAAAA"/>
            </w:tcBorders>
            <w:shd w:val="clear" w:color="auto" w:fill="F0F4F8"/>
            <w:tcMar>
              <w:top w:w="100" w:type="dxa"/>
              <w:left w:w="120" w:type="dxa"/>
              <w:bottom w:w="100" w:type="dxa"/>
              <w:right w:w="120" w:type="dxa"/>
            </w:tcMar>
          </w:tcPr>
          <w:p w14:paraId="07A917F2" w14:textId="77777777" w:rsidR="00E71816" w:rsidRDefault="00000000">
            <w:pPr>
              <w:spacing w:before="40" w:after="40"/>
            </w:pPr>
            <w:r>
              <w:rPr>
                <w:b/>
                <w:bCs/>
                <w:color w:val="1B5E20"/>
                <w:sz w:val="19"/>
                <w:szCs w:val="19"/>
              </w:rPr>
              <w:t>EPISTEME</w:t>
            </w:r>
          </w:p>
        </w:tc>
        <w:tc>
          <w:tcPr>
            <w:tcW w:w="1" w:type="auto"/>
            <w:tcBorders>
              <w:top w:val="single" w:sz="1" w:space="0" w:color="AAAAAA"/>
              <w:left w:val="single" w:sz="1" w:space="0" w:color="AAAAAA"/>
              <w:bottom w:val="single" w:sz="1" w:space="0" w:color="AAAAAA"/>
              <w:right w:val="single" w:sz="1" w:space="0" w:color="AAAAAA"/>
            </w:tcBorders>
            <w:shd w:val="clear" w:color="auto" w:fill="F0F4F8"/>
            <w:tcMar>
              <w:top w:w="100" w:type="dxa"/>
              <w:left w:w="120" w:type="dxa"/>
              <w:bottom w:w="100" w:type="dxa"/>
              <w:right w:w="120" w:type="dxa"/>
            </w:tcMar>
          </w:tcPr>
          <w:p w14:paraId="7D0864D2" w14:textId="77777777" w:rsidR="00E71816" w:rsidRPr="00050F9D" w:rsidRDefault="00000000">
            <w:pPr>
              <w:spacing w:before="40" w:after="40"/>
              <w:rPr>
                <w:lang w:val="en-GB"/>
              </w:rPr>
            </w:pPr>
            <w:r w:rsidRPr="004C0855">
              <w:rPr>
                <w:sz w:val="19"/>
                <w:szCs w:val="19"/>
                <w:lang w:val="en-GB"/>
              </w:rPr>
              <w:t xml:space="preserve">Kepes et al. (2022) provide empirical data on </w:t>
            </w:r>
            <w:proofErr w:type="spellStart"/>
            <w:r w:rsidRPr="004C0855">
              <w:rPr>
                <w:sz w:val="19"/>
                <w:szCs w:val="19"/>
                <w:lang w:val="en-GB"/>
              </w:rPr>
              <w:t>HARKing</w:t>
            </w:r>
            <w:proofErr w:type="spellEnd"/>
            <w:r w:rsidRPr="004C0855">
              <w:rPr>
                <w:sz w:val="19"/>
                <w:szCs w:val="19"/>
                <w:lang w:val="en-GB"/>
              </w:rPr>
              <w:t xml:space="preserve">, p-hacking, and sample manipulation; Retraction Watch (2025) offers documented cases. </w:t>
            </w:r>
            <w:r w:rsidRPr="00050F9D">
              <w:rPr>
                <w:sz w:val="19"/>
                <w:szCs w:val="19"/>
                <w:lang w:val="en-GB"/>
              </w:rPr>
              <w:t>Claims are falsifiable and sourced.</w:t>
            </w:r>
          </w:p>
        </w:tc>
        <w:tc>
          <w:tcPr>
            <w:tcW w:w="1" w:type="auto"/>
            <w:tcBorders>
              <w:top w:val="single" w:sz="1" w:space="0" w:color="AAAAAA"/>
              <w:left w:val="single" w:sz="1" w:space="0" w:color="AAAAAA"/>
              <w:bottom w:val="single" w:sz="1" w:space="0" w:color="AAAAAA"/>
              <w:right w:val="single" w:sz="1" w:space="0" w:color="AAAAAA"/>
            </w:tcBorders>
            <w:shd w:val="clear" w:color="auto" w:fill="F0F4F8"/>
            <w:tcMar>
              <w:top w:w="100" w:type="dxa"/>
              <w:left w:w="120" w:type="dxa"/>
              <w:bottom w:w="100" w:type="dxa"/>
              <w:right w:w="120" w:type="dxa"/>
            </w:tcMar>
          </w:tcPr>
          <w:p w14:paraId="4610B830" w14:textId="77777777" w:rsidR="00E71816" w:rsidRDefault="00000000">
            <w:pPr>
              <w:spacing w:before="40" w:after="40"/>
            </w:pPr>
            <w:r w:rsidRPr="004C0855">
              <w:rPr>
                <w:sz w:val="19"/>
                <w:szCs w:val="19"/>
                <w:lang w:val="en-GB"/>
              </w:rPr>
              <w:t xml:space="preserve">Well-supported. However, the inference — that because QRPs predate AI, AI-specific policy is misdirected — is stronger as rhetoric than as strict logic. </w:t>
            </w:r>
            <w:proofErr w:type="spellStart"/>
            <w:r>
              <w:rPr>
                <w:sz w:val="19"/>
                <w:szCs w:val="19"/>
              </w:rPr>
              <w:t>Scaling</w:t>
            </w:r>
            <w:proofErr w:type="spellEnd"/>
            <w:r>
              <w:rPr>
                <w:sz w:val="19"/>
                <w:szCs w:val="19"/>
              </w:rPr>
              <w:t xml:space="preserve"> </w:t>
            </w:r>
            <w:proofErr w:type="spellStart"/>
            <w:r>
              <w:rPr>
                <w:sz w:val="19"/>
                <w:szCs w:val="19"/>
              </w:rPr>
              <w:t>an</w:t>
            </w:r>
            <w:proofErr w:type="spellEnd"/>
            <w:r>
              <w:rPr>
                <w:sz w:val="19"/>
                <w:szCs w:val="19"/>
              </w:rPr>
              <w:t xml:space="preserve"> </w:t>
            </w:r>
            <w:proofErr w:type="spellStart"/>
            <w:r>
              <w:rPr>
                <w:sz w:val="19"/>
                <w:szCs w:val="19"/>
              </w:rPr>
              <w:t>existing</w:t>
            </w:r>
            <w:proofErr w:type="spellEnd"/>
            <w:r>
              <w:rPr>
                <w:sz w:val="19"/>
                <w:szCs w:val="19"/>
              </w:rPr>
              <w:t xml:space="preserve"> </w:t>
            </w:r>
            <w:proofErr w:type="spellStart"/>
            <w:r>
              <w:rPr>
                <w:sz w:val="19"/>
                <w:szCs w:val="19"/>
              </w:rPr>
              <w:t>problem</w:t>
            </w:r>
            <w:proofErr w:type="spellEnd"/>
            <w:r>
              <w:rPr>
                <w:sz w:val="19"/>
                <w:szCs w:val="19"/>
              </w:rPr>
              <w:t xml:space="preserve"> </w:t>
            </w:r>
            <w:proofErr w:type="spellStart"/>
            <w:r>
              <w:rPr>
                <w:sz w:val="19"/>
                <w:szCs w:val="19"/>
              </w:rPr>
              <w:t>is</w:t>
            </w:r>
            <w:proofErr w:type="spellEnd"/>
            <w:r>
              <w:rPr>
                <w:sz w:val="19"/>
                <w:szCs w:val="19"/>
              </w:rPr>
              <w:t xml:space="preserve"> </w:t>
            </w:r>
            <w:proofErr w:type="spellStart"/>
            <w:r>
              <w:rPr>
                <w:sz w:val="19"/>
                <w:szCs w:val="19"/>
              </w:rPr>
              <w:t>still</w:t>
            </w:r>
            <w:proofErr w:type="spellEnd"/>
            <w:r>
              <w:rPr>
                <w:sz w:val="19"/>
                <w:szCs w:val="19"/>
              </w:rPr>
              <w:t xml:space="preserve"> </w:t>
            </w:r>
            <w:proofErr w:type="spellStart"/>
            <w:r>
              <w:rPr>
                <w:sz w:val="19"/>
                <w:szCs w:val="19"/>
              </w:rPr>
              <w:t>worth</w:t>
            </w:r>
            <w:proofErr w:type="spellEnd"/>
            <w:r>
              <w:rPr>
                <w:sz w:val="19"/>
                <w:szCs w:val="19"/>
              </w:rPr>
              <w:t xml:space="preserve"> </w:t>
            </w:r>
            <w:proofErr w:type="spellStart"/>
            <w:r>
              <w:rPr>
                <w:sz w:val="19"/>
                <w:szCs w:val="19"/>
              </w:rPr>
              <w:t>addressing</w:t>
            </w:r>
            <w:proofErr w:type="spellEnd"/>
            <w:r>
              <w:rPr>
                <w:sz w:val="19"/>
                <w:szCs w:val="19"/>
              </w:rPr>
              <w:t>.</w:t>
            </w:r>
          </w:p>
        </w:tc>
      </w:tr>
      <w:tr w:rsidR="00E71816" w:rsidRPr="00A93006" w14:paraId="041BF6B2" w14:textId="77777777">
        <w:tc>
          <w:tcPr>
            <w:tcW w:w="1"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20" w:type="dxa"/>
              <w:bottom w:w="100" w:type="dxa"/>
              <w:right w:w="120" w:type="dxa"/>
            </w:tcMar>
          </w:tcPr>
          <w:p w14:paraId="0B760970" w14:textId="77777777" w:rsidR="00E71816" w:rsidRPr="004C0855" w:rsidRDefault="00000000">
            <w:pPr>
              <w:spacing w:before="40" w:after="40"/>
              <w:rPr>
                <w:lang w:val="en-GB"/>
              </w:rPr>
            </w:pPr>
            <w:r w:rsidRPr="004C0855">
              <w:rPr>
                <w:sz w:val="19"/>
                <w:szCs w:val="19"/>
                <w:lang w:val="en-GB"/>
              </w:rPr>
              <w:t>49% of UBC students use GenAI weekly primarily as a study companion (not to outsource work)</w:t>
            </w:r>
          </w:p>
        </w:tc>
        <w:tc>
          <w:tcPr>
            <w:tcW w:w="1"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20" w:type="dxa"/>
              <w:bottom w:w="100" w:type="dxa"/>
              <w:right w:w="120" w:type="dxa"/>
            </w:tcMar>
          </w:tcPr>
          <w:p w14:paraId="4A54C31C" w14:textId="77777777" w:rsidR="00E71816" w:rsidRDefault="00000000">
            <w:pPr>
              <w:spacing w:before="40" w:after="40"/>
            </w:pPr>
            <w:r>
              <w:rPr>
                <w:b/>
                <w:bCs/>
                <w:color w:val="1B5E20"/>
                <w:sz w:val="19"/>
                <w:szCs w:val="19"/>
              </w:rPr>
              <w:t>EPISTEME (</w:t>
            </w:r>
            <w:proofErr w:type="spellStart"/>
            <w:r>
              <w:rPr>
                <w:b/>
                <w:bCs/>
                <w:color w:val="1B5E20"/>
                <w:sz w:val="19"/>
                <w:szCs w:val="19"/>
              </w:rPr>
              <w:t>conditional</w:t>
            </w:r>
            <w:proofErr w:type="spellEnd"/>
            <w:r>
              <w:rPr>
                <w:b/>
                <w:bCs/>
                <w:color w:val="1B5E20"/>
                <w:sz w:val="19"/>
                <w:szCs w:val="19"/>
              </w:rPr>
              <w:t>)</w:t>
            </w:r>
          </w:p>
        </w:tc>
        <w:tc>
          <w:tcPr>
            <w:tcW w:w="1"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20" w:type="dxa"/>
              <w:bottom w:w="100" w:type="dxa"/>
              <w:right w:w="120" w:type="dxa"/>
            </w:tcMar>
          </w:tcPr>
          <w:p w14:paraId="30CDF692" w14:textId="77777777" w:rsidR="00E71816" w:rsidRPr="004C0855" w:rsidRDefault="00000000">
            <w:pPr>
              <w:spacing w:before="40" w:after="40"/>
              <w:rPr>
                <w:lang w:val="en-GB"/>
              </w:rPr>
            </w:pPr>
            <w:r w:rsidRPr="004C0855">
              <w:rPr>
                <w:sz w:val="19"/>
                <w:szCs w:val="19"/>
                <w:lang w:val="en-GB"/>
              </w:rPr>
              <w:t>A specific empirical statistic from a named institutional source (UBC, 2026) with a URL. Falsifiable by examining the primary source. The qualifier 'primarily' may be contested depending on methodology.</w:t>
            </w:r>
          </w:p>
        </w:tc>
        <w:tc>
          <w:tcPr>
            <w:tcW w:w="1"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20" w:type="dxa"/>
              <w:bottom w:w="100" w:type="dxa"/>
              <w:right w:w="120" w:type="dxa"/>
            </w:tcMar>
          </w:tcPr>
          <w:p w14:paraId="6878FA01" w14:textId="77777777" w:rsidR="00E71816" w:rsidRPr="004C0855" w:rsidRDefault="00000000">
            <w:pPr>
              <w:spacing w:before="40" w:after="40"/>
              <w:rPr>
                <w:lang w:val="en-GB"/>
              </w:rPr>
            </w:pPr>
            <w:r w:rsidRPr="004C0855">
              <w:rPr>
                <w:sz w:val="19"/>
                <w:szCs w:val="19"/>
                <w:lang w:val="en-GB"/>
              </w:rPr>
              <w:t>Conditionally well-supported pending verification of the primary report's methodology. The cited characterisation of use (study companion vs. outsourcing) may reflect self-report bias, which the authors do not address.</w:t>
            </w:r>
          </w:p>
        </w:tc>
      </w:tr>
      <w:tr w:rsidR="00E71816" w:rsidRPr="00A93006" w14:paraId="675D0694" w14:textId="77777777">
        <w:tc>
          <w:tcPr>
            <w:tcW w:w="1" w:type="auto"/>
            <w:tcBorders>
              <w:top w:val="single" w:sz="1" w:space="0" w:color="AAAAAA"/>
              <w:left w:val="single" w:sz="1" w:space="0" w:color="AAAAAA"/>
              <w:bottom w:val="single" w:sz="1" w:space="0" w:color="AAAAAA"/>
              <w:right w:val="single" w:sz="1" w:space="0" w:color="AAAAAA"/>
            </w:tcBorders>
            <w:shd w:val="clear" w:color="auto" w:fill="F0F4F8"/>
            <w:tcMar>
              <w:top w:w="100" w:type="dxa"/>
              <w:left w:w="120" w:type="dxa"/>
              <w:bottom w:w="100" w:type="dxa"/>
              <w:right w:w="120" w:type="dxa"/>
            </w:tcMar>
          </w:tcPr>
          <w:p w14:paraId="3FD3C795" w14:textId="77777777" w:rsidR="00E71816" w:rsidRPr="004C0855" w:rsidRDefault="00000000">
            <w:pPr>
              <w:spacing w:before="40" w:after="40"/>
              <w:rPr>
                <w:lang w:val="en-GB"/>
              </w:rPr>
            </w:pPr>
            <w:r w:rsidRPr="004C0855">
              <w:rPr>
                <w:sz w:val="19"/>
                <w:szCs w:val="19"/>
                <w:lang w:val="en-GB"/>
              </w:rPr>
              <w:t>The production format framework (Goffman, 1981 / O'Driscoll &amp; McGreal, 2026) clarifies that accountability must rest with the human principal</w:t>
            </w:r>
          </w:p>
        </w:tc>
        <w:tc>
          <w:tcPr>
            <w:tcW w:w="1" w:type="auto"/>
            <w:tcBorders>
              <w:top w:val="single" w:sz="1" w:space="0" w:color="AAAAAA"/>
              <w:left w:val="single" w:sz="1" w:space="0" w:color="AAAAAA"/>
              <w:bottom w:val="single" w:sz="1" w:space="0" w:color="AAAAAA"/>
              <w:right w:val="single" w:sz="1" w:space="0" w:color="AAAAAA"/>
            </w:tcBorders>
            <w:shd w:val="clear" w:color="auto" w:fill="F0F4F8"/>
            <w:tcMar>
              <w:top w:w="100" w:type="dxa"/>
              <w:left w:w="120" w:type="dxa"/>
              <w:bottom w:w="100" w:type="dxa"/>
              <w:right w:w="120" w:type="dxa"/>
            </w:tcMar>
          </w:tcPr>
          <w:p w14:paraId="3A9C6C75" w14:textId="77777777" w:rsidR="00E71816" w:rsidRDefault="00000000">
            <w:pPr>
              <w:spacing w:before="40" w:after="40"/>
            </w:pPr>
            <w:r>
              <w:rPr>
                <w:b/>
                <w:bCs/>
                <w:color w:val="1B5E20"/>
                <w:sz w:val="19"/>
                <w:szCs w:val="19"/>
              </w:rPr>
              <w:t>EPISTEME</w:t>
            </w:r>
          </w:p>
        </w:tc>
        <w:tc>
          <w:tcPr>
            <w:tcW w:w="1" w:type="auto"/>
            <w:tcBorders>
              <w:top w:val="single" w:sz="1" w:space="0" w:color="AAAAAA"/>
              <w:left w:val="single" w:sz="1" w:space="0" w:color="AAAAAA"/>
              <w:bottom w:val="single" w:sz="1" w:space="0" w:color="AAAAAA"/>
              <w:right w:val="single" w:sz="1" w:space="0" w:color="AAAAAA"/>
            </w:tcBorders>
            <w:shd w:val="clear" w:color="auto" w:fill="F0F4F8"/>
            <w:tcMar>
              <w:top w:w="100" w:type="dxa"/>
              <w:left w:w="120" w:type="dxa"/>
              <w:bottom w:w="100" w:type="dxa"/>
              <w:right w:w="120" w:type="dxa"/>
            </w:tcMar>
          </w:tcPr>
          <w:p w14:paraId="1DF9895E" w14:textId="77777777" w:rsidR="00E71816" w:rsidRDefault="00000000">
            <w:pPr>
              <w:spacing w:before="40" w:after="40"/>
            </w:pPr>
            <w:r w:rsidRPr="004C0855">
              <w:rPr>
                <w:sz w:val="19"/>
                <w:szCs w:val="19"/>
                <w:lang w:val="en-GB"/>
              </w:rPr>
              <w:t xml:space="preserve">The Goffman framework is an established, peer-reviewed analytical model. Its extension by O'Driscoll &amp; McGreal to GenAI contexts is a legitimate theoretical application. </w:t>
            </w:r>
            <w:r>
              <w:rPr>
                <w:sz w:val="19"/>
                <w:szCs w:val="19"/>
              </w:rPr>
              <w:t xml:space="preserve">The </w:t>
            </w:r>
            <w:proofErr w:type="spellStart"/>
            <w:r>
              <w:rPr>
                <w:sz w:val="19"/>
                <w:szCs w:val="19"/>
              </w:rPr>
              <w:t>claim</w:t>
            </w:r>
            <w:proofErr w:type="spellEnd"/>
            <w:r>
              <w:rPr>
                <w:sz w:val="19"/>
                <w:szCs w:val="19"/>
              </w:rPr>
              <w:t xml:space="preserve"> </w:t>
            </w:r>
            <w:proofErr w:type="spellStart"/>
            <w:r>
              <w:rPr>
                <w:sz w:val="19"/>
                <w:szCs w:val="19"/>
              </w:rPr>
              <w:t>is</w:t>
            </w:r>
            <w:proofErr w:type="spellEnd"/>
            <w:r>
              <w:rPr>
                <w:sz w:val="19"/>
                <w:szCs w:val="19"/>
              </w:rPr>
              <w:t xml:space="preserve"> </w:t>
            </w:r>
            <w:proofErr w:type="spellStart"/>
            <w:r>
              <w:rPr>
                <w:sz w:val="19"/>
                <w:szCs w:val="19"/>
              </w:rPr>
              <w:t>logically</w:t>
            </w:r>
            <w:proofErr w:type="spellEnd"/>
            <w:r>
              <w:rPr>
                <w:sz w:val="19"/>
                <w:szCs w:val="19"/>
              </w:rPr>
              <w:t xml:space="preserve"> </w:t>
            </w:r>
            <w:proofErr w:type="spellStart"/>
            <w:r>
              <w:rPr>
                <w:sz w:val="19"/>
                <w:szCs w:val="19"/>
              </w:rPr>
              <w:t>coherent</w:t>
            </w:r>
            <w:proofErr w:type="spellEnd"/>
            <w:r>
              <w:rPr>
                <w:sz w:val="19"/>
                <w:szCs w:val="19"/>
              </w:rPr>
              <w:t xml:space="preserve"> and </w:t>
            </w:r>
            <w:proofErr w:type="spellStart"/>
            <w:r>
              <w:rPr>
                <w:sz w:val="19"/>
                <w:szCs w:val="19"/>
              </w:rPr>
              <w:t>testable</w:t>
            </w:r>
            <w:proofErr w:type="spellEnd"/>
            <w:r>
              <w:rPr>
                <w:sz w:val="19"/>
                <w:szCs w:val="19"/>
              </w:rPr>
              <w:t>.</w:t>
            </w:r>
          </w:p>
        </w:tc>
        <w:tc>
          <w:tcPr>
            <w:tcW w:w="1" w:type="auto"/>
            <w:tcBorders>
              <w:top w:val="single" w:sz="1" w:space="0" w:color="AAAAAA"/>
              <w:left w:val="single" w:sz="1" w:space="0" w:color="AAAAAA"/>
              <w:bottom w:val="single" w:sz="1" w:space="0" w:color="AAAAAA"/>
              <w:right w:val="single" w:sz="1" w:space="0" w:color="AAAAAA"/>
            </w:tcBorders>
            <w:shd w:val="clear" w:color="auto" w:fill="F0F4F8"/>
            <w:tcMar>
              <w:top w:w="100" w:type="dxa"/>
              <w:left w:w="120" w:type="dxa"/>
              <w:bottom w:w="100" w:type="dxa"/>
              <w:right w:w="120" w:type="dxa"/>
            </w:tcMar>
          </w:tcPr>
          <w:p w14:paraId="09178BDB" w14:textId="77777777" w:rsidR="00E71816" w:rsidRPr="004C0855" w:rsidRDefault="00000000">
            <w:pPr>
              <w:spacing w:before="40" w:after="40"/>
              <w:rPr>
                <w:lang w:val="en-GB"/>
              </w:rPr>
            </w:pPr>
            <w:r w:rsidRPr="004C0855">
              <w:rPr>
                <w:sz w:val="19"/>
                <w:szCs w:val="19"/>
                <w:lang w:val="en-GB"/>
              </w:rPr>
              <w:t>Well-supported as a theoretical framework. The distinction between animator, designer, and principal roles is epistemically productive. Its in-press status is a minor caveat: the primary source is not yet fully verifiable.</w:t>
            </w:r>
          </w:p>
        </w:tc>
      </w:tr>
      <w:tr w:rsidR="00E71816" w14:paraId="706B79EA" w14:textId="77777777">
        <w:tc>
          <w:tcPr>
            <w:tcW w:w="1"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20" w:type="dxa"/>
              <w:bottom w:w="100" w:type="dxa"/>
              <w:right w:w="120" w:type="dxa"/>
            </w:tcMar>
          </w:tcPr>
          <w:p w14:paraId="76D25A8B" w14:textId="77777777" w:rsidR="00E71816" w:rsidRPr="004C0855" w:rsidRDefault="00000000">
            <w:pPr>
              <w:spacing w:before="40" w:after="40"/>
              <w:rPr>
                <w:lang w:val="en-GB"/>
              </w:rPr>
            </w:pPr>
            <w:r w:rsidRPr="004C0855">
              <w:rPr>
                <w:sz w:val="19"/>
                <w:szCs w:val="19"/>
                <w:lang w:val="en-GB"/>
              </w:rPr>
              <w:lastRenderedPageBreak/>
              <w:t>Aesthetic criteria are not valid epistemological grounds for editorial rejection</w:t>
            </w:r>
          </w:p>
        </w:tc>
        <w:tc>
          <w:tcPr>
            <w:tcW w:w="1"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20" w:type="dxa"/>
              <w:bottom w:w="100" w:type="dxa"/>
              <w:right w:w="120" w:type="dxa"/>
            </w:tcMar>
          </w:tcPr>
          <w:p w14:paraId="7EE86D38" w14:textId="77777777" w:rsidR="00E71816" w:rsidRDefault="00000000">
            <w:pPr>
              <w:spacing w:before="40" w:after="40"/>
            </w:pPr>
            <w:r>
              <w:rPr>
                <w:b/>
                <w:bCs/>
                <w:color w:val="1B5E20"/>
                <w:sz w:val="19"/>
                <w:szCs w:val="19"/>
              </w:rPr>
              <w:t>EPISTEME</w:t>
            </w:r>
          </w:p>
        </w:tc>
        <w:tc>
          <w:tcPr>
            <w:tcW w:w="1"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20" w:type="dxa"/>
              <w:bottom w:w="100" w:type="dxa"/>
              <w:right w:w="120" w:type="dxa"/>
            </w:tcMar>
          </w:tcPr>
          <w:p w14:paraId="35B2FEBF" w14:textId="77777777" w:rsidR="00E71816" w:rsidRPr="004C0855" w:rsidRDefault="00000000">
            <w:pPr>
              <w:spacing w:before="40" w:after="40"/>
              <w:rPr>
                <w:lang w:val="en-GB"/>
              </w:rPr>
            </w:pPr>
            <w:r w:rsidRPr="004C0855">
              <w:rPr>
                <w:sz w:val="19"/>
                <w:szCs w:val="19"/>
                <w:lang w:val="en-GB"/>
              </w:rPr>
              <w:t>The distinction between aesthetic judgment and epistemological criterion is grounded in philosophy of knowledge from Plato to contemporary philosophy of science. The claim is analytically justified and falsifiable: editorial rejection on aesthetic grounds alone would be a demonstrable category error.</w:t>
            </w:r>
          </w:p>
        </w:tc>
        <w:tc>
          <w:tcPr>
            <w:tcW w:w="1"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20" w:type="dxa"/>
              <w:bottom w:w="100" w:type="dxa"/>
              <w:right w:w="120" w:type="dxa"/>
            </w:tcMar>
          </w:tcPr>
          <w:p w14:paraId="2EE3B38A" w14:textId="77777777" w:rsidR="00E71816" w:rsidRDefault="00000000">
            <w:pPr>
              <w:spacing w:before="40" w:after="40"/>
            </w:pPr>
            <w:r w:rsidRPr="004C0855">
              <w:rPr>
                <w:sz w:val="19"/>
                <w:szCs w:val="19"/>
                <w:lang w:val="en-GB"/>
              </w:rPr>
              <w:t xml:space="preserve">Well-supported philosophically. The argument is strengthened by equity considerations: Anglophone stylistic norms disproportionately disadvantage non-native speakers. </w:t>
            </w:r>
            <w:proofErr w:type="spellStart"/>
            <w:r>
              <w:rPr>
                <w:sz w:val="19"/>
                <w:szCs w:val="19"/>
              </w:rPr>
              <w:t>This</w:t>
            </w:r>
            <w:proofErr w:type="spellEnd"/>
            <w:r>
              <w:rPr>
                <w:sz w:val="19"/>
                <w:szCs w:val="19"/>
              </w:rPr>
              <w:t xml:space="preserve"> </w:t>
            </w:r>
            <w:proofErr w:type="spellStart"/>
            <w:r>
              <w:rPr>
                <w:sz w:val="19"/>
                <w:szCs w:val="19"/>
              </w:rPr>
              <w:t>is</w:t>
            </w:r>
            <w:proofErr w:type="spellEnd"/>
            <w:r>
              <w:rPr>
                <w:sz w:val="19"/>
                <w:szCs w:val="19"/>
              </w:rPr>
              <w:t xml:space="preserve"> </w:t>
            </w:r>
            <w:proofErr w:type="spellStart"/>
            <w:r>
              <w:rPr>
                <w:sz w:val="19"/>
                <w:szCs w:val="19"/>
              </w:rPr>
              <w:t>empirically</w:t>
            </w:r>
            <w:proofErr w:type="spellEnd"/>
            <w:r>
              <w:rPr>
                <w:sz w:val="19"/>
                <w:szCs w:val="19"/>
              </w:rPr>
              <w:t xml:space="preserve"> </w:t>
            </w:r>
            <w:proofErr w:type="spellStart"/>
            <w:r>
              <w:rPr>
                <w:sz w:val="19"/>
                <w:szCs w:val="19"/>
              </w:rPr>
              <w:t>corroborated</w:t>
            </w:r>
            <w:proofErr w:type="spellEnd"/>
            <w:r>
              <w:rPr>
                <w:sz w:val="19"/>
                <w:szCs w:val="19"/>
              </w:rPr>
              <w:t xml:space="preserve"> </w:t>
            </w:r>
            <w:proofErr w:type="spellStart"/>
            <w:r>
              <w:rPr>
                <w:sz w:val="19"/>
                <w:szCs w:val="19"/>
              </w:rPr>
              <w:t>by</w:t>
            </w:r>
            <w:proofErr w:type="spellEnd"/>
            <w:r>
              <w:rPr>
                <w:sz w:val="19"/>
                <w:szCs w:val="19"/>
              </w:rPr>
              <w:t xml:space="preserve"> </w:t>
            </w:r>
            <w:proofErr w:type="spellStart"/>
            <w:r>
              <w:rPr>
                <w:sz w:val="19"/>
                <w:szCs w:val="19"/>
              </w:rPr>
              <w:t>Liang</w:t>
            </w:r>
            <w:proofErr w:type="spellEnd"/>
            <w:r>
              <w:rPr>
                <w:sz w:val="19"/>
                <w:szCs w:val="19"/>
              </w:rPr>
              <w:t xml:space="preserve"> </w:t>
            </w:r>
            <w:proofErr w:type="spellStart"/>
            <w:r>
              <w:rPr>
                <w:sz w:val="19"/>
                <w:szCs w:val="19"/>
              </w:rPr>
              <w:t>et</w:t>
            </w:r>
            <w:proofErr w:type="spellEnd"/>
            <w:r>
              <w:rPr>
                <w:sz w:val="19"/>
                <w:szCs w:val="19"/>
              </w:rPr>
              <w:t xml:space="preserve"> </w:t>
            </w:r>
            <w:proofErr w:type="spellStart"/>
            <w:r>
              <w:rPr>
                <w:sz w:val="19"/>
                <w:szCs w:val="19"/>
              </w:rPr>
              <w:t>al</w:t>
            </w:r>
            <w:proofErr w:type="spellEnd"/>
            <w:r>
              <w:rPr>
                <w:sz w:val="19"/>
                <w:szCs w:val="19"/>
              </w:rPr>
              <w:t>. (2023).</w:t>
            </w:r>
          </w:p>
        </w:tc>
      </w:tr>
      <w:tr w:rsidR="00E71816" w:rsidRPr="00A93006" w14:paraId="5F391B7A" w14:textId="77777777">
        <w:tc>
          <w:tcPr>
            <w:tcW w:w="1" w:type="auto"/>
            <w:tcBorders>
              <w:top w:val="single" w:sz="1" w:space="0" w:color="AAAAAA"/>
              <w:left w:val="single" w:sz="1" w:space="0" w:color="AAAAAA"/>
              <w:bottom w:val="single" w:sz="1" w:space="0" w:color="AAAAAA"/>
              <w:right w:val="single" w:sz="1" w:space="0" w:color="AAAAAA"/>
            </w:tcBorders>
            <w:shd w:val="clear" w:color="auto" w:fill="F0F4F8"/>
            <w:tcMar>
              <w:top w:w="100" w:type="dxa"/>
              <w:left w:w="120" w:type="dxa"/>
              <w:bottom w:w="100" w:type="dxa"/>
              <w:right w:w="120" w:type="dxa"/>
            </w:tcMar>
          </w:tcPr>
          <w:p w14:paraId="6630FC78" w14:textId="77777777" w:rsidR="00E71816" w:rsidRPr="004C0855" w:rsidRDefault="00000000">
            <w:pPr>
              <w:spacing w:before="40" w:after="40"/>
              <w:rPr>
                <w:lang w:val="en-GB"/>
              </w:rPr>
            </w:pPr>
            <w:r w:rsidRPr="004C0855">
              <w:rPr>
                <w:sz w:val="19"/>
                <w:szCs w:val="19"/>
                <w:lang w:val="en-GB"/>
              </w:rPr>
              <w:t>'AI-in-the-loop' policies (Downes, 2025) better serve scholarly communities than zero-tolerance approaches</w:t>
            </w:r>
          </w:p>
        </w:tc>
        <w:tc>
          <w:tcPr>
            <w:tcW w:w="1" w:type="auto"/>
            <w:tcBorders>
              <w:top w:val="single" w:sz="1" w:space="0" w:color="AAAAAA"/>
              <w:left w:val="single" w:sz="1" w:space="0" w:color="AAAAAA"/>
              <w:bottom w:val="single" w:sz="1" w:space="0" w:color="AAAAAA"/>
              <w:right w:val="single" w:sz="1" w:space="0" w:color="AAAAAA"/>
            </w:tcBorders>
            <w:shd w:val="clear" w:color="auto" w:fill="F0F4F8"/>
            <w:tcMar>
              <w:top w:w="100" w:type="dxa"/>
              <w:left w:w="120" w:type="dxa"/>
              <w:bottom w:w="100" w:type="dxa"/>
              <w:right w:w="120" w:type="dxa"/>
            </w:tcMar>
          </w:tcPr>
          <w:p w14:paraId="0052682E" w14:textId="77777777" w:rsidR="00E71816" w:rsidRDefault="00000000">
            <w:pPr>
              <w:spacing w:before="40" w:after="40"/>
            </w:pPr>
            <w:r>
              <w:rPr>
                <w:b/>
                <w:bCs/>
                <w:color w:val="B8860B"/>
                <w:sz w:val="19"/>
                <w:szCs w:val="19"/>
              </w:rPr>
              <w:t>DOXA (</w:t>
            </w:r>
            <w:proofErr w:type="spellStart"/>
            <w:r>
              <w:rPr>
                <w:b/>
                <w:bCs/>
                <w:color w:val="B8860B"/>
                <w:sz w:val="19"/>
                <w:szCs w:val="19"/>
              </w:rPr>
              <w:t>well-reasoned</w:t>
            </w:r>
            <w:proofErr w:type="spellEnd"/>
            <w:r>
              <w:rPr>
                <w:b/>
                <w:bCs/>
                <w:color w:val="B8860B"/>
                <w:sz w:val="19"/>
                <w:szCs w:val="19"/>
              </w:rPr>
              <w:t>)</w:t>
            </w:r>
          </w:p>
        </w:tc>
        <w:tc>
          <w:tcPr>
            <w:tcW w:w="1" w:type="auto"/>
            <w:tcBorders>
              <w:top w:val="single" w:sz="1" w:space="0" w:color="AAAAAA"/>
              <w:left w:val="single" w:sz="1" w:space="0" w:color="AAAAAA"/>
              <w:bottom w:val="single" w:sz="1" w:space="0" w:color="AAAAAA"/>
              <w:right w:val="single" w:sz="1" w:space="0" w:color="AAAAAA"/>
            </w:tcBorders>
            <w:shd w:val="clear" w:color="auto" w:fill="F0F4F8"/>
            <w:tcMar>
              <w:top w:w="100" w:type="dxa"/>
              <w:left w:w="120" w:type="dxa"/>
              <w:bottom w:w="100" w:type="dxa"/>
              <w:right w:w="120" w:type="dxa"/>
            </w:tcMar>
          </w:tcPr>
          <w:p w14:paraId="7473655B" w14:textId="77777777" w:rsidR="00E71816" w:rsidRDefault="00000000">
            <w:pPr>
              <w:spacing w:before="40" w:after="40"/>
            </w:pPr>
            <w:r w:rsidRPr="004C0855">
              <w:rPr>
                <w:sz w:val="19"/>
                <w:szCs w:val="19"/>
                <w:lang w:val="en-GB"/>
              </w:rPr>
              <w:t xml:space="preserve">The claim is a normative policy recommendation. While the evidence against zero-tolerance is epistemic, the specific proposal (Downes, 2025) is asserted rather than </w:t>
            </w:r>
            <w:proofErr w:type="gramStart"/>
            <w:r w:rsidRPr="004C0855">
              <w:rPr>
                <w:sz w:val="19"/>
                <w:szCs w:val="19"/>
                <w:lang w:val="en-GB"/>
              </w:rPr>
              <w:t>tested</w:t>
            </w:r>
            <w:proofErr w:type="gramEnd"/>
            <w:r w:rsidRPr="004C0855">
              <w:rPr>
                <w:sz w:val="19"/>
                <w:szCs w:val="19"/>
                <w:lang w:val="en-GB"/>
              </w:rPr>
              <w:t xml:space="preserve">. </w:t>
            </w:r>
            <w:proofErr w:type="spellStart"/>
            <w:r>
              <w:rPr>
                <w:sz w:val="19"/>
                <w:szCs w:val="19"/>
              </w:rPr>
              <w:t>No</w:t>
            </w:r>
            <w:proofErr w:type="spellEnd"/>
            <w:r>
              <w:rPr>
                <w:sz w:val="19"/>
                <w:szCs w:val="19"/>
              </w:rPr>
              <w:t xml:space="preserve"> </w:t>
            </w:r>
            <w:proofErr w:type="spellStart"/>
            <w:r>
              <w:rPr>
                <w:sz w:val="19"/>
                <w:szCs w:val="19"/>
              </w:rPr>
              <w:t>empirical</w:t>
            </w:r>
            <w:proofErr w:type="spellEnd"/>
            <w:r>
              <w:rPr>
                <w:sz w:val="19"/>
                <w:szCs w:val="19"/>
              </w:rPr>
              <w:t xml:space="preserve"> </w:t>
            </w:r>
            <w:proofErr w:type="spellStart"/>
            <w:r>
              <w:rPr>
                <w:sz w:val="19"/>
                <w:szCs w:val="19"/>
              </w:rPr>
              <w:t>comparison</w:t>
            </w:r>
            <w:proofErr w:type="spellEnd"/>
            <w:r>
              <w:rPr>
                <w:sz w:val="19"/>
                <w:szCs w:val="19"/>
              </w:rPr>
              <w:t xml:space="preserve"> of </w:t>
            </w:r>
            <w:proofErr w:type="spellStart"/>
            <w:r>
              <w:rPr>
                <w:sz w:val="19"/>
                <w:szCs w:val="19"/>
              </w:rPr>
              <w:t>policy</w:t>
            </w:r>
            <w:proofErr w:type="spellEnd"/>
            <w:r>
              <w:rPr>
                <w:sz w:val="19"/>
                <w:szCs w:val="19"/>
              </w:rPr>
              <w:t xml:space="preserve"> </w:t>
            </w:r>
            <w:proofErr w:type="spellStart"/>
            <w:r>
              <w:rPr>
                <w:sz w:val="19"/>
                <w:szCs w:val="19"/>
              </w:rPr>
              <w:t>outcomes</w:t>
            </w:r>
            <w:proofErr w:type="spellEnd"/>
            <w:r>
              <w:rPr>
                <w:sz w:val="19"/>
                <w:szCs w:val="19"/>
              </w:rPr>
              <w:t xml:space="preserve"> </w:t>
            </w:r>
            <w:proofErr w:type="spellStart"/>
            <w:r>
              <w:rPr>
                <w:sz w:val="19"/>
                <w:szCs w:val="19"/>
              </w:rPr>
              <w:t>is</w:t>
            </w:r>
            <w:proofErr w:type="spellEnd"/>
            <w:r>
              <w:rPr>
                <w:sz w:val="19"/>
                <w:szCs w:val="19"/>
              </w:rPr>
              <w:t xml:space="preserve"> </w:t>
            </w:r>
            <w:proofErr w:type="spellStart"/>
            <w:r>
              <w:rPr>
                <w:sz w:val="19"/>
                <w:szCs w:val="19"/>
              </w:rPr>
              <w:t>available</w:t>
            </w:r>
            <w:proofErr w:type="spellEnd"/>
            <w:r>
              <w:rPr>
                <w:sz w:val="19"/>
                <w:szCs w:val="19"/>
              </w:rPr>
              <w:t>.</w:t>
            </w:r>
          </w:p>
        </w:tc>
        <w:tc>
          <w:tcPr>
            <w:tcW w:w="1" w:type="auto"/>
            <w:tcBorders>
              <w:top w:val="single" w:sz="1" w:space="0" w:color="AAAAAA"/>
              <w:left w:val="single" w:sz="1" w:space="0" w:color="AAAAAA"/>
              <w:bottom w:val="single" w:sz="1" w:space="0" w:color="AAAAAA"/>
              <w:right w:val="single" w:sz="1" w:space="0" w:color="AAAAAA"/>
            </w:tcBorders>
            <w:shd w:val="clear" w:color="auto" w:fill="F0F4F8"/>
            <w:tcMar>
              <w:top w:w="100" w:type="dxa"/>
              <w:left w:w="120" w:type="dxa"/>
              <w:bottom w:w="100" w:type="dxa"/>
              <w:right w:w="120" w:type="dxa"/>
            </w:tcMar>
          </w:tcPr>
          <w:p w14:paraId="0A043A31" w14:textId="77777777" w:rsidR="00E71816" w:rsidRPr="004C0855" w:rsidRDefault="00000000">
            <w:pPr>
              <w:spacing w:before="40" w:after="40"/>
              <w:rPr>
                <w:lang w:val="en-GB"/>
              </w:rPr>
            </w:pPr>
            <w:r w:rsidRPr="004C0855">
              <w:rPr>
                <w:sz w:val="19"/>
                <w:szCs w:val="19"/>
                <w:lang w:val="en-GB"/>
              </w:rPr>
              <w:t xml:space="preserve">Plausible and internally </w:t>
            </w:r>
            <w:proofErr w:type="gramStart"/>
            <w:r w:rsidRPr="004C0855">
              <w:rPr>
                <w:sz w:val="19"/>
                <w:szCs w:val="19"/>
                <w:lang w:val="en-GB"/>
              </w:rPr>
              <w:t>consistent, but</w:t>
            </w:r>
            <w:proofErr w:type="gramEnd"/>
            <w:r w:rsidRPr="004C0855">
              <w:rPr>
                <w:sz w:val="19"/>
                <w:szCs w:val="19"/>
                <w:lang w:val="en-GB"/>
              </w:rPr>
              <w:t xml:space="preserve"> remains a reasoned opinion pending empirical validation. The policy proposal is new; no comparison between zero-tolerance and AI-in-the-loop outcomes in academic publishing has yet been conducted.</w:t>
            </w:r>
          </w:p>
        </w:tc>
      </w:tr>
      <w:tr w:rsidR="00E71816" w14:paraId="1A67EE0F" w14:textId="77777777">
        <w:tc>
          <w:tcPr>
            <w:tcW w:w="1"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20" w:type="dxa"/>
              <w:bottom w:w="100" w:type="dxa"/>
              <w:right w:w="120" w:type="dxa"/>
            </w:tcMar>
          </w:tcPr>
          <w:p w14:paraId="2CE00192" w14:textId="77777777" w:rsidR="00E71816" w:rsidRPr="004C0855" w:rsidRDefault="00000000">
            <w:pPr>
              <w:spacing w:before="40" w:after="40"/>
              <w:rPr>
                <w:lang w:val="en-GB"/>
              </w:rPr>
            </w:pPr>
            <w:r w:rsidRPr="004C0855">
              <w:rPr>
                <w:sz w:val="19"/>
                <w:szCs w:val="19"/>
                <w:lang w:val="en-GB"/>
              </w:rPr>
              <w:t>Trust cannot be built on blacklists; education is the appropriate response to confused authors</w:t>
            </w:r>
          </w:p>
        </w:tc>
        <w:tc>
          <w:tcPr>
            <w:tcW w:w="1"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20" w:type="dxa"/>
              <w:bottom w:w="100" w:type="dxa"/>
              <w:right w:w="120" w:type="dxa"/>
            </w:tcMar>
          </w:tcPr>
          <w:p w14:paraId="28A9073F" w14:textId="77777777" w:rsidR="00E71816" w:rsidRDefault="00000000">
            <w:pPr>
              <w:spacing w:before="40" w:after="40"/>
            </w:pPr>
            <w:r>
              <w:rPr>
                <w:b/>
                <w:bCs/>
                <w:color w:val="B8860B"/>
                <w:sz w:val="19"/>
                <w:szCs w:val="19"/>
              </w:rPr>
              <w:t>DOXA (</w:t>
            </w:r>
            <w:proofErr w:type="spellStart"/>
            <w:r>
              <w:rPr>
                <w:b/>
                <w:bCs/>
                <w:color w:val="B8860B"/>
                <w:sz w:val="19"/>
                <w:szCs w:val="19"/>
              </w:rPr>
              <w:t>principled</w:t>
            </w:r>
            <w:proofErr w:type="spellEnd"/>
            <w:r>
              <w:rPr>
                <w:b/>
                <w:bCs/>
                <w:color w:val="B8860B"/>
                <w:sz w:val="19"/>
                <w:szCs w:val="19"/>
              </w:rPr>
              <w:t>)</w:t>
            </w:r>
          </w:p>
        </w:tc>
        <w:tc>
          <w:tcPr>
            <w:tcW w:w="1"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20" w:type="dxa"/>
              <w:bottom w:w="100" w:type="dxa"/>
              <w:right w:w="120" w:type="dxa"/>
            </w:tcMar>
          </w:tcPr>
          <w:p w14:paraId="7787C11E" w14:textId="77777777" w:rsidR="00E71816" w:rsidRPr="004C0855" w:rsidRDefault="00000000">
            <w:pPr>
              <w:spacing w:before="40" w:after="40"/>
              <w:rPr>
                <w:lang w:val="en-GB"/>
              </w:rPr>
            </w:pPr>
            <w:r w:rsidRPr="004C0855">
              <w:rPr>
                <w:sz w:val="19"/>
                <w:szCs w:val="19"/>
                <w:lang w:val="en-GB"/>
              </w:rPr>
              <w:t>A normative claim about the relationship between punishment and trust, appealing to Freirean critical pedagogy and Christakis/Pentland on social contagion. Empirically supported in general educational literature but not specifically in academic publishing enforcement contexts.</w:t>
            </w:r>
          </w:p>
        </w:tc>
        <w:tc>
          <w:tcPr>
            <w:tcW w:w="1"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20" w:type="dxa"/>
              <w:bottom w:w="100" w:type="dxa"/>
              <w:right w:w="120" w:type="dxa"/>
            </w:tcMar>
          </w:tcPr>
          <w:p w14:paraId="2E0895CF" w14:textId="77777777" w:rsidR="00E71816" w:rsidRDefault="00000000">
            <w:pPr>
              <w:spacing w:before="40" w:after="40"/>
            </w:pPr>
            <w:r w:rsidRPr="004C0855">
              <w:rPr>
                <w:sz w:val="19"/>
                <w:szCs w:val="19"/>
                <w:lang w:val="en-GB"/>
              </w:rPr>
              <w:t xml:space="preserve">Reasonable and broadly consistent with educational psychology literature on intrinsic motivation. However, it may underestimate deliberate misconduct: not all non-disclosure stems from confusion. </w:t>
            </w:r>
            <w:r>
              <w:rPr>
                <w:sz w:val="19"/>
                <w:szCs w:val="19"/>
              </w:rPr>
              <w:t xml:space="preserve">The </w:t>
            </w:r>
            <w:proofErr w:type="spellStart"/>
            <w:r>
              <w:rPr>
                <w:sz w:val="19"/>
                <w:szCs w:val="19"/>
              </w:rPr>
              <w:t>claim</w:t>
            </w:r>
            <w:proofErr w:type="spellEnd"/>
            <w:r>
              <w:rPr>
                <w:sz w:val="19"/>
                <w:szCs w:val="19"/>
              </w:rPr>
              <w:t xml:space="preserve"> </w:t>
            </w:r>
            <w:proofErr w:type="spellStart"/>
            <w:r>
              <w:rPr>
                <w:sz w:val="19"/>
                <w:szCs w:val="19"/>
              </w:rPr>
              <w:t>needs</w:t>
            </w:r>
            <w:proofErr w:type="spellEnd"/>
            <w:r>
              <w:rPr>
                <w:sz w:val="19"/>
                <w:szCs w:val="19"/>
              </w:rPr>
              <w:t xml:space="preserve"> </w:t>
            </w:r>
            <w:proofErr w:type="spellStart"/>
            <w:r>
              <w:rPr>
                <w:sz w:val="19"/>
                <w:szCs w:val="19"/>
              </w:rPr>
              <w:t>qualification</w:t>
            </w:r>
            <w:proofErr w:type="spellEnd"/>
            <w:r>
              <w:rPr>
                <w:sz w:val="19"/>
                <w:szCs w:val="19"/>
              </w:rPr>
              <w:t xml:space="preserve"> </w:t>
            </w:r>
            <w:proofErr w:type="spellStart"/>
            <w:r>
              <w:rPr>
                <w:sz w:val="19"/>
                <w:szCs w:val="19"/>
              </w:rPr>
              <w:t>rather</w:t>
            </w:r>
            <w:proofErr w:type="spellEnd"/>
            <w:r>
              <w:rPr>
                <w:sz w:val="19"/>
                <w:szCs w:val="19"/>
              </w:rPr>
              <w:t xml:space="preserve"> </w:t>
            </w:r>
            <w:proofErr w:type="spellStart"/>
            <w:r>
              <w:rPr>
                <w:sz w:val="19"/>
                <w:szCs w:val="19"/>
              </w:rPr>
              <w:t>than</w:t>
            </w:r>
            <w:proofErr w:type="spellEnd"/>
            <w:r>
              <w:rPr>
                <w:sz w:val="19"/>
                <w:szCs w:val="19"/>
              </w:rPr>
              <w:t xml:space="preserve"> </w:t>
            </w:r>
            <w:proofErr w:type="spellStart"/>
            <w:r>
              <w:rPr>
                <w:sz w:val="19"/>
                <w:szCs w:val="19"/>
              </w:rPr>
              <w:t>rejection</w:t>
            </w:r>
            <w:proofErr w:type="spellEnd"/>
            <w:r>
              <w:rPr>
                <w:sz w:val="19"/>
                <w:szCs w:val="19"/>
              </w:rPr>
              <w:t>.</w:t>
            </w:r>
          </w:p>
        </w:tc>
      </w:tr>
    </w:tbl>
    <w:p w14:paraId="20247058" w14:textId="77777777" w:rsidR="00E71816" w:rsidRPr="004C0855" w:rsidRDefault="00000000">
      <w:pPr>
        <w:pStyle w:val="Heading1"/>
        <w:spacing w:after="140"/>
        <w:rPr>
          <w:lang w:val="en-GB"/>
        </w:rPr>
      </w:pPr>
      <w:r w:rsidRPr="004C0855">
        <w:rPr>
          <w:lang w:val="en-GB"/>
        </w:rPr>
        <w:t>Part 4 — Analytical Commentary on the Epistemic Quality of Both Texts</w:t>
      </w:r>
    </w:p>
    <w:p w14:paraId="30F6B0F8" w14:textId="77777777" w:rsidR="00E71816" w:rsidRPr="004C0855" w:rsidRDefault="00000000">
      <w:pPr>
        <w:pStyle w:val="Heading2"/>
        <w:spacing w:before="200" w:after="100"/>
        <w:rPr>
          <w:lang w:val="en-GB"/>
        </w:rPr>
      </w:pPr>
      <w:r w:rsidRPr="004C0855">
        <w:rPr>
          <w:color w:val="8B0000"/>
          <w:lang w:val="en-GB"/>
        </w:rPr>
        <w:t>Jandrić (2026): Epistemic Self-Contradiction</w:t>
      </w:r>
    </w:p>
    <w:p w14:paraId="02EFDB23" w14:textId="77777777" w:rsidR="00E71816" w:rsidRPr="004C0855" w:rsidRDefault="00000000">
      <w:pPr>
        <w:spacing w:before="60" w:after="120"/>
        <w:rPr>
          <w:lang w:val="en-GB"/>
        </w:rPr>
      </w:pPr>
      <w:r w:rsidRPr="004C0855">
        <w:rPr>
          <w:lang w:val="en-GB"/>
        </w:rPr>
        <w:t>The central irony of Jandrić's article is that it invokes episteme as its governing ideal while relying heavily on doxa as its argumentative method. The paper's most epistemically sound commitments — that episteme should govern scholarly publishing, and that transparent human-AI collaboration is legitimate — are undermined by its most doxastic conclusions: the zero-tolerance policy, the blacklist, and the aesthetic objection to AI prose.</w:t>
      </w:r>
    </w:p>
    <w:p w14:paraId="46B6744E" w14:textId="77777777" w:rsidR="00E71816" w:rsidRPr="00050F9D" w:rsidRDefault="00000000">
      <w:pPr>
        <w:spacing w:before="60" w:after="120"/>
        <w:rPr>
          <w:lang w:val="en-GB"/>
        </w:rPr>
      </w:pPr>
      <w:r w:rsidRPr="00050F9D">
        <w:rPr>
          <w:lang w:val="en-GB"/>
        </w:rPr>
        <w:t xml:space="preserve">The internal contradiction is structural: Jandrić builds an epistemically aspirational framework and then populates it with doxastic remedies. This does not render the paper worthless — </w:t>
      </w:r>
      <w:proofErr w:type="gramStart"/>
      <w:r w:rsidRPr="00050F9D">
        <w:rPr>
          <w:lang w:val="en-GB"/>
        </w:rPr>
        <w:t>many</w:t>
      </w:r>
      <w:proofErr w:type="gramEnd"/>
      <w:r w:rsidRPr="00050F9D">
        <w:rPr>
          <w:lang w:val="en-GB"/>
        </w:rPr>
        <w:t xml:space="preserve"> important scholarly interventions begin from honest editorial experience — but it does mean that the prescriptive conclusions do not follow from the epistemological premises. A reader applying the doxa/episteme lens that Jandrić himself endorses will find that </w:t>
      </w:r>
      <w:proofErr w:type="gramStart"/>
      <w:r w:rsidRPr="00050F9D">
        <w:rPr>
          <w:lang w:val="en-GB"/>
        </w:rPr>
        <w:t>several of</w:t>
      </w:r>
      <w:proofErr w:type="gramEnd"/>
      <w:r w:rsidRPr="00050F9D">
        <w:rPr>
          <w:lang w:val="en-GB"/>
        </w:rPr>
        <w:t xml:space="preserve"> his own arguments fall on the wrong side of that distinction.</w:t>
      </w:r>
    </w:p>
    <w:p w14:paraId="60989CB8" w14:textId="77777777" w:rsidR="00E71816" w:rsidRPr="00050F9D" w:rsidRDefault="00000000">
      <w:pPr>
        <w:spacing w:before="60" w:after="120"/>
        <w:rPr>
          <w:lang w:val="en-GB"/>
        </w:rPr>
      </w:pPr>
      <w:r w:rsidRPr="00050F9D">
        <w:rPr>
          <w:lang w:val="en-GB"/>
        </w:rPr>
        <w:t xml:space="preserve">The aesthetic argument (GenAI writing as 'sterile and boring') is the most acute instance. Jandrić's own invocation of episteme versus doxa should have prompted him to recognise that </w:t>
      </w:r>
      <w:r w:rsidRPr="00050F9D">
        <w:rPr>
          <w:lang w:val="en-GB"/>
        </w:rPr>
        <w:lastRenderedPageBreak/>
        <w:t>stylistic preferences are the paradigmatic case of doxa — contextual, culturally conditioned, and unstable across readers. Applying this criterion editorially is precisely what Plato warned against in critiquing the rhetoricians.</w:t>
      </w:r>
    </w:p>
    <w:p w14:paraId="59C11B27" w14:textId="77777777" w:rsidR="00E71816" w:rsidRPr="00050F9D" w:rsidRDefault="00000000">
      <w:pPr>
        <w:pStyle w:val="Heading2"/>
        <w:spacing w:before="200" w:after="100"/>
        <w:rPr>
          <w:lang w:val="en-GB"/>
        </w:rPr>
      </w:pPr>
      <w:r w:rsidRPr="00050F9D">
        <w:rPr>
          <w:lang w:val="en-GB"/>
        </w:rPr>
        <w:t>Themelis &amp; McGreal (2026): Epistemic Strength with Normative Residue</w:t>
      </w:r>
    </w:p>
    <w:p w14:paraId="603B9EFA" w14:textId="77777777" w:rsidR="00E71816" w:rsidRPr="00050F9D" w:rsidRDefault="00000000">
      <w:pPr>
        <w:spacing w:before="60" w:after="120"/>
        <w:rPr>
          <w:lang w:val="en-GB"/>
        </w:rPr>
      </w:pPr>
      <w:r w:rsidRPr="00050F9D">
        <w:rPr>
          <w:lang w:val="en-GB"/>
        </w:rPr>
        <w:t xml:space="preserve">The response paper is </w:t>
      </w:r>
      <w:proofErr w:type="gramStart"/>
      <w:r w:rsidRPr="00050F9D">
        <w:rPr>
          <w:lang w:val="en-GB"/>
        </w:rPr>
        <w:t>considerably more</w:t>
      </w:r>
      <w:proofErr w:type="gramEnd"/>
      <w:r w:rsidRPr="00050F9D">
        <w:rPr>
          <w:lang w:val="en-GB"/>
        </w:rPr>
        <w:t xml:space="preserve"> epistemically rigorous than the text it critiques. Its core factual claims — on detection reliability, copyright law, and the pre-AI history of research misconduct — are grounded in verifiable, peer-reviewed, and jurisdictionally cross-referenced sources. The production format framework (Goffman/O'Driscoll &amp; McGreal) is theoretically coherent and analytically productive.</w:t>
      </w:r>
    </w:p>
    <w:p w14:paraId="6A4EC7AA" w14:textId="77777777" w:rsidR="00E71816" w:rsidRPr="00050F9D" w:rsidRDefault="00000000">
      <w:pPr>
        <w:spacing w:before="60" w:after="120"/>
        <w:rPr>
          <w:lang w:val="en-GB"/>
        </w:rPr>
      </w:pPr>
      <w:r w:rsidRPr="00050F9D">
        <w:rPr>
          <w:lang w:val="en-GB"/>
        </w:rPr>
        <w:t xml:space="preserve">The paper's epistemic weaknesses are concentrated at the normative level. The AI-in-the-loop proposal (Downes, 2025) is promising but untested in academic publishing contexts. The claim that education is always preferable to enforcement is a reasoned opinion — </w:t>
      </w:r>
      <w:proofErr w:type="gramStart"/>
      <w:r w:rsidRPr="00050F9D">
        <w:rPr>
          <w:lang w:val="en-GB"/>
        </w:rPr>
        <w:t>arguably phronesis</w:t>
      </w:r>
      <w:proofErr w:type="gramEnd"/>
      <w:r w:rsidRPr="00050F9D">
        <w:rPr>
          <w:lang w:val="en-GB"/>
        </w:rPr>
        <w:t xml:space="preserve"> rather than episteme — that may underestimate deliberate misconduct. The statement that AI will 'improve and resolve' the hallucination problem is asserted rather than demonstrated (Section 3.2</w:t>
      </w:r>
      <w:proofErr w:type="gramStart"/>
      <w:r w:rsidRPr="00050F9D">
        <w:rPr>
          <w:lang w:val="en-GB"/>
        </w:rPr>
        <w:t>), and</w:t>
      </w:r>
      <w:proofErr w:type="gramEnd"/>
      <w:r w:rsidRPr="00050F9D">
        <w:rPr>
          <w:lang w:val="en-GB"/>
        </w:rPr>
        <w:t xml:space="preserve"> sits awkwardly as a brief parenthetical in an otherwise careful text.</w:t>
      </w:r>
    </w:p>
    <w:p w14:paraId="6B4EC5B5" w14:textId="77777777" w:rsidR="00E71816" w:rsidRPr="00050F9D" w:rsidRDefault="00000000">
      <w:pPr>
        <w:spacing w:before="60" w:after="120"/>
        <w:rPr>
          <w:lang w:val="en-GB"/>
        </w:rPr>
      </w:pPr>
      <w:r w:rsidRPr="00050F9D">
        <w:rPr>
          <w:lang w:val="en-GB"/>
        </w:rPr>
        <w:t>One methodological note is warranted: the paper's use of Claude.ai to generate an initial analytical response (described in Section 1.1) and then respond to that analysis is a genuinely interesting methodological choice. It models the very transparency it advocates. However, it also introduces a circularity: the AI response that informed the paper's direction was generated by the same system now being asked to evaluate the paper. This does not invalidate the argument, but it is an epistemic feature worth acknowledging.</w:t>
      </w:r>
    </w:p>
    <w:p w14:paraId="4803A1BF" w14:textId="77777777" w:rsidR="00E71816" w:rsidRPr="00050F9D" w:rsidRDefault="00000000">
      <w:pPr>
        <w:pStyle w:val="Heading2"/>
        <w:spacing w:before="200" w:after="100"/>
        <w:rPr>
          <w:lang w:val="en-GB"/>
        </w:rPr>
      </w:pPr>
      <w:r w:rsidRPr="00050F9D">
        <w:rPr>
          <w:color w:val="2E4057"/>
          <w:lang w:val="en-GB"/>
        </w:rPr>
        <w:t>Overall Verdict</w:t>
      </w:r>
    </w:p>
    <w:p w14:paraId="4E60F2EE" w14:textId="77777777" w:rsidR="00E71816" w:rsidRPr="00050F9D" w:rsidRDefault="00000000">
      <w:pPr>
        <w:spacing w:before="60" w:after="120"/>
        <w:rPr>
          <w:lang w:val="en-GB"/>
        </w:rPr>
      </w:pPr>
      <w:r w:rsidRPr="00050F9D">
        <w:rPr>
          <w:lang w:val="en-GB"/>
        </w:rPr>
        <w:t>Applying the Platonic and Aristotelian criteria consistently:</w:t>
      </w:r>
    </w:p>
    <w:p w14:paraId="7854666E" w14:textId="77777777" w:rsidR="00E71816" w:rsidRPr="00050F9D" w:rsidRDefault="00000000">
      <w:pPr>
        <w:pStyle w:val="ListParagraph"/>
        <w:numPr>
          <w:ilvl w:val="0"/>
          <w:numId w:val="2"/>
        </w:numPr>
        <w:spacing w:before="60" w:after="60"/>
        <w:rPr>
          <w:lang w:val="en-GB"/>
        </w:rPr>
      </w:pPr>
      <w:r w:rsidRPr="00050F9D">
        <w:rPr>
          <w:lang w:val="en-GB"/>
        </w:rPr>
        <w:t xml:space="preserve">Jandrić (2026): The foundational epistemic values of the paper are sound. The prescriptive conclusions are </w:t>
      </w:r>
      <w:proofErr w:type="gramStart"/>
      <w:r w:rsidRPr="00050F9D">
        <w:rPr>
          <w:lang w:val="en-GB"/>
        </w:rPr>
        <w:t>predominantly doxa</w:t>
      </w:r>
      <w:proofErr w:type="gramEnd"/>
      <w:r w:rsidRPr="00050F9D">
        <w:rPr>
          <w:lang w:val="en-GB"/>
        </w:rPr>
        <w:t xml:space="preserve"> — editorial intuition and aesthetic preference elevated to policy without sufficient evidential grounding.</w:t>
      </w:r>
    </w:p>
    <w:p w14:paraId="58EA7F39" w14:textId="77777777" w:rsidR="00E71816" w:rsidRPr="00050F9D" w:rsidRDefault="00000000">
      <w:pPr>
        <w:pStyle w:val="ListParagraph"/>
        <w:numPr>
          <w:ilvl w:val="0"/>
          <w:numId w:val="2"/>
        </w:numPr>
        <w:spacing w:before="60" w:after="60"/>
        <w:rPr>
          <w:lang w:val="en-GB"/>
        </w:rPr>
      </w:pPr>
      <w:r w:rsidRPr="00050F9D">
        <w:rPr>
          <w:lang w:val="en-GB"/>
        </w:rPr>
        <w:t xml:space="preserve">Themelis &amp; McGreal (2026): The descriptive and analytical claims are </w:t>
      </w:r>
      <w:proofErr w:type="gramStart"/>
      <w:r w:rsidRPr="00050F9D">
        <w:rPr>
          <w:lang w:val="en-GB"/>
        </w:rPr>
        <w:t>predominantly episteme</w:t>
      </w:r>
      <w:proofErr w:type="gramEnd"/>
      <w:r w:rsidRPr="00050F9D">
        <w:rPr>
          <w:lang w:val="en-GB"/>
        </w:rPr>
        <w:t xml:space="preserve"> — empirically sourced, legally verified, and logically derived. The normative policy recommendations are well-reasoned doxa (or phronesis): plausible and principled, but not yet epistemically established.</w:t>
      </w:r>
    </w:p>
    <w:p w14:paraId="371F91E3" w14:textId="77777777" w:rsidR="00E71816" w:rsidRPr="00050F9D" w:rsidRDefault="00000000">
      <w:pPr>
        <w:pStyle w:val="ListParagraph"/>
        <w:numPr>
          <w:ilvl w:val="0"/>
          <w:numId w:val="2"/>
        </w:numPr>
        <w:spacing w:before="60" w:after="120"/>
        <w:rPr>
          <w:lang w:val="en-GB"/>
        </w:rPr>
      </w:pPr>
      <w:r w:rsidRPr="00050F9D">
        <w:rPr>
          <w:lang w:val="en-GB"/>
        </w:rPr>
        <w:t>Both papers invoke the doxa/episteme distinction without fully subjecting their own arguments to it. That is an opportunity for academic self-reflection rather than a criticism: the standard is exacting, and most policy-relevant scholarship operates in the space between opinion and knowledge.</w:t>
      </w:r>
    </w:p>
    <w:p w14:paraId="512C85AF" w14:textId="77777777" w:rsidR="00E71816" w:rsidRPr="00050F9D" w:rsidRDefault="00000000">
      <w:pPr>
        <w:spacing w:before="120" w:after="200"/>
        <w:rPr>
          <w:lang w:val="en-GB"/>
        </w:rPr>
      </w:pPr>
      <w:r w:rsidRPr="00050F9D">
        <w:rPr>
          <w:i/>
          <w:iCs/>
          <w:lang w:val="en-GB"/>
        </w:rPr>
        <w:t>The genuinely epistemic contribution of this exchange — and the reason it merits publication — is that it forces academic publishing to apply its own stated epistemological standards to the tools and practices it now governs. That is a valuable and timely intervention, regardless of which side of the policy debate one finds more persuasive.</w:t>
      </w:r>
    </w:p>
    <w:p w14:paraId="34116AB5" w14:textId="77777777" w:rsidR="00E71816" w:rsidRPr="00050F9D" w:rsidRDefault="00000000">
      <w:pPr>
        <w:pBdr>
          <w:top w:val="single" w:sz="4" w:space="1" w:color="AAAAAA"/>
        </w:pBdr>
        <w:spacing w:before="240" w:after="80"/>
        <w:rPr>
          <w:lang w:val="en-GB"/>
        </w:rPr>
      </w:pPr>
      <w:r w:rsidRPr="00050F9D">
        <w:rPr>
          <w:b/>
          <w:bCs/>
          <w:color w:val="555555"/>
          <w:sz w:val="19"/>
          <w:szCs w:val="19"/>
          <w:lang w:val="en-GB"/>
        </w:rPr>
        <w:t>Analytical note</w:t>
      </w:r>
    </w:p>
    <w:p w14:paraId="1B377D52" w14:textId="77777777" w:rsidR="00E71816" w:rsidRPr="00050F9D" w:rsidRDefault="00000000">
      <w:pPr>
        <w:spacing w:after="60"/>
        <w:rPr>
          <w:lang w:val="en-GB"/>
        </w:rPr>
      </w:pPr>
      <w:r w:rsidRPr="00050F9D">
        <w:rPr>
          <w:i/>
          <w:iCs/>
          <w:color w:val="777777"/>
          <w:sz w:val="18"/>
          <w:szCs w:val="18"/>
          <w:lang w:val="en-GB"/>
        </w:rPr>
        <w:t xml:space="preserve">This analysis is based exclusively on the text of Themelis &amp; McGreal (2026) as provided. The full text of Jandrić (2026) was not directly accessible; Jandrić's arguments are assessed as represented and quoted within the response paper. </w:t>
      </w:r>
      <w:proofErr w:type="gramStart"/>
      <w:r w:rsidRPr="00050F9D">
        <w:rPr>
          <w:i/>
          <w:iCs/>
          <w:color w:val="777777"/>
          <w:sz w:val="18"/>
          <w:szCs w:val="18"/>
          <w:lang w:val="en-GB"/>
        </w:rPr>
        <w:t>The analysis was conducted by Claude (Anthropic, claude-sonnet-4-20250514)</w:t>
      </w:r>
      <w:proofErr w:type="gramEnd"/>
      <w:r w:rsidRPr="00050F9D">
        <w:rPr>
          <w:i/>
          <w:iCs/>
          <w:color w:val="777777"/>
          <w:sz w:val="18"/>
          <w:szCs w:val="18"/>
          <w:lang w:val="en-GB"/>
        </w:rPr>
        <w:t xml:space="preserve"> in accordance with the prompt supplied by the authors, who take full responsibility for the framing and use of this output.</w:t>
      </w:r>
    </w:p>
    <w:sectPr w:rsidR="00E71816" w:rsidRPr="00050F9D">
      <w:pgSz w:w="11906" w:h="16838"/>
      <w:pgMar w:top="1440" w:right="1260" w:bottom="1440" w:left="126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1A63A3"/>
    <w:multiLevelType w:val="hybridMultilevel"/>
    <w:tmpl w:val="6BA40806"/>
    <w:lvl w:ilvl="0" w:tplc="0A968FE6">
      <w:start w:val="1"/>
      <w:numFmt w:val="bullet"/>
      <w:lvlText w:val="●"/>
      <w:lvlJc w:val="left"/>
      <w:pPr>
        <w:ind w:left="720" w:hanging="360"/>
      </w:pPr>
    </w:lvl>
    <w:lvl w:ilvl="1" w:tplc="E24883D6">
      <w:start w:val="1"/>
      <w:numFmt w:val="bullet"/>
      <w:lvlText w:val="○"/>
      <w:lvlJc w:val="left"/>
      <w:pPr>
        <w:ind w:left="1440" w:hanging="360"/>
      </w:pPr>
    </w:lvl>
    <w:lvl w:ilvl="2" w:tplc="35509610">
      <w:start w:val="1"/>
      <w:numFmt w:val="bullet"/>
      <w:lvlText w:val="■"/>
      <w:lvlJc w:val="left"/>
      <w:pPr>
        <w:ind w:left="2160" w:hanging="360"/>
      </w:pPr>
    </w:lvl>
    <w:lvl w:ilvl="3" w:tplc="8F986326">
      <w:start w:val="1"/>
      <w:numFmt w:val="bullet"/>
      <w:lvlText w:val="●"/>
      <w:lvlJc w:val="left"/>
      <w:pPr>
        <w:ind w:left="2880" w:hanging="360"/>
      </w:pPr>
    </w:lvl>
    <w:lvl w:ilvl="4" w:tplc="343C35C0">
      <w:start w:val="1"/>
      <w:numFmt w:val="bullet"/>
      <w:lvlText w:val="○"/>
      <w:lvlJc w:val="left"/>
      <w:pPr>
        <w:ind w:left="3600" w:hanging="360"/>
      </w:pPr>
    </w:lvl>
    <w:lvl w:ilvl="5" w:tplc="92CE5A7A">
      <w:start w:val="1"/>
      <w:numFmt w:val="bullet"/>
      <w:lvlText w:val="■"/>
      <w:lvlJc w:val="left"/>
      <w:pPr>
        <w:ind w:left="4320" w:hanging="360"/>
      </w:pPr>
    </w:lvl>
    <w:lvl w:ilvl="6" w:tplc="8692FDDE">
      <w:start w:val="1"/>
      <w:numFmt w:val="bullet"/>
      <w:lvlText w:val="●"/>
      <w:lvlJc w:val="left"/>
      <w:pPr>
        <w:ind w:left="5040" w:hanging="360"/>
      </w:pPr>
    </w:lvl>
    <w:lvl w:ilvl="7" w:tplc="ECC86D6C">
      <w:start w:val="1"/>
      <w:numFmt w:val="bullet"/>
      <w:lvlText w:val="●"/>
      <w:lvlJc w:val="left"/>
      <w:pPr>
        <w:ind w:left="5760" w:hanging="360"/>
      </w:pPr>
    </w:lvl>
    <w:lvl w:ilvl="8" w:tplc="2214CBC4">
      <w:start w:val="1"/>
      <w:numFmt w:val="bullet"/>
      <w:lvlText w:val="●"/>
      <w:lvlJc w:val="left"/>
      <w:pPr>
        <w:ind w:left="6480" w:hanging="360"/>
      </w:pPr>
    </w:lvl>
  </w:abstractNum>
  <w:abstractNum w:abstractNumId="1" w15:restartNumberingAfterBreak="0">
    <w:nsid w:val="499B0E42"/>
    <w:multiLevelType w:val="hybridMultilevel"/>
    <w:tmpl w:val="70BA2B42"/>
    <w:lvl w:ilvl="0" w:tplc="03CC00F6">
      <w:start w:val="1"/>
      <w:numFmt w:val="bullet"/>
      <w:lvlText w:val="•"/>
      <w:lvlJc w:val="left"/>
      <w:pPr>
        <w:ind w:left="720" w:hanging="360"/>
      </w:pPr>
    </w:lvl>
    <w:lvl w:ilvl="1" w:tplc="219EFCDC">
      <w:numFmt w:val="decimal"/>
      <w:lvlText w:val=""/>
      <w:lvlJc w:val="left"/>
    </w:lvl>
    <w:lvl w:ilvl="2" w:tplc="43208DBC">
      <w:numFmt w:val="decimal"/>
      <w:lvlText w:val=""/>
      <w:lvlJc w:val="left"/>
    </w:lvl>
    <w:lvl w:ilvl="3" w:tplc="0B647B7A">
      <w:numFmt w:val="decimal"/>
      <w:lvlText w:val=""/>
      <w:lvlJc w:val="left"/>
    </w:lvl>
    <w:lvl w:ilvl="4" w:tplc="87E27326">
      <w:numFmt w:val="decimal"/>
      <w:lvlText w:val=""/>
      <w:lvlJc w:val="left"/>
    </w:lvl>
    <w:lvl w:ilvl="5" w:tplc="D912119E">
      <w:numFmt w:val="decimal"/>
      <w:lvlText w:val=""/>
      <w:lvlJc w:val="left"/>
    </w:lvl>
    <w:lvl w:ilvl="6" w:tplc="2F588814">
      <w:numFmt w:val="decimal"/>
      <w:lvlText w:val=""/>
      <w:lvlJc w:val="left"/>
    </w:lvl>
    <w:lvl w:ilvl="7" w:tplc="C73A8B18">
      <w:numFmt w:val="decimal"/>
      <w:lvlText w:val=""/>
      <w:lvlJc w:val="left"/>
    </w:lvl>
    <w:lvl w:ilvl="8" w:tplc="98F6BFFA">
      <w:numFmt w:val="decimal"/>
      <w:lvlText w:val=""/>
      <w:lvlJc w:val="left"/>
    </w:lvl>
  </w:abstractNum>
  <w:num w:numId="1" w16cid:durableId="1792475616">
    <w:abstractNumId w:val="0"/>
    <w:lvlOverride w:ilvl="0">
      <w:startOverride w:val="1"/>
    </w:lvlOverride>
  </w:num>
  <w:num w:numId="2" w16cid:durableId="13572554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816"/>
    <w:rsid w:val="00050F9D"/>
    <w:rsid w:val="004C0855"/>
    <w:rsid w:val="00700C18"/>
    <w:rsid w:val="008662BE"/>
    <w:rsid w:val="00A93006"/>
    <w:rsid w:val="00D52926"/>
    <w:rsid w:val="00E7181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DB747"/>
  <w15:docId w15:val="{5F65909A-5086-430E-97A5-E1B11FA8C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60"/>
      <w:outlineLvl w:val="0"/>
    </w:pPr>
    <w:rPr>
      <w:b/>
      <w:bCs/>
      <w:color w:val="2E4057"/>
      <w:sz w:val="30"/>
      <w:szCs w:val="30"/>
    </w:rPr>
  </w:style>
  <w:style w:type="paragraph" w:styleId="Heading2">
    <w:name w:val="heading 2"/>
    <w:uiPriority w:val="9"/>
    <w:unhideWhenUsed/>
    <w:qFormat/>
    <w:pPr>
      <w:spacing w:before="240" w:after="120"/>
      <w:outlineLvl w:val="1"/>
    </w:pPr>
    <w:rPr>
      <w:b/>
      <w:bCs/>
      <w:color w:val="1B5E20"/>
      <w:sz w:val="25"/>
      <w:szCs w:val="25"/>
    </w:rPr>
  </w:style>
  <w:style w:type="paragraph" w:styleId="Heading3">
    <w:name w:val="heading 3"/>
    <w:uiPriority w:val="9"/>
    <w:semiHidden/>
    <w:unhideWhenUsed/>
    <w:qFormat/>
    <w:pPr>
      <w:spacing w:before="180" w:after="80"/>
      <w:outlineLvl w:val="2"/>
    </w:pPr>
    <w:rPr>
      <w:b/>
      <w:bCs/>
      <w:color w:val="555555"/>
      <w:sz w:val="23"/>
      <w:szCs w:val="23"/>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2435</Words>
  <Characters>13154</Characters>
  <Application>Microsoft Office Word</Application>
  <DocSecurity>0</DocSecurity>
  <Lines>109</Lines>
  <Paragraphs>31</Paragraphs>
  <ScaleCrop>false</ScaleCrop>
  <Company/>
  <LinksUpToDate>false</LinksUpToDate>
  <CharactersWithSpaces>15558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Chryssa Themelis</cp:lastModifiedBy>
  <cp:revision>2</cp:revision>
  <dcterms:created xsi:type="dcterms:W3CDTF">2026-06-01T16:37:00Z</dcterms:created>
  <dcterms:modified xsi:type="dcterms:W3CDTF">2026-06-01T16:37:00Z</dcterms:modified>
</cp:coreProperties>
</file>