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2CA1E0B" wp14:paraId="78572AE0" wp14:textId="682FD9AD">
      <w:pPr>
        <w:spacing w:before="0" w:beforeAutospacing="off" w:after="200" w:afterAutospacing="off"/>
        <w:rPr>
          <w:rFonts w:ascii="Times" w:hAnsi="Times" w:eastAsia="Times" w:cs="Times"/>
          <w:b w:val="0"/>
          <w:bCs w:val="0"/>
          <w:i w:val="0"/>
          <w:iCs w:val="0"/>
          <w:noProof w:val="0"/>
          <w:color w:val="auto"/>
          <w:sz w:val="24"/>
          <w:szCs w:val="24"/>
          <w:lang w:val="en-GB"/>
        </w:rPr>
      </w:pPr>
      <w:r w:rsidRPr="12CA1E0B" w:rsidR="56EACEAD"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  <w:t>T</w:t>
      </w:r>
      <w:r w:rsidRPr="12CA1E0B" w:rsidR="56EACEAD"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  <w:t xml:space="preserve">able </w:t>
      </w:r>
      <w:r w:rsidRPr="12CA1E0B" w:rsidR="56EACEAD"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  <w:t>1</w:t>
      </w:r>
    </w:p>
    <w:p xmlns:wp14="http://schemas.microsoft.com/office/word/2010/wordml" w:rsidP="12CA1E0B" wp14:paraId="362434FC" wp14:textId="7FD6AF14">
      <w:pPr>
        <w:spacing w:before="0" w:beforeAutospacing="off" w:after="200" w:afterAutospacing="off"/>
        <w:rPr>
          <w:rFonts w:ascii="Times" w:hAnsi="Times" w:eastAsia="Times" w:cs="Times"/>
          <w:b w:val="0"/>
          <w:bCs w:val="0"/>
          <w:i w:val="1"/>
          <w:iCs w:val="1"/>
          <w:noProof w:val="0"/>
          <w:color w:val="auto"/>
          <w:sz w:val="24"/>
          <w:szCs w:val="24"/>
          <w:lang w:val="en-GB"/>
        </w:rPr>
      </w:pPr>
      <w:r w:rsidRPr="12CA1E0B" w:rsidR="56EACEAD">
        <w:rPr>
          <w:rFonts w:ascii="Times" w:hAnsi="Times" w:eastAsia="Times" w:cs="Times"/>
          <w:b w:val="0"/>
          <w:bCs w:val="0"/>
          <w:i w:val="1"/>
          <w:iCs w:val="1"/>
          <w:noProof w:val="0"/>
          <w:color w:val="auto"/>
          <w:sz w:val="24"/>
          <w:szCs w:val="24"/>
          <w:lang w:val="en-GB"/>
        </w:rPr>
        <w:t>Definition of Characteristics of Individuals CFIR Constructs Identified in the Study (Damschroder et al., 2022)</w:t>
      </w:r>
    </w:p>
    <w:tbl>
      <w:tblPr>
        <w:tblStyle w:val="PlainTable2"/>
        <w:bidiVisual w:val="0"/>
        <w:tblW w:w="0" w:type="auto"/>
        <w:tblLook w:val="04A0" w:firstRow="1" w:lastRow="0" w:firstColumn="1" w:lastColumn="0" w:noHBand="0" w:noVBand="1"/>
      </w:tblPr>
      <w:tblGrid>
        <w:gridCol w:w="1860"/>
        <w:gridCol w:w="6912"/>
      </w:tblGrid>
      <w:tr w:rsidR="3F509A51" w:rsidTr="12CA1E0B" w14:paraId="01ABB12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F509A51" w:rsidP="12CA1E0B" w:rsidRDefault="3F509A51" w14:paraId="00976114" w14:textId="5E246A6A">
            <w:pPr>
              <w:spacing w:before="0" w:beforeAutospacing="off" w:after="0" w:afterAutospacing="off"/>
              <w:jc w:val="center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00BDDA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Construct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F509A51" w:rsidP="12CA1E0B" w:rsidRDefault="3F509A51" w14:paraId="273BD375" w14:textId="2818E4CD">
            <w:pPr>
              <w:spacing w:before="0" w:beforeAutospacing="off" w:after="0" w:afterAutospacing="off"/>
              <w:jc w:val="center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00BDDA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 Degree to Which the Individual(s):</w:t>
            </w:r>
          </w:p>
        </w:tc>
      </w:tr>
      <w:tr w:rsidR="3F509A51" w:rsidTr="12CA1E0B" w14:paraId="5B79214A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F509A51" w:rsidP="12CA1E0B" w:rsidRDefault="3F509A51" w14:paraId="21423578" w14:textId="131DC538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00BDDA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Capability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F509A51" w:rsidP="12CA1E0B" w:rsidRDefault="3F509A51" w14:paraId="013C90B6" w14:textId="05590EBF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00BDDA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Has interpersonal competence, knowledge, and skills to fulfil their role.</w:t>
            </w:r>
          </w:p>
        </w:tc>
      </w:tr>
      <w:tr w:rsidR="3F509A51" w:rsidTr="12CA1E0B" w14:paraId="219AC1F7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F509A51" w:rsidP="12CA1E0B" w:rsidRDefault="3F509A51" w14:paraId="40DA6186" w14:textId="7F9B5AD4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00BDDA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Opportunity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F509A51" w:rsidP="12CA1E0B" w:rsidRDefault="3F509A51" w14:paraId="13312C1F" w14:textId="24366A55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00BDDA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Has availability, scope, and power to fulfil their role.</w:t>
            </w:r>
          </w:p>
        </w:tc>
      </w:tr>
      <w:tr w:rsidR="3F509A51" w:rsidTr="12CA1E0B" w14:paraId="3AC72980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F509A51" w:rsidP="12CA1E0B" w:rsidRDefault="3F509A51" w14:paraId="63395103" w14:textId="5F7876E1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00BDDA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Motivation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F509A51" w:rsidP="12CA1E0B" w:rsidRDefault="3F509A51" w14:paraId="16C695B0" w14:textId="15BC1DA0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00BDDA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Is committed to fulfilling their role.</w:t>
            </w:r>
          </w:p>
        </w:tc>
      </w:tr>
      <w:tr w:rsidR="3F509A51" w:rsidTr="12CA1E0B" w14:paraId="6EFE3DEB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F509A51" w:rsidP="12CA1E0B" w:rsidRDefault="3F509A51" w14:paraId="42D88892" w14:textId="5E4E6725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00BDDA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Need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912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F509A51" w:rsidP="12CA1E0B" w:rsidRDefault="3F509A51" w14:paraId="19A69C85" w14:textId="7802D491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00BDDA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Has deficits related to survival, well-being, or personal fulfilment, which will be addressed by implementation of the innovation.</w:t>
            </w:r>
          </w:p>
        </w:tc>
      </w:tr>
    </w:tbl>
    <w:p xmlns:wp14="http://schemas.microsoft.com/office/word/2010/wordml" w:rsidP="12CA1E0B" wp14:paraId="5E5787A5" wp14:textId="420A5837">
      <w:pPr>
        <w:rPr>
          <w:rFonts w:ascii="Times" w:hAnsi="Times" w:eastAsia="Times" w:cs="Times"/>
          <w:b w:val="0"/>
          <w:bCs w:val="0"/>
          <w:color w:val="auto"/>
        </w:rPr>
      </w:pPr>
    </w:p>
    <w:p w:rsidR="1D89475B" w:rsidP="12CA1E0B" w:rsidRDefault="1D89475B" w14:paraId="1CA028E2" w14:textId="624B634F">
      <w:pPr>
        <w:spacing w:before="0" w:beforeAutospacing="off" w:after="200" w:afterAutospacing="off"/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</w:pPr>
      <w:r w:rsidRPr="12CA1E0B" w:rsidR="1D89475B"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  <w:t xml:space="preserve">Table 2 </w:t>
      </w:r>
    </w:p>
    <w:p w:rsidR="1D89475B" w:rsidP="12CA1E0B" w:rsidRDefault="1D89475B" w14:paraId="34F4DB82" w14:textId="55D85AF4">
      <w:pPr>
        <w:spacing w:before="0" w:beforeAutospacing="off" w:after="200" w:afterAutospacing="off"/>
        <w:rPr>
          <w:rFonts w:ascii="Times" w:hAnsi="Times" w:eastAsia="Times" w:cs="Times"/>
          <w:b w:val="0"/>
          <w:bCs w:val="0"/>
          <w:i w:val="1"/>
          <w:iCs w:val="1"/>
          <w:noProof w:val="0"/>
          <w:color w:val="auto"/>
          <w:sz w:val="24"/>
          <w:szCs w:val="24"/>
          <w:lang w:val="en-GB"/>
        </w:rPr>
      </w:pPr>
      <w:r w:rsidRPr="12CA1E0B" w:rsidR="1D89475B">
        <w:rPr>
          <w:rFonts w:ascii="Times" w:hAnsi="Times" w:eastAsia="Times" w:cs="Times"/>
          <w:b w:val="0"/>
          <w:bCs w:val="0"/>
          <w:i w:val="1"/>
          <w:iCs w:val="1"/>
          <w:noProof w:val="0"/>
          <w:color w:val="auto"/>
          <w:sz w:val="24"/>
          <w:szCs w:val="24"/>
          <w:lang w:val="en-GB"/>
        </w:rPr>
        <w:t>Definition of Inner Setting CFIR Constructs Identified in the Study (Damschroder et al., 2022)</w:t>
      </w:r>
    </w:p>
    <w:tbl>
      <w:tblPr>
        <w:tblStyle w:val="PlainTable2"/>
        <w:bidiVisual w:val="0"/>
        <w:tblW w:w="0" w:type="auto"/>
        <w:tblLook w:val="04A0" w:firstRow="1" w:lastRow="0" w:firstColumn="1" w:lastColumn="0" w:noHBand="0" w:noVBand="1"/>
      </w:tblPr>
      <w:tblGrid>
        <w:gridCol w:w="3114"/>
        <w:gridCol w:w="5901"/>
      </w:tblGrid>
      <w:tr w:rsidR="1A05B749" w:rsidTr="12CA1E0B" w14:paraId="642507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226E13CA" w14:textId="0B14516E">
            <w:pPr>
              <w:spacing w:before="0" w:beforeAutospacing="off" w:after="0" w:afterAutospacing="off"/>
              <w:jc w:val="center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Constructs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17F26F2D" w14:textId="1A4C5951">
            <w:pPr>
              <w:spacing w:before="0" w:beforeAutospacing="off" w:after="0" w:afterAutospacing="off"/>
              <w:jc w:val="center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Defined as the Degree to Which:</w:t>
            </w:r>
          </w:p>
        </w:tc>
      </w:tr>
      <w:tr w:rsidR="1A05B749" w:rsidTr="12CA1E0B" w14:paraId="587893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7747BCF6" w14:textId="6F78090D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Relational connections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6FF13EA7" w14:textId="02FEBEA3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There are high quality formal and informal relationships, networks, and teams within and across Inner Setting boundaries.</w:t>
            </w:r>
          </w:p>
        </w:tc>
      </w:tr>
      <w:tr w:rsidR="1A05B749" w:rsidTr="12CA1E0B" w14:paraId="34F88A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28411A48" w14:textId="47621E7B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Structural characteristics – work infrastructure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0ECFDE1A" w14:textId="602F41B3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Organisation of tasks and responsibilities within and between individuals and teams, and general staffing levels, support functional performance of the Inner Setting.</w:t>
            </w:r>
          </w:p>
        </w:tc>
      </w:tr>
      <w:tr w:rsidR="1A05B749" w:rsidTr="12CA1E0B" w14:paraId="0BC45C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707DB802" w14:textId="07552927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Access to knowledge &amp; information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1A223EE8" w14:textId="1123D8B4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Guidance and/or training is accessible to implement and deliver the innovation.</w:t>
            </w:r>
          </w:p>
        </w:tc>
      </w:tr>
      <w:tr w:rsidR="1A05B749" w:rsidTr="12CA1E0B" w14:paraId="2C35412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397D0F7F" w14:textId="7E04A8DB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Compatibility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256A4D59" w14:textId="7D1AEA25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 innovation fits with workflows, systems, and processes.</w:t>
            </w:r>
          </w:p>
        </w:tc>
      </w:tr>
      <w:tr w:rsidR="1A05B749" w:rsidTr="12CA1E0B" w14:paraId="6AAADB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724A351A" w14:textId="5E57B7A6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Communications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5601E6C4" w14:textId="52A202B7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There are high quality formal and informal information sharing practices within and across Inner Setting boundaries.</w:t>
            </w:r>
          </w:p>
        </w:tc>
      </w:tr>
      <w:tr w:rsidR="1A05B749" w:rsidTr="12CA1E0B" w14:paraId="43F3A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01E336BF" w14:textId="2B0A3109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Culture – deliverer centredness</w:t>
            </w:r>
          </w:p>
          <w:p w:rsidR="1A05B749" w:rsidP="12CA1E0B" w:rsidRDefault="1A05B749" w14:paraId="62830E3A" w14:textId="5C05C9CA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4788DE45" w14:textId="569DDA24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There are shared values, beliefs, and norms around caring, supporting, and addressing the needs and welfare of deliverers.</w:t>
            </w:r>
          </w:p>
        </w:tc>
      </w:tr>
      <w:tr w:rsidR="1A05B749" w:rsidTr="12CA1E0B" w14:paraId="5A7C1C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3A7F4823" w14:textId="0340F732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Structural characteristics – </w:t>
            </w: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it</w:t>
            </w: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 infrastructure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63E4EABD" w14:textId="4364DDBC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Technological systems for tele-communication, electronic documentation, and data storage, management, reporting, and analysis support functional performance of the Inner Setting.</w:t>
            </w:r>
          </w:p>
        </w:tc>
      </w:tr>
      <w:tr w:rsidR="1A05B749" w:rsidTr="12CA1E0B" w14:paraId="675A3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3AC4F252" w14:textId="0150E812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Tension for change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2F670CB8" w14:textId="056692E1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 current situation is intolerable and needs to change.</w:t>
            </w:r>
          </w:p>
        </w:tc>
      </w:tr>
      <w:tr w:rsidR="1A05B749" w:rsidTr="12CA1E0B" w14:paraId="6A97A3A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3C6F9156" w14:textId="7F36912A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Mission alignment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48EC8E7E" w14:textId="07F101ED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Implementing and delivering the innovation is in line with the overarching commitment, purpose, or goals in the Inner Setting.</w:t>
            </w:r>
          </w:p>
        </w:tc>
      </w:tr>
      <w:tr w:rsidR="1A05B749" w:rsidTr="12CA1E0B" w14:paraId="4BA25D8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5CF8B5A9" w14:textId="28F16CF2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Incentive systems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0F614A7A" w14:textId="72716D51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Tangible and/or intangible incentives and rewards and/or disincentives and punishments support implementation and delivery of the innovation.</w:t>
            </w:r>
          </w:p>
        </w:tc>
      </w:tr>
      <w:tr w:rsidR="1A05B749" w:rsidTr="12CA1E0B" w14:paraId="565D76E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563ACA75" w14:textId="65404183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Critical incidents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5F968563" w14:textId="328925AF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Unanticipated events disrupt implementation of the innovation.</w:t>
            </w:r>
          </w:p>
        </w:tc>
      </w:tr>
      <w:tr w:rsidR="1A05B749" w:rsidTr="12CA1E0B" w14:paraId="05F5FA3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3B9289BA" w14:textId="776197FA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Structural characteristics – physical infrastructure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3C2E1AC4" w14:textId="5B3EFDC4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Layout and configuration of space and other tangible material features support functional performance of the Inner Setting.</w:t>
            </w:r>
          </w:p>
        </w:tc>
      </w:tr>
      <w:tr w:rsidR="1A05B749" w:rsidTr="12CA1E0B" w14:paraId="7684BF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5B05CD3D" w14:textId="08D28FEE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Available resources – funding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01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49869517" w14:textId="0C82F09B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Funding is available to implement and deliver the innovation.</w:t>
            </w:r>
          </w:p>
        </w:tc>
      </w:tr>
    </w:tbl>
    <w:p w:rsidR="1A05B749" w:rsidP="12CA1E0B" w:rsidRDefault="1A05B749" w14:paraId="5F51C69D" w14:textId="4E0D71CA">
      <w:pPr>
        <w:bidi w:val="0"/>
        <w:spacing w:before="0" w:beforeAutospacing="off" w:after="0" w:afterAutospacing="off"/>
        <w:rPr>
          <w:rFonts w:ascii="Times" w:hAnsi="Times" w:eastAsia="Times" w:cs="Times"/>
          <w:b w:val="0"/>
          <w:bCs w:val="0"/>
          <w:color w:val="auto"/>
        </w:rPr>
      </w:pPr>
    </w:p>
    <w:p w:rsidR="20009583" w:rsidP="12CA1E0B" w:rsidRDefault="20009583" w14:paraId="4B681C92" w14:textId="0E8A354A">
      <w:pPr>
        <w:spacing w:before="0" w:beforeAutospacing="off" w:after="200" w:afterAutospacing="off"/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</w:pPr>
      <w:r w:rsidRPr="12CA1E0B" w:rsidR="20009583"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  <w:t xml:space="preserve">Table </w:t>
      </w:r>
      <w:r w:rsidRPr="12CA1E0B" w:rsidR="71179FCF"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  <w:t>3</w:t>
      </w:r>
    </w:p>
    <w:p w:rsidR="20009583" w:rsidP="12CA1E0B" w:rsidRDefault="20009583" w14:paraId="70D24043" w14:textId="23F7F4BF">
      <w:pPr>
        <w:spacing w:before="0" w:beforeAutospacing="off" w:after="200" w:afterAutospacing="off"/>
        <w:rPr>
          <w:rFonts w:ascii="Times" w:hAnsi="Times" w:eastAsia="Times" w:cs="Times"/>
          <w:i w:val="1"/>
          <w:iCs w:val="1"/>
          <w:noProof w:val="0"/>
          <w:color w:val="auto"/>
          <w:sz w:val="24"/>
          <w:szCs w:val="24"/>
          <w:lang w:val="en-GB"/>
        </w:rPr>
      </w:pPr>
      <w:r w:rsidRPr="12CA1E0B" w:rsidR="20009583">
        <w:rPr>
          <w:rFonts w:ascii="Times" w:hAnsi="Times" w:eastAsia="Times" w:cs="Times"/>
          <w:i w:val="1"/>
          <w:iCs w:val="1"/>
          <w:noProof w:val="0"/>
          <w:color w:val="auto"/>
          <w:sz w:val="24"/>
          <w:szCs w:val="24"/>
          <w:lang w:val="en-GB"/>
        </w:rPr>
        <w:t>Definition of Innovation CFIR Constructs Identified in the Study (Damschroder et al., 2022)</w:t>
      </w:r>
    </w:p>
    <w:tbl>
      <w:tblPr>
        <w:tblStyle w:val="PlainTable2"/>
        <w:bidiVisual w:val="0"/>
        <w:tblW w:w="0" w:type="auto"/>
        <w:tblLook w:val="04A0" w:firstRow="1" w:lastRow="0" w:firstColumn="1" w:lastColumn="0" w:noHBand="0" w:noVBand="1"/>
      </w:tblPr>
      <w:tblGrid>
        <w:gridCol w:w="2127"/>
        <w:gridCol w:w="6803"/>
      </w:tblGrid>
      <w:tr w:rsidR="1A05B749" w:rsidTr="12CA1E0B" w14:paraId="67C54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79CC8812" w14:textId="6DA97EEA">
            <w:pPr>
              <w:spacing w:before="0" w:beforeAutospacing="off" w:after="0" w:afterAutospacing="off"/>
              <w:jc w:val="center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Construct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0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7629A14B" w14:textId="57C8A0CF">
            <w:pPr>
              <w:spacing w:before="0" w:beforeAutospacing="off" w:after="0" w:afterAutospacing="off"/>
              <w:jc w:val="center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Defined as the Degree to Which:</w:t>
            </w:r>
          </w:p>
        </w:tc>
      </w:tr>
      <w:tr w:rsidR="1A05B749" w:rsidTr="12CA1E0B" w14:paraId="76D2F5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341A55DF" w14:textId="48920B4F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Relative advantage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0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39644DC3" w14:textId="73DD5908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 innovation is better than other available innovations or current practice.</w:t>
            </w:r>
          </w:p>
        </w:tc>
      </w:tr>
      <w:tr w:rsidR="1A05B749" w:rsidTr="12CA1E0B" w14:paraId="0D3363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3D123D1F" w14:textId="3C0CBD78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Design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03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42C60270" w14:textId="4FD69C6B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 innovation is well designed and packaged, including how it is assembled, bundled, and presented.</w:t>
            </w:r>
          </w:p>
        </w:tc>
      </w:tr>
      <w:tr w:rsidR="1A05B749" w:rsidTr="12CA1E0B" w14:paraId="72933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1B0956F5" w14:textId="390E5955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Evidence-base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0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3C8A3D36" w14:textId="7854D0C3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 innovation has robust evidence supporting its effectiveness.</w:t>
            </w:r>
          </w:p>
        </w:tc>
      </w:tr>
      <w:tr w:rsidR="1A05B749" w:rsidTr="12CA1E0B" w14:paraId="7B5E1A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17ECC8E5" w14:textId="62AE030B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Complexity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03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4AD75EFB" w14:textId="501476B7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 innovation is complicated, which may be reflected by its scope and/or the nature and number of connections and steps.</w:t>
            </w:r>
          </w:p>
        </w:tc>
      </w:tr>
      <w:tr w:rsidR="1A05B749" w:rsidTr="12CA1E0B" w14:paraId="0C49D2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117E0331" w14:textId="3DB1EB88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Adaptability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0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6A5E7CAE" w14:textId="65FD6744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The innovation can be </w:t>
            </w: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modified</w:t>
            </w: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, tailored, or refined to fit local context or needs.</w:t>
            </w:r>
          </w:p>
        </w:tc>
      </w:tr>
      <w:tr w:rsidR="1A05B749" w:rsidTr="12CA1E0B" w14:paraId="52B5814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680F8F11" w14:textId="6C23B231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Source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0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A05B749" w:rsidP="12CA1E0B" w:rsidRDefault="1A05B749" w14:paraId="5774C1D7" w14:textId="0EAF07A0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4475601A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The group that developed and/or visibly sponsored use of the innovation is reputable, credible, and/or trustable.</w:t>
            </w:r>
          </w:p>
        </w:tc>
      </w:tr>
    </w:tbl>
    <w:p w:rsidR="1A05B749" w:rsidP="12CA1E0B" w:rsidRDefault="1A05B749" w14:paraId="6C08A439" w14:textId="3E67678A">
      <w:pPr>
        <w:rPr>
          <w:rFonts w:ascii="Times" w:hAnsi="Times" w:eastAsia="Times" w:cs="Times"/>
          <w:b w:val="0"/>
          <w:bCs w:val="0"/>
          <w:color w:val="auto"/>
        </w:rPr>
      </w:pPr>
    </w:p>
    <w:p w:rsidR="6CEEEAE9" w:rsidP="12CA1E0B" w:rsidRDefault="6CEEEAE9" w14:paraId="75A1D74D" w14:textId="7441A003">
      <w:pPr>
        <w:spacing w:before="0" w:beforeAutospacing="off" w:after="200" w:afterAutospacing="off"/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</w:pPr>
      <w:r w:rsidRPr="12CA1E0B" w:rsidR="6CEEEAE9"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  <w:t xml:space="preserve">Table </w:t>
      </w:r>
      <w:r w:rsidRPr="12CA1E0B" w:rsidR="18BA3821"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  <w:t>4</w:t>
      </w:r>
    </w:p>
    <w:p w:rsidR="6CEEEAE9" w:rsidP="12CA1E0B" w:rsidRDefault="6CEEEAE9" w14:paraId="09F8C955" w14:textId="6833687E">
      <w:pPr>
        <w:spacing w:before="0" w:beforeAutospacing="off" w:after="200" w:afterAutospacing="off"/>
        <w:rPr>
          <w:rFonts w:ascii="Times" w:hAnsi="Times" w:eastAsia="Times" w:cs="Times"/>
          <w:i w:val="1"/>
          <w:iCs w:val="1"/>
          <w:noProof w:val="0"/>
          <w:color w:val="auto"/>
          <w:sz w:val="24"/>
          <w:szCs w:val="24"/>
          <w:lang w:val="en-GB"/>
        </w:rPr>
      </w:pPr>
      <w:r w:rsidRPr="12CA1E0B" w:rsidR="6CEEEAE9">
        <w:rPr>
          <w:rFonts w:ascii="Times" w:hAnsi="Times" w:eastAsia="Times" w:cs="Times"/>
          <w:i w:val="1"/>
          <w:iCs w:val="1"/>
          <w:noProof w:val="0"/>
          <w:color w:val="auto"/>
          <w:sz w:val="24"/>
          <w:szCs w:val="24"/>
          <w:lang w:val="en-GB"/>
        </w:rPr>
        <w:t>Definition of Implementation Process CFIR Constructs Identified in the Study (Damschroder et al., 2022)</w:t>
      </w:r>
    </w:p>
    <w:tbl>
      <w:tblPr>
        <w:tblStyle w:val="PlainTable2"/>
        <w:bidiVisual w:val="0"/>
        <w:tblW w:w="0" w:type="auto"/>
        <w:tblLook w:val="04A0" w:firstRow="1" w:lastRow="0" w:firstColumn="1" w:lastColumn="0" w:noHBand="0" w:noVBand="1"/>
      </w:tblPr>
      <w:tblGrid>
        <w:gridCol w:w="2972"/>
        <w:gridCol w:w="6043"/>
      </w:tblGrid>
      <w:tr w:rsidR="12CA1E0B" w:rsidTr="12CA1E0B" w14:paraId="073A7B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5B6246CB" w14:textId="2850C438">
            <w:pPr>
              <w:spacing w:before="0" w:beforeAutospacing="off" w:after="0" w:afterAutospacing="off"/>
              <w:jc w:val="center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Construct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4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567A9D68" w14:textId="1F3B8C32">
            <w:pPr>
              <w:spacing w:before="0" w:beforeAutospacing="off" w:after="0" w:afterAutospacing="off"/>
              <w:jc w:val="center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Defined as the Extent to Which Individuals:</w:t>
            </w:r>
          </w:p>
        </w:tc>
      </w:tr>
      <w:tr w:rsidR="12CA1E0B" w:rsidTr="12CA1E0B" w14:paraId="71A43C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48A51C07" w14:textId="5458152F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Engaging – deliverers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4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12BDC113" w14:textId="1103B81F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Are engaged to deliver the innovation.</w:t>
            </w:r>
          </w:p>
        </w:tc>
      </w:tr>
      <w:tr w:rsidR="12CA1E0B" w:rsidTr="12CA1E0B" w14:paraId="33B11D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54A66E18" w14:textId="0A13BFE4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Engaging – recipients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43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04664565" w14:textId="6133C37A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Are engaged to </w:t>
            </w: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participate</w:t>
            </w: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 in the innovation.</w:t>
            </w:r>
          </w:p>
        </w:tc>
      </w:tr>
      <w:tr w:rsidR="12CA1E0B" w:rsidTr="12CA1E0B" w14:paraId="7E62967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211B9834" w14:textId="47AA24A5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Teaming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4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78CBE9A0" w14:textId="2D09C5C1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Intentionally coordinate and collaborate to implement the innovation.</w:t>
            </w:r>
          </w:p>
        </w:tc>
      </w:tr>
      <w:tr w:rsidR="12CA1E0B" w:rsidTr="12CA1E0B" w14:paraId="106BA9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4D986063" w14:textId="03657FBE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Planning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43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2311FA58" w14:textId="17EB2712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Identify</w:t>
            </w: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 roles and responsibilities, outline specific steps and milestones, and define goals and measures for implementation success in advance.</w:t>
            </w:r>
          </w:p>
        </w:tc>
      </w:tr>
      <w:tr w:rsidR="12CA1E0B" w:rsidTr="12CA1E0B" w14:paraId="4F0F3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1271091D" w14:textId="1BD8844D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Tailoring strategies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4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06EA145B" w14:textId="480E440E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Choose and operationalise implementation strategies to address barriers, leverage facilitators, and fit context.</w:t>
            </w:r>
          </w:p>
        </w:tc>
      </w:tr>
      <w:tr w:rsidR="12CA1E0B" w:rsidTr="12CA1E0B" w14:paraId="04145B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3BF455A5" w14:textId="13027B5C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Reflecting &amp; evaluating – innovation</w:t>
            </w:r>
          </w:p>
          <w:p w:rsidR="12CA1E0B" w:rsidP="12CA1E0B" w:rsidRDefault="12CA1E0B" w14:paraId="03DA8C09" w14:textId="38FBB105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43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687D12BF" w14:textId="6A578151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Collect and discuss quantitative and qualitative information about the success of the innovation.</w:t>
            </w:r>
          </w:p>
        </w:tc>
      </w:tr>
      <w:tr w:rsidR="12CA1E0B" w:rsidTr="12CA1E0B" w14:paraId="72D6C1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6144DE6B" w14:textId="20C16434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Reflecting &amp; evaluating – implementation</w:t>
            </w:r>
          </w:p>
          <w:p w:rsidR="12CA1E0B" w:rsidP="12CA1E0B" w:rsidRDefault="12CA1E0B" w14:paraId="4DC84C09" w14:textId="63A04057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4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2613B93B" w14:textId="04949A0A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Collect and discuss quantitative and qualitative information about the success of implementation.</w:t>
            </w:r>
          </w:p>
        </w:tc>
      </w:tr>
      <w:tr w:rsidR="12CA1E0B" w:rsidTr="12CA1E0B" w14:paraId="5CA915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2FD70A4A" w14:textId="7F2FA061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Assessing context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43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067DE769" w14:textId="2CC800ED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Collect information to </w:t>
            </w: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identify</w:t>
            </w: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 and appraise barriers and facilitators to implementation and delivery of the innovation.</w:t>
            </w:r>
          </w:p>
        </w:tc>
      </w:tr>
      <w:tr w:rsidR="12CA1E0B" w:rsidTr="12CA1E0B" w14:paraId="7FC9F6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520F8F42" w14:textId="7D9A7292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Adapting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43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6038B78F" w14:textId="3D6D53E0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Modify the innovation and/or the Inner Setting for </w:t>
            </w: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optimal</w:t>
            </w: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 fit and integration into work processes.</w:t>
            </w:r>
          </w:p>
        </w:tc>
      </w:tr>
    </w:tbl>
    <w:p w:rsidR="12CA1E0B" w:rsidP="12CA1E0B" w:rsidRDefault="12CA1E0B" w14:paraId="72F8D9FE" w14:textId="53F0FA31">
      <w:pPr>
        <w:rPr>
          <w:rFonts w:ascii="Times" w:hAnsi="Times" w:eastAsia="Times" w:cs="Times"/>
          <w:b w:val="0"/>
          <w:bCs w:val="0"/>
          <w:color w:val="auto"/>
        </w:rPr>
      </w:pPr>
    </w:p>
    <w:p w:rsidR="16D7588D" w:rsidP="12CA1E0B" w:rsidRDefault="16D7588D" w14:paraId="0E474693" w14:textId="63D76A99">
      <w:pPr>
        <w:spacing w:before="0" w:beforeAutospacing="off" w:after="200" w:afterAutospacing="off"/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</w:pPr>
      <w:r w:rsidRPr="12CA1E0B" w:rsidR="16D7588D"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  <w:t xml:space="preserve">Table </w:t>
      </w:r>
      <w:r w:rsidRPr="12CA1E0B" w:rsidR="61B7B314">
        <w:rPr>
          <w:rFonts w:ascii="Times" w:hAnsi="Times" w:eastAsia="Times" w:cs="Times"/>
          <w:b w:val="1"/>
          <w:bCs w:val="1"/>
          <w:i w:val="0"/>
          <w:iCs w:val="0"/>
          <w:noProof w:val="0"/>
          <w:color w:val="auto"/>
          <w:sz w:val="24"/>
          <w:szCs w:val="24"/>
          <w:lang w:val="en-GB"/>
        </w:rPr>
        <w:t>5</w:t>
      </w:r>
    </w:p>
    <w:p w:rsidR="16D7588D" w:rsidP="12CA1E0B" w:rsidRDefault="16D7588D" w14:paraId="5C5F814A" w14:textId="08BBBDB3">
      <w:pPr>
        <w:spacing w:before="0" w:beforeAutospacing="off" w:after="200" w:afterAutospacing="off"/>
        <w:rPr>
          <w:rFonts w:ascii="Times" w:hAnsi="Times" w:eastAsia="Times" w:cs="Times"/>
          <w:i w:val="1"/>
          <w:iCs w:val="1"/>
          <w:noProof w:val="0"/>
          <w:color w:val="auto"/>
          <w:sz w:val="24"/>
          <w:szCs w:val="24"/>
          <w:lang w:val="en-GB"/>
        </w:rPr>
      </w:pPr>
      <w:r w:rsidRPr="12CA1E0B" w:rsidR="16D7588D">
        <w:rPr>
          <w:rFonts w:ascii="Times" w:hAnsi="Times" w:eastAsia="Times" w:cs="Times"/>
          <w:i w:val="1"/>
          <w:iCs w:val="1"/>
          <w:noProof w:val="0"/>
          <w:color w:val="auto"/>
          <w:sz w:val="24"/>
          <w:szCs w:val="24"/>
          <w:lang w:val="en-GB"/>
        </w:rPr>
        <w:t xml:space="preserve">Definition of Outer Setting CFIR Constructs Identified in the Study </w:t>
      </w:r>
    </w:p>
    <w:tbl>
      <w:tblPr>
        <w:tblStyle w:val="PlainTable2"/>
        <w:bidiVisual w:val="0"/>
        <w:tblW w:w="0" w:type="auto"/>
        <w:tblLook w:val="0420" w:firstRow="1" w:lastRow="0" w:firstColumn="0" w:lastColumn="0" w:noHBand="0" w:noVBand="1"/>
      </w:tblPr>
      <w:tblGrid>
        <w:gridCol w:w="2405"/>
        <w:gridCol w:w="6610"/>
      </w:tblGrid>
      <w:tr w:rsidR="12CA1E0B" w:rsidTr="12CA1E0B" w14:paraId="1B1AD49D">
        <w:trPr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32050E68" w14:textId="2FE79D7C">
            <w:pPr>
              <w:spacing w:before="0" w:beforeAutospacing="off" w:after="0" w:afterAutospacing="off"/>
              <w:jc w:val="center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Construct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10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7BA40FC1" w14:textId="6BFEB1D9">
            <w:pPr>
              <w:spacing w:before="0" w:beforeAutospacing="off" w:after="0" w:afterAutospacing="off"/>
              <w:jc w:val="center"/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b w:val="0"/>
                <w:bCs w:val="0"/>
                <w:color w:val="auto"/>
                <w:sz w:val="24"/>
                <w:szCs w:val="24"/>
                <w:lang w:val="en-GB"/>
              </w:rPr>
              <w:t>Defined as the Extent to Which:</w:t>
            </w:r>
          </w:p>
        </w:tc>
      </w:tr>
      <w:tr w:rsidR="12CA1E0B" w:rsidTr="12CA1E0B" w14:paraId="0500EE2E">
        <w:trPr>
          <w:trHeight w:val="885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57FC7EAE" w14:textId="11938E3B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 xml:space="preserve">Policies and laws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10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38DE7E7F" w14:textId="3FC3423E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>Legislation, regulations, professional group guidelines and recommendations, or accreditation standards support implementation of the innovation.</w:t>
            </w:r>
          </w:p>
        </w:tc>
      </w:tr>
      <w:tr w:rsidR="12CA1E0B" w:rsidTr="12CA1E0B" w14:paraId="36F12F52">
        <w:trPr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44EDB462" w14:textId="5CCAA16C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 xml:space="preserve">Partnerships and connections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10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3FC02C4B" w14:textId="060A1054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>The Inner Setting is networked with external entities, including referral networks, academic affiliations, and professional organisation networks.</w:t>
            </w:r>
          </w:p>
        </w:tc>
      </w:tr>
      <w:tr w:rsidR="12CA1E0B" w:rsidTr="12CA1E0B" w14:paraId="26226B2C">
        <w:trPr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75F8C197" w14:textId="29DC0AB3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>Local conditions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10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78C99F3D" w14:textId="5BB88A08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>Economic, environmental, political, and/or technological conditions enable the Outer Setting to support implementation of the innovation.</w:t>
            </w:r>
          </w:p>
        </w:tc>
      </w:tr>
      <w:tr w:rsidR="12CA1E0B" w:rsidTr="12CA1E0B" w14:paraId="43CD4EA6">
        <w:trPr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6C542B5F" w14:textId="68EB11E2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 xml:space="preserve">Critical incidents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10" w:type="dxa"/>
            <w:tcBorders>
              <w:top w:val="single" w:color="7F7F7F" w:themeColor="text1" w:themeTint="80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1A64BE9A" w14:textId="6AF0199A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>Large-scale and/or unanticipated events disrupt implementation of the innovation.</w:t>
            </w:r>
          </w:p>
          <w:p w:rsidR="12CA1E0B" w:rsidP="12CA1E0B" w:rsidRDefault="12CA1E0B" w14:paraId="25704063" w14:textId="0C9FB075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 xml:space="preserve"> </w:t>
            </w:r>
          </w:p>
        </w:tc>
      </w:tr>
      <w:tr w:rsidR="12CA1E0B" w:rsidTr="12CA1E0B" w14:paraId="698D5518">
        <w:trPr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2289B83B" w14:textId="3BBD0C24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>Local attitudes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10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0D55206A" w14:textId="76FF1552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>Sociocultural values (e.g., shared responsibility in helping recipients) and beliefs (e.g., convictions about the worthiness of recipients) encourage the Outer Setting to support implementation of the innovation.</w:t>
            </w:r>
          </w:p>
        </w:tc>
      </w:tr>
      <w:tr w:rsidR="12CA1E0B" w:rsidTr="12CA1E0B" w14:paraId="4D32A5CF">
        <w:trPr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343B10AC" w14:textId="3E1C6B42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>External pressure – performance measurement pressure</w:t>
            </w:r>
          </w:p>
          <w:p w:rsidR="12CA1E0B" w:rsidP="12CA1E0B" w:rsidRDefault="12CA1E0B" w14:paraId="37A933C1" w14:textId="3838778D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10" w:type="dxa"/>
            <w:tcBorders>
              <w:top w:val="single" w:color="7F7F7F" w:themeColor="text1" w:themeTint="80" w:sz="8"/>
              <w:left w:val="nil"/>
              <w:bottom w:val="single" w:color="7F7F7F" w:themeColor="text1" w:themeTint="80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2CA1E0B" w:rsidP="12CA1E0B" w:rsidRDefault="12CA1E0B" w14:paraId="52C46DA1" w14:textId="4E08116B">
            <w:pPr>
              <w:spacing w:before="0" w:beforeAutospacing="off" w:after="0" w:afterAutospacing="off"/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</w:pP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 xml:space="preserve">Quality or benchmarking metrics or </w:t>
            </w: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>established</w:t>
            </w:r>
            <w:r w:rsidRPr="12CA1E0B" w:rsidR="12CA1E0B">
              <w:rPr>
                <w:rFonts w:ascii="Times" w:hAnsi="Times" w:eastAsia="Times" w:cs="Times"/>
                <w:color w:val="auto"/>
                <w:sz w:val="24"/>
                <w:szCs w:val="24"/>
                <w:lang w:val="en-GB"/>
              </w:rPr>
              <w:t xml:space="preserve"> service goals drive implementation of the innovation.</w:t>
            </w:r>
          </w:p>
        </w:tc>
      </w:tr>
    </w:tbl>
    <w:p w:rsidR="12CA1E0B" w:rsidP="12CA1E0B" w:rsidRDefault="12CA1E0B" w14:paraId="1E7C728E" w14:textId="393F9ED5">
      <w:pPr>
        <w:rPr>
          <w:rFonts w:ascii="Times" w:hAnsi="Times" w:eastAsia="Times" w:cs="Times"/>
          <w:b w:val="0"/>
          <w:bCs w:val="0"/>
          <w:color w:val="auto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2A4084"/>
    <w:rsid w:val="100BDDAA"/>
    <w:rsid w:val="12CA1E0B"/>
    <w:rsid w:val="16D7588D"/>
    <w:rsid w:val="18BA3821"/>
    <w:rsid w:val="1A05B749"/>
    <w:rsid w:val="1D89475B"/>
    <w:rsid w:val="1FF13411"/>
    <w:rsid w:val="20009583"/>
    <w:rsid w:val="262A4084"/>
    <w:rsid w:val="26EABE45"/>
    <w:rsid w:val="3F509A51"/>
    <w:rsid w:val="4475601A"/>
    <w:rsid w:val="4B0C5E37"/>
    <w:rsid w:val="4B0C5E37"/>
    <w:rsid w:val="56EACEAD"/>
    <w:rsid w:val="61B7B314"/>
    <w:rsid w:val="6CEEEAE9"/>
    <w:rsid w:val="71179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A4084"/>
  <w15:chartTrackingRefBased/>
  <w15:docId w15:val="{4B1CA1E1-8B50-4F69-B278-A5FD8079E2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PlainTable2" mc:Ignorable="w14">
    <w:name xmlns:w="http://schemas.openxmlformats.org/wordprocessingml/2006/main" w:val="Plain Table 2"/>
    <w:basedOn xmlns:w="http://schemas.openxmlformats.org/wordprocessingml/2006/main" w:val="TableNormal"/>
    <w:uiPriority xmlns:w="http://schemas.openxmlformats.org/wordprocessingml/2006/main" w:val="42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5EE78D308434F8A1B97611D18289D" ma:contentTypeVersion="16" ma:contentTypeDescription="Create a new document." ma:contentTypeScope="" ma:versionID="b28fe3a9a3d9c563b7fa2930f2de2ce6">
  <xsd:schema xmlns:xsd="http://www.w3.org/2001/XMLSchema" xmlns:xs="http://www.w3.org/2001/XMLSchema" xmlns:p="http://schemas.microsoft.com/office/2006/metadata/properties" xmlns:ns2="0f39bb17-3b8e-4b5f-b3a0-21d2092e29de" xmlns:ns3="0caa0c34-5e63-4f07-ae28-9478a9cd6e77" targetNamespace="http://schemas.microsoft.com/office/2006/metadata/properties" ma:root="true" ma:fieldsID="3a797b8130b93e7486239895c2e1ea3d" ns2:_="" ns3:_="">
    <xsd:import namespace="0f39bb17-3b8e-4b5f-b3a0-21d2092e29de"/>
    <xsd:import namespace="0caa0c34-5e63-4f07-ae28-9478a9cd6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Readyforreview" minOccurs="0"/>
                <xsd:element ref="ns2:Hasbeenreview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9bb17-3b8e-4b5f-b3a0-21d2092e2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de6ce19-caa1-493e-bfba-2da62677b1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Readyforreview" ma:index="22" nillable="true" ma:displayName="Ready for review" ma:format="Dropdown" ma:internalName="Readyforreview">
      <xsd:simpleType>
        <xsd:restriction base="dms:Choice">
          <xsd:enumeration value="Yes"/>
          <xsd:enumeration value="No"/>
          <xsd:enumeration value="No - waiting for peer review report"/>
          <xsd:enumeration value="Choice 4"/>
        </xsd:restriction>
      </xsd:simpleType>
    </xsd:element>
    <xsd:element name="Hasbeenreviewed" ma:index="23" nillable="true" ma:displayName="Has been reviewed" ma:format="Dropdown" ma:internalName="Hasbeenreview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 - all"/>
                    <xsd:enumeration value="No"/>
                    <xsd:enumeration value="N/a"/>
                    <xsd:enumeration value="Yes - Heather"/>
                    <xsd:enumeration value="Yes - Hele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0c34-5e63-4f07-ae28-9478a9cd6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d7dced2-f696-452b-9e6b-93929a8e535d}" ma:internalName="TaxCatchAll" ma:showField="CatchAllData" ma:web="0caa0c34-5e63-4f07-ae28-9478a9cd6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a0c34-5e63-4f07-ae28-9478a9cd6e77" xsi:nil="true"/>
    <Hasbeenreviewed xmlns="0f39bb17-3b8e-4b5f-b3a0-21d2092e29de" xsi:nil="true"/>
    <lcf76f155ced4ddcb4097134ff3c332f xmlns="0f39bb17-3b8e-4b5f-b3a0-21d2092e29de">
      <Terms xmlns="http://schemas.microsoft.com/office/infopath/2007/PartnerControls"/>
    </lcf76f155ced4ddcb4097134ff3c332f>
    <Readyforreview xmlns="0f39bb17-3b8e-4b5f-b3a0-21d2092e29de" xsi:nil="true"/>
  </documentManagement>
</p:properties>
</file>

<file path=customXml/itemProps1.xml><?xml version="1.0" encoding="utf-8"?>
<ds:datastoreItem xmlns:ds="http://schemas.openxmlformats.org/officeDocument/2006/customXml" ds:itemID="{A451330F-597B-4485-BA45-D6DD1F5F0EF7}"/>
</file>

<file path=customXml/itemProps2.xml><?xml version="1.0" encoding="utf-8"?>
<ds:datastoreItem xmlns:ds="http://schemas.openxmlformats.org/officeDocument/2006/customXml" ds:itemID="{CBCEE2E1-C186-4670-AEE7-2EAC5678A6BF}"/>
</file>

<file path=customXml/itemProps3.xml><?xml version="1.0" encoding="utf-8"?>
<ds:datastoreItem xmlns:ds="http://schemas.openxmlformats.org/officeDocument/2006/customXml" ds:itemID="{1719592D-C010-43B0-A0A5-2708791B78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Wainwright</dc:creator>
  <cp:keywords/>
  <dc:description/>
  <cp:lastModifiedBy>Hayley Wainwright</cp:lastModifiedBy>
  <cp:revision>4</cp:revision>
  <dcterms:created xsi:type="dcterms:W3CDTF">2025-11-21T07:11:50Z</dcterms:created>
  <dcterms:modified xsi:type="dcterms:W3CDTF">2025-11-21T07:16:21Z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0x0101008005EE78D308434F8A1B97611D18289D</vt:lpwstr>
  </property>
  <property fmtid="{D5CDD505-2E9C-101B-9397-08002B2CF9AE}" pid="3" name="MediaServiceImageTags">
    <vt:lpwstr/>
  </property>
</Properties>
</file>