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99E8C" w14:textId="77777777" w:rsidR="00FF5B64" w:rsidRPr="00FF5B64" w:rsidRDefault="00FF5B64" w:rsidP="00FF5B64">
      <w:pPr>
        <w:spacing w:line="480" w:lineRule="auto"/>
        <w:rPr>
          <w:b/>
          <w:bCs/>
          <w:color w:val="000000"/>
          <w:szCs w:val="22"/>
        </w:rPr>
      </w:pPr>
      <w:bookmarkStart w:id="0" w:name="OLE_LINK2"/>
      <w:r w:rsidRPr="00FF5B64">
        <w:rPr>
          <w:b/>
          <w:bCs/>
          <w:color w:val="000000" w:themeColor="text1"/>
          <w:szCs w:val="22"/>
        </w:rPr>
        <w:t>Linking Carbon Fractionation and Mineralization Potential in Young Alder and Oak Trees’ Rhizosphere Soil During the Growing Season</w:t>
      </w:r>
    </w:p>
    <w:bookmarkEnd w:id="0"/>
    <w:p w14:paraId="5BB4311B" w14:textId="77777777" w:rsidR="00FF5B64" w:rsidRPr="00FF5B64" w:rsidRDefault="00FF5B64" w:rsidP="00FF5B64">
      <w:pPr>
        <w:spacing w:line="480" w:lineRule="auto"/>
        <w:rPr>
          <w:szCs w:val="22"/>
        </w:rPr>
      </w:pPr>
    </w:p>
    <w:p w14:paraId="2ACCC741" w14:textId="77777777" w:rsidR="00FF5B64" w:rsidRPr="00FF5B64" w:rsidRDefault="00FF5B64" w:rsidP="00FF5B64">
      <w:pPr>
        <w:pStyle w:val="AuthorNames"/>
        <w:spacing w:line="480" w:lineRule="auto"/>
        <w:rPr>
          <w:sz w:val="22"/>
          <w:szCs w:val="22"/>
        </w:rPr>
      </w:pPr>
      <w:r w:rsidRPr="00FF5B64">
        <w:rPr>
          <w:sz w:val="22"/>
          <w:szCs w:val="22"/>
        </w:rPr>
        <w:t xml:space="preserve">Novalia </w:t>
      </w:r>
      <w:proofErr w:type="spellStart"/>
      <w:r w:rsidRPr="00FF5B64">
        <w:rPr>
          <w:sz w:val="22"/>
          <w:szCs w:val="22"/>
        </w:rPr>
        <w:t>Kusumarini</w:t>
      </w:r>
      <w:r w:rsidRPr="00FF5B64">
        <w:rPr>
          <w:sz w:val="22"/>
          <w:szCs w:val="22"/>
          <w:vertAlign w:val="superscript"/>
        </w:rPr>
        <w:t>ac</w:t>
      </w:r>
      <w:proofErr w:type="spellEnd"/>
      <w:r w:rsidRPr="00FF5B64">
        <w:rPr>
          <w:sz w:val="22"/>
          <w:szCs w:val="22"/>
          <w:vertAlign w:val="superscript"/>
        </w:rPr>
        <w:t>*</w:t>
      </w:r>
      <w:r w:rsidRPr="00FF5B64">
        <w:rPr>
          <w:sz w:val="22"/>
          <w:szCs w:val="22"/>
        </w:rPr>
        <w:t>, Iseult Lynch</w:t>
      </w:r>
      <w:r w:rsidRPr="00FF5B64">
        <w:rPr>
          <w:sz w:val="22"/>
          <w:szCs w:val="22"/>
          <w:vertAlign w:val="superscript"/>
        </w:rPr>
        <w:t>a</w:t>
      </w:r>
      <w:r w:rsidRPr="00FF5B64">
        <w:rPr>
          <w:sz w:val="22"/>
          <w:szCs w:val="22"/>
        </w:rPr>
        <w:t xml:space="preserve">, Liam R. </w:t>
      </w:r>
      <w:proofErr w:type="spellStart"/>
      <w:r w:rsidRPr="00FF5B64">
        <w:rPr>
          <w:sz w:val="22"/>
          <w:szCs w:val="22"/>
        </w:rPr>
        <w:t>Cox</w:t>
      </w:r>
      <w:r w:rsidRPr="00FF5B64">
        <w:rPr>
          <w:sz w:val="22"/>
          <w:szCs w:val="22"/>
          <w:vertAlign w:val="superscript"/>
        </w:rPr>
        <w:t>b</w:t>
      </w:r>
      <w:proofErr w:type="spellEnd"/>
      <w:r w:rsidRPr="00FF5B64">
        <w:rPr>
          <w:sz w:val="22"/>
          <w:szCs w:val="22"/>
        </w:rPr>
        <w:t>, Sami Ullah</w:t>
      </w:r>
      <w:r w:rsidRPr="00FF5B64">
        <w:rPr>
          <w:sz w:val="22"/>
          <w:szCs w:val="22"/>
          <w:vertAlign w:val="superscript"/>
        </w:rPr>
        <w:t>a*</w:t>
      </w:r>
    </w:p>
    <w:p w14:paraId="0D04D86A" w14:textId="77777777" w:rsidR="00FF5B64" w:rsidRPr="00FF5B64" w:rsidRDefault="00FF5B64" w:rsidP="00FF5B64">
      <w:pPr>
        <w:pStyle w:val="AuthorAffiliations"/>
        <w:spacing w:line="480" w:lineRule="auto"/>
        <w:rPr>
          <w:sz w:val="22"/>
          <w:szCs w:val="22"/>
          <w:vertAlign w:val="baseline"/>
        </w:rPr>
      </w:pPr>
      <w:r w:rsidRPr="00FF5B64">
        <w:rPr>
          <w:sz w:val="22"/>
          <w:szCs w:val="22"/>
        </w:rPr>
        <w:t xml:space="preserve">a </w:t>
      </w:r>
      <w:r w:rsidRPr="00FF5B64">
        <w:rPr>
          <w:sz w:val="22"/>
          <w:szCs w:val="22"/>
          <w:vertAlign w:val="baseline"/>
        </w:rPr>
        <w:t>School of Geography, Earth and Environmental Sciences, University of Birmingham, UK</w:t>
      </w:r>
    </w:p>
    <w:p w14:paraId="0DEF1F25" w14:textId="77777777" w:rsidR="00FF5B64" w:rsidRPr="00FF5B64" w:rsidRDefault="00FF5B64" w:rsidP="00FF5B64">
      <w:pPr>
        <w:pStyle w:val="AuthorAffiliations"/>
        <w:spacing w:line="480" w:lineRule="auto"/>
        <w:rPr>
          <w:sz w:val="22"/>
          <w:szCs w:val="22"/>
          <w:vertAlign w:val="baseline"/>
        </w:rPr>
      </w:pPr>
      <w:r w:rsidRPr="00FF5B64">
        <w:rPr>
          <w:sz w:val="22"/>
          <w:szCs w:val="22"/>
        </w:rPr>
        <w:t xml:space="preserve">b </w:t>
      </w:r>
      <w:r w:rsidRPr="00FF5B64">
        <w:rPr>
          <w:sz w:val="22"/>
          <w:szCs w:val="22"/>
          <w:vertAlign w:val="baseline"/>
        </w:rPr>
        <w:t>School of Chemistry, University of Birmingham, UK</w:t>
      </w:r>
    </w:p>
    <w:p w14:paraId="298A909B" w14:textId="77777777" w:rsidR="00FF5B64" w:rsidRPr="00FF5B64" w:rsidRDefault="00FF5B64" w:rsidP="00FF5B64">
      <w:pPr>
        <w:pStyle w:val="AuthorAffiliations"/>
        <w:spacing w:line="480" w:lineRule="auto"/>
        <w:rPr>
          <w:rStyle w:val="normaltextrun"/>
          <w:sz w:val="22"/>
          <w:szCs w:val="22"/>
          <w:vertAlign w:val="baseline"/>
        </w:rPr>
      </w:pPr>
      <w:r w:rsidRPr="00FF5B64">
        <w:rPr>
          <w:sz w:val="22"/>
          <w:szCs w:val="22"/>
        </w:rPr>
        <w:t>c</w:t>
      </w:r>
      <w:r w:rsidRPr="00FF5B64">
        <w:rPr>
          <w:sz w:val="22"/>
          <w:szCs w:val="22"/>
          <w:vertAlign w:val="baseline"/>
        </w:rPr>
        <w:t xml:space="preserve"> </w:t>
      </w:r>
      <w:r w:rsidRPr="00FF5B64">
        <w:rPr>
          <w:rStyle w:val="normaltextrun"/>
          <w:sz w:val="22"/>
          <w:szCs w:val="22"/>
          <w:vertAlign w:val="baseline"/>
        </w:rPr>
        <w:t xml:space="preserve">Faculty of Agriculture, Universitas </w:t>
      </w:r>
      <w:proofErr w:type="spellStart"/>
      <w:r w:rsidRPr="00FF5B64">
        <w:rPr>
          <w:rStyle w:val="normaltextrun"/>
          <w:sz w:val="22"/>
          <w:szCs w:val="22"/>
          <w:vertAlign w:val="baseline"/>
        </w:rPr>
        <w:t>Brawijaya</w:t>
      </w:r>
      <w:proofErr w:type="spellEnd"/>
      <w:r w:rsidRPr="00FF5B64">
        <w:rPr>
          <w:rStyle w:val="normaltextrun"/>
          <w:sz w:val="22"/>
          <w:szCs w:val="22"/>
          <w:vertAlign w:val="baseline"/>
        </w:rPr>
        <w:t>, Malang, Indonesia</w:t>
      </w:r>
    </w:p>
    <w:p w14:paraId="4C030D55" w14:textId="77777777" w:rsidR="00FF5B64" w:rsidRPr="00FF5B64" w:rsidRDefault="00FF5B64" w:rsidP="00FF5B64">
      <w:pPr>
        <w:pStyle w:val="AuthorAffiliations"/>
        <w:spacing w:line="480" w:lineRule="auto"/>
        <w:rPr>
          <w:sz w:val="22"/>
          <w:szCs w:val="22"/>
          <w:vertAlign w:val="baseline"/>
        </w:rPr>
      </w:pPr>
    </w:p>
    <w:p w14:paraId="7A683941" w14:textId="77777777" w:rsidR="00FF5B64" w:rsidRPr="00FF5B64" w:rsidRDefault="00FF5B64" w:rsidP="00FF5B64">
      <w:pPr>
        <w:pStyle w:val="Caption"/>
      </w:pPr>
      <w:r w:rsidRPr="00FF5B64">
        <w:t xml:space="preserve">Table S </w:t>
      </w:r>
      <w:r w:rsidRPr="00FF5B64">
        <w:fldChar w:fldCharType="begin"/>
      </w:r>
      <w:r w:rsidRPr="00FF5B64">
        <w:instrText xml:space="preserve"> SEQ Table_S \* ARABIC </w:instrText>
      </w:r>
      <w:r w:rsidRPr="00FF5B64">
        <w:fldChar w:fldCharType="separate"/>
      </w:r>
      <w:r w:rsidRPr="00FF5B64">
        <w:rPr>
          <w:noProof/>
        </w:rPr>
        <w:t>1</w:t>
      </w:r>
      <w:r w:rsidRPr="00FF5B64">
        <w:rPr>
          <w:noProof/>
        </w:rPr>
        <w:fldChar w:fldCharType="end"/>
      </w:r>
      <w:r w:rsidRPr="00FF5B64">
        <w:t xml:space="preserve">. FTIR vibrational assignments for soil organic matter absorbances </w:t>
      </w:r>
      <w:sdt>
        <w:sdtPr>
          <w:rPr>
            <w:color w:val="000000"/>
          </w:rPr>
          <w:tag w:val="MENDELEY_CITATION_v3_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"/>
          <w:id w:val="-1893178929"/>
          <w:placeholder>
            <w:docPart w:val="79CCD7DA3834734BBF5B5A505913C5C1"/>
          </w:placeholder>
        </w:sdtPr>
        <w:sdtContent>
          <w:r w:rsidRPr="00FF5B64">
            <w:rPr>
              <w:color w:val="000000"/>
            </w:rPr>
            <w:t>(Parikh et al. 2014)</w:t>
          </w:r>
        </w:sdtContent>
      </w:sdt>
      <w:r w:rsidRPr="00FF5B64"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3181"/>
        <w:gridCol w:w="4240"/>
      </w:tblGrid>
      <w:tr w:rsidR="00FF5B64" w:rsidRPr="00FF5B64" w14:paraId="14C33580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0B696867" w14:textId="77777777" w:rsidR="00FF5B64" w:rsidRPr="00FF5B64" w:rsidRDefault="00FF5B64" w:rsidP="00FF5B64">
            <w:pPr>
              <w:spacing w:line="48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F5B64">
              <w:rPr>
                <w:b/>
                <w:bCs/>
                <w:color w:val="000000"/>
                <w:sz w:val="21"/>
                <w:szCs w:val="21"/>
              </w:rPr>
              <w:t>Wavenumber (cm</w:t>
            </w:r>
            <w:r w:rsidRPr="00FF5B64">
              <w:rPr>
                <w:rFonts w:ascii="Cambria Math" w:hAnsi="Cambria Math" w:cs="Cambria Math"/>
                <w:b/>
                <w:bCs/>
                <w:color w:val="000000"/>
                <w:sz w:val="21"/>
                <w:szCs w:val="21"/>
              </w:rPr>
              <w:t>⁻</w:t>
            </w:r>
            <w:r w:rsidRPr="00FF5B64">
              <w:rPr>
                <w:b/>
                <w:bCs/>
                <w:color w:val="000000"/>
                <w:sz w:val="21"/>
                <w:szCs w:val="21"/>
              </w:rPr>
              <w:t>¹)</w:t>
            </w:r>
          </w:p>
        </w:tc>
        <w:tc>
          <w:tcPr>
            <w:tcW w:w="1814" w:type="pct"/>
            <w:noWrap/>
            <w:vAlign w:val="center"/>
            <w:hideMark/>
          </w:tcPr>
          <w:p w14:paraId="65D6FF92" w14:textId="77777777" w:rsidR="00FF5B64" w:rsidRPr="00FF5B64" w:rsidRDefault="00FF5B64" w:rsidP="00FF5B64">
            <w:pPr>
              <w:spacing w:line="48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F5B64">
              <w:rPr>
                <w:b/>
                <w:bCs/>
                <w:color w:val="000000"/>
                <w:sz w:val="21"/>
                <w:szCs w:val="21"/>
              </w:rPr>
              <w:t>Functional group</w:t>
            </w:r>
          </w:p>
        </w:tc>
        <w:tc>
          <w:tcPr>
            <w:tcW w:w="2346" w:type="pct"/>
            <w:noWrap/>
            <w:vAlign w:val="center"/>
            <w:hideMark/>
          </w:tcPr>
          <w:p w14:paraId="0417812C" w14:textId="77777777" w:rsidR="00FF5B64" w:rsidRPr="00FF5B64" w:rsidRDefault="00FF5B64" w:rsidP="00FF5B64">
            <w:pPr>
              <w:spacing w:line="48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F5B64">
              <w:rPr>
                <w:b/>
                <w:bCs/>
                <w:color w:val="000000"/>
                <w:sz w:val="21"/>
                <w:szCs w:val="21"/>
              </w:rPr>
              <w:t>Associated compounds / soil sources</w:t>
            </w:r>
          </w:p>
        </w:tc>
      </w:tr>
      <w:tr w:rsidR="00FF5B64" w:rsidRPr="00FF5B64" w14:paraId="7402333C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1FE8320A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~3400</w:t>
            </w:r>
          </w:p>
        </w:tc>
        <w:tc>
          <w:tcPr>
            <w:tcW w:w="1814" w:type="pct"/>
            <w:noWrap/>
            <w:vAlign w:val="center"/>
            <w:hideMark/>
          </w:tcPr>
          <w:p w14:paraId="29D46880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O–H, N–H stretching</w:t>
            </w:r>
          </w:p>
        </w:tc>
        <w:tc>
          <w:tcPr>
            <w:tcW w:w="2346" w:type="pct"/>
            <w:noWrap/>
            <w:vAlign w:val="center"/>
            <w:hideMark/>
          </w:tcPr>
          <w:p w14:paraId="54B9B92F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Alcohols, phenols, amines, amides (carbohydrates, proteins)</w:t>
            </w:r>
          </w:p>
        </w:tc>
      </w:tr>
      <w:tr w:rsidR="00FF5B64" w:rsidRPr="00FF5B64" w14:paraId="1114F776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13748BF8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2920–2850</w:t>
            </w:r>
          </w:p>
        </w:tc>
        <w:tc>
          <w:tcPr>
            <w:tcW w:w="1814" w:type="pct"/>
            <w:noWrap/>
            <w:vAlign w:val="center"/>
            <w:hideMark/>
          </w:tcPr>
          <w:p w14:paraId="792A76A4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C–H (aliphatic)</w:t>
            </w:r>
          </w:p>
        </w:tc>
        <w:tc>
          <w:tcPr>
            <w:tcW w:w="2346" w:type="pct"/>
            <w:noWrap/>
            <w:vAlign w:val="center"/>
            <w:hideMark/>
          </w:tcPr>
          <w:p w14:paraId="6D1671B4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 xml:space="preserve">Lipids, waxes, </w:t>
            </w:r>
            <w:proofErr w:type="spellStart"/>
            <w:r w:rsidRPr="00FF5B64">
              <w:rPr>
                <w:color w:val="000000"/>
                <w:sz w:val="21"/>
                <w:szCs w:val="21"/>
              </w:rPr>
              <w:t>cutin</w:t>
            </w:r>
            <w:proofErr w:type="spellEnd"/>
            <w:r w:rsidRPr="00FF5B64">
              <w:rPr>
                <w:color w:val="000000"/>
                <w:sz w:val="21"/>
                <w:szCs w:val="21"/>
              </w:rPr>
              <w:t>, suberin, long-chain fatty acids</w:t>
            </w:r>
          </w:p>
        </w:tc>
      </w:tr>
      <w:tr w:rsidR="00FF5B64" w:rsidRPr="00FF5B64" w14:paraId="2F883875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6C662116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1720–1650</w:t>
            </w:r>
          </w:p>
        </w:tc>
        <w:tc>
          <w:tcPr>
            <w:tcW w:w="1814" w:type="pct"/>
            <w:noWrap/>
            <w:vAlign w:val="center"/>
            <w:hideMark/>
          </w:tcPr>
          <w:p w14:paraId="2510442D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C=O (carbonyl) stretching</w:t>
            </w:r>
          </w:p>
        </w:tc>
        <w:tc>
          <w:tcPr>
            <w:tcW w:w="2346" w:type="pct"/>
            <w:noWrap/>
            <w:vAlign w:val="center"/>
            <w:hideMark/>
          </w:tcPr>
          <w:p w14:paraId="7C143D7F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Carboxylic acids, esters, amides (proteins, microbial residues)</w:t>
            </w:r>
          </w:p>
        </w:tc>
      </w:tr>
      <w:tr w:rsidR="00FF5B64" w:rsidRPr="00FF5B64" w14:paraId="2E6E83C8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17EABBFE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1650–1550</w:t>
            </w:r>
          </w:p>
        </w:tc>
        <w:tc>
          <w:tcPr>
            <w:tcW w:w="1814" w:type="pct"/>
            <w:noWrap/>
            <w:vAlign w:val="center"/>
            <w:hideMark/>
          </w:tcPr>
          <w:p w14:paraId="233AD0CC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N–H bending, C=O (amide I/II), C=C aromatic</w:t>
            </w:r>
          </w:p>
        </w:tc>
        <w:tc>
          <w:tcPr>
            <w:tcW w:w="2346" w:type="pct"/>
            <w:noWrap/>
            <w:vAlign w:val="center"/>
            <w:hideMark/>
          </w:tcPr>
          <w:p w14:paraId="2268ED90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Proteins/peptides, lignin derivatives, humic substances</w:t>
            </w:r>
          </w:p>
        </w:tc>
      </w:tr>
      <w:tr w:rsidR="00FF5B64" w:rsidRPr="00FF5B64" w14:paraId="770B7AEE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60C25AA8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~1510–1450</w:t>
            </w:r>
          </w:p>
        </w:tc>
        <w:tc>
          <w:tcPr>
            <w:tcW w:w="1814" w:type="pct"/>
            <w:noWrap/>
            <w:vAlign w:val="center"/>
            <w:hideMark/>
          </w:tcPr>
          <w:p w14:paraId="1B1CD86B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Aromatic C=C, CH</w:t>
            </w:r>
            <w:r w:rsidRPr="00FF5B64">
              <w:rPr>
                <w:rFonts w:ascii="Cambria Math" w:hAnsi="Cambria Math" w:cs="Cambria Math"/>
                <w:color w:val="000000"/>
                <w:sz w:val="21"/>
                <w:szCs w:val="21"/>
              </w:rPr>
              <w:t>₂</w:t>
            </w:r>
            <w:r w:rsidRPr="00FF5B64">
              <w:rPr>
                <w:color w:val="000000"/>
                <w:sz w:val="21"/>
                <w:szCs w:val="21"/>
              </w:rPr>
              <w:t>/CH</w:t>
            </w:r>
            <w:r w:rsidRPr="00FF5B64">
              <w:rPr>
                <w:rFonts w:ascii="Cambria Math" w:hAnsi="Cambria Math" w:cs="Cambria Math"/>
                <w:color w:val="000000"/>
                <w:sz w:val="21"/>
                <w:szCs w:val="21"/>
              </w:rPr>
              <w:t>₃</w:t>
            </w:r>
            <w:r w:rsidRPr="00FF5B64">
              <w:rPr>
                <w:color w:val="000000"/>
                <w:sz w:val="21"/>
                <w:szCs w:val="21"/>
              </w:rPr>
              <w:t xml:space="preserve"> bending</w:t>
            </w:r>
          </w:p>
        </w:tc>
        <w:tc>
          <w:tcPr>
            <w:tcW w:w="2346" w:type="pct"/>
            <w:noWrap/>
            <w:vAlign w:val="center"/>
            <w:hideMark/>
          </w:tcPr>
          <w:p w14:paraId="3CA73E3D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Lignin, phenolic compounds, humic substances</w:t>
            </w:r>
          </w:p>
        </w:tc>
      </w:tr>
      <w:tr w:rsidR="00FF5B64" w:rsidRPr="00FF5B64" w14:paraId="3F17B0F1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0E77F553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~1250–1150</w:t>
            </w:r>
          </w:p>
        </w:tc>
        <w:tc>
          <w:tcPr>
            <w:tcW w:w="1814" w:type="pct"/>
            <w:noWrap/>
            <w:vAlign w:val="center"/>
            <w:hideMark/>
          </w:tcPr>
          <w:p w14:paraId="2B0B242E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C–O, C–N stretching</w:t>
            </w:r>
          </w:p>
        </w:tc>
        <w:tc>
          <w:tcPr>
            <w:tcW w:w="2346" w:type="pct"/>
            <w:noWrap/>
            <w:vAlign w:val="center"/>
            <w:hideMark/>
          </w:tcPr>
          <w:p w14:paraId="6577C6EF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Carbohydrates, lignin, polysaccharides</w:t>
            </w:r>
          </w:p>
        </w:tc>
      </w:tr>
      <w:tr w:rsidR="00FF5B64" w:rsidRPr="00FF5B64" w14:paraId="5ED4EB0A" w14:textId="77777777" w:rsidTr="00E30602">
        <w:trPr>
          <w:trHeight w:val="320"/>
        </w:trPr>
        <w:tc>
          <w:tcPr>
            <w:tcW w:w="840" w:type="pct"/>
            <w:noWrap/>
            <w:vAlign w:val="center"/>
            <w:hideMark/>
          </w:tcPr>
          <w:p w14:paraId="0AEBD988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~1050–1030</w:t>
            </w:r>
          </w:p>
        </w:tc>
        <w:tc>
          <w:tcPr>
            <w:tcW w:w="1814" w:type="pct"/>
            <w:noWrap/>
            <w:vAlign w:val="center"/>
            <w:hideMark/>
          </w:tcPr>
          <w:p w14:paraId="1504F0EE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C–O stretching</w:t>
            </w:r>
          </w:p>
        </w:tc>
        <w:tc>
          <w:tcPr>
            <w:tcW w:w="2346" w:type="pct"/>
            <w:noWrap/>
            <w:vAlign w:val="center"/>
            <w:hideMark/>
          </w:tcPr>
          <w:p w14:paraId="799B889D" w14:textId="77777777" w:rsidR="00FF5B64" w:rsidRPr="00FF5B64" w:rsidRDefault="00FF5B64" w:rsidP="00FF5B64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FF5B64">
              <w:rPr>
                <w:color w:val="000000"/>
                <w:sz w:val="21"/>
                <w:szCs w:val="21"/>
              </w:rPr>
              <w:t>Cellulose, hemicellulose, polysaccharides</w:t>
            </w:r>
          </w:p>
        </w:tc>
      </w:tr>
    </w:tbl>
    <w:p w14:paraId="2949D027" w14:textId="77777777" w:rsidR="00FF5B64" w:rsidRPr="00FF5B64" w:rsidRDefault="00FF5B64" w:rsidP="00FF5B64">
      <w:pPr>
        <w:spacing w:line="480" w:lineRule="auto"/>
        <w:rPr>
          <w:color w:val="000000"/>
          <w:szCs w:val="22"/>
        </w:rPr>
      </w:pPr>
      <w:r w:rsidRPr="00FF5B64">
        <w:rPr>
          <w:color w:val="000000"/>
          <w:szCs w:val="22"/>
        </w:rPr>
        <w:br w:type="page"/>
      </w:r>
    </w:p>
    <w:p w14:paraId="2B3C34E5" w14:textId="77777777" w:rsidR="00FF5B64" w:rsidRPr="0047019B" w:rsidRDefault="00FF5B64" w:rsidP="00FF5B64">
      <w:pPr>
        <w:pStyle w:val="Caption"/>
        <w:rPr>
          <w:color w:val="000000"/>
        </w:rPr>
      </w:pPr>
      <w:r>
        <w:lastRenderedPageBreak/>
        <w:t xml:space="preserve">Table S 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 xml:space="preserve">. </w:t>
      </w:r>
      <w:r w:rsidRPr="00A65294">
        <w:t xml:space="preserve">Results of statistical tests showing p-values for species, season, and their interactions. Significant effects (p &lt; 0.05) are </w:t>
      </w:r>
      <w:r>
        <w:t>indicat</w:t>
      </w:r>
      <w:r w:rsidRPr="00A65294">
        <w:t>ed with stars.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810"/>
        <w:gridCol w:w="971"/>
        <w:gridCol w:w="971"/>
        <w:gridCol w:w="855"/>
        <w:gridCol w:w="855"/>
        <w:gridCol w:w="971"/>
        <w:gridCol w:w="1467"/>
      </w:tblGrid>
      <w:tr w:rsidR="00FF5B64" w:rsidRPr="00C24CA7" w14:paraId="06A2A289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3FC5F465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Responses</w:t>
            </w:r>
          </w:p>
        </w:tc>
        <w:tc>
          <w:tcPr>
            <w:tcW w:w="462" w:type="pct"/>
            <w:noWrap/>
            <w:vAlign w:val="bottom"/>
            <w:hideMark/>
          </w:tcPr>
          <w:p w14:paraId="283D958E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Species</w:t>
            </w:r>
          </w:p>
        </w:tc>
        <w:tc>
          <w:tcPr>
            <w:tcW w:w="555" w:type="pct"/>
            <w:noWrap/>
            <w:vAlign w:val="bottom"/>
            <w:hideMark/>
          </w:tcPr>
          <w:p w14:paraId="5D9F360F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Season</w:t>
            </w:r>
          </w:p>
        </w:tc>
        <w:tc>
          <w:tcPr>
            <w:tcW w:w="555" w:type="pct"/>
            <w:noWrap/>
            <w:vAlign w:val="bottom"/>
            <w:hideMark/>
          </w:tcPr>
          <w:p w14:paraId="3FE9D69C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Fraction</w:t>
            </w:r>
          </w:p>
        </w:tc>
        <w:tc>
          <w:tcPr>
            <w:tcW w:w="489" w:type="pct"/>
            <w:noWrap/>
            <w:vAlign w:val="bottom"/>
            <w:hideMark/>
          </w:tcPr>
          <w:p w14:paraId="08DAED80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Species:</w:t>
            </w:r>
          </w:p>
          <w:p w14:paraId="51D5FE4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Season</w:t>
            </w:r>
          </w:p>
        </w:tc>
        <w:tc>
          <w:tcPr>
            <w:tcW w:w="489" w:type="pct"/>
            <w:noWrap/>
            <w:vAlign w:val="bottom"/>
            <w:hideMark/>
          </w:tcPr>
          <w:p w14:paraId="198894CE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Species:</w:t>
            </w:r>
          </w:p>
          <w:p w14:paraId="27C1605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Fraction</w:t>
            </w:r>
          </w:p>
        </w:tc>
        <w:tc>
          <w:tcPr>
            <w:tcW w:w="555" w:type="pct"/>
            <w:noWrap/>
            <w:vAlign w:val="bottom"/>
            <w:hideMark/>
          </w:tcPr>
          <w:p w14:paraId="409A3B6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Season:</w:t>
            </w:r>
          </w:p>
          <w:p w14:paraId="77E5CF0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Fraction</w:t>
            </w:r>
          </w:p>
        </w:tc>
        <w:tc>
          <w:tcPr>
            <w:tcW w:w="841" w:type="pct"/>
            <w:noWrap/>
            <w:vAlign w:val="bottom"/>
            <w:hideMark/>
          </w:tcPr>
          <w:p w14:paraId="46446655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C24CA7">
              <w:rPr>
                <w:color w:val="000000"/>
                <w:sz w:val="21"/>
                <w:szCs w:val="21"/>
              </w:rPr>
              <w:t>Species:Season</w:t>
            </w:r>
            <w:proofErr w:type="spellEnd"/>
            <w:proofErr w:type="gramEnd"/>
            <w:r w:rsidRPr="00C24CA7">
              <w:rPr>
                <w:color w:val="000000"/>
                <w:sz w:val="21"/>
                <w:szCs w:val="21"/>
              </w:rPr>
              <w:t>:</w:t>
            </w:r>
          </w:p>
          <w:p w14:paraId="4916B175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Fraction</w:t>
            </w:r>
          </w:p>
        </w:tc>
      </w:tr>
      <w:tr w:rsidR="00FF5B64" w:rsidRPr="00C24CA7" w14:paraId="2724E29A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28420AC2" w14:textId="34138CB8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TOC</w:t>
            </w:r>
            <w:r w:rsidR="00326B48" w:rsidRPr="00C24CA7">
              <w:rPr>
                <w:rStyle w:val="FootnoteReference"/>
                <w:color w:val="000000"/>
                <w:sz w:val="21"/>
                <w:szCs w:val="21"/>
              </w:rPr>
              <w:footnoteReference w:id="1"/>
            </w:r>
          </w:p>
        </w:tc>
        <w:tc>
          <w:tcPr>
            <w:tcW w:w="462" w:type="pct"/>
            <w:noWrap/>
            <w:vAlign w:val="bottom"/>
            <w:hideMark/>
          </w:tcPr>
          <w:p w14:paraId="08A375A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0.885</w:t>
            </w:r>
          </w:p>
        </w:tc>
        <w:tc>
          <w:tcPr>
            <w:tcW w:w="555" w:type="pct"/>
            <w:noWrap/>
            <w:vAlign w:val="bottom"/>
            <w:hideMark/>
          </w:tcPr>
          <w:p w14:paraId="01E5D5A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0.459</w:t>
            </w:r>
          </w:p>
        </w:tc>
        <w:tc>
          <w:tcPr>
            <w:tcW w:w="555" w:type="pct"/>
            <w:noWrap/>
            <w:vAlign w:val="bottom"/>
            <w:hideMark/>
          </w:tcPr>
          <w:p w14:paraId="69420171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489" w:type="pct"/>
            <w:noWrap/>
            <w:vAlign w:val="bottom"/>
            <w:hideMark/>
          </w:tcPr>
          <w:p w14:paraId="243E387A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0.922</w:t>
            </w:r>
          </w:p>
        </w:tc>
        <w:tc>
          <w:tcPr>
            <w:tcW w:w="489" w:type="pct"/>
            <w:noWrap/>
            <w:vAlign w:val="bottom"/>
            <w:hideMark/>
          </w:tcPr>
          <w:p w14:paraId="0209646F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0.909</w:t>
            </w:r>
          </w:p>
        </w:tc>
        <w:tc>
          <w:tcPr>
            <w:tcW w:w="555" w:type="pct"/>
            <w:noWrap/>
            <w:vAlign w:val="bottom"/>
            <w:hideMark/>
          </w:tcPr>
          <w:p w14:paraId="3D5EAE12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0.494</w:t>
            </w:r>
          </w:p>
        </w:tc>
        <w:tc>
          <w:tcPr>
            <w:tcW w:w="841" w:type="pct"/>
            <w:noWrap/>
            <w:vAlign w:val="bottom"/>
            <w:hideMark/>
          </w:tcPr>
          <w:p w14:paraId="7448C7C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0.931</w:t>
            </w:r>
          </w:p>
        </w:tc>
      </w:tr>
      <w:tr w:rsidR="00FF5B64" w:rsidRPr="00C24CA7" w14:paraId="7EF93BCF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4D160888" w14:textId="2F4E092B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TN</w:t>
            </w:r>
            <w:r w:rsidR="00326B48" w:rsidRPr="00C24CA7">
              <w:rPr>
                <w:rStyle w:val="FootnoteReference"/>
                <w:color w:val="000000"/>
                <w:sz w:val="21"/>
                <w:szCs w:val="21"/>
              </w:rPr>
              <w:footnoteReference w:id="2"/>
            </w:r>
          </w:p>
        </w:tc>
        <w:tc>
          <w:tcPr>
            <w:tcW w:w="462" w:type="pct"/>
            <w:noWrap/>
            <w:vAlign w:val="bottom"/>
            <w:hideMark/>
          </w:tcPr>
          <w:p w14:paraId="61523A65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0.528</w:t>
            </w:r>
          </w:p>
        </w:tc>
        <w:tc>
          <w:tcPr>
            <w:tcW w:w="555" w:type="pct"/>
            <w:noWrap/>
            <w:vAlign w:val="bottom"/>
            <w:hideMark/>
          </w:tcPr>
          <w:p w14:paraId="2A973199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0.503</w:t>
            </w:r>
          </w:p>
        </w:tc>
        <w:tc>
          <w:tcPr>
            <w:tcW w:w="555" w:type="pct"/>
            <w:noWrap/>
            <w:vAlign w:val="bottom"/>
            <w:hideMark/>
          </w:tcPr>
          <w:p w14:paraId="05568C8F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489" w:type="pct"/>
            <w:noWrap/>
            <w:vAlign w:val="bottom"/>
            <w:hideMark/>
          </w:tcPr>
          <w:p w14:paraId="645AF27C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0.767</w:t>
            </w:r>
          </w:p>
        </w:tc>
        <w:tc>
          <w:tcPr>
            <w:tcW w:w="489" w:type="pct"/>
            <w:noWrap/>
            <w:vAlign w:val="bottom"/>
            <w:hideMark/>
          </w:tcPr>
          <w:p w14:paraId="1015632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0.898</w:t>
            </w:r>
          </w:p>
        </w:tc>
        <w:tc>
          <w:tcPr>
            <w:tcW w:w="555" w:type="pct"/>
            <w:noWrap/>
            <w:vAlign w:val="bottom"/>
            <w:hideMark/>
          </w:tcPr>
          <w:p w14:paraId="1F899C6C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0.496</w:t>
            </w:r>
          </w:p>
        </w:tc>
        <w:tc>
          <w:tcPr>
            <w:tcW w:w="841" w:type="pct"/>
            <w:noWrap/>
            <w:vAlign w:val="bottom"/>
            <w:hideMark/>
          </w:tcPr>
          <w:p w14:paraId="7D42991F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0.917</w:t>
            </w:r>
          </w:p>
        </w:tc>
      </w:tr>
      <w:tr w:rsidR="00FF5B64" w:rsidRPr="00C24CA7" w14:paraId="7365536D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3A7876A6" w14:textId="02130E76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C</w:t>
            </w:r>
            <w:r w:rsidR="00C24CA7" w:rsidRPr="00C24CA7">
              <w:rPr>
                <w:color w:val="000000"/>
                <w:sz w:val="21"/>
                <w:szCs w:val="21"/>
              </w:rPr>
              <w:t xml:space="preserve">: </w:t>
            </w:r>
            <w:r w:rsidRPr="00C24CA7">
              <w:rPr>
                <w:color w:val="000000"/>
                <w:sz w:val="21"/>
                <w:szCs w:val="21"/>
              </w:rPr>
              <w:t>N</w:t>
            </w:r>
            <w:r w:rsidR="00C24CA7" w:rsidRPr="00C24CA7">
              <w:rPr>
                <w:color w:val="000000"/>
                <w:sz w:val="21"/>
                <w:szCs w:val="21"/>
              </w:rPr>
              <w:t xml:space="preserve"> ratio</w:t>
            </w:r>
          </w:p>
        </w:tc>
        <w:tc>
          <w:tcPr>
            <w:tcW w:w="462" w:type="pct"/>
            <w:noWrap/>
            <w:vAlign w:val="bottom"/>
            <w:hideMark/>
          </w:tcPr>
          <w:p w14:paraId="3A6CA149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0.833</w:t>
            </w:r>
          </w:p>
        </w:tc>
        <w:tc>
          <w:tcPr>
            <w:tcW w:w="555" w:type="pct"/>
            <w:noWrap/>
            <w:vAlign w:val="bottom"/>
            <w:hideMark/>
          </w:tcPr>
          <w:p w14:paraId="74744555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555" w:type="pct"/>
            <w:noWrap/>
            <w:vAlign w:val="bottom"/>
            <w:hideMark/>
          </w:tcPr>
          <w:p w14:paraId="2B94C996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0.611</w:t>
            </w:r>
          </w:p>
        </w:tc>
        <w:tc>
          <w:tcPr>
            <w:tcW w:w="489" w:type="pct"/>
            <w:noWrap/>
            <w:vAlign w:val="bottom"/>
            <w:hideMark/>
          </w:tcPr>
          <w:p w14:paraId="06065524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0.99</w:t>
            </w:r>
          </w:p>
        </w:tc>
        <w:tc>
          <w:tcPr>
            <w:tcW w:w="489" w:type="pct"/>
            <w:noWrap/>
            <w:vAlign w:val="bottom"/>
            <w:hideMark/>
          </w:tcPr>
          <w:p w14:paraId="3BFCEAC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0.28</w:t>
            </w:r>
          </w:p>
        </w:tc>
        <w:tc>
          <w:tcPr>
            <w:tcW w:w="555" w:type="pct"/>
            <w:noWrap/>
            <w:vAlign w:val="bottom"/>
            <w:hideMark/>
          </w:tcPr>
          <w:p w14:paraId="70C847B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0.349</w:t>
            </w:r>
          </w:p>
        </w:tc>
        <w:tc>
          <w:tcPr>
            <w:tcW w:w="841" w:type="pct"/>
            <w:noWrap/>
            <w:vAlign w:val="bottom"/>
            <w:hideMark/>
          </w:tcPr>
          <w:p w14:paraId="4E74D6E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0.197</w:t>
            </w:r>
          </w:p>
        </w:tc>
      </w:tr>
      <w:tr w:rsidR="00FF5B64" w:rsidRPr="00C24CA7" w14:paraId="694B10AA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113E71F0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C contribution to SOC</w:t>
            </w:r>
          </w:p>
        </w:tc>
        <w:tc>
          <w:tcPr>
            <w:tcW w:w="462" w:type="pct"/>
            <w:noWrap/>
            <w:vAlign w:val="bottom"/>
            <w:hideMark/>
          </w:tcPr>
          <w:p w14:paraId="23A5C8E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0.218</w:t>
            </w:r>
          </w:p>
        </w:tc>
        <w:tc>
          <w:tcPr>
            <w:tcW w:w="555" w:type="pct"/>
            <w:noWrap/>
            <w:vAlign w:val="bottom"/>
            <w:hideMark/>
          </w:tcPr>
          <w:p w14:paraId="2A18E8B0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0.106</w:t>
            </w:r>
          </w:p>
        </w:tc>
        <w:tc>
          <w:tcPr>
            <w:tcW w:w="555" w:type="pct"/>
            <w:noWrap/>
            <w:vAlign w:val="bottom"/>
            <w:hideMark/>
          </w:tcPr>
          <w:p w14:paraId="18A36635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489" w:type="pct"/>
            <w:noWrap/>
            <w:vAlign w:val="bottom"/>
            <w:hideMark/>
          </w:tcPr>
          <w:p w14:paraId="4F94B08E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0.09</w:t>
            </w:r>
          </w:p>
        </w:tc>
        <w:tc>
          <w:tcPr>
            <w:tcW w:w="489" w:type="pct"/>
            <w:noWrap/>
            <w:vAlign w:val="bottom"/>
            <w:hideMark/>
          </w:tcPr>
          <w:p w14:paraId="1646255C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0.015 *</w:t>
            </w:r>
          </w:p>
        </w:tc>
        <w:tc>
          <w:tcPr>
            <w:tcW w:w="555" w:type="pct"/>
            <w:noWrap/>
            <w:vAlign w:val="bottom"/>
            <w:hideMark/>
          </w:tcPr>
          <w:p w14:paraId="1C13F1DF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0.541</w:t>
            </w:r>
          </w:p>
        </w:tc>
        <w:tc>
          <w:tcPr>
            <w:tcW w:w="841" w:type="pct"/>
            <w:noWrap/>
            <w:vAlign w:val="bottom"/>
            <w:hideMark/>
          </w:tcPr>
          <w:p w14:paraId="4432BB5F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0.703</w:t>
            </w:r>
          </w:p>
        </w:tc>
      </w:tr>
      <w:tr w:rsidR="00FF5B64" w:rsidRPr="00C24CA7" w14:paraId="153D591D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7FCB2BD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Particle size</w:t>
            </w:r>
          </w:p>
        </w:tc>
        <w:tc>
          <w:tcPr>
            <w:tcW w:w="462" w:type="pct"/>
            <w:noWrap/>
            <w:vAlign w:val="bottom"/>
            <w:hideMark/>
          </w:tcPr>
          <w:p w14:paraId="305DA80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0.245</w:t>
            </w:r>
          </w:p>
        </w:tc>
        <w:tc>
          <w:tcPr>
            <w:tcW w:w="555" w:type="pct"/>
            <w:noWrap/>
            <w:vAlign w:val="bottom"/>
            <w:hideMark/>
          </w:tcPr>
          <w:p w14:paraId="1403F4F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0.272</w:t>
            </w:r>
          </w:p>
        </w:tc>
        <w:tc>
          <w:tcPr>
            <w:tcW w:w="555" w:type="pct"/>
            <w:noWrap/>
            <w:vAlign w:val="bottom"/>
            <w:hideMark/>
          </w:tcPr>
          <w:p w14:paraId="76D9EBE4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489" w:type="pct"/>
            <w:noWrap/>
            <w:vAlign w:val="bottom"/>
            <w:hideMark/>
          </w:tcPr>
          <w:p w14:paraId="213B7833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0.691</w:t>
            </w:r>
          </w:p>
        </w:tc>
        <w:tc>
          <w:tcPr>
            <w:tcW w:w="489" w:type="pct"/>
            <w:noWrap/>
            <w:vAlign w:val="bottom"/>
            <w:hideMark/>
          </w:tcPr>
          <w:p w14:paraId="017F0570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0.286</w:t>
            </w:r>
          </w:p>
        </w:tc>
        <w:tc>
          <w:tcPr>
            <w:tcW w:w="555" w:type="pct"/>
            <w:noWrap/>
            <w:vAlign w:val="bottom"/>
            <w:hideMark/>
          </w:tcPr>
          <w:p w14:paraId="0100430D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0.104</w:t>
            </w:r>
          </w:p>
        </w:tc>
        <w:tc>
          <w:tcPr>
            <w:tcW w:w="841" w:type="pct"/>
            <w:noWrap/>
            <w:vAlign w:val="bottom"/>
            <w:hideMark/>
          </w:tcPr>
          <w:p w14:paraId="02190765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0.451</w:t>
            </w:r>
          </w:p>
        </w:tc>
      </w:tr>
      <w:tr w:rsidR="00FF5B64" w:rsidRPr="00C24CA7" w14:paraId="116A8017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6D906733" w14:textId="301E6FA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A</w:t>
            </w:r>
            <w:r w:rsidR="00C24CA7" w:rsidRPr="00C24CA7">
              <w:rPr>
                <w:rStyle w:val="FootnoteReference"/>
                <w:color w:val="000000"/>
                <w:sz w:val="21"/>
                <w:szCs w:val="21"/>
              </w:rPr>
              <w:footnoteReference w:id="3"/>
            </w:r>
          </w:p>
        </w:tc>
        <w:tc>
          <w:tcPr>
            <w:tcW w:w="462" w:type="pct"/>
            <w:noWrap/>
            <w:vAlign w:val="bottom"/>
            <w:hideMark/>
          </w:tcPr>
          <w:p w14:paraId="57D4031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0.234</w:t>
            </w:r>
          </w:p>
        </w:tc>
        <w:tc>
          <w:tcPr>
            <w:tcW w:w="555" w:type="pct"/>
            <w:noWrap/>
            <w:vAlign w:val="bottom"/>
            <w:hideMark/>
          </w:tcPr>
          <w:p w14:paraId="7B87387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555" w:type="pct"/>
            <w:noWrap/>
            <w:vAlign w:val="bottom"/>
            <w:hideMark/>
          </w:tcPr>
          <w:p w14:paraId="0D8ED08E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489" w:type="pct"/>
            <w:noWrap/>
            <w:vAlign w:val="bottom"/>
            <w:hideMark/>
          </w:tcPr>
          <w:p w14:paraId="3AE39374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0.652</w:t>
            </w:r>
          </w:p>
        </w:tc>
        <w:tc>
          <w:tcPr>
            <w:tcW w:w="489" w:type="pct"/>
            <w:noWrap/>
            <w:vAlign w:val="bottom"/>
            <w:hideMark/>
          </w:tcPr>
          <w:p w14:paraId="479CA800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0.371</w:t>
            </w:r>
          </w:p>
        </w:tc>
        <w:tc>
          <w:tcPr>
            <w:tcW w:w="555" w:type="pct"/>
            <w:noWrap/>
            <w:vAlign w:val="bottom"/>
            <w:hideMark/>
          </w:tcPr>
          <w:p w14:paraId="5FE5E030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0.024 *</w:t>
            </w:r>
          </w:p>
        </w:tc>
        <w:tc>
          <w:tcPr>
            <w:tcW w:w="841" w:type="pct"/>
            <w:noWrap/>
            <w:vAlign w:val="bottom"/>
            <w:hideMark/>
          </w:tcPr>
          <w:p w14:paraId="10D689A0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0.779</w:t>
            </w:r>
          </w:p>
        </w:tc>
      </w:tr>
      <w:tr w:rsidR="00FF5B64" w:rsidRPr="00C24CA7" w14:paraId="43CD7F72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3DC0B857" w14:textId="471B15D2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b</w:t>
            </w:r>
            <w:r w:rsidR="00C24CA7" w:rsidRPr="00C24CA7">
              <w:rPr>
                <w:rStyle w:val="FootnoteReference"/>
                <w:color w:val="000000"/>
                <w:sz w:val="21"/>
                <w:szCs w:val="21"/>
              </w:rPr>
              <w:footnoteReference w:id="4"/>
            </w:r>
          </w:p>
        </w:tc>
        <w:tc>
          <w:tcPr>
            <w:tcW w:w="462" w:type="pct"/>
            <w:noWrap/>
            <w:vAlign w:val="bottom"/>
            <w:hideMark/>
          </w:tcPr>
          <w:p w14:paraId="256CAE1C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0.081</w:t>
            </w:r>
          </w:p>
        </w:tc>
        <w:tc>
          <w:tcPr>
            <w:tcW w:w="555" w:type="pct"/>
            <w:noWrap/>
            <w:vAlign w:val="bottom"/>
            <w:hideMark/>
          </w:tcPr>
          <w:p w14:paraId="55602D1B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0.108</w:t>
            </w:r>
          </w:p>
        </w:tc>
        <w:tc>
          <w:tcPr>
            <w:tcW w:w="555" w:type="pct"/>
            <w:noWrap/>
            <w:vAlign w:val="bottom"/>
            <w:hideMark/>
          </w:tcPr>
          <w:p w14:paraId="65AF42D7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489" w:type="pct"/>
            <w:noWrap/>
            <w:vAlign w:val="bottom"/>
            <w:hideMark/>
          </w:tcPr>
          <w:p w14:paraId="0FA430BD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0.198</w:t>
            </w:r>
          </w:p>
        </w:tc>
        <w:tc>
          <w:tcPr>
            <w:tcW w:w="489" w:type="pct"/>
            <w:noWrap/>
            <w:vAlign w:val="bottom"/>
            <w:hideMark/>
          </w:tcPr>
          <w:p w14:paraId="28EE7517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0.939</w:t>
            </w:r>
          </w:p>
        </w:tc>
        <w:tc>
          <w:tcPr>
            <w:tcW w:w="555" w:type="pct"/>
            <w:noWrap/>
            <w:vAlign w:val="bottom"/>
            <w:hideMark/>
          </w:tcPr>
          <w:p w14:paraId="5F0EB032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0.138</w:t>
            </w:r>
          </w:p>
        </w:tc>
        <w:tc>
          <w:tcPr>
            <w:tcW w:w="841" w:type="pct"/>
            <w:noWrap/>
            <w:vAlign w:val="bottom"/>
            <w:hideMark/>
          </w:tcPr>
          <w:p w14:paraId="518A5AE2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0.658</w:t>
            </w:r>
          </w:p>
        </w:tc>
      </w:tr>
      <w:tr w:rsidR="00FF5B64" w:rsidRPr="00C24CA7" w14:paraId="1ED763CC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3D9F0F1B" w14:textId="7E99968A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k</w:t>
            </w:r>
            <w:r w:rsidR="00C24CA7" w:rsidRPr="00C24CA7">
              <w:rPr>
                <w:rStyle w:val="FootnoteReference"/>
                <w:color w:val="000000"/>
                <w:sz w:val="21"/>
                <w:szCs w:val="21"/>
              </w:rPr>
              <w:footnoteReference w:id="5"/>
            </w:r>
          </w:p>
        </w:tc>
        <w:tc>
          <w:tcPr>
            <w:tcW w:w="462" w:type="pct"/>
            <w:noWrap/>
            <w:vAlign w:val="bottom"/>
            <w:hideMark/>
          </w:tcPr>
          <w:p w14:paraId="1A135EB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0.82</w:t>
            </w:r>
          </w:p>
        </w:tc>
        <w:tc>
          <w:tcPr>
            <w:tcW w:w="555" w:type="pct"/>
            <w:noWrap/>
            <w:vAlign w:val="bottom"/>
            <w:hideMark/>
          </w:tcPr>
          <w:p w14:paraId="74257F80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0.002 **</w:t>
            </w:r>
          </w:p>
        </w:tc>
        <w:tc>
          <w:tcPr>
            <w:tcW w:w="555" w:type="pct"/>
            <w:noWrap/>
            <w:vAlign w:val="bottom"/>
            <w:hideMark/>
          </w:tcPr>
          <w:p w14:paraId="5D99365A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0.037 *</w:t>
            </w:r>
          </w:p>
        </w:tc>
        <w:tc>
          <w:tcPr>
            <w:tcW w:w="489" w:type="pct"/>
            <w:noWrap/>
            <w:vAlign w:val="bottom"/>
            <w:hideMark/>
          </w:tcPr>
          <w:p w14:paraId="59C70744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0.767</w:t>
            </w:r>
          </w:p>
        </w:tc>
        <w:tc>
          <w:tcPr>
            <w:tcW w:w="489" w:type="pct"/>
            <w:noWrap/>
            <w:vAlign w:val="bottom"/>
            <w:hideMark/>
          </w:tcPr>
          <w:p w14:paraId="436E9D1C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0.269</w:t>
            </w:r>
          </w:p>
        </w:tc>
        <w:tc>
          <w:tcPr>
            <w:tcW w:w="555" w:type="pct"/>
            <w:noWrap/>
            <w:vAlign w:val="bottom"/>
            <w:hideMark/>
          </w:tcPr>
          <w:p w14:paraId="058E1A1C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0.086</w:t>
            </w:r>
          </w:p>
        </w:tc>
        <w:tc>
          <w:tcPr>
            <w:tcW w:w="841" w:type="pct"/>
            <w:noWrap/>
            <w:vAlign w:val="bottom"/>
            <w:hideMark/>
          </w:tcPr>
          <w:p w14:paraId="378C5CF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0.565</w:t>
            </w:r>
          </w:p>
        </w:tc>
      </w:tr>
      <w:tr w:rsidR="00FF5B64" w:rsidRPr="00C24CA7" w14:paraId="68D50634" w14:textId="77777777" w:rsidTr="00326B48">
        <w:trPr>
          <w:trHeight w:val="320"/>
        </w:trPr>
        <w:tc>
          <w:tcPr>
            <w:tcW w:w="1054" w:type="pct"/>
            <w:noWrap/>
            <w:vAlign w:val="bottom"/>
            <w:hideMark/>
          </w:tcPr>
          <w:p w14:paraId="481C4A72" w14:textId="14AE558B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NMC</w:t>
            </w:r>
            <w:r w:rsidR="00C24CA7" w:rsidRPr="00C24CA7">
              <w:rPr>
                <w:rStyle w:val="FootnoteReference"/>
                <w:color w:val="000000"/>
                <w:sz w:val="21"/>
                <w:szCs w:val="21"/>
              </w:rPr>
              <w:footnoteReference w:id="6"/>
            </w:r>
          </w:p>
        </w:tc>
        <w:tc>
          <w:tcPr>
            <w:tcW w:w="462" w:type="pct"/>
            <w:noWrap/>
            <w:vAlign w:val="bottom"/>
            <w:hideMark/>
          </w:tcPr>
          <w:p w14:paraId="0060E03E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0.983</w:t>
            </w:r>
          </w:p>
        </w:tc>
        <w:tc>
          <w:tcPr>
            <w:tcW w:w="555" w:type="pct"/>
            <w:noWrap/>
            <w:vAlign w:val="bottom"/>
            <w:hideMark/>
          </w:tcPr>
          <w:p w14:paraId="1F87626C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0.997</w:t>
            </w:r>
          </w:p>
        </w:tc>
        <w:tc>
          <w:tcPr>
            <w:tcW w:w="555" w:type="pct"/>
            <w:noWrap/>
            <w:vAlign w:val="bottom"/>
            <w:hideMark/>
          </w:tcPr>
          <w:p w14:paraId="27D7900B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0.003 **</w:t>
            </w:r>
          </w:p>
        </w:tc>
        <w:tc>
          <w:tcPr>
            <w:tcW w:w="489" w:type="pct"/>
            <w:noWrap/>
            <w:vAlign w:val="bottom"/>
            <w:hideMark/>
          </w:tcPr>
          <w:p w14:paraId="13BDD0D0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489" w:type="pct"/>
            <w:noWrap/>
            <w:vAlign w:val="bottom"/>
            <w:hideMark/>
          </w:tcPr>
          <w:p w14:paraId="740074B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0.096</w:t>
            </w:r>
          </w:p>
        </w:tc>
        <w:tc>
          <w:tcPr>
            <w:tcW w:w="555" w:type="pct"/>
            <w:noWrap/>
            <w:vAlign w:val="bottom"/>
            <w:hideMark/>
          </w:tcPr>
          <w:p w14:paraId="508B1A7A" w14:textId="77777777" w:rsidR="00FF5B64" w:rsidRPr="00C24CA7" w:rsidRDefault="00FF5B64" w:rsidP="00E30602">
            <w:pPr>
              <w:spacing w:line="360" w:lineRule="auto"/>
              <w:rPr>
                <w:b/>
                <w:bCs/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841" w:type="pct"/>
            <w:noWrap/>
            <w:vAlign w:val="bottom"/>
            <w:hideMark/>
          </w:tcPr>
          <w:p w14:paraId="03838D6B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0.509</w:t>
            </w:r>
          </w:p>
        </w:tc>
      </w:tr>
      <w:tr w:rsidR="00FF5B64" w:rsidRPr="00C24CA7" w14:paraId="3288BB9A" w14:textId="77777777" w:rsidTr="00326B48">
        <w:trPr>
          <w:trHeight w:val="320"/>
        </w:trPr>
        <w:tc>
          <w:tcPr>
            <w:tcW w:w="1054" w:type="pct"/>
            <w:noWrap/>
            <w:vAlign w:val="bottom"/>
          </w:tcPr>
          <w:p w14:paraId="4F5BEBE8" w14:textId="0A86FCED" w:rsidR="00FF5B64" w:rsidRPr="00C24CA7" w:rsidRDefault="00C24CA7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Cumulative C mineralized</w:t>
            </w:r>
          </w:p>
        </w:tc>
        <w:tc>
          <w:tcPr>
            <w:tcW w:w="462" w:type="pct"/>
            <w:noWrap/>
            <w:vAlign w:val="bottom"/>
          </w:tcPr>
          <w:p w14:paraId="1475F62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0.666</w:t>
            </w:r>
          </w:p>
        </w:tc>
        <w:tc>
          <w:tcPr>
            <w:tcW w:w="555" w:type="pct"/>
            <w:noWrap/>
            <w:vAlign w:val="bottom"/>
          </w:tcPr>
          <w:p w14:paraId="0C710BF7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0.427</w:t>
            </w:r>
          </w:p>
        </w:tc>
        <w:tc>
          <w:tcPr>
            <w:tcW w:w="555" w:type="pct"/>
            <w:noWrap/>
            <w:vAlign w:val="bottom"/>
          </w:tcPr>
          <w:p w14:paraId="67E4B561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0.048 *</w:t>
            </w:r>
          </w:p>
        </w:tc>
        <w:tc>
          <w:tcPr>
            <w:tcW w:w="489" w:type="pct"/>
            <w:noWrap/>
            <w:vAlign w:val="bottom"/>
          </w:tcPr>
          <w:p w14:paraId="4C0F4259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0.935</w:t>
            </w:r>
          </w:p>
        </w:tc>
        <w:tc>
          <w:tcPr>
            <w:tcW w:w="489" w:type="pct"/>
            <w:noWrap/>
            <w:vAlign w:val="bottom"/>
          </w:tcPr>
          <w:p w14:paraId="007130B2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0.555</w:t>
            </w:r>
          </w:p>
        </w:tc>
        <w:tc>
          <w:tcPr>
            <w:tcW w:w="555" w:type="pct"/>
            <w:noWrap/>
            <w:vAlign w:val="bottom"/>
          </w:tcPr>
          <w:p w14:paraId="1165C06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0.047 *</w:t>
            </w:r>
          </w:p>
        </w:tc>
        <w:tc>
          <w:tcPr>
            <w:tcW w:w="841" w:type="pct"/>
            <w:noWrap/>
            <w:vAlign w:val="bottom"/>
          </w:tcPr>
          <w:p w14:paraId="079321EA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0.069</w:t>
            </w:r>
          </w:p>
        </w:tc>
      </w:tr>
      <w:tr w:rsidR="00FF5B64" w:rsidRPr="00C24CA7" w14:paraId="15BE9AFC" w14:textId="77777777" w:rsidTr="00326B48">
        <w:trPr>
          <w:trHeight w:val="320"/>
        </w:trPr>
        <w:tc>
          <w:tcPr>
            <w:tcW w:w="1054" w:type="pct"/>
            <w:noWrap/>
            <w:vAlign w:val="bottom"/>
          </w:tcPr>
          <w:p w14:paraId="4291DDDF" w14:textId="19DD3F30" w:rsidR="00FF5B64" w:rsidRPr="00C24CA7" w:rsidRDefault="00C24CA7" w:rsidP="00E30602">
            <w:pPr>
              <w:spacing w:line="360" w:lineRule="auto"/>
              <w:rPr>
                <w:color w:val="000000"/>
                <w:sz w:val="21"/>
                <w:szCs w:val="21"/>
                <w:lang w:eastAsia="ko-KR"/>
              </w:rPr>
            </w:pPr>
            <w:r w:rsidRPr="00C24CA7">
              <w:rPr>
                <w:color w:val="000000"/>
                <w:sz w:val="21"/>
                <w:szCs w:val="21"/>
              </w:rPr>
              <w:t>Soil CO</w:t>
            </w:r>
            <w:r w:rsidRPr="00C24CA7">
              <w:rPr>
                <w:rFonts w:ascii="Cambria Math" w:eastAsiaTheme="minorHAnsi" w:hAnsi="Cambria Math" w:cs="Cambria Math"/>
                <w:color w:val="000000"/>
                <w:sz w:val="21"/>
                <w:szCs w:val="21"/>
                <w:lang w:eastAsia="ko-KR"/>
              </w:rPr>
              <w:t>₂</w:t>
            </w:r>
            <w:r w:rsidRPr="00C24CA7">
              <w:rPr>
                <w:rFonts w:eastAsiaTheme="minorHAnsi"/>
                <w:color w:val="000000"/>
                <w:sz w:val="21"/>
                <w:szCs w:val="21"/>
                <w:lang w:eastAsia="ko-KR"/>
              </w:rPr>
              <w:t xml:space="preserve"> flux</w:t>
            </w:r>
          </w:p>
        </w:tc>
        <w:tc>
          <w:tcPr>
            <w:tcW w:w="462" w:type="pct"/>
            <w:noWrap/>
            <w:vAlign w:val="bottom"/>
          </w:tcPr>
          <w:p w14:paraId="70F98AD0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0.892</w:t>
            </w:r>
          </w:p>
        </w:tc>
        <w:tc>
          <w:tcPr>
            <w:tcW w:w="555" w:type="pct"/>
            <w:noWrap/>
            <w:vAlign w:val="bottom"/>
          </w:tcPr>
          <w:p w14:paraId="304F4B25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555" w:type="pct"/>
            <w:noWrap/>
            <w:vAlign w:val="bottom"/>
          </w:tcPr>
          <w:p w14:paraId="6D028E6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489" w:type="pct"/>
            <w:noWrap/>
            <w:vAlign w:val="bottom"/>
          </w:tcPr>
          <w:p w14:paraId="161DD598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0.687</w:t>
            </w:r>
          </w:p>
        </w:tc>
        <w:tc>
          <w:tcPr>
            <w:tcW w:w="489" w:type="pct"/>
            <w:noWrap/>
            <w:vAlign w:val="bottom"/>
          </w:tcPr>
          <w:p w14:paraId="1197E956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0.995</w:t>
            </w:r>
          </w:p>
        </w:tc>
        <w:tc>
          <w:tcPr>
            <w:tcW w:w="555" w:type="pct"/>
            <w:noWrap/>
            <w:vAlign w:val="bottom"/>
          </w:tcPr>
          <w:p w14:paraId="0BDF35CD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&lt;0.001 ***</w:t>
            </w:r>
          </w:p>
        </w:tc>
        <w:tc>
          <w:tcPr>
            <w:tcW w:w="841" w:type="pct"/>
            <w:noWrap/>
            <w:vAlign w:val="bottom"/>
          </w:tcPr>
          <w:p w14:paraId="0D1FBDBC" w14:textId="77777777" w:rsidR="00FF5B64" w:rsidRPr="00C24CA7" w:rsidRDefault="00FF5B64" w:rsidP="00E30602">
            <w:pPr>
              <w:spacing w:line="360" w:lineRule="auto"/>
              <w:rPr>
                <w:color w:val="000000"/>
                <w:sz w:val="21"/>
                <w:szCs w:val="21"/>
              </w:rPr>
            </w:pPr>
            <w:r w:rsidRPr="00C24CA7">
              <w:rPr>
                <w:color w:val="000000"/>
                <w:sz w:val="21"/>
                <w:szCs w:val="21"/>
              </w:rPr>
              <w:t>0.569</w:t>
            </w:r>
          </w:p>
        </w:tc>
      </w:tr>
    </w:tbl>
    <w:p w14:paraId="0086FCC3" w14:textId="77777777" w:rsidR="00326B48" w:rsidRDefault="00326B48" w:rsidP="00326B48">
      <w:pPr>
        <w:pStyle w:val="FootnoteText"/>
      </w:pPr>
      <w:r>
        <w:rPr>
          <w:rStyle w:val="FootnoteReference"/>
        </w:rPr>
        <w:footnoteRef/>
      </w:r>
      <w:r>
        <w:t xml:space="preserve"> A represents </w:t>
      </w:r>
      <w:r w:rsidRPr="004C72D8">
        <w:t>the mineralizable C pool size</w:t>
      </w:r>
    </w:p>
    <w:p w14:paraId="559B874D" w14:textId="77777777" w:rsidR="00326B48" w:rsidRDefault="00326B48" w:rsidP="00326B48">
      <w:pPr>
        <w:pStyle w:val="FootnoteText"/>
      </w:pPr>
      <w:r>
        <w:rPr>
          <w:rStyle w:val="FootnoteReference"/>
        </w:rPr>
        <w:footnoteRef/>
      </w:r>
      <w:r>
        <w:t xml:space="preserve"> b </w:t>
      </w:r>
      <w:r w:rsidRPr="004C72D8">
        <w:t>is a Gompertz model parameter related to the turning point of the curve</w:t>
      </w:r>
    </w:p>
    <w:p w14:paraId="11D1B31F" w14:textId="4AA2733C" w:rsidR="00FF5B64" w:rsidRDefault="00326B48" w:rsidP="00326B48">
      <w:r>
        <w:rPr>
          <w:rStyle w:val="FootnoteReference"/>
        </w:rPr>
        <w:footnoteRef/>
      </w:r>
      <w:r>
        <w:t xml:space="preserve"> K is </w:t>
      </w:r>
      <w:r w:rsidRPr="004C72D8">
        <w:t>an exponent that indicates the mineralization rate</w:t>
      </w:r>
    </w:p>
    <w:p w14:paraId="0D09982B" w14:textId="59EDA7C9" w:rsidR="00FF5B64" w:rsidRPr="00FF5B64" w:rsidRDefault="00FF5B64"/>
    <w:sectPr w:rsidR="00FF5B64" w:rsidRPr="00FF5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E5CE7" w14:textId="77777777" w:rsidR="004B5953" w:rsidRDefault="004B5953" w:rsidP="00326B48">
      <w:pPr>
        <w:spacing w:after="0" w:line="240" w:lineRule="auto"/>
      </w:pPr>
      <w:r>
        <w:separator/>
      </w:r>
    </w:p>
  </w:endnote>
  <w:endnote w:type="continuationSeparator" w:id="0">
    <w:p w14:paraId="78D953CB" w14:textId="77777777" w:rsidR="004B5953" w:rsidRDefault="004B5953" w:rsidP="00326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70856" w14:textId="77777777" w:rsidR="004B5953" w:rsidRDefault="004B5953" w:rsidP="00326B48">
      <w:pPr>
        <w:spacing w:after="0" w:line="240" w:lineRule="auto"/>
      </w:pPr>
      <w:r>
        <w:separator/>
      </w:r>
    </w:p>
  </w:footnote>
  <w:footnote w:type="continuationSeparator" w:id="0">
    <w:p w14:paraId="1242659B" w14:textId="77777777" w:rsidR="004B5953" w:rsidRDefault="004B5953" w:rsidP="00326B48">
      <w:pPr>
        <w:spacing w:after="0" w:line="240" w:lineRule="auto"/>
      </w:pPr>
      <w:r>
        <w:continuationSeparator/>
      </w:r>
    </w:p>
  </w:footnote>
  <w:footnote w:id="1">
    <w:p w14:paraId="6D0A2F21" w14:textId="5D24C5C3" w:rsidR="00326B48" w:rsidRDefault="00326B48">
      <w:pPr>
        <w:pStyle w:val="FootnoteText"/>
      </w:pPr>
      <w:r>
        <w:rPr>
          <w:rStyle w:val="FootnoteReference"/>
        </w:rPr>
        <w:footnoteRef/>
      </w:r>
      <w:r>
        <w:t>Total Organic Carbon</w:t>
      </w:r>
    </w:p>
  </w:footnote>
  <w:footnote w:id="2">
    <w:p w14:paraId="5FC291BB" w14:textId="36F44F80" w:rsidR="00326B48" w:rsidRDefault="00326B48">
      <w:pPr>
        <w:pStyle w:val="FootnoteText"/>
      </w:pPr>
      <w:r>
        <w:rPr>
          <w:rStyle w:val="FootnoteReference"/>
        </w:rPr>
        <w:footnoteRef/>
      </w:r>
      <w:r>
        <w:t xml:space="preserve"> Total Nitrogen</w:t>
      </w:r>
    </w:p>
  </w:footnote>
  <w:footnote w:id="3">
    <w:p w14:paraId="1AAE28A6" w14:textId="73C77D33" w:rsidR="00C24CA7" w:rsidRDefault="00C24CA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represents </w:t>
      </w:r>
      <w:r w:rsidRPr="004C72D8">
        <w:t>the mineralizable C pool size</w:t>
      </w:r>
    </w:p>
  </w:footnote>
  <w:footnote w:id="4">
    <w:p w14:paraId="752102B6" w14:textId="73EDA32B" w:rsidR="00C24CA7" w:rsidRDefault="00C24CA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 </w:t>
      </w:r>
      <w:r w:rsidRPr="004C72D8">
        <w:t>is a Gompertz model parameter related to the turning point of the curve</w:t>
      </w:r>
    </w:p>
  </w:footnote>
  <w:footnote w:id="5">
    <w:p w14:paraId="653117F4" w14:textId="3ADEE971" w:rsidR="00C24CA7" w:rsidRDefault="00C24CA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K is </w:t>
      </w:r>
      <w:r w:rsidRPr="004C72D8">
        <w:t>an exponent that indicates the mineralization rate</w:t>
      </w:r>
    </w:p>
  </w:footnote>
  <w:footnote w:id="6">
    <w:p w14:paraId="7F145F87" w14:textId="66C3A121" w:rsidR="00C24CA7" w:rsidRDefault="00C24CA7">
      <w:pPr>
        <w:pStyle w:val="FootnoteText"/>
      </w:pPr>
      <w:r>
        <w:rPr>
          <w:rStyle w:val="FootnoteReference"/>
        </w:rPr>
        <w:footnoteRef/>
      </w:r>
      <w:r>
        <w:t xml:space="preserve"> Net Mineralization Coefficient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64"/>
    <w:rsid w:val="000A2C8C"/>
    <w:rsid w:val="000E4455"/>
    <w:rsid w:val="00213171"/>
    <w:rsid w:val="00326B48"/>
    <w:rsid w:val="004019BA"/>
    <w:rsid w:val="004147E0"/>
    <w:rsid w:val="00442785"/>
    <w:rsid w:val="004B5953"/>
    <w:rsid w:val="006B3951"/>
    <w:rsid w:val="00704096"/>
    <w:rsid w:val="007B0F33"/>
    <w:rsid w:val="00855DEF"/>
    <w:rsid w:val="009224B2"/>
    <w:rsid w:val="009C772C"/>
    <w:rsid w:val="00A475C3"/>
    <w:rsid w:val="00C24CA7"/>
    <w:rsid w:val="00DF673B"/>
    <w:rsid w:val="00E81994"/>
    <w:rsid w:val="00EE5F8D"/>
    <w:rsid w:val="00FF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BBEA4C"/>
  <w15:chartTrackingRefBased/>
  <w15:docId w15:val="{2C5F6387-F394-FD48-B293-AC0A2926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Batang" w:hAnsi="Arial" w:cs="Arial"/>
        <w:sz w:val="22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B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B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B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B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B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B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B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B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B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B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B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B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B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B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B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B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B64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link w:val="CaptionChar"/>
    <w:qFormat/>
    <w:rsid w:val="00FF5B64"/>
    <w:pPr>
      <w:spacing w:after="0" w:line="240" w:lineRule="auto"/>
      <w:ind w:left="709" w:hanging="709"/>
      <w:jc w:val="both"/>
    </w:pPr>
    <w:rPr>
      <w:b/>
      <w:bCs/>
      <w:szCs w:val="22"/>
      <w:lang w:val="en-US"/>
    </w:rPr>
  </w:style>
  <w:style w:type="character" w:customStyle="1" w:styleId="CaptionChar">
    <w:name w:val="Caption Char"/>
    <w:link w:val="Caption"/>
    <w:rsid w:val="00FF5B64"/>
    <w:rPr>
      <w:rFonts w:eastAsia="Batang"/>
      <w:b/>
      <w:bCs/>
      <w:szCs w:val="22"/>
      <w:lang w:val="en-US"/>
    </w:rPr>
  </w:style>
  <w:style w:type="paragraph" w:customStyle="1" w:styleId="AuthorNames">
    <w:name w:val="Author Names"/>
    <w:basedOn w:val="Normal"/>
    <w:qFormat/>
    <w:rsid w:val="00FF5B64"/>
    <w:pPr>
      <w:spacing w:after="0" w:line="240" w:lineRule="auto"/>
    </w:pPr>
    <w:rPr>
      <w:b/>
      <w:sz w:val="20"/>
      <w:lang w:val="en-US"/>
    </w:rPr>
  </w:style>
  <w:style w:type="paragraph" w:customStyle="1" w:styleId="AuthorAffiliations">
    <w:name w:val="Author Affiliations"/>
    <w:basedOn w:val="Normal"/>
    <w:qFormat/>
    <w:rsid w:val="00FF5B64"/>
    <w:pPr>
      <w:spacing w:after="0" w:line="240" w:lineRule="auto"/>
    </w:pPr>
    <w:rPr>
      <w:sz w:val="20"/>
      <w:vertAlign w:val="superscript"/>
      <w:lang w:val="en-US"/>
    </w:rPr>
  </w:style>
  <w:style w:type="character" w:customStyle="1" w:styleId="normaltextrun">
    <w:name w:val="normaltextrun"/>
    <w:basedOn w:val="DefaultParagraphFont"/>
    <w:rsid w:val="00FF5B64"/>
  </w:style>
  <w:style w:type="paragraph" w:styleId="FootnoteText">
    <w:name w:val="footnote text"/>
    <w:basedOn w:val="Normal"/>
    <w:link w:val="FootnoteTextChar"/>
    <w:rsid w:val="00326B48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26B48"/>
    <w:rPr>
      <w:rFonts w:eastAsia="Batang"/>
      <w:sz w:val="20"/>
    </w:rPr>
  </w:style>
  <w:style w:type="character" w:styleId="FootnoteReference">
    <w:name w:val="footnote reference"/>
    <w:basedOn w:val="DefaultParagraphFont"/>
    <w:rsid w:val="00326B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CCD7DA3834734BBF5B5A505913C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5375A-074E-7042-A57A-EB7F91E7270C}"/>
      </w:docPartPr>
      <w:docPartBody>
        <w:p w:rsidR="00FC7714" w:rsidRDefault="00F22B73" w:rsidP="00F22B73">
          <w:pPr>
            <w:pStyle w:val="79CCD7DA3834734BBF5B5A505913C5C1"/>
          </w:pPr>
          <w:r w:rsidRPr="0092318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73"/>
    <w:rsid w:val="003E1A3D"/>
    <w:rsid w:val="005508C4"/>
    <w:rsid w:val="0055423F"/>
    <w:rsid w:val="006B3951"/>
    <w:rsid w:val="00704096"/>
    <w:rsid w:val="00F22B73"/>
    <w:rsid w:val="00FC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2B73"/>
    <w:rPr>
      <w:color w:val="666666"/>
    </w:rPr>
  </w:style>
  <w:style w:type="paragraph" w:customStyle="1" w:styleId="79CCD7DA3834734BBF5B5A505913C5C1">
    <w:name w:val="79CCD7DA3834734BBF5B5A505913C5C1"/>
    <w:rsid w:val="00F22B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A4457A-3905-0C49-AF94-5F4DC055C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NOVALIA KUSUMARINI S.P., M.P.</dc:creator>
  <cp:keywords/>
  <dc:description/>
  <cp:lastModifiedBy>NOVALIA KUSUMARINI S.P., M.P.</cp:lastModifiedBy>
  <cp:revision>3</cp:revision>
  <dcterms:created xsi:type="dcterms:W3CDTF">2026-04-14T05:40:00Z</dcterms:created>
  <dcterms:modified xsi:type="dcterms:W3CDTF">2026-04-24T05:40:00Z</dcterms:modified>
</cp:coreProperties>
</file>