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D6BB2" w14:textId="19598E19" w:rsidR="00D056F5" w:rsidRPr="0037749C" w:rsidRDefault="00D056F5" w:rsidP="00D056F5">
      <w:pPr>
        <w:spacing w:after="0" w:line="360" w:lineRule="auto"/>
        <w:jc w:val="both"/>
        <w:rPr>
          <w:rFonts w:ascii="Times New Roman" w:hAnsi="Times New Roman" w:cs="Times New Roman"/>
          <w:sz w:val="20"/>
          <w:szCs w:val="20"/>
          <w:lang w:val="en-US"/>
        </w:rPr>
      </w:pPr>
      <w:r w:rsidRPr="0037749C">
        <w:rPr>
          <w:rFonts w:ascii="Times New Roman" w:hAnsi="Times New Roman" w:cs="Times New Roman"/>
          <w:b/>
          <w:bCs/>
          <w:sz w:val="20"/>
          <w:szCs w:val="20"/>
          <w:lang w:val="en-US"/>
        </w:rPr>
        <w:t xml:space="preserve">Table </w:t>
      </w:r>
      <w:r w:rsidR="004E76E3">
        <w:rPr>
          <w:rFonts w:ascii="Times New Roman" w:hAnsi="Times New Roman" w:cs="Times New Roman"/>
          <w:b/>
          <w:bCs/>
          <w:sz w:val="20"/>
          <w:szCs w:val="20"/>
          <w:lang w:val="en-US"/>
        </w:rPr>
        <w:t>S</w:t>
      </w:r>
      <w:r w:rsidRPr="0037749C">
        <w:rPr>
          <w:rFonts w:ascii="Times New Roman" w:hAnsi="Times New Roman" w:cs="Times New Roman"/>
          <w:b/>
          <w:bCs/>
          <w:sz w:val="20"/>
          <w:szCs w:val="20"/>
          <w:lang w:val="en-US"/>
        </w:rPr>
        <w:t xml:space="preserve">3. </w:t>
      </w:r>
      <w:r w:rsidRPr="0037749C">
        <w:rPr>
          <w:rFonts w:ascii="Times New Roman" w:hAnsi="Times New Roman" w:cs="Times New Roman"/>
          <w:sz w:val="20"/>
          <w:szCs w:val="20"/>
          <w:lang w:val="en-US"/>
        </w:rPr>
        <w:t>Summary of the analysis of variance (p-values) for CO₂ assimilation rate (A), stomatal conductance (gs), transpiration (E), internal CO₂ concentration (Ci), vapor pressure deficit (VPD), water use efficiency (WUE), intrinsic water use efficiency (iWUE), and instantaneous carboxylation efficiency (iCE) of plants subjected to irrigation water electrical conductivity (ECw) levels and methyl jasmonate (MeJa) concentrations.</w:t>
      </w:r>
    </w:p>
    <w:tbl>
      <w:tblPr>
        <w:tblStyle w:val="Tabelacomgrade"/>
        <w:tblW w:w="11192" w:type="dxa"/>
        <w:tblInd w:w="-1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1157"/>
        <w:gridCol w:w="1157"/>
        <w:gridCol w:w="1156"/>
        <w:gridCol w:w="1064"/>
        <w:gridCol w:w="1156"/>
        <w:gridCol w:w="1156"/>
        <w:gridCol w:w="1080"/>
        <w:gridCol w:w="1156"/>
      </w:tblGrid>
      <w:tr w:rsidR="00D056F5" w:rsidRPr="0037749C" w14:paraId="0415843B" w14:textId="77777777" w:rsidTr="00623EC8">
        <w:trPr>
          <w:trHeight w:val="19"/>
        </w:trPr>
        <w:tc>
          <w:tcPr>
            <w:tcW w:w="0" w:type="auto"/>
            <w:tcBorders>
              <w:top w:val="single" w:sz="4" w:space="0" w:color="auto"/>
              <w:bottom w:val="single" w:sz="4" w:space="0" w:color="auto"/>
            </w:tcBorders>
            <w:vAlign w:val="center"/>
          </w:tcPr>
          <w:p w14:paraId="11295506" w14:textId="77777777" w:rsidR="00D056F5" w:rsidRPr="0037749C" w:rsidRDefault="00D056F5" w:rsidP="00623EC8">
            <w:pPr>
              <w:spacing w:line="360" w:lineRule="auto"/>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Source of variation</w:t>
            </w:r>
          </w:p>
        </w:tc>
        <w:tc>
          <w:tcPr>
            <w:tcW w:w="0" w:type="auto"/>
            <w:tcBorders>
              <w:top w:val="single" w:sz="4" w:space="0" w:color="auto"/>
              <w:bottom w:val="single" w:sz="4" w:space="0" w:color="auto"/>
            </w:tcBorders>
            <w:vAlign w:val="center"/>
          </w:tcPr>
          <w:p w14:paraId="79AF73FC"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A</w:t>
            </w:r>
          </w:p>
        </w:tc>
        <w:tc>
          <w:tcPr>
            <w:tcW w:w="0" w:type="auto"/>
            <w:tcBorders>
              <w:top w:val="single" w:sz="4" w:space="0" w:color="auto"/>
              <w:bottom w:val="single" w:sz="4" w:space="0" w:color="auto"/>
            </w:tcBorders>
            <w:vAlign w:val="center"/>
          </w:tcPr>
          <w:p w14:paraId="5B017C36"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gs</w:t>
            </w:r>
          </w:p>
        </w:tc>
        <w:tc>
          <w:tcPr>
            <w:tcW w:w="0" w:type="auto"/>
            <w:tcBorders>
              <w:top w:val="single" w:sz="4" w:space="0" w:color="auto"/>
              <w:bottom w:val="single" w:sz="4" w:space="0" w:color="auto"/>
            </w:tcBorders>
            <w:vAlign w:val="center"/>
          </w:tcPr>
          <w:p w14:paraId="63071296"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E</w:t>
            </w:r>
          </w:p>
        </w:tc>
        <w:tc>
          <w:tcPr>
            <w:tcW w:w="0" w:type="auto"/>
            <w:tcBorders>
              <w:top w:val="single" w:sz="4" w:space="0" w:color="auto"/>
              <w:bottom w:val="single" w:sz="4" w:space="0" w:color="auto"/>
            </w:tcBorders>
            <w:vAlign w:val="center"/>
          </w:tcPr>
          <w:p w14:paraId="2160DEB5"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Ci</w:t>
            </w:r>
          </w:p>
        </w:tc>
        <w:tc>
          <w:tcPr>
            <w:tcW w:w="0" w:type="auto"/>
            <w:tcBorders>
              <w:top w:val="single" w:sz="4" w:space="0" w:color="auto"/>
              <w:bottom w:val="single" w:sz="4" w:space="0" w:color="auto"/>
            </w:tcBorders>
            <w:vAlign w:val="center"/>
          </w:tcPr>
          <w:p w14:paraId="1C4C93E8"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VPD</w:t>
            </w:r>
          </w:p>
        </w:tc>
        <w:tc>
          <w:tcPr>
            <w:tcW w:w="0" w:type="auto"/>
            <w:tcBorders>
              <w:top w:val="single" w:sz="4" w:space="0" w:color="auto"/>
              <w:bottom w:val="single" w:sz="4" w:space="0" w:color="auto"/>
            </w:tcBorders>
            <w:vAlign w:val="center"/>
          </w:tcPr>
          <w:p w14:paraId="40D2F01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WUE</w:t>
            </w:r>
          </w:p>
        </w:tc>
        <w:tc>
          <w:tcPr>
            <w:tcW w:w="0" w:type="auto"/>
            <w:tcBorders>
              <w:top w:val="single" w:sz="4" w:space="0" w:color="auto"/>
              <w:bottom w:val="single" w:sz="4" w:space="0" w:color="auto"/>
            </w:tcBorders>
            <w:vAlign w:val="center"/>
          </w:tcPr>
          <w:p w14:paraId="77508C45"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iWUE</w:t>
            </w:r>
          </w:p>
        </w:tc>
        <w:tc>
          <w:tcPr>
            <w:tcW w:w="0" w:type="auto"/>
            <w:tcBorders>
              <w:top w:val="single" w:sz="4" w:space="0" w:color="auto"/>
              <w:bottom w:val="single" w:sz="4" w:space="0" w:color="auto"/>
            </w:tcBorders>
            <w:vAlign w:val="center"/>
          </w:tcPr>
          <w:p w14:paraId="682239EF"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iCE</w:t>
            </w:r>
          </w:p>
        </w:tc>
      </w:tr>
      <w:tr w:rsidR="00D056F5" w:rsidRPr="0037749C" w14:paraId="6D4C1F2B" w14:textId="77777777" w:rsidTr="00623EC8">
        <w:trPr>
          <w:trHeight w:val="19"/>
        </w:trPr>
        <w:tc>
          <w:tcPr>
            <w:tcW w:w="0" w:type="auto"/>
            <w:tcBorders>
              <w:top w:val="single" w:sz="4" w:space="0" w:color="auto"/>
            </w:tcBorders>
            <w:vAlign w:val="center"/>
          </w:tcPr>
          <w:p w14:paraId="487E8F52" w14:textId="77777777" w:rsidR="00D056F5" w:rsidRPr="0037749C" w:rsidRDefault="00D056F5" w:rsidP="00623EC8">
            <w:pPr>
              <w:spacing w:line="360" w:lineRule="auto"/>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ECw</w:t>
            </w:r>
          </w:p>
        </w:tc>
        <w:tc>
          <w:tcPr>
            <w:tcW w:w="0" w:type="auto"/>
            <w:tcBorders>
              <w:top w:val="single" w:sz="4" w:space="0" w:color="auto"/>
            </w:tcBorders>
            <w:vAlign w:val="center"/>
          </w:tcPr>
          <w:p w14:paraId="3A4D05FF"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37EBCCDF"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6C1F5A8E"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09E1E7BC"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0.1147</w:t>
            </w:r>
            <w:r w:rsidRPr="0037749C">
              <w:rPr>
                <w:rFonts w:ascii="Times New Roman" w:hAnsi="Times New Roman" w:cs="Times New Roman"/>
                <w:color w:val="000000" w:themeColor="text1"/>
                <w:sz w:val="20"/>
                <w:szCs w:val="20"/>
                <w:vertAlign w:val="superscript"/>
              </w:rPr>
              <w:t>ns</w:t>
            </w:r>
          </w:p>
        </w:tc>
        <w:tc>
          <w:tcPr>
            <w:tcW w:w="0" w:type="auto"/>
            <w:tcBorders>
              <w:top w:val="single" w:sz="4" w:space="0" w:color="auto"/>
            </w:tcBorders>
            <w:vAlign w:val="center"/>
          </w:tcPr>
          <w:p w14:paraId="3A83CB5F"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6D1DDE9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2DF03F76"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0.0057</w:t>
            </w:r>
            <w:r w:rsidRPr="0037749C">
              <w:rPr>
                <w:rFonts w:ascii="Times New Roman" w:hAnsi="Times New Roman" w:cs="Times New Roman"/>
                <w:color w:val="000000" w:themeColor="text1"/>
                <w:sz w:val="20"/>
                <w:szCs w:val="20"/>
                <w:vertAlign w:val="superscript"/>
              </w:rPr>
              <w:t>**</w:t>
            </w:r>
          </w:p>
        </w:tc>
        <w:tc>
          <w:tcPr>
            <w:tcW w:w="0" w:type="auto"/>
            <w:tcBorders>
              <w:top w:val="single" w:sz="4" w:space="0" w:color="auto"/>
            </w:tcBorders>
            <w:vAlign w:val="center"/>
          </w:tcPr>
          <w:p w14:paraId="74BF6329"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r>
      <w:tr w:rsidR="00D056F5" w:rsidRPr="0037749C" w14:paraId="566A83A7" w14:textId="77777777" w:rsidTr="00623EC8">
        <w:trPr>
          <w:trHeight w:val="19"/>
        </w:trPr>
        <w:tc>
          <w:tcPr>
            <w:tcW w:w="0" w:type="auto"/>
            <w:vAlign w:val="center"/>
          </w:tcPr>
          <w:p w14:paraId="1C549774" w14:textId="77777777" w:rsidR="00D056F5" w:rsidRPr="0037749C" w:rsidRDefault="00D056F5" w:rsidP="00623EC8">
            <w:pPr>
              <w:spacing w:line="360" w:lineRule="auto"/>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MeJa</w:t>
            </w:r>
          </w:p>
        </w:tc>
        <w:tc>
          <w:tcPr>
            <w:tcW w:w="0" w:type="auto"/>
            <w:vAlign w:val="center"/>
          </w:tcPr>
          <w:p w14:paraId="74430718"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vAlign w:val="center"/>
          </w:tcPr>
          <w:p w14:paraId="4A740846"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vAlign w:val="center"/>
          </w:tcPr>
          <w:p w14:paraId="606E3647"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0.0020</w:t>
            </w:r>
            <w:r w:rsidRPr="0037749C">
              <w:rPr>
                <w:rFonts w:ascii="Times New Roman" w:hAnsi="Times New Roman" w:cs="Times New Roman"/>
                <w:color w:val="000000" w:themeColor="text1"/>
                <w:sz w:val="20"/>
                <w:szCs w:val="20"/>
                <w:vertAlign w:val="superscript"/>
              </w:rPr>
              <w:t>**</w:t>
            </w:r>
          </w:p>
        </w:tc>
        <w:tc>
          <w:tcPr>
            <w:tcW w:w="0" w:type="auto"/>
            <w:vAlign w:val="center"/>
          </w:tcPr>
          <w:p w14:paraId="7F251B4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0.2756</w:t>
            </w:r>
            <w:r w:rsidRPr="0037749C">
              <w:rPr>
                <w:rFonts w:ascii="Times New Roman" w:hAnsi="Times New Roman" w:cs="Times New Roman"/>
                <w:color w:val="000000" w:themeColor="text1"/>
                <w:sz w:val="20"/>
                <w:szCs w:val="20"/>
                <w:vertAlign w:val="superscript"/>
              </w:rPr>
              <w:t>ns</w:t>
            </w:r>
          </w:p>
        </w:tc>
        <w:tc>
          <w:tcPr>
            <w:tcW w:w="0" w:type="auto"/>
            <w:vAlign w:val="center"/>
          </w:tcPr>
          <w:p w14:paraId="4D93882B"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0.0086</w:t>
            </w:r>
            <w:r w:rsidRPr="0037749C">
              <w:rPr>
                <w:rFonts w:ascii="Times New Roman" w:hAnsi="Times New Roman" w:cs="Times New Roman"/>
                <w:color w:val="000000" w:themeColor="text1"/>
                <w:sz w:val="20"/>
                <w:szCs w:val="20"/>
                <w:vertAlign w:val="superscript"/>
              </w:rPr>
              <w:t>**</w:t>
            </w:r>
          </w:p>
        </w:tc>
        <w:tc>
          <w:tcPr>
            <w:tcW w:w="0" w:type="auto"/>
            <w:vAlign w:val="center"/>
          </w:tcPr>
          <w:p w14:paraId="2FDBC7B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vAlign w:val="center"/>
          </w:tcPr>
          <w:p w14:paraId="1D88A4A0"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0.0056</w:t>
            </w:r>
            <w:r w:rsidRPr="0037749C">
              <w:rPr>
                <w:rFonts w:ascii="Times New Roman" w:hAnsi="Times New Roman" w:cs="Times New Roman"/>
                <w:color w:val="000000" w:themeColor="text1"/>
                <w:sz w:val="20"/>
                <w:szCs w:val="20"/>
                <w:vertAlign w:val="superscript"/>
              </w:rPr>
              <w:t>**</w:t>
            </w:r>
          </w:p>
        </w:tc>
        <w:tc>
          <w:tcPr>
            <w:tcW w:w="0" w:type="auto"/>
            <w:vAlign w:val="center"/>
          </w:tcPr>
          <w:p w14:paraId="1E20410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r>
      <w:tr w:rsidR="00D056F5" w:rsidRPr="0037749C" w14:paraId="5DDD17E2" w14:textId="77777777" w:rsidTr="00623EC8">
        <w:trPr>
          <w:trHeight w:val="19"/>
        </w:trPr>
        <w:tc>
          <w:tcPr>
            <w:tcW w:w="0" w:type="auto"/>
            <w:tcBorders>
              <w:bottom w:val="single" w:sz="4" w:space="0" w:color="auto"/>
            </w:tcBorders>
            <w:vAlign w:val="center"/>
          </w:tcPr>
          <w:p w14:paraId="4F4971A9" w14:textId="77777777" w:rsidR="00D056F5" w:rsidRPr="0037749C" w:rsidRDefault="00D056F5" w:rsidP="00623EC8">
            <w:pPr>
              <w:spacing w:line="360" w:lineRule="auto"/>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ECw x MeJa</w:t>
            </w:r>
          </w:p>
        </w:tc>
        <w:tc>
          <w:tcPr>
            <w:tcW w:w="0" w:type="auto"/>
            <w:tcBorders>
              <w:bottom w:val="single" w:sz="4" w:space="0" w:color="auto"/>
            </w:tcBorders>
            <w:vAlign w:val="center"/>
          </w:tcPr>
          <w:p w14:paraId="4F9A51FC"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c>
          <w:tcPr>
            <w:tcW w:w="0" w:type="auto"/>
            <w:tcBorders>
              <w:bottom w:val="single" w:sz="4" w:space="0" w:color="auto"/>
            </w:tcBorders>
            <w:vAlign w:val="center"/>
          </w:tcPr>
          <w:p w14:paraId="6E481878"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0.0881</w:t>
            </w:r>
            <w:r w:rsidRPr="0037749C">
              <w:rPr>
                <w:rFonts w:ascii="Times New Roman" w:hAnsi="Times New Roman" w:cs="Times New Roman"/>
                <w:color w:val="000000" w:themeColor="text1"/>
                <w:sz w:val="20"/>
                <w:szCs w:val="20"/>
                <w:vertAlign w:val="superscript"/>
              </w:rPr>
              <w:t>ns</w:t>
            </w:r>
          </w:p>
        </w:tc>
        <w:tc>
          <w:tcPr>
            <w:tcW w:w="0" w:type="auto"/>
            <w:tcBorders>
              <w:bottom w:val="single" w:sz="4" w:space="0" w:color="auto"/>
            </w:tcBorders>
            <w:vAlign w:val="center"/>
          </w:tcPr>
          <w:p w14:paraId="5EDFB152"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0.5181</w:t>
            </w:r>
            <w:r w:rsidRPr="0037749C">
              <w:rPr>
                <w:rFonts w:ascii="Times New Roman" w:hAnsi="Times New Roman" w:cs="Times New Roman"/>
                <w:color w:val="000000" w:themeColor="text1"/>
                <w:sz w:val="20"/>
                <w:szCs w:val="20"/>
                <w:vertAlign w:val="superscript"/>
              </w:rPr>
              <w:t>ns</w:t>
            </w:r>
          </w:p>
        </w:tc>
        <w:tc>
          <w:tcPr>
            <w:tcW w:w="0" w:type="auto"/>
            <w:tcBorders>
              <w:bottom w:val="single" w:sz="4" w:space="0" w:color="auto"/>
            </w:tcBorders>
            <w:vAlign w:val="center"/>
          </w:tcPr>
          <w:p w14:paraId="46A28F33"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0.2693</w:t>
            </w:r>
            <w:r w:rsidRPr="0037749C">
              <w:rPr>
                <w:rFonts w:ascii="Times New Roman" w:hAnsi="Times New Roman" w:cs="Times New Roman"/>
                <w:color w:val="000000" w:themeColor="text1"/>
                <w:sz w:val="20"/>
                <w:szCs w:val="20"/>
                <w:vertAlign w:val="superscript"/>
              </w:rPr>
              <w:t>ns</w:t>
            </w:r>
          </w:p>
        </w:tc>
        <w:tc>
          <w:tcPr>
            <w:tcW w:w="0" w:type="auto"/>
            <w:tcBorders>
              <w:bottom w:val="single" w:sz="4" w:space="0" w:color="auto"/>
            </w:tcBorders>
            <w:vAlign w:val="center"/>
          </w:tcPr>
          <w:p w14:paraId="655C6D65"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0.7585</w:t>
            </w:r>
            <w:r w:rsidRPr="0037749C">
              <w:rPr>
                <w:rFonts w:ascii="Times New Roman" w:hAnsi="Times New Roman" w:cs="Times New Roman"/>
                <w:color w:val="000000" w:themeColor="text1"/>
                <w:sz w:val="20"/>
                <w:szCs w:val="20"/>
                <w:vertAlign w:val="superscript"/>
              </w:rPr>
              <w:t>ns</w:t>
            </w:r>
          </w:p>
        </w:tc>
        <w:tc>
          <w:tcPr>
            <w:tcW w:w="0" w:type="auto"/>
            <w:tcBorders>
              <w:bottom w:val="single" w:sz="4" w:space="0" w:color="auto"/>
            </w:tcBorders>
            <w:vAlign w:val="center"/>
          </w:tcPr>
          <w:p w14:paraId="25DD9BAD"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0.0010</w:t>
            </w:r>
            <w:r w:rsidRPr="0037749C">
              <w:rPr>
                <w:rFonts w:ascii="Times New Roman" w:hAnsi="Times New Roman" w:cs="Times New Roman"/>
                <w:color w:val="000000" w:themeColor="text1"/>
                <w:sz w:val="20"/>
                <w:szCs w:val="20"/>
                <w:vertAlign w:val="superscript"/>
              </w:rPr>
              <w:t>**</w:t>
            </w:r>
          </w:p>
        </w:tc>
        <w:tc>
          <w:tcPr>
            <w:tcW w:w="0" w:type="auto"/>
            <w:tcBorders>
              <w:bottom w:val="single" w:sz="4" w:space="0" w:color="auto"/>
            </w:tcBorders>
            <w:vAlign w:val="center"/>
          </w:tcPr>
          <w:p w14:paraId="41AA0979"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0.0033</w:t>
            </w:r>
            <w:r w:rsidRPr="0037749C">
              <w:rPr>
                <w:rFonts w:ascii="Times New Roman" w:hAnsi="Times New Roman" w:cs="Times New Roman"/>
                <w:color w:val="000000" w:themeColor="text1"/>
                <w:sz w:val="20"/>
                <w:szCs w:val="20"/>
                <w:vertAlign w:val="superscript"/>
              </w:rPr>
              <w:t>**</w:t>
            </w:r>
          </w:p>
        </w:tc>
        <w:tc>
          <w:tcPr>
            <w:tcW w:w="0" w:type="auto"/>
            <w:tcBorders>
              <w:bottom w:val="single" w:sz="4" w:space="0" w:color="auto"/>
            </w:tcBorders>
            <w:vAlign w:val="center"/>
          </w:tcPr>
          <w:p w14:paraId="333A47B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&lt; 0.001</w:t>
            </w:r>
            <w:r w:rsidRPr="0037749C">
              <w:rPr>
                <w:rFonts w:ascii="Times New Roman" w:hAnsi="Times New Roman" w:cs="Times New Roman"/>
                <w:color w:val="000000" w:themeColor="text1"/>
                <w:sz w:val="20"/>
                <w:szCs w:val="20"/>
                <w:vertAlign w:val="superscript"/>
              </w:rPr>
              <w:t>**</w:t>
            </w:r>
          </w:p>
        </w:tc>
      </w:tr>
      <w:tr w:rsidR="00D056F5" w:rsidRPr="0037749C" w14:paraId="20CCC9A7" w14:textId="77777777" w:rsidTr="00623EC8">
        <w:trPr>
          <w:trHeight w:val="19"/>
        </w:trPr>
        <w:tc>
          <w:tcPr>
            <w:tcW w:w="0" w:type="auto"/>
            <w:tcBorders>
              <w:top w:val="single" w:sz="4" w:space="0" w:color="auto"/>
              <w:bottom w:val="single" w:sz="4" w:space="0" w:color="auto"/>
            </w:tcBorders>
            <w:vAlign w:val="center"/>
          </w:tcPr>
          <w:p w14:paraId="05EA16FE" w14:textId="77777777" w:rsidR="00D056F5" w:rsidRPr="0037749C" w:rsidRDefault="00D056F5" w:rsidP="00623EC8">
            <w:pPr>
              <w:spacing w:line="360" w:lineRule="auto"/>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CV (%)</w:t>
            </w:r>
          </w:p>
        </w:tc>
        <w:tc>
          <w:tcPr>
            <w:tcW w:w="0" w:type="auto"/>
            <w:tcBorders>
              <w:top w:val="single" w:sz="4" w:space="0" w:color="auto"/>
              <w:bottom w:val="single" w:sz="4" w:space="0" w:color="auto"/>
            </w:tcBorders>
            <w:vAlign w:val="center"/>
          </w:tcPr>
          <w:p w14:paraId="0080B23E"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10.32</w:t>
            </w:r>
          </w:p>
        </w:tc>
        <w:tc>
          <w:tcPr>
            <w:tcW w:w="0" w:type="auto"/>
            <w:tcBorders>
              <w:top w:val="single" w:sz="4" w:space="0" w:color="auto"/>
              <w:bottom w:val="single" w:sz="4" w:space="0" w:color="auto"/>
            </w:tcBorders>
            <w:vAlign w:val="center"/>
          </w:tcPr>
          <w:p w14:paraId="6442AF3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14.11</w:t>
            </w:r>
          </w:p>
        </w:tc>
        <w:tc>
          <w:tcPr>
            <w:tcW w:w="0" w:type="auto"/>
            <w:tcBorders>
              <w:top w:val="single" w:sz="4" w:space="0" w:color="auto"/>
              <w:bottom w:val="single" w:sz="4" w:space="0" w:color="auto"/>
            </w:tcBorders>
            <w:vAlign w:val="center"/>
          </w:tcPr>
          <w:p w14:paraId="6D47CD41"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14.92</w:t>
            </w:r>
          </w:p>
        </w:tc>
        <w:tc>
          <w:tcPr>
            <w:tcW w:w="0" w:type="auto"/>
            <w:tcBorders>
              <w:top w:val="single" w:sz="4" w:space="0" w:color="auto"/>
              <w:bottom w:val="single" w:sz="4" w:space="0" w:color="auto"/>
            </w:tcBorders>
            <w:vAlign w:val="center"/>
          </w:tcPr>
          <w:p w14:paraId="769A35D7"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5.90</w:t>
            </w:r>
          </w:p>
        </w:tc>
        <w:tc>
          <w:tcPr>
            <w:tcW w:w="0" w:type="auto"/>
            <w:tcBorders>
              <w:top w:val="single" w:sz="4" w:space="0" w:color="auto"/>
              <w:bottom w:val="single" w:sz="4" w:space="0" w:color="auto"/>
            </w:tcBorders>
            <w:vAlign w:val="center"/>
          </w:tcPr>
          <w:p w14:paraId="1510636F"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6.88</w:t>
            </w:r>
          </w:p>
        </w:tc>
        <w:tc>
          <w:tcPr>
            <w:tcW w:w="0" w:type="auto"/>
            <w:tcBorders>
              <w:top w:val="single" w:sz="4" w:space="0" w:color="auto"/>
              <w:bottom w:val="single" w:sz="4" w:space="0" w:color="auto"/>
            </w:tcBorders>
            <w:vAlign w:val="center"/>
          </w:tcPr>
          <w:p w14:paraId="30C34336"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17.84</w:t>
            </w:r>
          </w:p>
        </w:tc>
        <w:tc>
          <w:tcPr>
            <w:tcW w:w="0" w:type="auto"/>
            <w:tcBorders>
              <w:top w:val="single" w:sz="4" w:space="0" w:color="auto"/>
              <w:bottom w:val="single" w:sz="4" w:space="0" w:color="auto"/>
            </w:tcBorders>
            <w:vAlign w:val="center"/>
          </w:tcPr>
          <w:p w14:paraId="4DF636B3"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19.56</w:t>
            </w:r>
          </w:p>
        </w:tc>
        <w:tc>
          <w:tcPr>
            <w:tcW w:w="0" w:type="auto"/>
            <w:tcBorders>
              <w:top w:val="single" w:sz="4" w:space="0" w:color="auto"/>
              <w:bottom w:val="single" w:sz="4" w:space="0" w:color="auto"/>
            </w:tcBorders>
            <w:vAlign w:val="center"/>
          </w:tcPr>
          <w:p w14:paraId="799D40D3" w14:textId="77777777" w:rsidR="00D056F5" w:rsidRPr="0037749C" w:rsidRDefault="00D056F5" w:rsidP="00623EC8">
            <w:pPr>
              <w:spacing w:line="360" w:lineRule="auto"/>
              <w:jc w:val="center"/>
              <w:rPr>
                <w:rFonts w:ascii="Times New Roman" w:hAnsi="Times New Roman" w:cs="Times New Roman"/>
                <w:color w:val="000000" w:themeColor="text1"/>
                <w:sz w:val="20"/>
                <w:szCs w:val="20"/>
              </w:rPr>
            </w:pPr>
            <w:r w:rsidRPr="0037749C">
              <w:rPr>
                <w:rFonts w:ascii="Times New Roman" w:hAnsi="Times New Roman" w:cs="Times New Roman"/>
                <w:color w:val="000000" w:themeColor="text1"/>
                <w:sz w:val="20"/>
                <w:szCs w:val="20"/>
              </w:rPr>
              <w:t>13.13</w:t>
            </w:r>
          </w:p>
        </w:tc>
      </w:tr>
    </w:tbl>
    <w:p w14:paraId="6B60CDD4" w14:textId="77777777" w:rsidR="00D056F5" w:rsidRDefault="00D056F5" w:rsidP="00D056F5">
      <w:pPr>
        <w:spacing w:after="0" w:line="360" w:lineRule="auto"/>
        <w:jc w:val="both"/>
        <w:rPr>
          <w:rFonts w:ascii="Times New Roman" w:hAnsi="Times New Roman" w:cs="Times New Roman"/>
          <w:sz w:val="20"/>
          <w:szCs w:val="20"/>
          <w:lang w:val="en-US"/>
        </w:rPr>
      </w:pPr>
      <w:r w:rsidRPr="0037749C">
        <w:rPr>
          <w:rFonts w:ascii="Times New Roman" w:hAnsi="Times New Roman" w:cs="Times New Roman"/>
          <w:sz w:val="20"/>
          <w:szCs w:val="20"/>
          <w:lang w:val="en-US"/>
        </w:rPr>
        <w:t>** and * indicate statistical significance at p &lt; 0.01 and p &lt; 0.05, respectively; ns indicates not significant. CV (%): coefficient of variation.</w:t>
      </w:r>
    </w:p>
    <w:p w14:paraId="3C078BC9" w14:textId="566DD101" w:rsidR="00D056F5" w:rsidRDefault="006E3030">
      <w:r>
        <w:t xml:space="preserve"> </w:t>
      </w:r>
    </w:p>
    <w:sectPr w:rsidR="00D056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F5"/>
    <w:rsid w:val="004E76E3"/>
    <w:rsid w:val="00681452"/>
    <w:rsid w:val="006E3030"/>
    <w:rsid w:val="00D056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D426"/>
  <w15:chartTrackingRefBased/>
  <w15:docId w15:val="{F89F9981-C975-4F30-B390-2CCD3634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6F5"/>
  </w:style>
  <w:style w:type="paragraph" w:styleId="Ttulo1">
    <w:name w:val="heading 1"/>
    <w:basedOn w:val="Normal"/>
    <w:next w:val="Normal"/>
    <w:link w:val="Ttulo1Char"/>
    <w:uiPriority w:val="9"/>
    <w:qFormat/>
    <w:rsid w:val="00D05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05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056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056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056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056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056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056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056F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056F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056F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056F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056F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056F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056F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056F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056F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056F5"/>
    <w:rPr>
      <w:rFonts w:eastAsiaTheme="majorEastAsia" w:cstheme="majorBidi"/>
      <w:color w:val="272727" w:themeColor="text1" w:themeTint="D8"/>
    </w:rPr>
  </w:style>
  <w:style w:type="paragraph" w:styleId="Ttulo">
    <w:name w:val="Title"/>
    <w:basedOn w:val="Normal"/>
    <w:next w:val="Normal"/>
    <w:link w:val="TtuloChar"/>
    <w:uiPriority w:val="10"/>
    <w:qFormat/>
    <w:rsid w:val="00D0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056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056F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056F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056F5"/>
    <w:pPr>
      <w:spacing w:before="160"/>
      <w:jc w:val="center"/>
    </w:pPr>
    <w:rPr>
      <w:i/>
      <w:iCs/>
      <w:color w:val="404040" w:themeColor="text1" w:themeTint="BF"/>
    </w:rPr>
  </w:style>
  <w:style w:type="character" w:customStyle="1" w:styleId="CitaoChar">
    <w:name w:val="Citação Char"/>
    <w:basedOn w:val="Fontepargpadro"/>
    <w:link w:val="Citao"/>
    <w:uiPriority w:val="29"/>
    <w:rsid w:val="00D056F5"/>
    <w:rPr>
      <w:i/>
      <w:iCs/>
      <w:color w:val="404040" w:themeColor="text1" w:themeTint="BF"/>
    </w:rPr>
  </w:style>
  <w:style w:type="paragraph" w:styleId="PargrafodaLista">
    <w:name w:val="List Paragraph"/>
    <w:basedOn w:val="Normal"/>
    <w:uiPriority w:val="34"/>
    <w:qFormat/>
    <w:rsid w:val="00D056F5"/>
    <w:pPr>
      <w:ind w:left="720"/>
      <w:contextualSpacing/>
    </w:pPr>
  </w:style>
  <w:style w:type="character" w:styleId="nfaseIntensa">
    <w:name w:val="Intense Emphasis"/>
    <w:basedOn w:val="Fontepargpadro"/>
    <w:uiPriority w:val="21"/>
    <w:qFormat/>
    <w:rsid w:val="00D056F5"/>
    <w:rPr>
      <w:i/>
      <w:iCs/>
      <w:color w:val="0F4761" w:themeColor="accent1" w:themeShade="BF"/>
    </w:rPr>
  </w:style>
  <w:style w:type="paragraph" w:styleId="CitaoIntensa">
    <w:name w:val="Intense Quote"/>
    <w:basedOn w:val="Normal"/>
    <w:next w:val="Normal"/>
    <w:link w:val="CitaoIntensaChar"/>
    <w:uiPriority w:val="30"/>
    <w:qFormat/>
    <w:rsid w:val="00D0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056F5"/>
    <w:rPr>
      <w:i/>
      <w:iCs/>
      <w:color w:val="0F4761" w:themeColor="accent1" w:themeShade="BF"/>
    </w:rPr>
  </w:style>
  <w:style w:type="character" w:styleId="RefernciaIntensa">
    <w:name w:val="Intense Reference"/>
    <w:basedOn w:val="Fontepargpadro"/>
    <w:uiPriority w:val="32"/>
    <w:qFormat/>
    <w:rsid w:val="00D056F5"/>
    <w:rPr>
      <w:b/>
      <w:bCs/>
      <w:smallCaps/>
      <w:color w:val="0F4761" w:themeColor="accent1" w:themeShade="BF"/>
      <w:spacing w:val="5"/>
    </w:rPr>
  </w:style>
  <w:style w:type="table" w:styleId="Tabelacomgrade">
    <w:name w:val="Table Grid"/>
    <w:basedOn w:val="Tabelanormal"/>
    <w:uiPriority w:val="59"/>
    <w:rsid w:val="00D056F5"/>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790</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Everthon da Silva Ribeiro</dc:creator>
  <cp:keywords/>
  <dc:description/>
  <cp:lastModifiedBy>Joao Everthon da Silva Ribeiro</cp:lastModifiedBy>
  <cp:revision>3</cp:revision>
  <dcterms:created xsi:type="dcterms:W3CDTF">2026-08-03T02:35:00Z</dcterms:created>
  <dcterms:modified xsi:type="dcterms:W3CDTF">2026-08-03T02:39:00Z</dcterms:modified>
</cp:coreProperties>
</file>