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5877D2" w14:textId="77777777" w:rsidR="00A95AE8" w:rsidRDefault="00A95AE8">
      <w:pPr>
        <w:jc w:val="center"/>
        <w:rPr>
          <w:sz w:val="36"/>
          <w:szCs w:val="36"/>
        </w:rPr>
      </w:pPr>
    </w:p>
    <w:p w14:paraId="3CF9A2DC" w14:textId="77777777" w:rsidR="00A95AE8" w:rsidRDefault="00000000">
      <w:pPr>
        <w:jc w:val="center"/>
        <w:rPr>
          <w:b/>
          <w:sz w:val="26"/>
          <w:szCs w:val="26"/>
        </w:rPr>
      </w:pPr>
      <w:r>
        <w:rPr>
          <w:b/>
          <w:sz w:val="26"/>
          <w:szCs w:val="26"/>
        </w:rPr>
        <w:t>How male and female literary authors write about affect</w:t>
      </w:r>
    </w:p>
    <w:p w14:paraId="4FE99728" w14:textId="77777777" w:rsidR="00A95AE8" w:rsidRDefault="00000000">
      <w:pPr>
        <w:jc w:val="center"/>
        <w:rPr>
          <w:sz w:val="26"/>
          <w:szCs w:val="26"/>
        </w:rPr>
      </w:pPr>
      <w:r>
        <w:rPr>
          <w:b/>
          <w:sz w:val="26"/>
          <w:szCs w:val="26"/>
        </w:rPr>
        <w:t>across cultures and over historical periods</w:t>
      </w:r>
    </w:p>
    <w:p w14:paraId="4F58AD13" w14:textId="77777777" w:rsidR="00A95AE8" w:rsidRDefault="00A95AE8">
      <w:pPr>
        <w:pBdr>
          <w:top w:val="nil"/>
          <w:left w:val="nil"/>
          <w:bottom w:val="nil"/>
          <w:right w:val="nil"/>
          <w:between w:val="nil"/>
        </w:pBdr>
        <w:spacing w:line="276" w:lineRule="auto"/>
        <w:ind w:firstLine="720"/>
        <w:jc w:val="both"/>
        <w:rPr>
          <w:color w:val="000000"/>
        </w:rPr>
      </w:pPr>
    </w:p>
    <w:p w14:paraId="17F4A00D" w14:textId="77777777" w:rsidR="00A95AE8" w:rsidRDefault="00000000">
      <w:pPr>
        <w:pBdr>
          <w:top w:val="nil"/>
          <w:left w:val="nil"/>
          <w:bottom w:val="nil"/>
          <w:right w:val="nil"/>
          <w:between w:val="nil"/>
        </w:pBdr>
        <w:spacing w:line="276" w:lineRule="auto"/>
        <w:jc w:val="center"/>
        <w:rPr>
          <w:sz w:val="22"/>
          <w:szCs w:val="22"/>
          <w:vertAlign w:val="superscript"/>
        </w:rPr>
      </w:pPr>
      <w:r>
        <w:rPr>
          <w:sz w:val="22"/>
          <w:szCs w:val="22"/>
        </w:rPr>
        <w:t>Giada Lettieri</w:t>
      </w:r>
      <w:r>
        <w:rPr>
          <w:sz w:val="22"/>
          <w:szCs w:val="22"/>
          <w:vertAlign w:val="superscript"/>
        </w:rPr>
        <w:t>1,2</w:t>
      </w:r>
      <w:r>
        <w:rPr>
          <w:sz w:val="22"/>
          <w:szCs w:val="22"/>
        </w:rPr>
        <w:t>*, Giacomo Handjaras</w:t>
      </w:r>
      <w:r>
        <w:rPr>
          <w:sz w:val="22"/>
          <w:szCs w:val="22"/>
          <w:vertAlign w:val="superscript"/>
        </w:rPr>
        <w:t>2</w:t>
      </w:r>
      <w:r>
        <w:rPr>
          <w:sz w:val="22"/>
          <w:szCs w:val="22"/>
        </w:rPr>
        <w:t>*, Erika Bucci</w:t>
      </w:r>
      <w:r>
        <w:rPr>
          <w:sz w:val="22"/>
          <w:szCs w:val="22"/>
          <w:vertAlign w:val="superscript"/>
        </w:rPr>
        <w:t>2</w:t>
      </w:r>
      <w:r>
        <w:rPr>
          <w:sz w:val="22"/>
          <w:szCs w:val="22"/>
        </w:rPr>
        <w:t>, Pietro Pietrini</w:t>
      </w:r>
      <w:r>
        <w:rPr>
          <w:sz w:val="22"/>
          <w:szCs w:val="22"/>
          <w:vertAlign w:val="superscript"/>
        </w:rPr>
        <w:t>3</w:t>
      </w:r>
      <w:r>
        <w:rPr>
          <w:sz w:val="22"/>
          <w:szCs w:val="22"/>
        </w:rPr>
        <w:t xml:space="preserve"> and Luca Cecchetti</w:t>
      </w:r>
      <w:r>
        <w:rPr>
          <w:sz w:val="22"/>
          <w:szCs w:val="22"/>
          <w:vertAlign w:val="superscript"/>
        </w:rPr>
        <w:t>2</w:t>
      </w:r>
    </w:p>
    <w:p w14:paraId="1EACC6A6" w14:textId="77777777" w:rsidR="00A95AE8" w:rsidRDefault="00A95AE8">
      <w:pPr>
        <w:pBdr>
          <w:top w:val="nil"/>
          <w:left w:val="nil"/>
          <w:bottom w:val="nil"/>
          <w:right w:val="nil"/>
          <w:between w:val="nil"/>
        </w:pBdr>
        <w:spacing w:line="276" w:lineRule="auto"/>
        <w:ind w:left="720"/>
        <w:jc w:val="both"/>
      </w:pPr>
    </w:p>
    <w:p w14:paraId="654DA36C" w14:textId="77777777" w:rsidR="00A95AE8" w:rsidRDefault="00000000">
      <w:pPr>
        <w:pBdr>
          <w:top w:val="nil"/>
          <w:left w:val="nil"/>
          <w:bottom w:val="nil"/>
          <w:right w:val="nil"/>
          <w:between w:val="nil"/>
        </w:pBdr>
        <w:spacing w:line="276" w:lineRule="auto"/>
        <w:ind w:left="720"/>
        <w:jc w:val="center"/>
        <w:rPr>
          <w:sz w:val="18"/>
          <w:szCs w:val="18"/>
        </w:rPr>
      </w:pPr>
      <w:r>
        <w:rPr>
          <w:sz w:val="18"/>
          <w:szCs w:val="18"/>
          <w:vertAlign w:val="superscript"/>
        </w:rPr>
        <w:t>1</w:t>
      </w:r>
      <w:r>
        <w:rPr>
          <w:sz w:val="18"/>
          <w:szCs w:val="18"/>
        </w:rPr>
        <w:t xml:space="preserve"> Crossmodal Perception and Plasticity Laboratory, Institute of Research in Psychology &amp; Institute of Neuroscience, Université Catholique de Louvain, Louvain-la-Neuve, Belgium</w:t>
      </w:r>
    </w:p>
    <w:p w14:paraId="6E834D42" w14:textId="77777777" w:rsidR="00A95AE8" w:rsidRDefault="00000000">
      <w:pPr>
        <w:pBdr>
          <w:top w:val="nil"/>
          <w:left w:val="nil"/>
          <w:bottom w:val="nil"/>
          <w:right w:val="nil"/>
          <w:between w:val="nil"/>
        </w:pBdr>
        <w:spacing w:line="276" w:lineRule="auto"/>
        <w:ind w:left="720"/>
        <w:jc w:val="center"/>
        <w:rPr>
          <w:sz w:val="18"/>
          <w:szCs w:val="18"/>
        </w:rPr>
      </w:pPr>
      <w:r>
        <w:rPr>
          <w:sz w:val="18"/>
          <w:szCs w:val="18"/>
          <w:vertAlign w:val="superscript"/>
        </w:rPr>
        <w:t>2</w:t>
      </w:r>
      <w:r>
        <w:rPr>
          <w:sz w:val="18"/>
          <w:szCs w:val="18"/>
        </w:rPr>
        <w:t xml:space="preserve"> Social and Affective Neuroscience Group, MoMiLab, IMT School for Advanced Studies Lucca, Lucca, Italy</w:t>
      </w:r>
    </w:p>
    <w:p w14:paraId="3E37D3D0" w14:textId="77777777" w:rsidR="00A95AE8" w:rsidRDefault="00000000">
      <w:pPr>
        <w:pBdr>
          <w:top w:val="nil"/>
          <w:left w:val="nil"/>
          <w:bottom w:val="nil"/>
          <w:right w:val="nil"/>
          <w:between w:val="nil"/>
        </w:pBdr>
        <w:spacing w:line="276" w:lineRule="auto"/>
        <w:ind w:left="720"/>
        <w:jc w:val="center"/>
        <w:rPr>
          <w:sz w:val="18"/>
          <w:szCs w:val="18"/>
        </w:rPr>
      </w:pPr>
      <w:r>
        <w:rPr>
          <w:sz w:val="18"/>
          <w:szCs w:val="18"/>
          <w:vertAlign w:val="superscript"/>
        </w:rPr>
        <w:t>3</w:t>
      </w:r>
      <w:r>
        <w:rPr>
          <w:sz w:val="18"/>
          <w:szCs w:val="18"/>
        </w:rPr>
        <w:t xml:space="preserve"> Molecular Mind Laboratory, MoMiLab, IMT School for Advanced Studies Lucca, Lucca, Italy</w:t>
      </w:r>
    </w:p>
    <w:p w14:paraId="7EC5AF8C" w14:textId="77777777" w:rsidR="00A95AE8" w:rsidRDefault="00000000">
      <w:pPr>
        <w:pBdr>
          <w:top w:val="nil"/>
          <w:left w:val="nil"/>
          <w:bottom w:val="nil"/>
          <w:right w:val="nil"/>
          <w:between w:val="nil"/>
        </w:pBdr>
        <w:spacing w:line="276" w:lineRule="auto"/>
        <w:ind w:left="720"/>
        <w:jc w:val="center"/>
        <w:rPr>
          <w:sz w:val="18"/>
          <w:szCs w:val="18"/>
        </w:rPr>
      </w:pPr>
      <w:r>
        <w:rPr>
          <w:sz w:val="18"/>
          <w:szCs w:val="18"/>
        </w:rPr>
        <w:t>* denotes equal contribution</w:t>
      </w:r>
    </w:p>
    <w:p w14:paraId="00EC77AA" w14:textId="77777777" w:rsidR="00A95AE8" w:rsidRDefault="00A95AE8">
      <w:pPr>
        <w:pBdr>
          <w:top w:val="nil"/>
          <w:left w:val="nil"/>
          <w:bottom w:val="nil"/>
          <w:right w:val="nil"/>
          <w:between w:val="nil"/>
        </w:pBdr>
        <w:spacing w:line="276" w:lineRule="auto"/>
        <w:ind w:left="720"/>
        <w:jc w:val="both"/>
      </w:pPr>
    </w:p>
    <w:p w14:paraId="0AB75428" w14:textId="77777777" w:rsidR="00A95AE8" w:rsidRDefault="00A95AE8">
      <w:pPr>
        <w:pBdr>
          <w:top w:val="nil"/>
          <w:left w:val="nil"/>
          <w:bottom w:val="nil"/>
          <w:right w:val="nil"/>
          <w:between w:val="nil"/>
        </w:pBdr>
        <w:spacing w:line="276" w:lineRule="auto"/>
        <w:ind w:left="720"/>
        <w:jc w:val="both"/>
      </w:pPr>
    </w:p>
    <w:p w14:paraId="36243A21" w14:textId="77777777" w:rsidR="00A95AE8" w:rsidRDefault="00A95AE8">
      <w:pPr>
        <w:pBdr>
          <w:top w:val="nil"/>
          <w:left w:val="nil"/>
          <w:bottom w:val="nil"/>
          <w:right w:val="nil"/>
          <w:between w:val="nil"/>
        </w:pBdr>
        <w:spacing w:line="276" w:lineRule="auto"/>
        <w:jc w:val="both"/>
        <w:rPr>
          <w:b/>
          <w:color w:val="000000"/>
        </w:rPr>
      </w:pPr>
    </w:p>
    <w:p w14:paraId="26D6E0CA" w14:textId="77777777" w:rsidR="00A95AE8" w:rsidRDefault="00A95AE8">
      <w:pPr>
        <w:jc w:val="both"/>
      </w:pPr>
    </w:p>
    <w:p w14:paraId="1C7A6A9E" w14:textId="77777777" w:rsidR="00A95AE8" w:rsidRDefault="00A95AE8">
      <w:pPr>
        <w:jc w:val="both"/>
        <w:rPr>
          <w:b/>
        </w:rPr>
      </w:pPr>
    </w:p>
    <w:p w14:paraId="1F5902F2" w14:textId="77777777" w:rsidR="00A95AE8" w:rsidRDefault="00000000">
      <w:pPr>
        <w:jc w:val="both"/>
        <w:rPr>
          <w:b/>
        </w:rPr>
      </w:pPr>
      <w:r>
        <w:rPr>
          <w:b/>
        </w:rPr>
        <w:t>This PDF file includes:</w:t>
      </w:r>
    </w:p>
    <w:p w14:paraId="34D2C5B2" w14:textId="77777777" w:rsidR="00A95AE8" w:rsidRDefault="00A95AE8">
      <w:pPr>
        <w:jc w:val="both"/>
      </w:pPr>
    </w:p>
    <w:p w14:paraId="14F717F5" w14:textId="77777777" w:rsidR="00A95AE8" w:rsidRDefault="00000000">
      <w:pPr>
        <w:ind w:left="720"/>
        <w:jc w:val="both"/>
      </w:pPr>
      <w:r>
        <w:t>Supplementary Text</w:t>
      </w:r>
    </w:p>
    <w:p w14:paraId="665EC0C2" w14:textId="77777777" w:rsidR="00A95AE8" w:rsidRDefault="00000000">
      <w:pPr>
        <w:ind w:left="720"/>
        <w:jc w:val="both"/>
      </w:pPr>
      <w:r>
        <w:t>Figs. S1 to S8</w:t>
      </w:r>
    </w:p>
    <w:p w14:paraId="5C15B980" w14:textId="77777777" w:rsidR="00A95AE8" w:rsidRDefault="00000000">
      <w:pPr>
        <w:ind w:left="720"/>
        <w:jc w:val="both"/>
      </w:pPr>
      <w:r>
        <w:t>Tables S1 to S5</w:t>
      </w:r>
    </w:p>
    <w:p w14:paraId="487A5A56" w14:textId="77777777" w:rsidR="00A95AE8" w:rsidRDefault="00000000">
      <w:pPr>
        <w:ind w:left="720"/>
        <w:jc w:val="both"/>
        <w:rPr>
          <w:b/>
          <w:color w:val="000000"/>
        </w:rPr>
      </w:pPr>
      <w:r>
        <w:t xml:space="preserve">References </w:t>
      </w:r>
      <w:r>
        <w:br w:type="page"/>
      </w:r>
    </w:p>
    <w:p w14:paraId="18E8723B" w14:textId="77777777" w:rsidR="00A95AE8" w:rsidRDefault="00000000">
      <w:pPr>
        <w:keepNext/>
        <w:pBdr>
          <w:top w:val="nil"/>
          <w:left w:val="nil"/>
          <w:bottom w:val="nil"/>
          <w:right w:val="nil"/>
          <w:between w:val="nil"/>
        </w:pBdr>
        <w:spacing w:before="240" w:after="60"/>
        <w:jc w:val="both"/>
        <w:rPr>
          <w:b/>
          <w:color w:val="000000"/>
        </w:rPr>
      </w:pPr>
      <w:r>
        <w:rPr>
          <w:b/>
          <w:color w:val="000000"/>
        </w:rPr>
        <w:lastRenderedPageBreak/>
        <w:t>Supplementary Method</w:t>
      </w:r>
    </w:p>
    <w:p w14:paraId="287304DF" w14:textId="77777777" w:rsidR="00A95AE8" w:rsidRDefault="00A95AE8">
      <w:pPr>
        <w:pBdr>
          <w:top w:val="nil"/>
          <w:left w:val="nil"/>
          <w:bottom w:val="nil"/>
          <w:right w:val="nil"/>
          <w:between w:val="nil"/>
        </w:pBdr>
        <w:jc w:val="both"/>
        <w:rPr>
          <w:i/>
          <w:color w:val="000000"/>
          <w:sz w:val="10"/>
          <w:szCs w:val="10"/>
          <w:u w:val="single"/>
        </w:rPr>
      </w:pPr>
    </w:p>
    <w:p w14:paraId="5F8EA4C5" w14:textId="77777777" w:rsidR="00A95AE8" w:rsidRDefault="00000000">
      <w:pPr>
        <w:pBdr>
          <w:top w:val="nil"/>
          <w:left w:val="nil"/>
          <w:bottom w:val="nil"/>
          <w:right w:val="nil"/>
          <w:between w:val="nil"/>
        </w:pBdr>
        <w:spacing w:line="288" w:lineRule="auto"/>
        <w:jc w:val="both"/>
        <w:rPr>
          <w:i/>
          <w:color w:val="000000"/>
          <w:u w:val="single"/>
        </w:rPr>
      </w:pPr>
      <w:r>
        <w:rPr>
          <w:i/>
          <w:color w:val="000000"/>
          <w:u w:val="single"/>
        </w:rPr>
        <w:t>Composition of the corpus</w:t>
      </w:r>
    </w:p>
    <w:p w14:paraId="7E53F786" w14:textId="77777777" w:rsidR="00A95AE8" w:rsidRDefault="00000000">
      <w:pPr>
        <w:spacing w:line="288" w:lineRule="auto"/>
        <w:jc w:val="both"/>
        <w:rPr>
          <w:color w:val="000000"/>
        </w:rPr>
      </w:pPr>
      <w:r>
        <w:rPr>
          <w:color w:val="000000"/>
          <w:highlight w:val="white"/>
        </w:rPr>
        <w:t xml:space="preserve">For the selection of books, we started from the narratives recognized as being exemplary or noteworthy and a classic. We based our selection on lists of classic books redacted by prominent literary scholars (Moretti, 1999), writers, and editors (e.g., Robert B. Downs, Penguin Random House). Indeed, books that are considered to have cultural importance and are well-written are commonly acknowledged in lists of classic narratives, even though there may be some discrepancy in the definition of a classic within genres or literary movements. Moreover, we added authors that received appreciation for their work through international literary awards (n=339, ~25%), such as the </w:t>
      </w:r>
      <w:r>
        <w:rPr>
          <w:i/>
          <w:color w:val="000000"/>
          <w:highlight w:val="white"/>
        </w:rPr>
        <w:t>Nobel</w:t>
      </w:r>
      <w:r>
        <w:rPr>
          <w:color w:val="000000"/>
          <w:highlight w:val="white"/>
        </w:rPr>
        <w:t xml:space="preserve"> prize in literature (n=72, ~5% of all authors). We also included authors awarded or shortlisted with well-renowned country-specific literary prizes, specifically the </w:t>
      </w:r>
      <w:r>
        <w:rPr>
          <w:i/>
          <w:color w:val="000000"/>
          <w:highlight w:val="white"/>
        </w:rPr>
        <w:t>International Booker Prize</w:t>
      </w:r>
      <w:r>
        <w:rPr>
          <w:color w:val="000000"/>
          <w:highlight w:val="white"/>
        </w:rPr>
        <w:t xml:space="preserve"> for works published in English in the United Kingdom and Ireland, the </w:t>
      </w:r>
      <w:r>
        <w:rPr>
          <w:i/>
          <w:color w:val="000000"/>
          <w:highlight w:val="white"/>
        </w:rPr>
        <w:t>Pulitzer Prize</w:t>
      </w:r>
      <w:r>
        <w:rPr>
          <w:color w:val="000000"/>
          <w:highlight w:val="white"/>
        </w:rPr>
        <w:t xml:space="preserve"> for fiction produced by an American author, the </w:t>
      </w:r>
      <w:r>
        <w:rPr>
          <w:i/>
          <w:color w:val="000000"/>
          <w:highlight w:val="white"/>
        </w:rPr>
        <w:t>Franz Kafka Prize</w:t>
      </w:r>
      <w:r>
        <w:rPr>
          <w:color w:val="000000"/>
          <w:highlight w:val="white"/>
        </w:rPr>
        <w:t xml:space="preserve">, the </w:t>
      </w:r>
      <w:r>
        <w:rPr>
          <w:i/>
          <w:color w:val="000000"/>
          <w:highlight w:val="white"/>
        </w:rPr>
        <w:t>Nebula Award</w:t>
      </w:r>
      <w:r>
        <w:rPr>
          <w:color w:val="000000"/>
          <w:highlight w:val="white"/>
        </w:rPr>
        <w:t xml:space="preserve"> for works of science fiction published in the USA, and the </w:t>
      </w:r>
      <w:r>
        <w:rPr>
          <w:i/>
          <w:color w:val="000000"/>
          <w:highlight w:val="white"/>
        </w:rPr>
        <w:t>Caine Prize</w:t>
      </w:r>
      <w:r>
        <w:rPr>
          <w:color w:val="000000"/>
          <w:highlight w:val="white"/>
        </w:rPr>
        <w:t xml:space="preserve"> for short stories by African writers. Regarding our selection of more recent books (from 2000 onward), we also employed literature reviews published in the most prominent international newspapers in terms of circulation: the </w:t>
      </w:r>
      <w:r>
        <w:rPr>
          <w:i/>
          <w:color w:val="000000"/>
          <w:highlight w:val="white"/>
        </w:rPr>
        <w:t>Best books through time</w:t>
      </w:r>
      <w:r>
        <w:rPr>
          <w:color w:val="000000"/>
          <w:highlight w:val="white"/>
        </w:rPr>
        <w:t xml:space="preserve"> lists in </w:t>
      </w:r>
      <w:r>
        <w:rPr>
          <w:i/>
          <w:color w:val="000000"/>
          <w:highlight w:val="white"/>
        </w:rPr>
        <w:t>The New York Times</w:t>
      </w:r>
      <w:r>
        <w:rPr>
          <w:color w:val="000000"/>
          <w:highlight w:val="white"/>
        </w:rPr>
        <w:t xml:space="preserve">, </w:t>
      </w:r>
      <w:r>
        <w:rPr>
          <w:i/>
          <w:color w:val="000000"/>
          <w:highlight w:val="white"/>
        </w:rPr>
        <w:t xml:space="preserve">Best fiction </w:t>
      </w:r>
      <w:r>
        <w:rPr>
          <w:color w:val="000000"/>
          <w:highlight w:val="white"/>
        </w:rPr>
        <w:t xml:space="preserve">drawn up every year in </w:t>
      </w:r>
      <w:r>
        <w:rPr>
          <w:i/>
          <w:color w:val="000000"/>
          <w:highlight w:val="white"/>
        </w:rPr>
        <w:t>The Guardian</w:t>
      </w:r>
      <w:r>
        <w:rPr>
          <w:color w:val="000000"/>
          <w:highlight w:val="white"/>
        </w:rPr>
        <w:t xml:space="preserve">, the </w:t>
      </w:r>
      <w:r>
        <w:rPr>
          <w:i/>
          <w:color w:val="000000"/>
          <w:highlight w:val="white"/>
        </w:rPr>
        <w:t>Best books</w:t>
      </w:r>
      <w:r>
        <w:rPr>
          <w:color w:val="000000"/>
          <w:highlight w:val="white"/>
        </w:rPr>
        <w:t xml:space="preserve"> and the </w:t>
      </w:r>
      <w:r>
        <w:rPr>
          <w:i/>
          <w:color w:val="000000"/>
          <w:highlight w:val="white"/>
        </w:rPr>
        <w:t>Books we loved</w:t>
      </w:r>
      <w:r>
        <w:rPr>
          <w:color w:val="000000"/>
          <w:highlight w:val="white"/>
        </w:rPr>
        <w:t xml:space="preserve"> lists drafted every year by </w:t>
      </w:r>
      <w:r>
        <w:rPr>
          <w:i/>
          <w:color w:val="000000"/>
          <w:highlight w:val="white"/>
        </w:rPr>
        <w:t>The New Yorker</w:t>
      </w:r>
      <w:r>
        <w:rPr>
          <w:color w:val="000000"/>
          <w:highlight w:val="white"/>
        </w:rPr>
        <w:t xml:space="preserve">, the annual </w:t>
      </w:r>
      <w:r>
        <w:rPr>
          <w:i/>
          <w:color w:val="000000"/>
          <w:highlight w:val="white"/>
        </w:rPr>
        <w:t>10 best books</w:t>
      </w:r>
      <w:r>
        <w:rPr>
          <w:color w:val="000000"/>
          <w:highlight w:val="white"/>
        </w:rPr>
        <w:t xml:space="preserve"> and the </w:t>
      </w:r>
      <w:r>
        <w:rPr>
          <w:i/>
          <w:color w:val="000000"/>
          <w:highlight w:val="white"/>
        </w:rPr>
        <w:t>Ten books to read</w:t>
      </w:r>
      <w:r>
        <w:rPr>
          <w:color w:val="000000"/>
          <w:highlight w:val="white"/>
        </w:rPr>
        <w:t xml:space="preserve"> by </w:t>
      </w:r>
      <w:r>
        <w:rPr>
          <w:i/>
          <w:color w:val="000000"/>
          <w:highlight w:val="white"/>
        </w:rPr>
        <w:t>BBC</w:t>
      </w:r>
      <w:r>
        <w:rPr>
          <w:color w:val="000000"/>
          <w:highlight w:val="white"/>
        </w:rPr>
        <w:t xml:space="preserve">, and the </w:t>
      </w:r>
      <w:r>
        <w:rPr>
          <w:i/>
          <w:color w:val="000000"/>
          <w:highlight w:val="white"/>
        </w:rPr>
        <w:t>Best book I read this year</w:t>
      </w:r>
      <w:r>
        <w:rPr>
          <w:color w:val="000000"/>
          <w:highlight w:val="white"/>
        </w:rPr>
        <w:t xml:space="preserve"> and </w:t>
      </w:r>
      <w:r>
        <w:rPr>
          <w:i/>
          <w:color w:val="000000"/>
          <w:highlight w:val="white"/>
        </w:rPr>
        <w:t>Books we loved</w:t>
      </w:r>
      <w:r>
        <w:rPr>
          <w:color w:val="000000"/>
          <w:highlight w:val="white"/>
        </w:rPr>
        <w:t xml:space="preserve"> year-end lists by </w:t>
      </w:r>
      <w:r>
        <w:rPr>
          <w:i/>
          <w:color w:val="000000"/>
          <w:highlight w:val="white"/>
        </w:rPr>
        <w:t>The Atlantic</w:t>
      </w:r>
      <w:r>
        <w:rPr>
          <w:color w:val="000000"/>
          <w:highlight w:val="white"/>
        </w:rPr>
        <w:t xml:space="preserve">. </w:t>
      </w:r>
      <w:r>
        <w:rPr>
          <w:color w:val="000000"/>
        </w:rPr>
        <w:t xml:space="preserve">Of note, we also explored the </w:t>
      </w:r>
      <w:r>
        <w:rPr>
          <w:i/>
          <w:color w:val="000000"/>
        </w:rPr>
        <w:t>List of writers by country</w:t>
      </w:r>
      <w:r>
        <w:rPr>
          <w:color w:val="000000"/>
        </w:rPr>
        <w:t xml:space="preserve"> on Wikipedia for each country in the world, and lists related to writers coming from specific areas (e.g., </w:t>
      </w:r>
      <w:r>
        <w:rPr>
          <w:i/>
          <w:color w:val="000000"/>
        </w:rPr>
        <w:t>The notable African books</w:t>
      </w:r>
      <w:r>
        <w:rPr>
          <w:color w:val="000000"/>
        </w:rPr>
        <w:t xml:space="preserve"> by </w:t>
      </w:r>
      <w:r>
        <w:rPr>
          <w:i/>
          <w:color w:val="000000"/>
        </w:rPr>
        <w:t>Brittle Paper</w:t>
      </w:r>
      <w:r>
        <w:rPr>
          <w:color w:val="000000"/>
        </w:rPr>
        <w:t>). We also reviewed lists on the Wikipedia encyclopedia of best-selling fiction authors and included books that sold millions of copies consistently around the entire world. </w:t>
      </w:r>
    </w:p>
    <w:p w14:paraId="764BC756" w14:textId="77777777" w:rsidR="00A95AE8" w:rsidRDefault="00A95AE8">
      <w:pPr>
        <w:spacing w:line="288" w:lineRule="auto"/>
        <w:jc w:val="both"/>
        <w:rPr>
          <w:color w:val="000000"/>
          <w:sz w:val="12"/>
          <w:szCs w:val="12"/>
        </w:rPr>
      </w:pPr>
    </w:p>
    <w:p w14:paraId="542B3197" w14:textId="77777777" w:rsidR="00A95AE8" w:rsidRDefault="00000000">
      <w:pPr>
        <w:pBdr>
          <w:top w:val="nil"/>
          <w:left w:val="nil"/>
          <w:bottom w:val="nil"/>
          <w:right w:val="nil"/>
          <w:between w:val="nil"/>
        </w:pBdr>
        <w:spacing w:line="288" w:lineRule="auto"/>
        <w:jc w:val="both"/>
        <w:rPr>
          <w:i/>
          <w:color w:val="000000"/>
          <w:u w:val="single"/>
        </w:rPr>
      </w:pPr>
      <w:r>
        <w:rPr>
          <w:i/>
          <w:color w:val="000000"/>
          <w:u w:val="single"/>
        </w:rPr>
        <w:t>Text preprocessing</w:t>
      </w:r>
    </w:p>
    <w:p w14:paraId="181A57BB" w14:textId="77777777" w:rsidR="00A95AE8" w:rsidRDefault="00000000">
      <w:pPr>
        <w:pBdr>
          <w:top w:val="nil"/>
          <w:left w:val="nil"/>
          <w:bottom w:val="nil"/>
          <w:right w:val="nil"/>
          <w:between w:val="nil"/>
        </w:pBdr>
        <w:spacing w:line="288" w:lineRule="auto"/>
        <w:jc w:val="both"/>
      </w:pPr>
      <w:r>
        <w:rPr>
          <w:color w:val="000000"/>
        </w:rPr>
        <w:t xml:space="preserve">Starting from the digital version of the books, we manually checked each of them and removed all the information and paragraphs that were not related to the narrative </w:t>
      </w:r>
      <w:r>
        <w:rPr>
          <w:i/>
          <w:color w:val="000000"/>
        </w:rPr>
        <w:t>per se</w:t>
      </w:r>
      <w:r>
        <w:rPr>
          <w:color w:val="000000"/>
        </w:rPr>
        <w:t xml:space="preserve">. Specifically, we deleted text coming from the front and back cover, translator’s note, notes, prefaces, and afterwords from the editor or other persons who were not the authors, acknowledgments, appendices, and everything else that was not first intended to be written by the writers and did not appear in the original version of the books. Preprocessed books were aggregated by author to obtain 1,365 documents. The text in each document was first lowercase converted. Then, we defined a set of 2-grams across all the documents by manually inspecting the ones with a relatively high frequency (&gt;100 occurrences). In addition to the aforementioned procedure, we also included a smaller set of 2-grams describing specific affective states of particular interest (e.g., </w:t>
      </w:r>
      <w:r>
        <w:rPr>
          <w:i/>
          <w:color w:val="000000"/>
        </w:rPr>
        <w:t>self-confident</w:t>
      </w:r>
      <w:r>
        <w:rPr>
          <w:color w:val="000000"/>
        </w:rPr>
        <w:t xml:space="preserve">, </w:t>
      </w:r>
      <w:r>
        <w:rPr>
          <w:i/>
          <w:color w:val="000000"/>
        </w:rPr>
        <w:t>absent-minded</w:t>
      </w:r>
      <w:r>
        <w:rPr>
          <w:color w:val="000000"/>
        </w:rPr>
        <w:t xml:space="preserve">). A complete list of all the considered ~1,300 2-gram is reported in the </w:t>
      </w:r>
      <w:r>
        <w:rPr>
          <w:i/>
          <w:color w:val="000000"/>
        </w:rPr>
        <w:t>SaneNLP toolbox</w:t>
      </w:r>
      <w:r>
        <w:rPr>
          <w:color w:val="000000"/>
        </w:rPr>
        <w:t xml:space="preserve"> </w:t>
      </w:r>
      <w:hyperlink r:id="rId8">
        <w:r>
          <w:rPr>
            <w:color w:val="1155CC"/>
            <w:u w:val="single"/>
          </w:rPr>
          <w:t>(https://github.com/giacomohandjaras/SaneNLP_toolbox</w:t>
        </w:r>
      </w:hyperlink>
      <w:r>
        <w:rPr>
          <w:color w:val="000000"/>
        </w:rPr>
        <w:t xml:space="preserve">). Subsequently, we removed any reference to Arabic numerals and any form of punctuation from the raw text. Lastly, </w:t>
      </w:r>
      <w:r>
        <w:rPr>
          <w:color w:val="000000"/>
        </w:rPr>
        <w:lastRenderedPageBreak/>
        <w:t xml:space="preserve">the text was tokenized to obtain the raw count of occurrences of words, selecting those present at least 40 times across all the 1,356 documents (Michel et al., 2011), defining a final vocabulary of ~70,000 words. </w:t>
      </w:r>
      <w:r>
        <w:rPr>
          <w:color w:val="000000"/>
        </w:rPr>
        <w:br/>
        <w:t>To measure the impact of sex in word frequency across authors, we first selected a subset of 25</w:t>
      </w:r>
      <w:r>
        <w:t xml:space="preserve">,040 </w:t>
      </w:r>
      <w:r>
        <w:rPr>
          <w:color w:val="000000"/>
        </w:rPr>
        <w:t>words expressed in at least 10% of male or female writers. This procedure restricted the number of statistical tests to be performed, excluding relatively rare words. A</w:t>
      </w:r>
      <w:r>
        <w:t xml:space="preserve"> </w:t>
      </w:r>
      <w:r>
        <w:rPr>
          <w:color w:val="000000"/>
        </w:rPr>
        <w:t xml:space="preserve">two-dimensional </w:t>
      </w:r>
      <w:r>
        <w:t xml:space="preserve">authors by words </w:t>
      </w:r>
      <w:r>
        <w:rPr>
          <w:color w:val="000000"/>
        </w:rPr>
        <w:t>matrix reporting word frequencies</w:t>
      </w:r>
      <w:r>
        <w:t xml:space="preserve"> was generated</w:t>
      </w:r>
      <w:r>
        <w:rPr>
          <w:color w:val="000000"/>
        </w:rPr>
        <w:t xml:space="preserve">. </w:t>
      </w:r>
    </w:p>
    <w:p w14:paraId="45A46DA9" w14:textId="77777777" w:rsidR="00A95AE8" w:rsidRDefault="00A95AE8">
      <w:pPr>
        <w:pBdr>
          <w:top w:val="nil"/>
          <w:left w:val="nil"/>
          <w:bottom w:val="nil"/>
          <w:right w:val="nil"/>
          <w:between w:val="nil"/>
        </w:pBdr>
        <w:spacing w:line="288" w:lineRule="auto"/>
        <w:jc w:val="both"/>
        <w:rPr>
          <w:sz w:val="12"/>
          <w:szCs w:val="12"/>
        </w:rPr>
      </w:pPr>
    </w:p>
    <w:p w14:paraId="500FC63C" w14:textId="77777777" w:rsidR="00A95AE8" w:rsidRDefault="00000000">
      <w:pPr>
        <w:pBdr>
          <w:top w:val="nil"/>
          <w:left w:val="nil"/>
          <w:bottom w:val="nil"/>
          <w:right w:val="nil"/>
          <w:between w:val="nil"/>
        </w:pBdr>
        <w:spacing w:line="288" w:lineRule="auto"/>
        <w:jc w:val="both"/>
        <w:rPr>
          <w:color w:val="000000"/>
          <w:u w:val="single"/>
        </w:rPr>
      </w:pPr>
      <w:r>
        <w:rPr>
          <w:i/>
          <w:color w:val="000000"/>
          <w:u w:val="single"/>
        </w:rPr>
        <w:t>Modeling word frequencies through Heaps’ and Zipf’s Laws</w:t>
      </w:r>
    </w:p>
    <w:p w14:paraId="0834BD79" w14:textId="77777777" w:rsidR="00A95AE8" w:rsidRDefault="00000000">
      <w:pPr>
        <w:pBdr>
          <w:top w:val="nil"/>
          <w:left w:val="nil"/>
          <w:bottom w:val="nil"/>
          <w:right w:val="nil"/>
          <w:between w:val="nil"/>
        </w:pBdr>
        <w:spacing w:line="288" w:lineRule="auto"/>
        <w:jc w:val="both"/>
        <w:rPr>
          <w:color w:val="000000"/>
        </w:rPr>
      </w:pPr>
      <w:r>
        <w:rPr>
          <w:color w:val="000000"/>
        </w:rPr>
        <w:t>Firstly, we measured the number of total words across authors (Fig. S1</w:t>
      </w:r>
      <w:r>
        <w:t>a</w:t>
      </w:r>
      <w:r>
        <w:rPr>
          <w:color w:val="000000"/>
        </w:rPr>
        <w:t>), as well as the size of their lexicon (i.e., number of unique words). The Heaps’ Law was used (V=Kn</w:t>
      </w:r>
      <w:r>
        <w:rPr>
          <w:color w:val="000000"/>
          <w:vertAlign w:val="superscript"/>
        </w:rPr>
        <w:t>β</w:t>
      </w:r>
      <w:r>
        <w:rPr>
          <w:color w:val="000000"/>
        </w:rPr>
        <w:t xml:space="preserve">; where </w:t>
      </w:r>
      <w:r>
        <w:rPr>
          <w:i/>
          <w:color w:val="000000"/>
        </w:rPr>
        <w:t>V</w:t>
      </w:r>
      <w:r>
        <w:rPr>
          <w:color w:val="000000"/>
        </w:rPr>
        <w:t xml:space="preserve"> is the number of unique words, n the total number of words, K and β the two parameters to estimate; Popescu, 2009) to uncover the non-linear association between the number of distinct words in a document and the document length (Fig. S1</w:t>
      </w:r>
      <w:r>
        <w:t>b</w:t>
      </w:r>
      <w:r>
        <w:rPr>
          <w:color w:val="000000"/>
        </w:rPr>
        <w:t>). Parameters K and β were calculated in male and female authors separately by fitting the Heaps’ Law with the linear least-squares method and by estimating their standard errors through a bootstrapping procedure (n=100).</w:t>
      </w:r>
    </w:p>
    <w:p w14:paraId="6A557DFB" w14:textId="77777777" w:rsidR="00A95AE8" w:rsidRDefault="00000000">
      <w:pPr>
        <w:pBdr>
          <w:top w:val="nil"/>
          <w:left w:val="nil"/>
          <w:bottom w:val="nil"/>
          <w:right w:val="nil"/>
          <w:between w:val="nil"/>
        </w:pBdr>
        <w:spacing w:line="288" w:lineRule="auto"/>
        <w:jc w:val="both"/>
        <w:rPr>
          <w:color w:val="000000"/>
        </w:rPr>
      </w:pPr>
      <w:r>
        <w:rPr>
          <w:color w:val="000000"/>
        </w:rPr>
        <w:t xml:space="preserve">Secondly, we computed Zipf’s Law (F = </w:t>
      </w:r>
      <w:r>
        <w:rPr>
          <w:i/>
          <w:color w:val="000000"/>
        </w:rPr>
        <w:t>β</w:t>
      </w:r>
      <w:r>
        <w:rPr>
          <w:color w:val="000000"/>
        </w:rPr>
        <w:t>/x</w:t>
      </w:r>
      <w:r>
        <w:rPr>
          <w:color w:val="000000"/>
          <w:vertAlign w:val="superscript"/>
        </w:rPr>
        <w:t>α</w:t>
      </w:r>
      <w:r>
        <w:rPr>
          <w:color w:val="000000"/>
        </w:rPr>
        <w:t xml:space="preserve">; where </w:t>
      </w:r>
      <w:r>
        <w:rPr>
          <w:i/>
          <w:color w:val="000000"/>
        </w:rPr>
        <w:t>F</w:t>
      </w:r>
      <w:r>
        <w:rPr>
          <w:color w:val="000000"/>
        </w:rPr>
        <w:t xml:space="preserve"> is the frequency of the words in an author’s text, </w:t>
      </w:r>
      <w:r>
        <w:rPr>
          <w:i/>
          <w:color w:val="000000"/>
        </w:rPr>
        <w:t>x</w:t>
      </w:r>
      <w:r>
        <w:rPr>
          <w:color w:val="000000"/>
        </w:rPr>
        <w:t xml:space="preserve"> their ranks, </w:t>
      </w:r>
      <w:r>
        <w:rPr>
          <w:i/>
          <w:color w:val="000000"/>
        </w:rPr>
        <w:t>β</w:t>
      </w:r>
      <w:r>
        <w:rPr>
          <w:color w:val="000000"/>
        </w:rPr>
        <w:t xml:space="preserve"> a scaling factor, and </w:t>
      </w:r>
      <w:r>
        <w:rPr>
          <w:i/>
          <w:color w:val="000000"/>
        </w:rPr>
        <w:t>α</w:t>
      </w:r>
      <w:r>
        <w:rPr>
          <w:color w:val="000000"/>
        </w:rPr>
        <w:t xml:space="preserve"> the exponential factor; Zipf, 1949). We estimated the frequency of each term per millions of words, as well as its ranking position in the lexicon of each author. Then, the </w:t>
      </w:r>
      <w:r>
        <w:rPr>
          <w:i/>
          <w:color w:val="000000"/>
        </w:rPr>
        <w:t>β</w:t>
      </w:r>
      <w:r>
        <w:rPr>
          <w:color w:val="000000"/>
        </w:rPr>
        <w:t xml:space="preserve"> and </w:t>
      </w:r>
      <w:r>
        <w:rPr>
          <w:i/>
          <w:color w:val="000000"/>
        </w:rPr>
        <w:t>α</w:t>
      </w:r>
      <w:r>
        <w:rPr>
          <w:color w:val="000000"/>
        </w:rPr>
        <w:t xml:space="preserve"> coefficients were calculated using the linear least-squares method. Sex differences were assessed through a Wilcoxon rank-sum test (Fig. S1</w:t>
      </w:r>
      <w:r>
        <w:t>c</w:t>
      </w:r>
      <w:r>
        <w:rPr>
          <w:color w:val="000000"/>
        </w:rPr>
        <w:t>-</w:t>
      </w:r>
      <w:r>
        <w:t>e</w:t>
      </w:r>
      <w:r>
        <w:rPr>
          <w:color w:val="000000"/>
        </w:rPr>
        <w:t>).</w:t>
      </w:r>
      <w:r>
        <w:t xml:space="preserve"> </w:t>
      </w:r>
      <w:r>
        <w:br/>
      </w:r>
      <w:r>
        <w:rPr>
          <w:color w:val="000000"/>
        </w:rPr>
        <w:t xml:space="preserve">Lastly, we evaluated the vocabulary size by randomly bootstrapping (n=100) </w:t>
      </w:r>
      <w:r>
        <w:t>sets</w:t>
      </w:r>
      <w:r>
        <w:rPr>
          <w:color w:val="000000"/>
        </w:rPr>
        <w:t xml:space="preserve"> of 10k consecutive words (i.e., approximately the length of the shortest book in our corpus) and measuring the average number of unique words across samples (Fig. S1</w:t>
      </w:r>
      <w:r>
        <w:t>f</w:t>
      </w:r>
      <w:r>
        <w:rPr>
          <w:color w:val="000000"/>
        </w:rPr>
        <w:t>). Sex differences in vocabulary size were assessed through a Wilcoxon rank-sum test.</w:t>
      </w:r>
    </w:p>
    <w:p w14:paraId="6CCEFAC5" w14:textId="77777777" w:rsidR="00A95AE8" w:rsidRDefault="00A95AE8">
      <w:pPr>
        <w:pBdr>
          <w:top w:val="nil"/>
          <w:left w:val="nil"/>
          <w:bottom w:val="nil"/>
          <w:right w:val="nil"/>
          <w:between w:val="nil"/>
        </w:pBdr>
        <w:spacing w:line="288" w:lineRule="auto"/>
        <w:jc w:val="both"/>
        <w:rPr>
          <w:sz w:val="12"/>
          <w:szCs w:val="12"/>
        </w:rPr>
      </w:pPr>
    </w:p>
    <w:p w14:paraId="5B7749AE" w14:textId="77777777" w:rsidR="00A95AE8" w:rsidRDefault="00000000">
      <w:pPr>
        <w:spacing w:line="288" w:lineRule="auto"/>
        <w:jc w:val="both"/>
        <w:rPr>
          <w:i/>
          <w:u w:val="single"/>
        </w:rPr>
      </w:pPr>
      <w:r>
        <w:rPr>
          <w:i/>
          <w:u w:val="single"/>
        </w:rPr>
        <w:t xml:space="preserve">Sex differences over time </w:t>
      </w:r>
    </w:p>
    <w:p w14:paraId="0A528AA1" w14:textId="77777777" w:rsidR="00A95AE8" w:rsidRDefault="00000000">
      <w:pPr>
        <w:spacing w:line="288" w:lineRule="auto"/>
        <w:jc w:val="both"/>
      </w:pPr>
      <w:r>
        <w:t>To measure the temporal characteristics of sex differences in the use of words, we first defined a set of overlapping sliding temporal windows (i.e., historical periods). The window width was set to a decile of the historical-period distribution resulting in a non-linear sampling of the literature timeline and the overlap between neighboring windows was 20%. This procedure allowed for fair comparisons between timepoints as the calculation of the effect was based on the same number of degrees of freedom (i.e., authors).</w:t>
      </w:r>
    </w:p>
    <w:p w14:paraId="1B9D03FA" w14:textId="77777777" w:rsidR="00A95AE8" w:rsidRDefault="00A95AE8">
      <w:pPr>
        <w:pBdr>
          <w:top w:val="nil"/>
          <w:left w:val="nil"/>
          <w:bottom w:val="nil"/>
          <w:right w:val="nil"/>
          <w:between w:val="nil"/>
        </w:pBdr>
        <w:spacing w:line="288" w:lineRule="auto"/>
        <w:jc w:val="both"/>
        <w:rPr>
          <w:sz w:val="12"/>
          <w:szCs w:val="12"/>
        </w:rPr>
      </w:pPr>
    </w:p>
    <w:p w14:paraId="71AE5E37" w14:textId="77777777" w:rsidR="00A95AE8" w:rsidRDefault="00000000">
      <w:pPr>
        <w:spacing w:line="288" w:lineRule="auto"/>
        <w:jc w:val="both"/>
        <w:rPr>
          <w:u w:val="single"/>
        </w:rPr>
      </w:pPr>
      <w:r>
        <w:rPr>
          <w:i/>
          <w:u w:val="single"/>
        </w:rPr>
        <w:t>Similarity between our corpus and Google English Fiction 2020 </w:t>
      </w:r>
    </w:p>
    <w:p w14:paraId="4961605C" w14:textId="77777777" w:rsidR="00A95AE8" w:rsidRDefault="00000000">
      <w:pPr>
        <w:spacing w:line="288" w:lineRule="auto"/>
        <w:jc w:val="both"/>
      </w:pPr>
      <w:r>
        <w:t xml:space="preserve">Aiming to validate word frequencies and trends found in the present work, we compared our corpus with the 1-gram corpus of English Fiction from Google (version 20200217). The Google English Fiction corpus mainly includes texts identified as fiction published in the English language until 2020. Starting from the Google corpus, we discarded all tokens which included numbers and ended with the part-of-speech tags. For each token, we generated a vocabulary by calculating the raw </w:t>
      </w:r>
      <w:r>
        <w:lastRenderedPageBreak/>
        <w:t xml:space="preserve">count of occurrences across time. We then applied our text preprocessing pipeline to convert tokens in lowercase and to remove punctuation marks. Since this procedure could generate multiple tokens (e.g., </w:t>
      </w:r>
      <w:r>
        <w:rPr>
          <w:i/>
        </w:rPr>
        <w:t>john’s</w:t>
      </w:r>
      <w:r>
        <w:t xml:space="preserve"> would split into </w:t>
      </w:r>
      <w:r>
        <w:rPr>
          <w:i/>
        </w:rPr>
        <w:t>john</w:t>
      </w:r>
      <w:r>
        <w:t xml:space="preserve"> and </w:t>
      </w:r>
      <w:r>
        <w:rPr>
          <w:i/>
        </w:rPr>
        <w:t>s</w:t>
      </w:r>
      <w:r>
        <w:t>), we updated the count of occurrences of the unique tokens. These were used to assess the similarity in word frequencies and trends between the two corpora (Fig. S2). To do this, we identified the subset of words present in both corpora and correlated (Spearman’s ρ) the average word frequency across years in the Google dataset with our corpus, as well as with male and female authors separately. </w:t>
      </w:r>
    </w:p>
    <w:p w14:paraId="37BA9758" w14:textId="77777777" w:rsidR="00A95AE8" w:rsidRDefault="00000000">
      <w:pPr>
        <w:spacing w:line="288" w:lineRule="auto"/>
        <w:jc w:val="both"/>
      </w:pPr>
      <w:r>
        <w:t>We also evaluated the coherence of temporal trends between the two corpora. For each term, we applied the set of overlapping sliding temporal windows to the Google dataset. We then scaled each time series in Google and our corpus to its maximum value. We did this as we were interested in estimating the linear trends irrespectively from the frequency of each word, and because term frequency varies by several orders of magnitude across words. Linear trends were estimated in Google English Fiction 2020 as well as in our corpus. The same analysis was performed considering only female authors and a randomly selected subsample of males, to match sample size. Spearman’s correlation measured the association between trends found in the Google corpus and those revealed in our dataset (Fig. S2b-c). To test whether linear trends of words from Google were more similar to those found in male rather than female authors, we performed a permutation test on the difference of the ρ coefficients by shuffling the sex variable (n=10,000). We repeated the same analysis for words showing significant sex differences and for the full set of 25,040 terms (Fig. S2d). To visualize the extent to which trends in Google books are biased toward male or female authors, we first sorted the words based on the absolute t-score of the sex effect. For each term, we then measured the absolute value of the difference between the estimate of the historical trend in Google and those obtained from the male and female corpora. We reported this difference in Fig. S2e, after applying a moving average filter to improve readability (windows size=5000 words, 5% of overlap across windows).  </w:t>
      </w:r>
    </w:p>
    <w:p w14:paraId="0C4CD05B" w14:textId="77777777" w:rsidR="00A95AE8" w:rsidRDefault="00A95AE8">
      <w:pPr>
        <w:pBdr>
          <w:top w:val="nil"/>
          <w:left w:val="nil"/>
          <w:bottom w:val="nil"/>
          <w:right w:val="nil"/>
          <w:between w:val="nil"/>
        </w:pBdr>
        <w:spacing w:line="288" w:lineRule="auto"/>
        <w:jc w:val="both"/>
        <w:rPr>
          <w:color w:val="000000"/>
          <w:sz w:val="12"/>
          <w:szCs w:val="12"/>
          <w:u w:val="single"/>
        </w:rPr>
      </w:pPr>
    </w:p>
    <w:p w14:paraId="79E1EE2C" w14:textId="77777777" w:rsidR="00A95AE8" w:rsidRDefault="00000000">
      <w:pPr>
        <w:pBdr>
          <w:top w:val="nil"/>
          <w:left w:val="nil"/>
          <w:bottom w:val="nil"/>
          <w:right w:val="nil"/>
          <w:between w:val="nil"/>
        </w:pBdr>
        <w:spacing w:line="288" w:lineRule="auto"/>
        <w:jc w:val="both"/>
        <w:rPr>
          <w:color w:val="000000"/>
          <w:u w:val="single"/>
        </w:rPr>
      </w:pPr>
      <w:r>
        <w:rPr>
          <w:i/>
          <w:u w:val="single"/>
        </w:rPr>
        <w:t>Revealing sex differences in literature</w:t>
      </w:r>
      <w:r>
        <w:rPr>
          <w:i/>
          <w:color w:val="000000"/>
          <w:u w:val="single"/>
        </w:rPr>
        <w:t xml:space="preserve"> using ranks </w:t>
      </w:r>
    </w:p>
    <w:p w14:paraId="6B7B1A3F" w14:textId="77777777" w:rsidR="00A95AE8" w:rsidRDefault="00000000">
      <w:pPr>
        <w:pBdr>
          <w:top w:val="nil"/>
          <w:left w:val="nil"/>
          <w:bottom w:val="nil"/>
          <w:right w:val="nil"/>
          <w:between w:val="nil"/>
        </w:pBdr>
        <w:spacing w:line="288" w:lineRule="auto"/>
        <w:jc w:val="both"/>
        <w:rPr>
          <w:color w:val="000000"/>
        </w:rPr>
      </w:pPr>
      <w:r>
        <w:rPr>
          <w:color w:val="000000"/>
        </w:rPr>
        <w:t xml:space="preserve">To rule out the possibility that results of the GLM </w:t>
      </w:r>
      <w:r>
        <w:rPr>
          <w:i/>
          <w:color w:val="000000"/>
        </w:rPr>
        <w:t>frequency</w:t>
      </w:r>
      <w:r>
        <w:rPr>
          <w:color w:val="000000"/>
        </w:rPr>
        <w:t xml:space="preserve"> ~ </w:t>
      </w:r>
      <w:r>
        <w:rPr>
          <w:i/>
          <w:color w:val="000000"/>
        </w:rPr>
        <w:t>intercept</w:t>
      </w:r>
      <w:r>
        <w:rPr>
          <w:color w:val="000000"/>
        </w:rPr>
        <w:t xml:space="preserve"> + </w:t>
      </w:r>
      <w:r>
        <w:rPr>
          <w:i/>
          <w:color w:val="000000"/>
        </w:rPr>
        <w:t>sex</w:t>
      </w:r>
      <w:r>
        <w:rPr>
          <w:color w:val="000000"/>
        </w:rPr>
        <w:t xml:space="preserve"> + </w:t>
      </w:r>
      <w:r>
        <w:rPr>
          <w:i/>
          <w:color w:val="000000"/>
        </w:rPr>
        <w:t>historical period</w:t>
      </w:r>
      <w:r>
        <w:rPr>
          <w:color w:val="000000"/>
        </w:rPr>
        <w:t xml:space="preserve"> + (</w:t>
      </w:r>
      <w:r>
        <w:rPr>
          <w:i/>
          <w:color w:val="000000"/>
        </w:rPr>
        <w:t>sex * historical period</w:t>
      </w:r>
      <w:r>
        <w:rPr>
          <w:color w:val="000000"/>
        </w:rPr>
        <w:t xml:space="preserve">) + </w:t>
      </w:r>
      <w:r>
        <w:rPr>
          <w:i/>
          <w:color w:val="000000"/>
        </w:rPr>
        <w:t>translation</w:t>
      </w:r>
      <w:r>
        <w:rPr>
          <w:color w:val="000000"/>
        </w:rPr>
        <w:t xml:space="preserve"> + </w:t>
      </w:r>
      <w:r>
        <w:rPr>
          <w:i/>
          <w:color w:val="000000"/>
        </w:rPr>
        <w:t>continent</w:t>
      </w:r>
      <w:r>
        <w:rPr>
          <w:color w:val="000000"/>
        </w:rPr>
        <w:t xml:space="preserve"> were affected by the long-tail distribution of word frequencies, we ran the same analysis using word ranks as the dependent variable. Specifically, for each author, terms were sorted so that words occurring more frequently had higher ranks. Then, for each term and author, we log-transformed the ranks and scaled them from 1 (i.e., the most frequent word for that author) to 0 (i.e., a word that was never used by the author). </w:t>
      </w:r>
      <w:r>
        <w:t>F</w:t>
      </w:r>
      <w:r>
        <w:rPr>
          <w:color w:val="000000"/>
        </w:rPr>
        <w:t xml:space="preserve">or each of the words showing a significant </w:t>
      </w:r>
      <w:r>
        <w:rPr>
          <w:i/>
          <w:color w:val="000000"/>
        </w:rPr>
        <w:t>sex</w:t>
      </w:r>
      <w:r>
        <w:rPr>
          <w:color w:val="000000"/>
        </w:rPr>
        <w:t xml:space="preserve"> or </w:t>
      </w:r>
      <w:r>
        <w:rPr>
          <w:i/>
          <w:color w:val="000000"/>
        </w:rPr>
        <w:t>sex</w:t>
      </w:r>
      <w:r>
        <w:rPr>
          <w:color w:val="000000"/>
        </w:rPr>
        <w:t xml:space="preserve"> by </w:t>
      </w:r>
      <w:r>
        <w:rPr>
          <w:i/>
          <w:color w:val="000000"/>
        </w:rPr>
        <w:t>historical period</w:t>
      </w:r>
      <w:r>
        <w:rPr>
          <w:color w:val="000000"/>
        </w:rPr>
        <w:t xml:space="preserve"> effect, we performed a partial F-test [formula</w:t>
      </w:r>
      <w:r>
        <w:t xml:space="preserve"> 1 </w:t>
      </w:r>
      <w:r>
        <w:rPr>
          <w:color w:val="000000"/>
        </w:rPr>
        <w:t xml:space="preserve">in the Main text], comparing the full model against a nested simplified version of it, in which these two effects are not modeled. Similar to the main analysis with frequencies, we rank transformed the </w:t>
      </w:r>
      <w:r>
        <w:rPr>
          <w:i/>
          <w:color w:val="000000"/>
        </w:rPr>
        <w:t>historical period</w:t>
      </w:r>
      <w:r>
        <w:rPr>
          <w:color w:val="000000"/>
        </w:rPr>
        <w:t xml:space="preserve">, and statistical significance was obtained through a non-parametric permutation test (n=10,000), shuffling in each iteration the variable </w:t>
      </w:r>
      <w:r>
        <w:rPr>
          <w:i/>
          <w:color w:val="000000"/>
        </w:rPr>
        <w:t>sex</w:t>
      </w:r>
      <w:r>
        <w:rPr>
          <w:color w:val="000000"/>
        </w:rPr>
        <w:t xml:space="preserve">. </w:t>
      </w:r>
      <w:r>
        <w:rPr>
          <w:color w:val="000000"/>
        </w:rPr>
        <w:lastRenderedPageBreak/>
        <w:t xml:space="preserve">Results were corrected for multiple comparisons using the Bonferroni method (i.e., number of words with significant </w:t>
      </w:r>
      <w:r>
        <w:rPr>
          <w:i/>
          <w:color w:val="000000"/>
        </w:rPr>
        <w:t>sex</w:t>
      </w:r>
      <w:r>
        <w:rPr>
          <w:color w:val="000000"/>
        </w:rPr>
        <w:t xml:space="preserve"> or </w:t>
      </w:r>
      <w:r>
        <w:rPr>
          <w:i/>
          <w:color w:val="000000"/>
        </w:rPr>
        <w:t>sex</w:t>
      </w:r>
      <w:r>
        <w:rPr>
          <w:color w:val="000000"/>
        </w:rPr>
        <w:t xml:space="preserve"> by </w:t>
      </w:r>
      <w:r>
        <w:rPr>
          <w:i/>
          <w:color w:val="000000"/>
        </w:rPr>
        <w:t>historical period</w:t>
      </w:r>
      <w:r>
        <w:rPr>
          <w:color w:val="000000"/>
        </w:rPr>
        <w:t xml:space="preserve"> effect). </w:t>
      </w:r>
    </w:p>
    <w:p w14:paraId="6CAAE449" w14:textId="77777777" w:rsidR="00A95AE8" w:rsidRDefault="00A95AE8">
      <w:pPr>
        <w:pBdr>
          <w:top w:val="nil"/>
          <w:left w:val="nil"/>
          <w:bottom w:val="nil"/>
          <w:right w:val="nil"/>
          <w:between w:val="nil"/>
        </w:pBdr>
        <w:spacing w:line="288" w:lineRule="auto"/>
        <w:jc w:val="both"/>
      </w:pPr>
    </w:p>
    <w:p w14:paraId="7304B908" w14:textId="77777777" w:rsidR="00A95AE8" w:rsidRDefault="00000000">
      <w:pPr>
        <w:spacing w:line="288" w:lineRule="auto"/>
        <w:jc w:val="both"/>
        <w:rPr>
          <w:i/>
          <w:u w:val="single"/>
        </w:rPr>
      </w:pPr>
      <w:r>
        <w:rPr>
          <w:i/>
          <w:u w:val="single"/>
        </w:rPr>
        <w:t>Revealing sex differences in literature using country of origin</w:t>
      </w:r>
    </w:p>
    <w:p w14:paraId="173B5322" w14:textId="77777777" w:rsidR="00A95AE8" w:rsidRDefault="00000000">
      <w:pPr>
        <w:spacing w:line="288" w:lineRule="auto"/>
        <w:jc w:val="both"/>
      </w:pPr>
      <w:r>
        <w:t xml:space="preserve">Following a suggestion from a Reviewer, we tested an alternative GLM model including the country of origin of authors, instead of the continent. The model we test is: </w:t>
      </w:r>
    </w:p>
    <w:p w14:paraId="59F0F021" w14:textId="77777777" w:rsidR="00A95AE8" w:rsidRDefault="00000000">
      <w:pPr>
        <w:spacing w:line="276" w:lineRule="auto"/>
        <w:jc w:val="both"/>
        <w:rPr>
          <w:i/>
        </w:rPr>
      </w:pPr>
      <w:r>
        <w:rPr>
          <w:i/>
        </w:rPr>
        <w:t xml:space="preserve">word frequency = intercept + country of origin + sex + historical period + sex by historical period interaction + translation </w:t>
      </w:r>
    </w:p>
    <w:p w14:paraId="0B390559" w14:textId="77777777" w:rsidR="00A95AE8" w:rsidRDefault="00000000">
      <w:pPr>
        <w:spacing w:line="288" w:lineRule="auto"/>
        <w:jc w:val="both"/>
      </w:pPr>
      <w:r>
        <w:t>As in previous analyses, words showing a significant sex and/or sex by historical period interaction were identified through the partial F test and non parametric testing (n = 1,000 permutations).</w:t>
      </w:r>
    </w:p>
    <w:p w14:paraId="258ED544" w14:textId="77777777" w:rsidR="00A95AE8" w:rsidRDefault="00A95AE8">
      <w:pPr>
        <w:spacing w:line="288" w:lineRule="auto"/>
        <w:jc w:val="both"/>
        <w:rPr>
          <w:sz w:val="12"/>
          <w:szCs w:val="12"/>
        </w:rPr>
      </w:pPr>
    </w:p>
    <w:p w14:paraId="73985270" w14:textId="77777777" w:rsidR="00A95AE8" w:rsidRDefault="00000000">
      <w:pPr>
        <w:spacing w:line="288" w:lineRule="auto"/>
        <w:jc w:val="both"/>
        <w:rPr>
          <w:i/>
          <w:u w:val="single"/>
        </w:rPr>
      </w:pPr>
      <w:r>
        <w:rPr>
          <w:i/>
          <w:u w:val="single"/>
        </w:rPr>
        <w:t>Mapping sex differences in time, place, and meaning for each word</w:t>
      </w:r>
    </w:p>
    <w:p w14:paraId="359F907E" w14:textId="77777777" w:rsidR="00A95AE8" w:rsidRDefault="00000000">
      <w:pPr>
        <w:spacing w:line="288" w:lineRule="auto"/>
        <w:jc w:val="both"/>
      </w:pPr>
      <w:r>
        <w:t xml:space="preserve">For each word showing significant </w:t>
      </w:r>
      <w:r>
        <w:rPr>
          <w:i/>
        </w:rPr>
        <w:t>sex</w:t>
      </w:r>
      <w:r>
        <w:t xml:space="preserve"> or </w:t>
      </w:r>
      <w:r>
        <w:rPr>
          <w:i/>
        </w:rPr>
        <w:t>sex</w:t>
      </w:r>
      <w:r>
        <w:t xml:space="preserve"> by </w:t>
      </w:r>
      <w:r>
        <w:rPr>
          <w:i/>
        </w:rPr>
        <w:t>historical period</w:t>
      </w:r>
      <w:r>
        <w:t xml:space="preserve"> effects, we reported Cohen's </w:t>
      </w:r>
      <w:r>
        <w:rPr>
          <w:i/>
        </w:rPr>
        <w:t>d</w:t>
      </w:r>
      <w:r>
        <w:t xml:space="preserve"> in each country of the world across three centuries (Fig. S6a), and estimated the temporal characteristics of raw frequencies (Fig. S6b; </w:t>
      </w:r>
      <w:hyperlink r:id="rId9">
        <w:r>
          <w:rPr>
            <w:color w:val="1155CC"/>
            <w:u w:val="single"/>
          </w:rPr>
          <w:t>https://www.sane-elab.eu/litemo/welcome.php</w:t>
        </w:r>
      </w:hyperlink>
      <w:r>
        <w:t>), similarly to Google Ngram Viewer (</w:t>
      </w:r>
      <w:hyperlink r:id="rId10">
        <w:r>
          <w:rPr>
            <w:color w:val="1155CC"/>
            <w:u w:val="single"/>
          </w:rPr>
          <w:t>https://books.google.com/ngrams</w:t>
        </w:r>
      </w:hyperlink>
      <w:r>
        <w:t>). In addition, we tested whether differences in word frequency between male and female authors were driven by shifts in meaning. Following the distributional hypothesis, which states that words that occur in the same contexts share similar semantics (Harris, 1954), and taking advantage of local embedding (Hamilton et al., 2016a), we explored the semantic nearest neighbors of each word (Fig. S6c). Firstly, we trained two word2vec embeddings, one for each sex, using the same parameters and procedures described in the main text (</w:t>
      </w:r>
      <w:r>
        <w:rPr>
          <w:i/>
        </w:rPr>
        <w:t>Revealing sex differences in literature</w:t>
      </w:r>
      <w:r>
        <w:t xml:space="preserve">). Secondly, we hyper-aligned the two sex-specific embeddings to the one obtained by considering all authors, using orthogonal Procrustes. This solution does not affect pairwise cosine-similarities within each semantic space and allows comparisons of word embeddings across multiple corpora (Hamilton et al., 2016b). Hence, for each one of the significant terms, we found the union of </w:t>
      </w:r>
      <w:r>
        <w:rPr>
          <w:i/>
        </w:rPr>
        <w:t>k</w:t>
      </w:r>
      <w:r>
        <w:t xml:space="preserve"> nearest neighbors (</w:t>
      </w:r>
      <w:r>
        <w:rPr>
          <w:i/>
        </w:rPr>
        <w:t>k</w:t>
      </w:r>
      <w:r>
        <w:t>=25, as in Hamilton et al., 2016a) across the two sexes. We evaluated the sum of the cosine distances of the word of interest and all its neighbors for male and female authors separately and then computed the absolute difference between the two. Statistical significance was assessed by randomly sampling 10k words (out of the original ~25k) and performing the same analysis described above to generate a distribution of 10k effects. P-values were estimated by fitting a generalized Pareto distribution to the tail of the obtained distribution. Correction for multiple comparisons was carried out using the False Discovery Rate procedure (</w:t>
      </w:r>
      <w:r>
        <w:rPr>
          <w:color w:val="222222"/>
          <w:highlight w:val="white"/>
        </w:rPr>
        <w:t xml:space="preserve">Benjamini &amp; Hochberg, 1995; </w:t>
      </w:r>
      <w:r>
        <w:t xml:space="preserve">q&lt;0.05, for Gaussian variables which were positively correlated or independent). Crucially, this method tested whether words showing a difference in frequency between the sexes were those demonstrating larger shifts in semantics as well. </w:t>
      </w:r>
    </w:p>
    <w:p w14:paraId="45770AB7" w14:textId="77777777" w:rsidR="00A95AE8" w:rsidRDefault="00A95AE8">
      <w:pPr>
        <w:spacing w:line="288" w:lineRule="auto"/>
        <w:jc w:val="both"/>
        <w:rPr>
          <w:sz w:val="12"/>
          <w:szCs w:val="12"/>
        </w:rPr>
      </w:pPr>
    </w:p>
    <w:p w14:paraId="02E2D943" w14:textId="77777777" w:rsidR="00A95AE8" w:rsidRDefault="00000000">
      <w:pPr>
        <w:spacing w:line="288" w:lineRule="auto"/>
        <w:jc w:val="both"/>
        <w:rPr>
          <w:i/>
          <w:u w:val="single"/>
        </w:rPr>
      </w:pPr>
      <w:r>
        <w:rPr>
          <w:i/>
          <w:u w:val="single"/>
        </w:rPr>
        <w:t xml:space="preserve">Analysis of diachronic words </w:t>
      </w:r>
    </w:p>
    <w:p w14:paraId="53B59D74" w14:textId="77777777" w:rsidR="00A95AE8" w:rsidRDefault="00000000">
      <w:pPr>
        <w:spacing w:line="288" w:lineRule="auto"/>
        <w:jc w:val="both"/>
      </w:pPr>
      <w:r>
        <w:t xml:space="preserve">Together with shifts in meaning between the two sexes, we also explored the presence of diachronic words showing a semantic shift in time among our significant terms. Specifically, we </w:t>
      </w:r>
      <w:r>
        <w:lastRenderedPageBreak/>
        <w:t>identified 1,257 terms showing a semantic shift in time, including the top 10</w:t>
      </w:r>
      <w:r>
        <w:rPr>
          <w:vertAlign w:val="superscript"/>
        </w:rPr>
        <w:t>th</w:t>
      </w:r>
      <w:r>
        <w:t xml:space="preserve"> percentile of words in Hamilton et al., 2016b and from other 14 resources (see </w:t>
      </w:r>
      <w:r>
        <w:rPr>
          <w:i/>
        </w:rPr>
        <w:t>SaneNLP toolbox</w:t>
      </w:r>
      <w:r>
        <w:t xml:space="preserve"> and Table S5). Then, we measured the overlap between our set of significant terms and the aggregated list of diachronic words. Moreover, since a shift in meaning could be accompanied by a change in the affective components of words (e.g., </w:t>
      </w:r>
      <w:r>
        <w:rPr>
          <w:i/>
        </w:rPr>
        <w:t>awful</w:t>
      </w:r>
      <w:r>
        <w:t xml:space="preserve">, </w:t>
      </w:r>
      <w:r>
        <w:rPr>
          <w:i/>
        </w:rPr>
        <w:t>terrific</w:t>
      </w:r>
      <w:r>
        <w:t xml:space="preserve">), we excluded diachronic words from the affective analysis. </w:t>
      </w:r>
    </w:p>
    <w:p w14:paraId="79665B3C" w14:textId="77777777" w:rsidR="00A95AE8" w:rsidRDefault="00A95AE8">
      <w:pPr>
        <w:pBdr>
          <w:top w:val="nil"/>
          <w:left w:val="nil"/>
          <w:bottom w:val="nil"/>
          <w:right w:val="nil"/>
          <w:between w:val="nil"/>
        </w:pBdr>
        <w:spacing w:line="288" w:lineRule="auto"/>
        <w:jc w:val="both"/>
        <w:rPr>
          <w:sz w:val="12"/>
          <w:szCs w:val="12"/>
        </w:rPr>
      </w:pPr>
    </w:p>
    <w:p w14:paraId="66C6F372" w14:textId="77777777" w:rsidR="00A95AE8" w:rsidRDefault="00000000">
      <w:pPr>
        <w:spacing w:line="288" w:lineRule="auto"/>
        <w:jc w:val="both"/>
      </w:pPr>
      <w:r>
        <w:rPr>
          <w:i/>
          <w:u w:val="single"/>
        </w:rPr>
        <w:t>Measuring the relationship between affective lexicon and human development</w:t>
      </w:r>
    </w:p>
    <w:p w14:paraId="797656C5" w14:textId="77777777" w:rsidR="00A95AE8" w:rsidRDefault="00000000">
      <w:pPr>
        <w:spacing w:line="288" w:lineRule="auto"/>
        <w:jc w:val="both"/>
      </w:pPr>
      <w:r>
        <w:t xml:space="preserve">In addition, we investigated whether male and female authors write differently about emotions as a function of culture. To this aim, we first computed for each country the effect size (i.e., Cohen’s d) of sex differences in valence (Fig. S7a) and arousal (Fig. S7b) obtained from the formula [2] in the main manuscript. We then obtained the average score of the Human Development Index (HDI, https://hdr.undp.org/) - a composite index of life expectancy, gross income per capita, and level of education - for the countries with at least seven authors (i.e., the top quartile of the distribution) published between 1990 and 2020 (i.e., the years for which HDI is available). The HDI was then correlated (Spearman’s ρ) with valence and arousal scores averaged across authors regardless of their sex to test whether books from more developed countries are more (or less) positive (Fig. S7c) and/or arousing (Fig. S7d). Lastly, to evaluate whether sex differences in the affective lexicon are associated with societal progress, we correlated across countries the HDI and the Cohen’s d of the male </w:t>
      </w:r>
      <w:r>
        <w:rPr>
          <w:i/>
        </w:rPr>
        <w:t>versus</w:t>
      </w:r>
      <w:r>
        <w:t xml:space="preserve"> female valence and arousal scores.</w:t>
      </w:r>
    </w:p>
    <w:p w14:paraId="4BEBB528" w14:textId="77777777" w:rsidR="00A95AE8" w:rsidRDefault="00A95AE8">
      <w:pPr>
        <w:pBdr>
          <w:top w:val="nil"/>
          <w:left w:val="nil"/>
          <w:bottom w:val="nil"/>
          <w:right w:val="nil"/>
          <w:between w:val="nil"/>
        </w:pBdr>
        <w:spacing w:line="288" w:lineRule="auto"/>
        <w:jc w:val="both"/>
        <w:rPr>
          <w:sz w:val="12"/>
          <w:szCs w:val="12"/>
        </w:rPr>
      </w:pPr>
    </w:p>
    <w:p w14:paraId="2C91A775" w14:textId="77777777" w:rsidR="00A95AE8" w:rsidRDefault="00000000">
      <w:pPr>
        <w:keepNext/>
        <w:pBdr>
          <w:top w:val="nil"/>
          <w:left w:val="nil"/>
          <w:bottom w:val="nil"/>
          <w:right w:val="nil"/>
          <w:between w:val="nil"/>
        </w:pBdr>
        <w:spacing w:line="288" w:lineRule="auto"/>
        <w:jc w:val="both"/>
        <w:rPr>
          <w:b/>
          <w:color w:val="000000"/>
        </w:rPr>
      </w:pPr>
      <w:r>
        <w:rPr>
          <w:b/>
          <w:color w:val="000000"/>
        </w:rPr>
        <w:t>Supplementary Results</w:t>
      </w:r>
    </w:p>
    <w:p w14:paraId="6AD20ADE" w14:textId="77777777" w:rsidR="00A95AE8" w:rsidRDefault="00A95AE8">
      <w:pPr>
        <w:spacing w:line="288" w:lineRule="auto"/>
        <w:jc w:val="both"/>
        <w:rPr>
          <w:i/>
          <w:color w:val="000000"/>
          <w:sz w:val="12"/>
          <w:szCs w:val="12"/>
          <w:u w:val="single"/>
        </w:rPr>
      </w:pPr>
    </w:p>
    <w:p w14:paraId="16F7DEE9" w14:textId="77777777" w:rsidR="00A95AE8" w:rsidRDefault="00000000">
      <w:pPr>
        <w:pBdr>
          <w:top w:val="nil"/>
          <w:left w:val="nil"/>
          <w:bottom w:val="nil"/>
          <w:right w:val="nil"/>
          <w:between w:val="nil"/>
        </w:pBdr>
        <w:spacing w:line="288" w:lineRule="auto"/>
        <w:jc w:val="both"/>
        <w:rPr>
          <w:i/>
          <w:color w:val="000000"/>
          <w:u w:val="single"/>
        </w:rPr>
      </w:pPr>
      <w:r>
        <w:rPr>
          <w:i/>
          <w:color w:val="000000"/>
          <w:u w:val="single"/>
        </w:rPr>
        <w:t>Composition of the corpus</w:t>
      </w:r>
    </w:p>
    <w:p w14:paraId="3E2F58A7" w14:textId="77777777" w:rsidR="00A95AE8" w:rsidRDefault="00000000">
      <w:pPr>
        <w:spacing w:line="288" w:lineRule="auto"/>
        <w:jc w:val="both"/>
      </w:pPr>
      <w:r>
        <w:rPr>
          <w:color w:val="000000"/>
        </w:rPr>
        <w:t>To summarize the influence of the author sex, country of origin, language, and historical period on writing style, we map the distribution of these variables on a graph of writers’ similarity based on word frequency (Jockers, 2013; Fig. 1). In line with data on publishing records, in our corpus there is a significant relationship between author’s sex and country of origin (χ</w:t>
      </w:r>
      <w:r>
        <w:rPr>
          <w:color w:val="000000"/>
          <w:sz w:val="14"/>
          <w:szCs w:val="14"/>
          <w:vertAlign w:val="superscript"/>
        </w:rPr>
        <w:t>2</w:t>
      </w:r>
      <w:r>
        <w:rPr>
          <w:color w:val="000000"/>
          <w:sz w:val="14"/>
          <w:szCs w:val="14"/>
          <w:vertAlign w:val="subscript"/>
        </w:rPr>
        <w:t>(1,1365)</w:t>
      </w:r>
      <w:r>
        <w:rPr>
          <w:color w:val="000000"/>
        </w:rPr>
        <w:t xml:space="preserve"> = 26.74; p &lt; 0.0001), with male writers being more frequently European (Verboord, 2012; odds ratio [OR] = 0.664, CI95: 0.526 0.839, p&lt;0.0001, Fisher’s Exact Test), and female writers Oceanian (Zwar et al., 2015; OR = 3.002, CI95: 1.677 5.374, p = 0.0002, Fisher’s Exact Test). As far as language is concerned, while the percentage of male authors translated into English is 39%, translated female authors represent 23% (OR = 0.470, CI95: 0.366 0.604, p&lt;0.0001, Fisher’s Exact Test). </w:t>
      </w:r>
      <w:r>
        <w:t>Also</w:t>
      </w:r>
      <w:r>
        <w:rPr>
          <w:color w:val="000000"/>
        </w:rPr>
        <w:t>, as in other reports (Underwood et al., 2018), the female-to-male proportion increases over time: the percentage of female authors included in our corpus active before 1900 is 23% (p &lt; 0.0001, Binomial test), with this percentage reaching 50% in the last ten years (p = 0. 9111; Fig. 1b).</w:t>
      </w:r>
      <w:r>
        <w:t xml:space="preserve"> Lastly, w</w:t>
      </w:r>
      <w:r>
        <w:rPr>
          <w:color w:val="000000"/>
        </w:rPr>
        <w:t>e observe a strong predominance of male authors in the assignment of the Nobel Prize (~83% were for male writers, χ</w:t>
      </w:r>
      <w:r>
        <w:rPr>
          <w:color w:val="000000"/>
          <w:sz w:val="14"/>
          <w:szCs w:val="14"/>
          <w:vertAlign w:val="superscript"/>
        </w:rPr>
        <w:t>2</w:t>
      </w:r>
      <w:r>
        <w:rPr>
          <w:color w:val="000000"/>
          <w:sz w:val="14"/>
          <w:szCs w:val="14"/>
          <w:vertAlign w:val="subscript"/>
        </w:rPr>
        <w:t>(1,1365)</w:t>
      </w:r>
      <w:r>
        <w:rPr>
          <w:color w:val="000000"/>
        </w:rPr>
        <w:t xml:space="preserve"> = 12.55; p = 0.0004), whereas the most renowned literary awards are in agreement with the overall ratio of male and female writers (~65% of the winners of at least one prize were males, χ</w:t>
      </w:r>
      <w:r>
        <w:rPr>
          <w:color w:val="000000"/>
          <w:sz w:val="14"/>
          <w:szCs w:val="14"/>
          <w:vertAlign w:val="superscript"/>
        </w:rPr>
        <w:t>2</w:t>
      </w:r>
      <w:r>
        <w:rPr>
          <w:color w:val="000000"/>
          <w:sz w:val="14"/>
          <w:szCs w:val="14"/>
          <w:vertAlign w:val="subscript"/>
        </w:rPr>
        <w:t>(1,1365)</w:t>
      </w:r>
      <w:r>
        <w:rPr>
          <w:color w:val="000000"/>
        </w:rPr>
        <w:t xml:space="preserve"> = 0.55; p = 0.4586).</w:t>
      </w:r>
    </w:p>
    <w:p w14:paraId="3968C780" w14:textId="77777777" w:rsidR="00A95AE8" w:rsidRDefault="00A95AE8">
      <w:pPr>
        <w:spacing w:line="288" w:lineRule="auto"/>
        <w:jc w:val="both"/>
        <w:rPr>
          <w:sz w:val="12"/>
          <w:szCs w:val="12"/>
        </w:rPr>
      </w:pPr>
    </w:p>
    <w:p w14:paraId="03BA4242" w14:textId="77777777" w:rsidR="00A95AE8" w:rsidRDefault="00000000">
      <w:pPr>
        <w:spacing w:line="288" w:lineRule="auto"/>
        <w:jc w:val="both"/>
      </w:pPr>
      <w:r>
        <w:rPr>
          <w:i/>
          <w:u w:val="single"/>
        </w:rPr>
        <w:lastRenderedPageBreak/>
        <w:t>Heaps’ and Zipf’s Laws</w:t>
      </w:r>
    </w:p>
    <w:p w14:paraId="1B8C9FC4" w14:textId="77777777" w:rsidR="00A95AE8" w:rsidRDefault="00000000">
      <w:pPr>
        <w:spacing w:line="288" w:lineRule="auto"/>
        <w:jc w:val="both"/>
      </w:pPr>
      <w:r>
        <w:t>We estimate the average number of words written by male (186,624 ± 193,524) and female (171,515 ± 183,835) authors. The difference between the two groups is 15,109 terms (p = 0.046, Wilcoxon rank-sum test; Fig. S1a). However, this effect could reflect different factors in the history of literature, such as trends in publishing policy (e.g., releasing novels in smaller, sequential installments - as frequently done during the 19</w:t>
      </w:r>
      <w:r>
        <w:rPr>
          <w:sz w:val="14"/>
          <w:szCs w:val="14"/>
          <w:vertAlign w:val="superscript"/>
        </w:rPr>
        <w:t>th</w:t>
      </w:r>
      <w:r>
        <w:t xml:space="preserve"> century -), or to the ratio of female authors changing across time. We also explore the lexicon size using Heaps’ law (Fig. S1b). This analysis estimates the free parameters K (mean±standard error; K</w:t>
      </w:r>
      <w:r>
        <w:rPr>
          <w:sz w:val="14"/>
          <w:szCs w:val="14"/>
          <w:vertAlign w:val="subscript"/>
        </w:rPr>
        <w:t>male</w:t>
      </w:r>
      <w:r>
        <w:t>=36.6±5.9; K</w:t>
      </w:r>
      <w:r>
        <w:rPr>
          <w:sz w:val="14"/>
          <w:szCs w:val="14"/>
          <w:vertAlign w:val="subscript"/>
        </w:rPr>
        <w:t>female</w:t>
      </w:r>
      <w:r>
        <w:t>=33.1±5.4) and β (β</w:t>
      </w:r>
      <w:r>
        <w:rPr>
          <w:sz w:val="14"/>
          <w:szCs w:val="14"/>
          <w:vertAlign w:val="subscript"/>
        </w:rPr>
        <w:t>male</w:t>
      </w:r>
      <w:r>
        <w:t>=0.48±0.01; β</w:t>
      </w:r>
      <w:r>
        <w:rPr>
          <w:sz w:val="14"/>
          <w:szCs w:val="14"/>
          <w:vertAlign w:val="subscript"/>
        </w:rPr>
        <w:t>female</w:t>
      </w:r>
      <w:r>
        <w:t>=0.48±0.01), as well as the adjusted-R</w:t>
      </w:r>
      <w:r>
        <w:rPr>
          <w:sz w:val="14"/>
          <w:szCs w:val="14"/>
          <w:vertAlign w:val="superscript"/>
        </w:rPr>
        <w:t>2</w:t>
      </w:r>
      <w:r>
        <w:t xml:space="preserve"> (R</w:t>
      </w:r>
      <w:r>
        <w:rPr>
          <w:sz w:val="14"/>
          <w:szCs w:val="14"/>
          <w:vertAlign w:val="superscript"/>
        </w:rPr>
        <w:t>2</w:t>
      </w:r>
      <w:r>
        <w:rPr>
          <w:sz w:val="14"/>
          <w:szCs w:val="14"/>
          <w:vertAlign w:val="subscript"/>
        </w:rPr>
        <w:t>male</w:t>
      </w:r>
      <w:r>
        <w:t>= 0.80; R</w:t>
      </w:r>
      <w:r>
        <w:rPr>
          <w:sz w:val="14"/>
          <w:szCs w:val="14"/>
          <w:vertAlign w:val="superscript"/>
        </w:rPr>
        <w:t>2</w:t>
      </w:r>
      <w:r>
        <w:rPr>
          <w:sz w:val="14"/>
          <w:szCs w:val="14"/>
          <w:vertAlign w:val="subscript"/>
        </w:rPr>
        <w:t>female</w:t>
      </w:r>
      <w:r>
        <w:t>= 0.83). We observe no differences in the estimation of the parameters across sexes (p &gt; 0.05).</w:t>
      </w:r>
    </w:p>
    <w:p w14:paraId="7CD9E81C" w14:textId="77777777" w:rsidR="00A95AE8" w:rsidRDefault="00000000">
      <w:pPr>
        <w:spacing w:line="288" w:lineRule="auto"/>
        <w:jc w:val="both"/>
      </w:pPr>
      <w:r>
        <w:t xml:space="preserve">We then model the non-linear relationship between the rank and the frequency of the words used (Zipf’s law; see Fig. 1c). This analysis estimates in each author the exponential parameters </w:t>
      </w:r>
      <w:r>
        <w:rPr>
          <w:i/>
        </w:rPr>
        <w:t>α</w:t>
      </w:r>
      <w:r>
        <w:t xml:space="preserve"> (mean±standard error; </w:t>
      </w:r>
      <w:r>
        <w:rPr>
          <w:i/>
        </w:rPr>
        <w:t>α</w:t>
      </w:r>
      <w:r>
        <w:rPr>
          <w:sz w:val="14"/>
          <w:szCs w:val="14"/>
          <w:vertAlign w:val="subscript"/>
        </w:rPr>
        <w:t>male</w:t>
      </w:r>
      <w:r>
        <w:t xml:space="preserve">=1.003 ± 0.001; </w:t>
      </w:r>
      <w:r>
        <w:rPr>
          <w:i/>
        </w:rPr>
        <w:t>α</w:t>
      </w:r>
      <w:r>
        <w:rPr>
          <w:sz w:val="14"/>
          <w:szCs w:val="14"/>
          <w:vertAlign w:val="subscript"/>
        </w:rPr>
        <w:t>female</w:t>
      </w:r>
      <w:r>
        <w:t xml:space="preserve">=1.006 ± 0.002; Fig. S1d), the scaling factor </w:t>
      </w:r>
      <w:r>
        <w:rPr>
          <w:i/>
        </w:rPr>
        <w:t>β</w:t>
      </w:r>
      <w:r>
        <w:t xml:space="preserve"> (</w:t>
      </w:r>
      <w:r>
        <w:rPr>
          <w:i/>
        </w:rPr>
        <w:t>β</w:t>
      </w:r>
      <w:r>
        <w:rPr>
          <w:sz w:val="14"/>
          <w:szCs w:val="14"/>
          <w:vertAlign w:val="subscript"/>
        </w:rPr>
        <w:t>male</w:t>
      </w:r>
      <w:r>
        <w:t xml:space="preserve">=133699 ± 764; </w:t>
      </w:r>
      <w:r>
        <w:rPr>
          <w:i/>
        </w:rPr>
        <w:t>β</w:t>
      </w:r>
      <w:r>
        <w:rPr>
          <w:sz w:val="14"/>
          <w:szCs w:val="14"/>
          <w:vertAlign w:val="subscript"/>
        </w:rPr>
        <w:t>female</w:t>
      </w:r>
      <w:r>
        <w:t>=140270 ± 921; Fig. S1e), as well as the adjusted-R</w:t>
      </w:r>
      <w:r>
        <w:rPr>
          <w:sz w:val="14"/>
          <w:szCs w:val="14"/>
          <w:vertAlign w:val="superscript"/>
        </w:rPr>
        <w:t>2</w:t>
      </w:r>
      <w:r>
        <w:t xml:space="preserve"> (R</w:t>
      </w:r>
      <w:r>
        <w:rPr>
          <w:sz w:val="14"/>
          <w:szCs w:val="14"/>
          <w:vertAlign w:val="superscript"/>
        </w:rPr>
        <w:t>2</w:t>
      </w:r>
      <w:r>
        <w:rPr>
          <w:sz w:val="14"/>
          <w:szCs w:val="14"/>
          <w:vertAlign w:val="subscript"/>
        </w:rPr>
        <w:t>male</w:t>
      </w:r>
      <w:r>
        <w:t>= 0.99; R</w:t>
      </w:r>
      <w:r>
        <w:rPr>
          <w:sz w:val="14"/>
          <w:szCs w:val="14"/>
          <w:vertAlign w:val="superscript"/>
        </w:rPr>
        <w:t>2</w:t>
      </w:r>
      <w:r>
        <w:rPr>
          <w:sz w:val="14"/>
          <w:szCs w:val="14"/>
          <w:vertAlign w:val="subscript"/>
        </w:rPr>
        <w:t>female</w:t>
      </w:r>
      <w:r>
        <w:t xml:space="preserve">= 0.99). Of note, only the scaling factor </w:t>
      </w:r>
      <w:r>
        <w:rPr>
          <w:i/>
        </w:rPr>
        <w:t>β</w:t>
      </w:r>
      <w:r>
        <w:t xml:space="preserve"> shows a significant sex effect (p &lt; 0.0001). </w:t>
      </w:r>
    </w:p>
    <w:p w14:paraId="4EAA6611" w14:textId="77777777" w:rsidR="00A95AE8" w:rsidRDefault="00000000">
      <w:pPr>
        <w:spacing w:line="288" w:lineRule="auto"/>
        <w:jc w:val="both"/>
      </w:pPr>
      <w:r>
        <w:t>Lastly, bootstrap analysis reveals that females have a smaller vocabulary size than males (mean ± standard deviation for 10k words; males: 2173 ± 293; females: 2098 ± 258; difference M-F: 75, p &lt; 0.0001; Fig. S1f). </w:t>
      </w:r>
    </w:p>
    <w:p w14:paraId="7A1A8997" w14:textId="77777777" w:rsidR="00A95AE8" w:rsidRDefault="00A95AE8">
      <w:pPr>
        <w:spacing w:line="288" w:lineRule="auto"/>
        <w:jc w:val="both"/>
        <w:rPr>
          <w:i/>
          <w:sz w:val="12"/>
          <w:szCs w:val="12"/>
          <w:u w:val="single"/>
        </w:rPr>
      </w:pPr>
    </w:p>
    <w:p w14:paraId="671D69E1" w14:textId="77777777" w:rsidR="00A95AE8" w:rsidRDefault="00000000">
      <w:pPr>
        <w:spacing w:line="288" w:lineRule="auto"/>
        <w:jc w:val="both"/>
        <w:rPr>
          <w:i/>
          <w:u w:val="single"/>
        </w:rPr>
      </w:pPr>
      <w:r>
        <w:rPr>
          <w:i/>
          <w:u w:val="single"/>
        </w:rPr>
        <w:t>Similarity between our corpus and Google English Fiction 2020 </w:t>
      </w:r>
    </w:p>
    <w:p w14:paraId="6E73B886" w14:textId="77777777" w:rsidR="00A95AE8" w:rsidRDefault="00000000">
      <w:pPr>
        <w:spacing w:line="288" w:lineRule="auto"/>
        <w:jc w:val="both"/>
      </w:pPr>
      <w:r>
        <w:t xml:space="preserve">Terms showing </w:t>
      </w:r>
      <w:r>
        <w:rPr>
          <w:i/>
        </w:rPr>
        <w:t xml:space="preserve">sex </w:t>
      </w:r>
      <w:r>
        <w:t xml:space="preserve">or </w:t>
      </w:r>
      <w:r>
        <w:rPr>
          <w:i/>
        </w:rPr>
        <w:t xml:space="preserve">sex * historical period </w:t>
      </w:r>
      <w:r>
        <w:t>s</w:t>
      </w:r>
      <w:r>
        <w:rPr>
          <w:color w:val="000000"/>
        </w:rPr>
        <w:t xml:space="preserve">ignificant </w:t>
      </w:r>
      <w:r>
        <w:t>effects</w:t>
      </w:r>
      <w:r>
        <w:rPr>
          <w:color w:val="000000"/>
        </w:rPr>
        <w:t xml:space="preserve"> are relatively frequent (e.g., from 5.4% average occurrence across authors for the term </w:t>
      </w:r>
      <w:r>
        <w:rPr>
          <w:i/>
          <w:color w:val="000000"/>
        </w:rPr>
        <w:t>the</w:t>
      </w:r>
      <w:r>
        <w:rPr>
          <w:color w:val="000000"/>
        </w:rPr>
        <w:t>, to 5.3*10</w:t>
      </w:r>
      <w:r>
        <w:rPr>
          <w:color w:val="000000"/>
          <w:sz w:val="14"/>
          <w:szCs w:val="14"/>
          <w:vertAlign w:val="superscript"/>
        </w:rPr>
        <w:t>-5</w:t>
      </w:r>
      <w:r>
        <w:rPr>
          <w:color w:val="000000"/>
        </w:rPr>
        <w:t xml:space="preserve">% for </w:t>
      </w:r>
      <w:r>
        <w:rPr>
          <w:i/>
          <w:color w:val="000000"/>
        </w:rPr>
        <w:t>sparkly</w:t>
      </w:r>
      <w:r>
        <w:rPr>
          <w:color w:val="000000"/>
        </w:rPr>
        <w:t>), and their occurrence in our corpus is in line with the one reported in the largest available corpus of English Fiction from Google (ρ = 0.981; CI95: 0.975 0.984; p &lt; 0.0001, Fig. S2a). In addition, we show that Google English Fiction 2020 historical trends of the 576 significant terms are more similar to trends present in male (ρ = 0.599, CI95: 0.534 0.657), as compared to those observed in female writers (ρ = 0.479, CI95: 0.407 0.543; sex effect: ρ = 0.120, p &lt; 0.0001; Fig. S2c). Notably, similar results are observed when considering the initial pool of ~25,000 words: at least 20% of these terms show trends in Google English Fiction 2020 comparable to those of male authors (Fig. S2e). Thus, caution should be exerted when drawing cultural, linguistic, and social conclusions from trend analyses of large uncontrolled datasets (</w:t>
      </w:r>
      <w:r>
        <w:rPr>
          <w:color w:val="222222"/>
          <w:highlight w:val="white"/>
        </w:rPr>
        <w:t>Pechenick et al., 2015; Lazer et al., 2021)</w:t>
      </w:r>
      <w:r>
        <w:rPr>
          <w:color w:val="000000"/>
        </w:rPr>
        <w:t>, as they might reflect the unequal representation of the sexes.</w:t>
      </w:r>
      <w:r>
        <w:t xml:space="preserve"> </w:t>
      </w:r>
    </w:p>
    <w:p w14:paraId="687ADA13" w14:textId="77777777" w:rsidR="00A95AE8" w:rsidRDefault="00A95AE8">
      <w:pPr>
        <w:spacing w:line="288" w:lineRule="auto"/>
        <w:jc w:val="both"/>
        <w:rPr>
          <w:sz w:val="12"/>
          <w:szCs w:val="12"/>
        </w:rPr>
      </w:pPr>
    </w:p>
    <w:p w14:paraId="4C0CEC3C" w14:textId="77777777" w:rsidR="00A95AE8" w:rsidRDefault="00000000">
      <w:pPr>
        <w:spacing w:line="288" w:lineRule="auto"/>
        <w:jc w:val="both"/>
        <w:rPr>
          <w:i/>
          <w:u w:val="single"/>
        </w:rPr>
      </w:pPr>
      <w:r>
        <w:rPr>
          <w:i/>
          <w:u w:val="single"/>
        </w:rPr>
        <w:t>Revealing sex differences in literature using ranks </w:t>
      </w:r>
    </w:p>
    <w:p w14:paraId="26CF91C4" w14:textId="77777777" w:rsidR="00A95AE8" w:rsidRDefault="00000000">
      <w:pPr>
        <w:spacing w:line="288" w:lineRule="auto"/>
        <w:jc w:val="both"/>
      </w:pPr>
      <w:r>
        <w:t xml:space="preserve">By using word ranks instead of raw frequencies, 564 out of 576 words (~98%) show significant </w:t>
      </w:r>
      <w:r>
        <w:rPr>
          <w:i/>
        </w:rPr>
        <w:t>sex</w:t>
      </w:r>
      <w:r>
        <w:t xml:space="preserve"> or </w:t>
      </w:r>
      <w:r>
        <w:rPr>
          <w:i/>
        </w:rPr>
        <w:t>sex</w:t>
      </w:r>
      <w:r>
        <w:t xml:space="preserve"> * </w:t>
      </w:r>
      <w:r>
        <w:rPr>
          <w:i/>
        </w:rPr>
        <w:t>historical period</w:t>
      </w:r>
      <w:r>
        <w:t xml:space="preserve"> effect (p &lt; 0.05, Bonferroni corrected). Terms that do not replicate their effect in this control analysis are: </w:t>
      </w:r>
      <w:r>
        <w:rPr>
          <w:i/>
        </w:rPr>
        <w:t>t</w:t>
      </w:r>
      <w:r>
        <w:t xml:space="preserve">, </w:t>
      </w:r>
      <w:r>
        <w:rPr>
          <w:i/>
        </w:rPr>
        <w:t>come</w:t>
      </w:r>
      <w:r>
        <w:t xml:space="preserve">, </w:t>
      </w:r>
      <w:r>
        <w:rPr>
          <w:i/>
        </w:rPr>
        <w:t>eyes</w:t>
      </w:r>
      <w:r>
        <w:t xml:space="preserve">, </w:t>
      </w:r>
      <w:r>
        <w:rPr>
          <w:i/>
        </w:rPr>
        <w:t>look</w:t>
      </w:r>
      <w:r>
        <w:t xml:space="preserve">, </w:t>
      </w:r>
      <w:r>
        <w:rPr>
          <w:i/>
        </w:rPr>
        <w:t>help</w:t>
      </w:r>
      <w:r>
        <w:t xml:space="preserve">, </w:t>
      </w:r>
      <w:r>
        <w:rPr>
          <w:i/>
        </w:rPr>
        <w:t>glad</w:t>
      </w:r>
      <w:r>
        <w:t xml:space="preserve">, </w:t>
      </w:r>
      <w:r>
        <w:rPr>
          <w:i/>
        </w:rPr>
        <w:t>position</w:t>
      </w:r>
      <w:r>
        <w:t xml:space="preserve">, </w:t>
      </w:r>
      <w:r>
        <w:rPr>
          <w:i/>
        </w:rPr>
        <w:t>shoes</w:t>
      </w:r>
      <w:r>
        <w:t xml:space="preserve">, </w:t>
      </w:r>
      <w:r>
        <w:rPr>
          <w:i/>
        </w:rPr>
        <w:t>leading</w:t>
      </w:r>
      <w:r>
        <w:t xml:space="preserve">, </w:t>
      </w:r>
      <w:r>
        <w:rPr>
          <w:i/>
        </w:rPr>
        <w:t>quarter</w:t>
      </w:r>
      <w:r>
        <w:t xml:space="preserve">, </w:t>
      </w:r>
      <w:r>
        <w:rPr>
          <w:i/>
        </w:rPr>
        <w:t>porn</w:t>
      </w:r>
      <w:r>
        <w:t xml:space="preserve">, </w:t>
      </w:r>
      <w:r>
        <w:rPr>
          <w:i/>
        </w:rPr>
        <w:t>hesitatingly</w:t>
      </w:r>
      <w:r>
        <w:t>.</w:t>
      </w:r>
    </w:p>
    <w:p w14:paraId="0417C920" w14:textId="77777777" w:rsidR="00A95AE8" w:rsidRDefault="00A95AE8">
      <w:pPr>
        <w:spacing w:line="288" w:lineRule="auto"/>
        <w:jc w:val="both"/>
      </w:pPr>
    </w:p>
    <w:p w14:paraId="1F8B7797" w14:textId="77777777" w:rsidR="00A95AE8" w:rsidRDefault="00000000">
      <w:pPr>
        <w:spacing w:line="288" w:lineRule="auto"/>
        <w:jc w:val="both"/>
        <w:rPr>
          <w:i/>
          <w:u w:val="single"/>
        </w:rPr>
      </w:pPr>
      <w:r>
        <w:rPr>
          <w:i/>
          <w:u w:val="single"/>
        </w:rPr>
        <w:t>Revealing sex differences in literature using country of origin</w:t>
      </w:r>
    </w:p>
    <w:p w14:paraId="4477A0B7" w14:textId="77777777" w:rsidR="00A95AE8" w:rsidRDefault="00000000">
      <w:pPr>
        <w:spacing w:line="276" w:lineRule="auto"/>
        <w:jc w:val="both"/>
      </w:pPr>
      <w:r>
        <w:lastRenderedPageBreak/>
        <w:t xml:space="preserve">We show that 525 terms reach statistical significance when modelling country of origin. Of these, the 84% (485) overlaps with the 576 words identified by modelling continent instead of country. The 91 words specific to the modelling of continent are: </w:t>
      </w:r>
    </w:p>
    <w:p w14:paraId="3C5D638C" w14:textId="77777777" w:rsidR="00A95AE8" w:rsidRDefault="00A95AE8">
      <w:pPr>
        <w:spacing w:line="276" w:lineRule="auto"/>
        <w:jc w:val="both"/>
        <w:rPr>
          <w:sz w:val="10"/>
          <w:szCs w:val="10"/>
        </w:rPr>
      </w:pPr>
    </w:p>
    <w:p w14:paraId="65C0CE3E" w14:textId="6EE3460F" w:rsidR="00A95AE8" w:rsidRDefault="00000000">
      <w:pPr>
        <w:spacing w:line="276" w:lineRule="auto"/>
        <w:jc w:val="both"/>
      </w:pPr>
      <w:r>
        <w:rPr>
          <w:i/>
        </w:rPr>
        <w:t>"men", "dear", "wall", "order", "parents", "pointed", "shirt", "ladies", "spend", "distant", "wrapped", "fucking", "local", "fuck", "gentlemen", "silk", "evidence", "down</w:t>
      </w:r>
      <w:r w:rsidR="00B03F23" w:rsidRPr="00B03F23">
        <w:rPr>
          <w:i/>
          <w:lang w:val="en-US"/>
        </w:rPr>
        <w:t xml:space="preserve"> </w:t>
      </w:r>
      <w:r>
        <w:rPr>
          <w:i/>
        </w:rPr>
        <w:t>stairs", "upper", "staff", "grateful", "staying", "team", "emerged", "shocked", "wheel", "nation", "tray", "pregnant", "recent", "clerk", "goodness", "inspector", "shy", "blade", "lessons", "tobacco", "roar", "mister", "based", "complex", "investigation", "indicated", "player", "scarf", "aspect", "liquor", "proceed", "cells", "examination", "policemen", "butt", "explosion", "areas", "recorded", "wrap", "posts", "mother</w:t>
      </w:r>
      <w:r w:rsidR="00B03F23" w:rsidRPr="00B03F23">
        <w:rPr>
          <w:i/>
          <w:lang w:val="en-US"/>
        </w:rPr>
        <w:t xml:space="preserve"> </w:t>
      </w:r>
      <w:r>
        <w:rPr>
          <w:i/>
        </w:rPr>
        <w:t>in</w:t>
      </w:r>
      <w:r w:rsidR="00B03F23" w:rsidRPr="00B03F23">
        <w:rPr>
          <w:i/>
          <w:lang w:val="en-US"/>
        </w:rPr>
        <w:t xml:space="preserve"> </w:t>
      </w:r>
      <w:r>
        <w:rPr>
          <w:i/>
        </w:rPr>
        <w:t>law", "warehouse", "madman", "corporal", "dolls", "data", "politicians", "signals", "clerks", "vicinity", "pissed", "sentry", "regulations", "forearm", "captains", "controls", "avenues", "fucked</w:t>
      </w:r>
      <w:r w:rsidR="00B03F23" w:rsidRPr="00B03F23">
        <w:rPr>
          <w:i/>
          <w:lang w:val="en-US"/>
        </w:rPr>
        <w:t xml:space="preserve"> </w:t>
      </w:r>
      <w:r>
        <w:rPr>
          <w:i/>
        </w:rPr>
        <w:t>up", "phenomena", "fart", "cartridge", "manufactured", "cartridges", "holster", "porn", "gandhi", "testicles", "masonry", "explosives", "shooter", "rusting", "shitting", "converging", "urinating".</w:t>
      </w:r>
      <w:r>
        <w:t xml:space="preserve">   </w:t>
      </w:r>
    </w:p>
    <w:p w14:paraId="30B51F4E" w14:textId="77777777" w:rsidR="00A95AE8" w:rsidRDefault="00A95AE8">
      <w:pPr>
        <w:spacing w:line="276" w:lineRule="auto"/>
        <w:jc w:val="both"/>
        <w:rPr>
          <w:sz w:val="10"/>
          <w:szCs w:val="10"/>
        </w:rPr>
      </w:pPr>
    </w:p>
    <w:p w14:paraId="2F7EB3B3" w14:textId="77777777" w:rsidR="00A95AE8" w:rsidRDefault="00000000">
      <w:pPr>
        <w:spacing w:line="276" w:lineRule="auto"/>
        <w:jc w:val="both"/>
      </w:pPr>
      <w:r>
        <w:t xml:space="preserve">The 40 words specific to the modelling of country are: </w:t>
      </w:r>
    </w:p>
    <w:p w14:paraId="2AC0B4FE" w14:textId="77777777" w:rsidR="00A95AE8" w:rsidRDefault="00A95AE8">
      <w:pPr>
        <w:spacing w:line="276" w:lineRule="auto"/>
        <w:jc w:val="both"/>
        <w:rPr>
          <w:sz w:val="10"/>
          <w:szCs w:val="10"/>
        </w:rPr>
      </w:pPr>
    </w:p>
    <w:p w14:paraId="3DEC3B61" w14:textId="7638D6B8" w:rsidR="00A95AE8" w:rsidRDefault="00000000">
      <w:pPr>
        <w:spacing w:line="276" w:lineRule="auto"/>
        <w:jc w:val="both"/>
        <w:rPr>
          <w:i/>
        </w:rPr>
      </w:pPr>
      <w:r>
        <w:rPr>
          <w:i/>
        </w:rPr>
        <w:t>"hands", "voice", "far", "cold", "case", "ground", "minutes", "couple", "angry", "group", "happiness", "attempt", "valley", "manage", "series", "remembering", "washing", "jealous", "united</w:t>
      </w:r>
      <w:r w:rsidR="00B03F23" w:rsidRPr="00B03F23">
        <w:rPr>
          <w:i/>
          <w:lang w:val="en-US"/>
        </w:rPr>
        <w:t xml:space="preserve"> </w:t>
      </w:r>
      <w:r>
        <w:rPr>
          <w:i/>
        </w:rPr>
        <w:t>states", "empire", "organization", "profit", "located", "commercial", "teasing", "sobbed", "ached", "ribbons", "bearings", "sector", "kittens", "birthdays", "bureaucratic", "outgrown", "leverage", "chintz", "darning", "hairbrush", "denizens", "raspberries".</w:t>
      </w:r>
    </w:p>
    <w:p w14:paraId="2AAEE08A" w14:textId="77777777" w:rsidR="00A95AE8" w:rsidRDefault="00A95AE8">
      <w:pPr>
        <w:spacing w:line="276" w:lineRule="auto"/>
        <w:jc w:val="both"/>
        <w:rPr>
          <w:i/>
          <w:sz w:val="10"/>
          <w:szCs w:val="10"/>
        </w:rPr>
      </w:pPr>
    </w:p>
    <w:p w14:paraId="11E8E1FB" w14:textId="77777777" w:rsidR="00A95AE8" w:rsidRDefault="00000000">
      <w:pPr>
        <w:spacing w:line="276" w:lineRule="auto"/>
        <w:jc w:val="both"/>
        <w:rPr>
          <w:sz w:val="26"/>
          <w:szCs w:val="26"/>
        </w:rPr>
      </w:pPr>
      <w:r>
        <w:t>Of note, all words found in one model and not the other, reach statistical significance when using the more lenient threshold of p &lt; 0.001 not corrected for multiple comparisons. Overall, the modelling of country instead of continent results in a relatively smaller set of words showing a sex or sex by historical period effect. However, the fact that the majority of terms is significant in both models suggests that the ratio between the number of observations (1,365 modelling continent versus 1,295 modelling country) and of predictors (10 versus 67) may play a crucial role in determining the differences between the original approach and the one described here.</w:t>
      </w:r>
    </w:p>
    <w:p w14:paraId="2E32177A" w14:textId="77777777" w:rsidR="00A95AE8" w:rsidRDefault="00A95AE8">
      <w:pPr>
        <w:spacing w:line="288" w:lineRule="auto"/>
        <w:jc w:val="both"/>
        <w:rPr>
          <w:sz w:val="12"/>
          <w:szCs w:val="12"/>
        </w:rPr>
      </w:pPr>
    </w:p>
    <w:p w14:paraId="52BB6D20" w14:textId="77777777" w:rsidR="00A95AE8" w:rsidRDefault="00000000">
      <w:pPr>
        <w:spacing w:line="288" w:lineRule="auto"/>
        <w:jc w:val="both"/>
      </w:pPr>
      <w:r>
        <w:rPr>
          <w:i/>
          <w:u w:val="single"/>
        </w:rPr>
        <w:t xml:space="preserve">Analysis of diachronic words </w:t>
      </w:r>
    </w:p>
    <w:p w14:paraId="7B563B3D" w14:textId="77777777" w:rsidR="00A95AE8" w:rsidRDefault="00000000">
      <w:pPr>
        <w:spacing w:line="288" w:lineRule="auto"/>
        <w:jc w:val="both"/>
      </w:pPr>
      <w:r>
        <w:t xml:space="preserve">Among the 576 significant words, only ~4% have changed their meaning over time (e.g., </w:t>
      </w:r>
      <w:r>
        <w:rPr>
          <w:i/>
        </w:rPr>
        <w:t>terrific</w:t>
      </w:r>
      <w:r>
        <w:t>). To test semantic shifts between male and female writers, we quantify rearrangements of neighbor terms in word-embedding as a function of the author sex (Fig. S6c). None of the 576 terms show a substantial semantic shift between the sexes (p &gt; 0.05, corrected for multiple comparisons), indicating that while the frequency of terms changed over time, male and female authors attributed the same meaning to these words across the last three centuries.</w:t>
      </w:r>
    </w:p>
    <w:p w14:paraId="362B9277" w14:textId="77777777" w:rsidR="00A95AE8" w:rsidRDefault="00A95AE8">
      <w:pPr>
        <w:spacing w:line="288" w:lineRule="auto"/>
        <w:jc w:val="both"/>
        <w:rPr>
          <w:sz w:val="10"/>
          <w:szCs w:val="10"/>
        </w:rPr>
      </w:pPr>
    </w:p>
    <w:p w14:paraId="409EAA16" w14:textId="77777777" w:rsidR="00A95AE8" w:rsidRDefault="00000000">
      <w:pPr>
        <w:spacing w:line="288" w:lineRule="auto"/>
        <w:jc w:val="both"/>
      </w:pPr>
      <w:r>
        <w:rPr>
          <w:i/>
          <w:u w:val="single"/>
        </w:rPr>
        <w:t>Measuring the relationship between affective lexicon and human development</w:t>
      </w:r>
    </w:p>
    <w:p w14:paraId="21EFD314" w14:textId="77777777" w:rsidR="00A95AE8" w:rsidRDefault="00000000">
      <w:pPr>
        <w:spacing w:line="288" w:lineRule="auto"/>
        <w:jc w:val="both"/>
      </w:pPr>
      <w:r>
        <w:t xml:space="preserve">The mapping of sex differences in the affective lexicon across cultures shows that while in some countries women’s writings are more positive and in others the opposite is true (Fig. S7a), men’s </w:t>
      </w:r>
      <w:r>
        <w:lastRenderedPageBreak/>
        <w:t xml:space="preserve">lexicon is more arousing in all the explored cultures (Fig. S7b). When testing the association between societal progress and affective characteristics of writings, we observe that HDI relates positively to valence (Fig. 5c; ρ = 0.433, p = 0.045, CI95: 0.094 0.697) and negatively to arousal (Fig. 5d; ρ = -0.439, p = 0.042, CI95: -0.756 -0.017) across 22 countries, meaning that authors native to regions characterized by higher HDI (e.g., Germany, Australia) write more positive and less arousing narratives. Lastly, there are no significant associations between the degree of societal progress and sex differences in valence (ρ = 0.121, p = 0.589, CI95: -0.429 0.532) or arousal (ρ = -0.286, p = 0.196, CI95: -0.566 0.159). </w:t>
      </w:r>
      <w:r>
        <w:br/>
        <w:t>We demonstrate that people from more developed societies write on average more positive and less arousing books. This tendency, present in both men and women, is in line with a cross-national study on life satisfaction showing that the human development index explains 10% of the variance in reports of subjective well-being (Bonini, 2008).</w:t>
      </w:r>
    </w:p>
    <w:p w14:paraId="08816BE1" w14:textId="77777777" w:rsidR="00A95AE8" w:rsidRDefault="00A95AE8">
      <w:pPr>
        <w:spacing w:line="288" w:lineRule="auto"/>
        <w:jc w:val="both"/>
      </w:pPr>
    </w:p>
    <w:p w14:paraId="68144065" w14:textId="77777777" w:rsidR="00A95AE8" w:rsidRDefault="00A95AE8">
      <w:pPr>
        <w:spacing w:line="288" w:lineRule="auto"/>
        <w:jc w:val="both"/>
      </w:pPr>
    </w:p>
    <w:p w14:paraId="6BF76297" w14:textId="77777777" w:rsidR="00A95AE8" w:rsidRDefault="00A95AE8">
      <w:pPr>
        <w:spacing w:line="288" w:lineRule="auto"/>
        <w:jc w:val="both"/>
      </w:pPr>
    </w:p>
    <w:p w14:paraId="0C8E3D62" w14:textId="77777777" w:rsidR="00A95AE8" w:rsidRDefault="00A95AE8">
      <w:pPr>
        <w:spacing w:line="360" w:lineRule="auto"/>
        <w:jc w:val="both"/>
      </w:pPr>
    </w:p>
    <w:p w14:paraId="47D59C1D" w14:textId="77777777" w:rsidR="00A95AE8" w:rsidRDefault="00000000">
      <w:pPr>
        <w:jc w:val="both"/>
        <w:rPr>
          <w:i/>
        </w:rPr>
      </w:pPr>
      <w:r>
        <w:br w:type="page"/>
      </w:r>
    </w:p>
    <w:p w14:paraId="68D2D142" w14:textId="77777777" w:rsidR="00A95AE8" w:rsidRDefault="00000000">
      <w:pPr>
        <w:jc w:val="both"/>
      </w:pPr>
      <w:r>
        <w:rPr>
          <w:noProof/>
          <w:color w:val="000000"/>
        </w:rPr>
        <w:lastRenderedPageBreak/>
        <w:drawing>
          <wp:inline distT="0" distB="0" distL="0" distR="0" wp14:anchorId="7177DBD3" wp14:editId="1E3926E4">
            <wp:extent cx="5943600" cy="3147695"/>
            <wp:effectExtent l="0" t="0" r="0" b="0"/>
            <wp:docPr id="16" name="image7.png" descr="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7.png" descr="Chart&#10;&#10;Description automatically generated"/>
                    <pic:cNvPicPr preferRelativeResize="0"/>
                  </pic:nvPicPr>
                  <pic:blipFill>
                    <a:blip r:embed="rId11"/>
                    <a:srcRect/>
                    <a:stretch>
                      <a:fillRect/>
                    </a:stretch>
                  </pic:blipFill>
                  <pic:spPr>
                    <a:xfrm>
                      <a:off x="0" y="0"/>
                      <a:ext cx="5943600" cy="3147695"/>
                    </a:xfrm>
                    <a:prstGeom prst="rect">
                      <a:avLst/>
                    </a:prstGeom>
                    <a:ln/>
                  </pic:spPr>
                </pic:pic>
              </a:graphicData>
            </a:graphic>
          </wp:inline>
        </w:drawing>
      </w:r>
    </w:p>
    <w:p w14:paraId="7AB2D12D" w14:textId="77777777" w:rsidR="00A95AE8" w:rsidRDefault="00A95AE8">
      <w:pPr>
        <w:pBdr>
          <w:top w:val="nil"/>
          <w:left w:val="nil"/>
          <w:bottom w:val="nil"/>
          <w:right w:val="nil"/>
          <w:between w:val="nil"/>
        </w:pBdr>
        <w:jc w:val="both"/>
        <w:rPr>
          <w:color w:val="000000"/>
          <w:sz w:val="16"/>
          <w:szCs w:val="16"/>
        </w:rPr>
      </w:pPr>
    </w:p>
    <w:p w14:paraId="390FA362" w14:textId="77777777" w:rsidR="00A95AE8" w:rsidRDefault="00000000">
      <w:pPr>
        <w:keepNext/>
        <w:pBdr>
          <w:top w:val="nil"/>
          <w:left w:val="nil"/>
          <w:bottom w:val="nil"/>
          <w:right w:val="nil"/>
          <w:between w:val="nil"/>
        </w:pBdr>
        <w:spacing w:before="240" w:after="60"/>
        <w:jc w:val="both"/>
        <w:rPr>
          <w:color w:val="000000"/>
          <w:sz w:val="22"/>
          <w:szCs w:val="22"/>
        </w:rPr>
      </w:pPr>
      <w:r>
        <w:rPr>
          <w:b/>
          <w:color w:val="000000"/>
          <w:sz w:val="22"/>
          <w:szCs w:val="22"/>
        </w:rPr>
        <w:t xml:space="preserve">Fig. S1. </w:t>
      </w:r>
      <w:r>
        <w:rPr>
          <w:color w:val="000000"/>
          <w:sz w:val="22"/>
          <w:szCs w:val="22"/>
        </w:rPr>
        <w:t xml:space="preserve">In panel </w:t>
      </w:r>
      <w:r>
        <w:rPr>
          <w:sz w:val="22"/>
          <w:szCs w:val="22"/>
        </w:rPr>
        <w:t>a</w:t>
      </w:r>
      <w:r>
        <w:rPr>
          <w:color w:val="000000"/>
          <w:sz w:val="22"/>
          <w:szCs w:val="22"/>
        </w:rPr>
        <w:t xml:space="preserve">, we report the total number of words in male and female authors, separately. In panel </w:t>
      </w:r>
      <w:r>
        <w:rPr>
          <w:sz w:val="22"/>
          <w:szCs w:val="22"/>
        </w:rPr>
        <w:t>b</w:t>
      </w:r>
      <w:r>
        <w:rPr>
          <w:color w:val="000000"/>
          <w:sz w:val="22"/>
          <w:szCs w:val="22"/>
        </w:rPr>
        <w:t xml:space="preserve">, we model the relationship between the total number of words in a text and the lexicon size using Heaps’ law. In panel </w:t>
      </w:r>
      <w:r>
        <w:rPr>
          <w:sz w:val="22"/>
          <w:szCs w:val="22"/>
        </w:rPr>
        <w:t>c</w:t>
      </w:r>
      <w:r>
        <w:rPr>
          <w:color w:val="000000"/>
          <w:sz w:val="22"/>
          <w:szCs w:val="22"/>
        </w:rPr>
        <w:t xml:space="preserve">, we represent the non-linear relationship between the rank and the frequency of the words using Zipf’s law. In panels </w:t>
      </w:r>
      <w:r>
        <w:rPr>
          <w:sz w:val="22"/>
          <w:szCs w:val="22"/>
        </w:rPr>
        <w:t>d</w:t>
      </w:r>
      <w:r>
        <w:rPr>
          <w:color w:val="000000"/>
          <w:sz w:val="22"/>
          <w:szCs w:val="22"/>
        </w:rPr>
        <w:t xml:space="preserve"> and </w:t>
      </w:r>
      <w:r>
        <w:rPr>
          <w:sz w:val="22"/>
          <w:szCs w:val="22"/>
        </w:rPr>
        <w:t>e</w:t>
      </w:r>
      <w:r>
        <w:rPr>
          <w:color w:val="000000"/>
          <w:sz w:val="22"/>
          <w:szCs w:val="22"/>
        </w:rPr>
        <w:t xml:space="preserve">, we test sex differences for the exponential parameters </w:t>
      </w:r>
      <w:r>
        <w:rPr>
          <w:i/>
          <w:color w:val="000000"/>
          <w:sz w:val="22"/>
          <w:szCs w:val="22"/>
        </w:rPr>
        <w:t>α</w:t>
      </w:r>
      <w:r>
        <w:rPr>
          <w:color w:val="000000"/>
          <w:sz w:val="22"/>
          <w:szCs w:val="22"/>
        </w:rPr>
        <w:t xml:space="preserve"> and the scaling factor </w:t>
      </w:r>
      <w:r>
        <w:rPr>
          <w:i/>
          <w:color w:val="000000"/>
          <w:sz w:val="22"/>
          <w:szCs w:val="22"/>
        </w:rPr>
        <w:t xml:space="preserve">β </w:t>
      </w:r>
      <w:r>
        <w:rPr>
          <w:color w:val="000000"/>
          <w:sz w:val="22"/>
          <w:szCs w:val="22"/>
        </w:rPr>
        <w:t xml:space="preserve">estimated in each author from Zipf’s law. In panel </w:t>
      </w:r>
      <w:r>
        <w:rPr>
          <w:sz w:val="22"/>
          <w:szCs w:val="22"/>
        </w:rPr>
        <w:t>f</w:t>
      </w:r>
      <w:r>
        <w:rPr>
          <w:color w:val="000000"/>
          <w:sz w:val="22"/>
          <w:szCs w:val="22"/>
        </w:rPr>
        <w:t>, we report the results</w:t>
      </w:r>
      <w:r>
        <w:rPr>
          <w:sz w:val="22"/>
          <w:szCs w:val="22"/>
        </w:rPr>
        <w:t xml:space="preserve"> </w:t>
      </w:r>
      <w:r>
        <w:rPr>
          <w:color w:val="000000"/>
          <w:sz w:val="22"/>
          <w:szCs w:val="22"/>
        </w:rPr>
        <w:t>of a bootstrapping procedure to estimate sex differences in lexicon size.</w:t>
      </w:r>
    </w:p>
    <w:p w14:paraId="27FBBFFE" w14:textId="77777777" w:rsidR="00A95AE8" w:rsidRDefault="00000000">
      <w:pPr>
        <w:jc w:val="both"/>
        <w:rPr>
          <w:color w:val="000000"/>
        </w:rPr>
      </w:pPr>
      <w:r>
        <w:br w:type="page"/>
      </w:r>
    </w:p>
    <w:p w14:paraId="00014181" w14:textId="77777777" w:rsidR="00A95AE8" w:rsidRDefault="00000000">
      <w:pPr>
        <w:jc w:val="both"/>
      </w:pPr>
      <w:r>
        <w:rPr>
          <w:b/>
          <w:noProof/>
          <w:color w:val="000000"/>
        </w:rPr>
        <w:lastRenderedPageBreak/>
        <w:drawing>
          <wp:inline distT="0" distB="0" distL="0" distR="0" wp14:anchorId="1195A843" wp14:editId="3564C4FE">
            <wp:extent cx="5943600" cy="4029710"/>
            <wp:effectExtent l="0" t="0" r="0" b="0"/>
            <wp:docPr id="18" name="image8.png"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8.png" descr="Diagram&#10;&#10;Description automatically generated"/>
                    <pic:cNvPicPr preferRelativeResize="0"/>
                  </pic:nvPicPr>
                  <pic:blipFill>
                    <a:blip r:embed="rId12"/>
                    <a:srcRect/>
                    <a:stretch>
                      <a:fillRect/>
                    </a:stretch>
                  </pic:blipFill>
                  <pic:spPr>
                    <a:xfrm>
                      <a:off x="0" y="0"/>
                      <a:ext cx="5943600" cy="4029710"/>
                    </a:xfrm>
                    <a:prstGeom prst="rect">
                      <a:avLst/>
                    </a:prstGeom>
                    <a:ln/>
                  </pic:spPr>
                </pic:pic>
              </a:graphicData>
            </a:graphic>
          </wp:inline>
        </w:drawing>
      </w:r>
    </w:p>
    <w:p w14:paraId="4B3A9741" w14:textId="77777777" w:rsidR="00A95AE8" w:rsidRDefault="00A95AE8">
      <w:pPr>
        <w:jc w:val="both"/>
        <w:rPr>
          <w:b/>
          <w:sz w:val="16"/>
          <w:szCs w:val="16"/>
        </w:rPr>
      </w:pPr>
    </w:p>
    <w:p w14:paraId="21C96498" w14:textId="77777777" w:rsidR="00A95AE8" w:rsidRDefault="00000000">
      <w:pPr>
        <w:jc w:val="both"/>
        <w:rPr>
          <w:sz w:val="22"/>
          <w:szCs w:val="22"/>
        </w:rPr>
      </w:pPr>
      <w:r>
        <w:rPr>
          <w:b/>
          <w:color w:val="000000"/>
          <w:sz w:val="22"/>
          <w:szCs w:val="22"/>
        </w:rPr>
        <w:t>Fig. S2.</w:t>
      </w:r>
      <w:r>
        <w:rPr>
          <w:color w:val="000000"/>
          <w:sz w:val="22"/>
          <w:szCs w:val="22"/>
        </w:rPr>
        <w:t xml:space="preserve"> </w:t>
      </w:r>
      <w:r>
        <w:rPr>
          <w:sz w:val="22"/>
          <w:szCs w:val="22"/>
        </w:rPr>
        <w:t>W</w:t>
      </w:r>
      <w:r>
        <w:rPr>
          <w:color w:val="000000"/>
          <w:sz w:val="22"/>
          <w:szCs w:val="22"/>
        </w:rPr>
        <w:t>e compare our estimat</w:t>
      </w:r>
      <w:r>
        <w:rPr>
          <w:sz w:val="22"/>
          <w:szCs w:val="22"/>
        </w:rPr>
        <w:t>e</w:t>
      </w:r>
      <w:r>
        <w:rPr>
          <w:color w:val="000000"/>
          <w:sz w:val="22"/>
          <w:szCs w:val="22"/>
        </w:rPr>
        <w:t xml:space="preserve"> of the frequency of words with the one proposed in the Google Fiction 2020 dataset (a). In panels </w:t>
      </w:r>
      <w:r>
        <w:rPr>
          <w:sz w:val="22"/>
          <w:szCs w:val="22"/>
        </w:rPr>
        <w:t>b</w:t>
      </w:r>
      <w:r>
        <w:rPr>
          <w:color w:val="000000"/>
          <w:sz w:val="22"/>
          <w:szCs w:val="22"/>
        </w:rPr>
        <w:t xml:space="preserve"> and </w:t>
      </w:r>
      <w:r>
        <w:rPr>
          <w:sz w:val="22"/>
          <w:szCs w:val="22"/>
        </w:rPr>
        <w:t>c</w:t>
      </w:r>
      <w:r>
        <w:rPr>
          <w:color w:val="000000"/>
          <w:sz w:val="22"/>
          <w:szCs w:val="22"/>
        </w:rPr>
        <w:t xml:space="preserve">, we </w:t>
      </w:r>
      <w:r>
        <w:rPr>
          <w:sz w:val="22"/>
          <w:szCs w:val="22"/>
        </w:rPr>
        <w:t>assess</w:t>
      </w:r>
      <w:r>
        <w:rPr>
          <w:color w:val="000000"/>
          <w:sz w:val="22"/>
          <w:szCs w:val="22"/>
        </w:rPr>
        <w:t xml:space="preserve"> the coherence of temporal trends for</w:t>
      </w:r>
      <w:r>
        <w:rPr>
          <w:sz w:val="22"/>
          <w:szCs w:val="22"/>
        </w:rPr>
        <w:t xml:space="preserve"> </w:t>
      </w:r>
      <w:r>
        <w:rPr>
          <w:color w:val="000000"/>
          <w:sz w:val="22"/>
          <w:szCs w:val="22"/>
        </w:rPr>
        <w:t>our significant words between the two corpora (</w:t>
      </w:r>
      <w:r>
        <w:rPr>
          <w:sz w:val="22"/>
          <w:szCs w:val="22"/>
        </w:rPr>
        <w:t>b</w:t>
      </w:r>
      <w:r>
        <w:rPr>
          <w:color w:val="000000"/>
          <w:sz w:val="22"/>
          <w:szCs w:val="22"/>
        </w:rPr>
        <w:t>) and separately for male and female authors (</w:t>
      </w:r>
      <w:r>
        <w:rPr>
          <w:sz w:val="22"/>
          <w:szCs w:val="22"/>
        </w:rPr>
        <w:t>c</w:t>
      </w:r>
      <w:r>
        <w:rPr>
          <w:color w:val="000000"/>
          <w:sz w:val="22"/>
          <w:szCs w:val="22"/>
        </w:rPr>
        <w:t xml:space="preserve">). </w:t>
      </w:r>
      <w:r>
        <w:rPr>
          <w:sz w:val="22"/>
          <w:szCs w:val="22"/>
        </w:rPr>
        <w:t>Also</w:t>
      </w:r>
      <w:r>
        <w:rPr>
          <w:color w:val="000000"/>
          <w:sz w:val="22"/>
          <w:szCs w:val="22"/>
        </w:rPr>
        <w:t>, we explore the similarity of linear trends between Google and our corpus across all 25,040 words (d</w:t>
      </w:r>
      <w:r>
        <w:rPr>
          <w:sz w:val="22"/>
          <w:szCs w:val="22"/>
        </w:rPr>
        <w:t>)</w:t>
      </w:r>
      <w:r>
        <w:rPr>
          <w:color w:val="000000"/>
          <w:sz w:val="22"/>
          <w:szCs w:val="22"/>
        </w:rPr>
        <w:t xml:space="preserve">. In panel </w:t>
      </w:r>
      <w:r>
        <w:rPr>
          <w:sz w:val="22"/>
          <w:szCs w:val="22"/>
        </w:rPr>
        <w:t>e</w:t>
      </w:r>
      <w:r>
        <w:rPr>
          <w:color w:val="000000"/>
          <w:sz w:val="22"/>
          <w:szCs w:val="22"/>
        </w:rPr>
        <w:t xml:space="preserve">, after sorting words according to the statistical magnitude of </w:t>
      </w:r>
      <w:r>
        <w:rPr>
          <w:sz w:val="22"/>
          <w:szCs w:val="22"/>
        </w:rPr>
        <w:t>the sex effect</w:t>
      </w:r>
      <w:r>
        <w:rPr>
          <w:color w:val="000000"/>
          <w:sz w:val="22"/>
          <w:szCs w:val="22"/>
        </w:rPr>
        <w:t xml:space="preserve"> (i.e., t-score), we measure the absolute value of the difference between the estimation of the trend in Google and the one from male and female authors separately. Shaded areas represent 95% confidence intervals of the estimation across authors. Results show that at least 20% of terms exhibit trends in Google English Fiction 2020 more similar to male as compared to female authors.</w:t>
      </w:r>
    </w:p>
    <w:p w14:paraId="4624E399" w14:textId="77777777" w:rsidR="00A95AE8" w:rsidRDefault="00000000">
      <w:pPr>
        <w:jc w:val="both"/>
        <w:rPr>
          <w:b/>
        </w:rPr>
      </w:pPr>
      <w:r>
        <w:br w:type="page"/>
      </w:r>
    </w:p>
    <w:p w14:paraId="103C5042" w14:textId="77777777" w:rsidR="00A95AE8" w:rsidRDefault="00000000">
      <w:pPr>
        <w:spacing w:after="60"/>
        <w:jc w:val="both"/>
      </w:pPr>
      <w:r>
        <w:rPr>
          <w:b/>
          <w:noProof/>
          <w:color w:val="000000"/>
          <w:sz w:val="26"/>
          <w:szCs w:val="26"/>
        </w:rPr>
        <w:lastRenderedPageBreak/>
        <w:drawing>
          <wp:inline distT="0" distB="0" distL="0" distR="0" wp14:anchorId="75E61604" wp14:editId="16E79E2D">
            <wp:extent cx="5943600" cy="5704840"/>
            <wp:effectExtent l="0" t="0" r="0" b="0"/>
            <wp:docPr id="17" name="image3.png" descr="Map, scatt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Map, scatter chart&#10;&#10;Description automatically generated"/>
                    <pic:cNvPicPr preferRelativeResize="0"/>
                  </pic:nvPicPr>
                  <pic:blipFill>
                    <a:blip r:embed="rId13"/>
                    <a:srcRect/>
                    <a:stretch>
                      <a:fillRect/>
                    </a:stretch>
                  </pic:blipFill>
                  <pic:spPr>
                    <a:xfrm>
                      <a:off x="0" y="0"/>
                      <a:ext cx="5943600" cy="5704840"/>
                    </a:xfrm>
                    <a:prstGeom prst="rect">
                      <a:avLst/>
                    </a:prstGeom>
                    <a:ln/>
                  </pic:spPr>
                </pic:pic>
              </a:graphicData>
            </a:graphic>
          </wp:inline>
        </w:drawing>
      </w:r>
    </w:p>
    <w:p w14:paraId="74DFA820" w14:textId="77777777" w:rsidR="00A95AE8" w:rsidRDefault="00A95AE8">
      <w:pPr>
        <w:jc w:val="both"/>
        <w:rPr>
          <w:b/>
          <w:sz w:val="16"/>
          <w:szCs w:val="16"/>
        </w:rPr>
      </w:pPr>
    </w:p>
    <w:p w14:paraId="4341BDA6" w14:textId="77777777" w:rsidR="00A95AE8" w:rsidRDefault="00000000">
      <w:pPr>
        <w:jc w:val="both"/>
        <w:rPr>
          <w:sz w:val="22"/>
          <w:szCs w:val="22"/>
        </w:rPr>
      </w:pPr>
      <w:r>
        <w:rPr>
          <w:b/>
          <w:color w:val="000000"/>
          <w:sz w:val="22"/>
          <w:szCs w:val="22"/>
        </w:rPr>
        <w:t>Fig. S3.</w:t>
      </w:r>
      <w:r>
        <w:rPr>
          <w:color w:val="000000"/>
          <w:sz w:val="22"/>
          <w:szCs w:val="22"/>
        </w:rPr>
        <w:t xml:space="preserve"> The figure reports the words which retained significant </w:t>
      </w:r>
      <w:r>
        <w:rPr>
          <w:i/>
          <w:color w:val="000000"/>
          <w:sz w:val="22"/>
          <w:szCs w:val="22"/>
        </w:rPr>
        <w:t>sex</w:t>
      </w:r>
      <w:r>
        <w:rPr>
          <w:color w:val="000000"/>
          <w:sz w:val="22"/>
          <w:szCs w:val="22"/>
        </w:rPr>
        <w:t xml:space="preserve"> by </w:t>
      </w:r>
      <w:r>
        <w:rPr>
          <w:i/>
          <w:color w:val="000000"/>
          <w:sz w:val="22"/>
          <w:szCs w:val="22"/>
        </w:rPr>
        <w:t>historical period</w:t>
      </w:r>
      <w:r>
        <w:rPr>
          <w:color w:val="000000"/>
          <w:sz w:val="22"/>
          <w:szCs w:val="22"/>
        </w:rPr>
        <w:t xml:space="preserve"> effect in a 2D map obtained through t-SNE applied to word2vec word embeddings. Terms were grouped according to the membership to one out of eleven semantic domains defined using Wordnet. Each dot represents a word.</w:t>
      </w:r>
    </w:p>
    <w:p w14:paraId="4C15640B" w14:textId="77777777" w:rsidR="00A95AE8" w:rsidRDefault="00000000">
      <w:pPr>
        <w:jc w:val="both"/>
        <w:rPr>
          <w:b/>
        </w:rPr>
      </w:pPr>
      <w:r>
        <w:br w:type="page"/>
      </w:r>
    </w:p>
    <w:p w14:paraId="6BABD28F" w14:textId="77777777" w:rsidR="00A95AE8" w:rsidRDefault="00000000">
      <w:pPr>
        <w:jc w:val="both"/>
      </w:pPr>
      <w:r>
        <w:rPr>
          <w:rFonts w:ascii="Arial" w:eastAsia="Arial" w:hAnsi="Arial" w:cs="Arial"/>
          <w:noProof/>
          <w:color w:val="000000"/>
          <w:sz w:val="22"/>
          <w:szCs w:val="22"/>
        </w:rPr>
        <w:lastRenderedPageBreak/>
        <w:drawing>
          <wp:inline distT="0" distB="0" distL="0" distR="0" wp14:anchorId="4EABEE73" wp14:editId="34E7A445">
            <wp:extent cx="5943600" cy="2171065"/>
            <wp:effectExtent l="0" t="0" r="0" b="0"/>
            <wp:docPr id="19" name="image2.png" descr="Chart, scatt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Chart, scatter chart&#10;&#10;Description automatically generated"/>
                    <pic:cNvPicPr preferRelativeResize="0"/>
                  </pic:nvPicPr>
                  <pic:blipFill>
                    <a:blip r:embed="rId14"/>
                    <a:srcRect/>
                    <a:stretch>
                      <a:fillRect/>
                    </a:stretch>
                  </pic:blipFill>
                  <pic:spPr>
                    <a:xfrm>
                      <a:off x="0" y="0"/>
                      <a:ext cx="5943600" cy="2171065"/>
                    </a:xfrm>
                    <a:prstGeom prst="rect">
                      <a:avLst/>
                    </a:prstGeom>
                    <a:ln/>
                  </pic:spPr>
                </pic:pic>
              </a:graphicData>
            </a:graphic>
          </wp:inline>
        </w:drawing>
      </w:r>
    </w:p>
    <w:p w14:paraId="39B9AC9D" w14:textId="77777777" w:rsidR="00A95AE8" w:rsidRDefault="00A95AE8">
      <w:pPr>
        <w:jc w:val="both"/>
        <w:rPr>
          <w:b/>
          <w:sz w:val="16"/>
          <w:szCs w:val="16"/>
        </w:rPr>
      </w:pPr>
    </w:p>
    <w:p w14:paraId="231FD5D5" w14:textId="77777777" w:rsidR="00A95AE8" w:rsidRDefault="00000000">
      <w:pPr>
        <w:jc w:val="both"/>
        <w:rPr>
          <w:sz w:val="22"/>
          <w:szCs w:val="22"/>
        </w:rPr>
      </w:pPr>
      <w:r>
        <w:rPr>
          <w:b/>
          <w:color w:val="000000"/>
          <w:sz w:val="22"/>
          <w:szCs w:val="22"/>
        </w:rPr>
        <w:t>Fig. S4.</w:t>
      </w:r>
      <w:r>
        <w:rPr>
          <w:color w:val="000000"/>
          <w:sz w:val="22"/>
          <w:szCs w:val="22"/>
        </w:rPr>
        <w:t xml:space="preserve"> Panel </w:t>
      </w:r>
      <w:r>
        <w:rPr>
          <w:sz w:val="22"/>
          <w:szCs w:val="22"/>
        </w:rPr>
        <w:t>a</w:t>
      </w:r>
      <w:r>
        <w:rPr>
          <w:color w:val="000000"/>
          <w:sz w:val="22"/>
          <w:szCs w:val="22"/>
        </w:rPr>
        <w:t xml:space="preserve"> represents the score of Happiness using ratings of Dodds and colleagues</w:t>
      </w:r>
      <w:r>
        <w:rPr>
          <w:sz w:val="22"/>
          <w:szCs w:val="22"/>
        </w:rPr>
        <w:t xml:space="preserve"> </w:t>
      </w:r>
      <w:r>
        <w:rPr>
          <w:color w:val="000000"/>
          <w:sz w:val="22"/>
          <w:szCs w:val="22"/>
          <w:vertAlign w:val="superscript"/>
        </w:rPr>
        <w:t xml:space="preserve"> </w:t>
      </w:r>
      <w:r>
        <w:rPr>
          <w:color w:val="000000"/>
          <w:sz w:val="22"/>
          <w:szCs w:val="22"/>
        </w:rPr>
        <w:t xml:space="preserve">evaluated across authors and historical periods. Since Dodd’s dataset did not </w:t>
      </w:r>
      <w:r>
        <w:rPr>
          <w:sz w:val="22"/>
          <w:szCs w:val="22"/>
        </w:rPr>
        <w:t>include raters’</w:t>
      </w:r>
      <w:r>
        <w:rPr>
          <w:color w:val="000000"/>
          <w:sz w:val="22"/>
          <w:szCs w:val="22"/>
        </w:rPr>
        <w:t xml:space="preserve"> sex, the happiness scores were measured in male and female writers using the same </w:t>
      </w:r>
      <w:r>
        <w:rPr>
          <w:sz w:val="22"/>
          <w:szCs w:val="22"/>
        </w:rPr>
        <w:t>values</w:t>
      </w:r>
      <w:r>
        <w:rPr>
          <w:color w:val="000000"/>
          <w:sz w:val="22"/>
          <w:szCs w:val="22"/>
        </w:rPr>
        <w:t xml:space="preserve">. The trend in time and across sexes mimicked the one reported in Figure </w:t>
      </w:r>
      <w:r>
        <w:rPr>
          <w:sz w:val="22"/>
          <w:szCs w:val="22"/>
        </w:rPr>
        <w:t>3e</w:t>
      </w:r>
      <w:r>
        <w:rPr>
          <w:color w:val="000000"/>
          <w:sz w:val="22"/>
          <w:szCs w:val="22"/>
        </w:rPr>
        <w:t xml:space="preserve">. Shaded areas represent 95% confidence intervals of the estimation across authors. In Panel </w:t>
      </w:r>
      <w:r>
        <w:rPr>
          <w:sz w:val="22"/>
          <w:szCs w:val="22"/>
        </w:rPr>
        <w:t>b</w:t>
      </w:r>
      <w:r>
        <w:rPr>
          <w:color w:val="000000"/>
          <w:sz w:val="22"/>
          <w:szCs w:val="22"/>
        </w:rPr>
        <w:t>, we test the relationship between the Happiness score and the HDI between countries. HDI was p</w:t>
      </w:r>
      <w:r>
        <w:rPr>
          <w:sz w:val="22"/>
          <w:szCs w:val="22"/>
        </w:rPr>
        <w:t xml:space="preserve">ositively </w:t>
      </w:r>
      <w:r>
        <w:rPr>
          <w:color w:val="000000"/>
          <w:sz w:val="22"/>
          <w:szCs w:val="22"/>
        </w:rPr>
        <w:t>associated with Happiness (</w:t>
      </w:r>
      <w:r>
        <w:rPr>
          <w:sz w:val="22"/>
          <w:szCs w:val="22"/>
        </w:rPr>
        <w:t xml:space="preserve">ρ = 0.494, </w:t>
      </w:r>
      <w:r>
        <w:rPr>
          <w:color w:val="000000"/>
          <w:sz w:val="22"/>
          <w:szCs w:val="22"/>
        </w:rPr>
        <w:t xml:space="preserve">p = 0.0207, CI95: 0.096 0.771). In Panel </w:t>
      </w:r>
      <w:r>
        <w:rPr>
          <w:sz w:val="22"/>
          <w:szCs w:val="22"/>
        </w:rPr>
        <w:t>c</w:t>
      </w:r>
      <w:r>
        <w:rPr>
          <w:color w:val="000000"/>
          <w:sz w:val="22"/>
          <w:szCs w:val="22"/>
        </w:rPr>
        <w:t>, we report the similarity between the author’s affective scorings measured in Dodds and Warriner datasets (ρ = 0.796, p &lt; 0.0001, CI95: 0.773 0.816).</w:t>
      </w:r>
    </w:p>
    <w:p w14:paraId="175B1B35" w14:textId="77777777" w:rsidR="00A95AE8" w:rsidRDefault="00A95AE8">
      <w:pPr>
        <w:spacing w:after="60"/>
        <w:jc w:val="both"/>
        <w:rPr>
          <w:sz w:val="22"/>
          <w:szCs w:val="22"/>
        </w:rPr>
      </w:pPr>
    </w:p>
    <w:p w14:paraId="1D2F7707" w14:textId="77777777" w:rsidR="00A95AE8" w:rsidRDefault="00000000">
      <w:pPr>
        <w:jc w:val="both"/>
        <w:rPr>
          <w:b/>
        </w:rPr>
      </w:pPr>
      <w:r>
        <w:br w:type="page"/>
      </w:r>
    </w:p>
    <w:p w14:paraId="40F618EA" w14:textId="77777777" w:rsidR="00A95AE8" w:rsidRDefault="00000000">
      <w:pPr>
        <w:spacing w:after="60"/>
        <w:ind w:hanging="360"/>
        <w:jc w:val="both"/>
      </w:pPr>
      <w:r>
        <w:rPr>
          <w:b/>
          <w:noProof/>
          <w:color w:val="000000"/>
          <w:sz w:val="26"/>
          <w:szCs w:val="26"/>
        </w:rPr>
        <w:lastRenderedPageBreak/>
        <w:drawing>
          <wp:inline distT="0" distB="0" distL="0" distR="0" wp14:anchorId="3595B386" wp14:editId="4B14E7F5">
            <wp:extent cx="5943600" cy="4272280"/>
            <wp:effectExtent l="0" t="0" r="0" b="0"/>
            <wp:docPr id="21" name="image6.png" descr="Diagram, arrow&#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png" descr="Diagram, arrow&#10;&#10;Description automatically generated"/>
                    <pic:cNvPicPr preferRelativeResize="0"/>
                  </pic:nvPicPr>
                  <pic:blipFill>
                    <a:blip r:embed="rId15"/>
                    <a:srcRect/>
                    <a:stretch>
                      <a:fillRect/>
                    </a:stretch>
                  </pic:blipFill>
                  <pic:spPr>
                    <a:xfrm>
                      <a:off x="0" y="0"/>
                      <a:ext cx="5943600" cy="4272280"/>
                    </a:xfrm>
                    <a:prstGeom prst="rect">
                      <a:avLst/>
                    </a:prstGeom>
                    <a:ln/>
                  </pic:spPr>
                </pic:pic>
              </a:graphicData>
            </a:graphic>
          </wp:inline>
        </w:drawing>
      </w:r>
    </w:p>
    <w:p w14:paraId="3C26ACE3" w14:textId="77777777" w:rsidR="00A95AE8" w:rsidRDefault="00A95AE8">
      <w:pPr>
        <w:spacing w:after="60"/>
        <w:jc w:val="both"/>
        <w:rPr>
          <w:b/>
          <w:sz w:val="16"/>
          <w:szCs w:val="16"/>
        </w:rPr>
      </w:pPr>
    </w:p>
    <w:p w14:paraId="32C35F2D" w14:textId="77777777" w:rsidR="00A95AE8" w:rsidRDefault="00000000">
      <w:pPr>
        <w:spacing w:after="60"/>
        <w:jc w:val="both"/>
        <w:rPr>
          <w:sz w:val="22"/>
          <w:szCs w:val="22"/>
        </w:rPr>
      </w:pPr>
      <w:r>
        <w:rPr>
          <w:b/>
          <w:color w:val="000000"/>
          <w:sz w:val="22"/>
          <w:szCs w:val="22"/>
        </w:rPr>
        <w:t>Fig. S</w:t>
      </w:r>
      <w:r>
        <w:rPr>
          <w:b/>
          <w:sz w:val="22"/>
          <w:szCs w:val="22"/>
        </w:rPr>
        <w:t>5</w:t>
      </w:r>
      <w:r>
        <w:rPr>
          <w:b/>
          <w:color w:val="000000"/>
          <w:sz w:val="22"/>
          <w:szCs w:val="22"/>
        </w:rPr>
        <w:t>.</w:t>
      </w:r>
      <w:r>
        <w:rPr>
          <w:color w:val="000000"/>
          <w:sz w:val="22"/>
          <w:szCs w:val="22"/>
        </w:rPr>
        <w:t xml:space="preserve"> For affective words in Warriner (2013) and Dodds (2015) datasets, we measured the stability of frequency in time and across sexes. A stable coverage of these dictionaries limits the possibility that estimates of the affective components of words, including the sentiment analysis of authors’ writings, are biased.</w:t>
      </w:r>
      <w:r>
        <w:rPr>
          <w:sz w:val="22"/>
          <w:szCs w:val="22"/>
        </w:rPr>
        <w:t xml:space="preserve"> </w:t>
      </w:r>
      <w:r>
        <w:rPr>
          <w:color w:val="000000"/>
          <w:sz w:val="22"/>
          <w:szCs w:val="22"/>
        </w:rPr>
        <w:t xml:space="preserve">The figure depicts the percentage of words that were present in Warriner’s and Dodds’ datasets through time and across sex. In Panels </w:t>
      </w:r>
      <w:r>
        <w:rPr>
          <w:sz w:val="22"/>
          <w:szCs w:val="22"/>
        </w:rPr>
        <w:t>a</w:t>
      </w:r>
      <w:r>
        <w:rPr>
          <w:color w:val="000000"/>
          <w:sz w:val="22"/>
          <w:szCs w:val="22"/>
        </w:rPr>
        <w:t xml:space="preserve"> and </w:t>
      </w:r>
      <w:r>
        <w:rPr>
          <w:sz w:val="22"/>
          <w:szCs w:val="22"/>
        </w:rPr>
        <w:t>b</w:t>
      </w:r>
      <w:r>
        <w:rPr>
          <w:color w:val="000000"/>
          <w:sz w:val="22"/>
          <w:szCs w:val="22"/>
        </w:rPr>
        <w:t xml:space="preserve">, we measure the percentage of words used by our writers included in the two dictionaries. Both datasets exhibit a negligible negative trend in time with a decrease of ~2% in modern times. The Dodds dictionary was conceived to maximize language coverage, reaching ~84%. In Panels </w:t>
      </w:r>
      <w:r>
        <w:rPr>
          <w:sz w:val="22"/>
          <w:szCs w:val="22"/>
        </w:rPr>
        <w:t>c</w:t>
      </w:r>
      <w:r>
        <w:rPr>
          <w:color w:val="000000"/>
          <w:sz w:val="22"/>
          <w:szCs w:val="22"/>
        </w:rPr>
        <w:t xml:space="preserve"> and </w:t>
      </w:r>
      <w:r>
        <w:rPr>
          <w:sz w:val="22"/>
          <w:szCs w:val="22"/>
        </w:rPr>
        <w:t>d</w:t>
      </w:r>
      <w:r>
        <w:rPr>
          <w:color w:val="000000"/>
          <w:sz w:val="22"/>
          <w:szCs w:val="22"/>
        </w:rPr>
        <w:t>, we also report the percentage of words in the dictionary which were retrieved in the writings. Shaded areas represent 95% confidence intervals of the estimation across authors.</w:t>
      </w:r>
    </w:p>
    <w:p w14:paraId="0C270B9B" w14:textId="77777777" w:rsidR="00A95AE8" w:rsidRDefault="00A95AE8">
      <w:pPr>
        <w:spacing w:line="288" w:lineRule="auto"/>
        <w:jc w:val="both"/>
        <w:rPr>
          <w:u w:val="single"/>
        </w:rPr>
      </w:pPr>
    </w:p>
    <w:p w14:paraId="50F4ED02" w14:textId="77777777" w:rsidR="00A95AE8" w:rsidRDefault="00000000">
      <w:pPr>
        <w:jc w:val="both"/>
        <w:rPr>
          <w:b/>
        </w:rPr>
      </w:pPr>
      <w:r>
        <w:br w:type="page"/>
      </w:r>
    </w:p>
    <w:p w14:paraId="5F354C4D" w14:textId="77777777" w:rsidR="00A95AE8" w:rsidRDefault="00000000">
      <w:pPr>
        <w:pBdr>
          <w:top w:val="nil"/>
          <w:left w:val="nil"/>
          <w:bottom w:val="nil"/>
          <w:right w:val="nil"/>
          <w:between w:val="nil"/>
        </w:pBdr>
        <w:spacing w:after="60"/>
        <w:jc w:val="both"/>
        <w:rPr>
          <w:color w:val="000000"/>
        </w:rPr>
      </w:pPr>
      <w:r>
        <w:rPr>
          <w:noProof/>
          <w:color w:val="000000"/>
        </w:rPr>
        <w:lastRenderedPageBreak/>
        <w:drawing>
          <wp:inline distT="0" distB="0" distL="0" distR="0" wp14:anchorId="7C137865" wp14:editId="11FEA518">
            <wp:extent cx="5943600" cy="1788795"/>
            <wp:effectExtent l="0" t="0" r="0" b="0"/>
            <wp:docPr id="20" name="image5.png" descr="Chart, dia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png" descr="Chart, diagram&#10;&#10;Description automatically generated"/>
                    <pic:cNvPicPr preferRelativeResize="0"/>
                  </pic:nvPicPr>
                  <pic:blipFill>
                    <a:blip r:embed="rId16"/>
                    <a:srcRect/>
                    <a:stretch>
                      <a:fillRect/>
                    </a:stretch>
                  </pic:blipFill>
                  <pic:spPr>
                    <a:xfrm>
                      <a:off x="0" y="0"/>
                      <a:ext cx="5943600" cy="1788795"/>
                    </a:xfrm>
                    <a:prstGeom prst="rect">
                      <a:avLst/>
                    </a:prstGeom>
                    <a:ln/>
                  </pic:spPr>
                </pic:pic>
              </a:graphicData>
            </a:graphic>
          </wp:inline>
        </w:drawing>
      </w:r>
    </w:p>
    <w:p w14:paraId="1ABD195D" w14:textId="77777777" w:rsidR="00A95AE8" w:rsidRDefault="00A95AE8">
      <w:pPr>
        <w:pBdr>
          <w:top w:val="nil"/>
          <w:left w:val="nil"/>
          <w:bottom w:val="nil"/>
          <w:right w:val="nil"/>
          <w:between w:val="nil"/>
        </w:pBdr>
        <w:spacing w:after="60"/>
        <w:jc w:val="both"/>
        <w:rPr>
          <w:b/>
          <w:sz w:val="16"/>
          <w:szCs w:val="16"/>
        </w:rPr>
      </w:pPr>
    </w:p>
    <w:p w14:paraId="6382D422" w14:textId="77777777" w:rsidR="00A95AE8" w:rsidRDefault="00000000">
      <w:pPr>
        <w:pBdr>
          <w:top w:val="nil"/>
          <w:left w:val="nil"/>
          <w:bottom w:val="nil"/>
          <w:right w:val="nil"/>
          <w:between w:val="nil"/>
        </w:pBdr>
        <w:spacing w:after="60"/>
        <w:jc w:val="both"/>
        <w:rPr>
          <w:color w:val="000000"/>
          <w:sz w:val="22"/>
          <w:szCs w:val="22"/>
        </w:rPr>
      </w:pPr>
      <w:r>
        <w:rPr>
          <w:b/>
          <w:color w:val="000000"/>
          <w:sz w:val="22"/>
          <w:szCs w:val="22"/>
        </w:rPr>
        <w:t>Fig. S</w:t>
      </w:r>
      <w:r>
        <w:rPr>
          <w:b/>
          <w:sz w:val="22"/>
          <w:szCs w:val="22"/>
        </w:rPr>
        <w:t>6</w:t>
      </w:r>
      <w:r>
        <w:rPr>
          <w:b/>
          <w:color w:val="000000"/>
          <w:sz w:val="22"/>
          <w:szCs w:val="22"/>
        </w:rPr>
        <w:t>.</w:t>
      </w:r>
      <w:r>
        <w:rPr>
          <w:color w:val="000000"/>
          <w:sz w:val="22"/>
          <w:szCs w:val="22"/>
        </w:rPr>
        <w:t xml:space="preserve"> Panel </w:t>
      </w:r>
      <w:r>
        <w:rPr>
          <w:sz w:val="22"/>
          <w:szCs w:val="22"/>
        </w:rPr>
        <w:t>a</w:t>
      </w:r>
      <w:r>
        <w:rPr>
          <w:color w:val="000000"/>
          <w:sz w:val="22"/>
          <w:szCs w:val="22"/>
        </w:rPr>
        <w:t xml:space="preserve"> shows an exemplar world map of Cohen’s d of the sex effect of the word </w:t>
      </w:r>
      <w:r>
        <w:rPr>
          <w:i/>
          <w:color w:val="000000"/>
          <w:sz w:val="22"/>
          <w:szCs w:val="22"/>
        </w:rPr>
        <w:t>house</w:t>
      </w:r>
      <w:r>
        <w:rPr>
          <w:color w:val="000000"/>
          <w:sz w:val="22"/>
          <w:szCs w:val="22"/>
        </w:rPr>
        <w:t xml:space="preserve">. Panel </w:t>
      </w:r>
      <w:r>
        <w:rPr>
          <w:sz w:val="22"/>
          <w:szCs w:val="22"/>
        </w:rPr>
        <w:t>b</w:t>
      </w:r>
      <w:r>
        <w:rPr>
          <w:color w:val="000000"/>
          <w:sz w:val="22"/>
          <w:szCs w:val="22"/>
        </w:rPr>
        <w:t xml:space="preserve"> represents the trend in time of the raw frequency for </w:t>
      </w:r>
      <w:r>
        <w:rPr>
          <w:i/>
          <w:color w:val="000000"/>
          <w:sz w:val="22"/>
          <w:szCs w:val="22"/>
        </w:rPr>
        <w:t>house</w:t>
      </w:r>
      <w:r>
        <w:rPr>
          <w:color w:val="000000"/>
          <w:sz w:val="22"/>
          <w:szCs w:val="22"/>
        </w:rPr>
        <w:t xml:space="preserve">, similarly to Google Ngram Viewer, but reporting the use frequency in male and female authors separately, as well as the 95% confidence intervals (i.e., shaded areas) of the estimation across authors. Panel </w:t>
      </w:r>
      <w:r>
        <w:rPr>
          <w:sz w:val="22"/>
          <w:szCs w:val="22"/>
        </w:rPr>
        <w:t>c</w:t>
      </w:r>
      <w:r>
        <w:rPr>
          <w:color w:val="000000"/>
          <w:sz w:val="22"/>
          <w:szCs w:val="22"/>
        </w:rPr>
        <w:t xml:space="preserve"> reports the semantic neighbors of the word </w:t>
      </w:r>
      <w:r>
        <w:rPr>
          <w:i/>
          <w:color w:val="000000"/>
          <w:sz w:val="22"/>
          <w:szCs w:val="22"/>
        </w:rPr>
        <w:t>house</w:t>
      </w:r>
      <w:r>
        <w:rPr>
          <w:color w:val="000000"/>
          <w:sz w:val="22"/>
          <w:szCs w:val="22"/>
        </w:rPr>
        <w:t xml:space="preserve">, as well as their rearrangements due to the effect of sex through a Sankey plot. The left column shows the neighbors of </w:t>
      </w:r>
      <w:r>
        <w:rPr>
          <w:i/>
          <w:color w:val="000000"/>
          <w:sz w:val="22"/>
          <w:szCs w:val="22"/>
        </w:rPr>
        <w:t>house</w:t>
      </w:r>
      <w:r>
        <w:rPr>
          <w:color w:val="000000"/>
          <w:sz w:val="22"/>
          <w:szCs w:val="22"/>
        </w:rPr>
        <w:t xml:space="preserve"> for male authors, arranged from the most to the </w:t>
      </w:r>
      <w:r>
        <w:rPr>
          <w:sz w:val="22"/>
          <w:szCs w:val="22"/>
        </w:rPr>
        <w:t>least related</w:t>
      </w:r>
      <w:r>
        <w:rPr>
          <w:color w:val="000000"/>
          <w:sz w:val="22"/>
          <w:szCs w:val="22"/>
        </w:rPr>
        <w:t xml:space="preserve">. The right column depicts the same procedure for females. Ribbons connect words that sustain a relatively high local shift between the two sexes. The information on these three panels is available for each significant word at </w:t>
      </w:r>
      <w:hyperlink r:id="rId17">
        <w:r>
          <w:rPr>
            <w:color w:val="1155CC"/>
            <w:sz w:val="22"/>
            <w:szCs w:val="22"/>
            <w:u w:val="single"/>
          </w:rPr>
          <w:t>https://www.sane-elab.eu/litemo/welcome.php</w:t>
        </w:r>
      </w:hyperlink>
      <w:r>
        <w:rPr>
          <w:color w:val="000000"/>
          <w:sz w:val="22"/>
          <w:szCs w:val="22"/>
        </w:rPr>
        <w:t>.</w:t>
      </w:r>
    </w:p>
    <w:p w14:paraId="2D1103E7" w14:textId="77777777" w:rsidR="00A95AE8" w:rsidRDefault="00000000">
      <w:pPr>
        <w:pBdr>
          <w:top w:val="nil"/>
          <w:left w:val="nil"/>
          <w:bottom w:val="nil"/>
          <w:right w:val="nil"/>
          <w:between w:val="nil"/>
        </w:pBdr>
        <w:spacing w:after="60"/>
        <w:jc w:val="both"/>
        <w:rPr>
          <w:sz w:val="22"/>
          <w:szCs w:val="22"/>
        </w:rPr>
      </w:pPr>
      <w:r>
        <w:br w:type="page"/>
      </w:r>
    </w:p>
    <w:p w14:paraId="00CF8FCF" w14:textId="77777777" w:rsidR="00A95AE8" w:rsidRDefault="00000000">
      <w:pPr>
        <w:spacing w:after="60"/>
        <w:ind w:hanging="360"/>
        <w:jc w:val="center"/>
        <w:rPr>
          <w:sz w:val="22"/>
          <w:szCs w:val="22"/>
        </w:rPr>
      </w:pPr>
      <w:r>
        <w:rPr>
          <w:b/>
          <w:noProof/>
          <w:sz w:val="26"/>
          <w:szCs w:val="26"/>
        </w:rPr>
        <w:lastRenderedPageBreak/>
        <w:drawing>
          <wp:inline distT="114300" distB="114300" distL="114300" distR="114300" wp14:anchorId="71103A7F" wp14:editId="16A0FD7F">
            <wp:extent cx="4300375" cy="3399458"/>
            <wp:effectExtent l="0" t="0" r="0" b="0"/>
            <wp:docPr id="1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8"/>
                    <a:srcRect/>
                    <a:stretch>
                      <a:fillRect/>
                    </a:stretch>
                  </pic:blipFill>
                  <pic:spPr>
                    <a:xfrm>
                      <a:off x="0" y="0"/>
                      <a:ext cx="4300375" cy="3399458"/>
                    </a:xfrm>
                    <a:prstGeom prst="rect">
                      <a:avLst/>
                    </a:prstGeom>
                    <a:ln/>
                  </pic:spPr>
                </pic:pic>
              </a:graphicData>
            </a:graphic>
          </wp:inline>
        </w:drawing>
      </w:r>
    </w:p>
    <w:p w14:paraId="35CCB857" w14:textId="77777777" w:rsidR="00A95AE8" w:rsidRDefault="00A95AE8">
      <w:pPr>
        <w:spacing w:after="60"/>
        <w:jc w:val="both"/>
        <w:rPr>
          <w:color w:val="000000"/>
          <w:sz w:val="22"/>
          <w:szCs w:val="22"/>
        </w:rPr>
      </w:pPr>
    </w:p>
    <w:p w14:paraId="09C8A7AB" w14:textId="77777777" w:rsidR="00A95AE8" w:rsidRDefault="00000000">
      <w:pPr>
        <w:jc w:val="both"/>
        <w:rPr>
          <w:color w:val="000000"/>
        </w:rPr>
      </w:pPr>
      <w:r>
        <w:rPr>
          <w:b/>
          <w:sz w:val="22"/>
          <w:szCs w:val="22"/>
        </w:rPr>
        <w:t>Fig. S7.</w:t>
      </w:r>
      <w:r>
        <w:rPr>
          <w:sz w:val="22"/>
          <w:szCs w:val="22"/>
        </w:rPr>
        <w:t xml:space="preserve"> Maps of sex differences between male and female writers in valence (a) and arousal (b). Panels c and d show the across countries association between the human development index and valence or arousal, respectively. Affective dimensions obtained from the authors’ writings were averaged and correlated with the HDI measure for each country. Results demonstrate a positive correlation with valence (i.e., higher HDI countries have writers using more positive words) and a negative one with arousal (i.e., higher HDI countries have writers using words with lower arousal).</w:t>
      </w:r>
      <w:r>
        <w:br w:type="page"/>
      </w:r>
    </w:p>
    <w:p w14:paraId="71D503B0" w14:textId="77777777" w:rsidR="00A95AE8" w:rsidRDefault="00000000">
      <w:pPr>
        <w:jc w:val="center"/>
      </w:pPr>
      <w:r>
        <w:rPr>
          <w:noProof/>
        </w:rPr>
        <w:lastRenderedPageBreak/>
        <w:drawing>
          <wp:inline distT="114300" distB="114300" distL="114300" distR="114300" wp14:anchorId="39299F12" wp14:editId="0CC83648">
            <wp:extent cx="5240530" cy="4224338"/>
            <wp:effectExtent l="0" t="0" r="0" b="0"/>
            <wp:docPr id="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9"/>
                    <a:srcRect/>
                    <a:stretch>
                      <a:fillRect/>
                    </a:stretch>
                  </pic:blipFill>
                  <pic:spPr>
                    <a:xfrm>
                      <a:off x="0" y="0"/>
                      <a:ext cx="5240530" cy="4224338"/>
                    </a:xfrm>
                    <a:prstGeom prst="rect">
                      <a:avLst/>
                    </a:prstGeom>
                    <a:ln/>
                  </pic:spPr>
                </pic:pic>
              </a:graphicData>
            </a:graphic>
          </wp:inline>
        </w:drawing>
      </w:r>
    </w:p>
    <w:p w14:paraId="13FB7C76" w14:textId="77777777" w:rsidR="00A95AE8" w:rsidRDefault="00000000">
      <w:pPr>
        <w:jc w:val="both"/>
      </w:pPr>
      <w:r>
        <w:rPr>
          <w:b/>
          <w:sz w:val="22"/>
          <w:szCs w:val="22"/>
        </w:rPr>
        <w:t>Fig. S8.</w:t>
      </w:r>
      <w:r>
        <w:rPr>
          <w:sz w:val="22"/>
          <w:szCs w:val="22"/>
        </w:rPr>
        <w:t xml:space="preserve"> Valence and arousal of terms showing sex and sex by historical period differences. Panels a and b show that female authors use more positive and less arousing terms. In box plots each dot is a word showing a significant sex effect also present in the Warriner database (n = 265), and the dark-gray shaded area shows the 95% confidence intervals of the SE of the mean, while the light-gray area is the SD. Panels c and d show that female authors use more positive and less arousing terms, with a significant effect of sex by historical period. In box plots each dot is a word showing a significant sex by historical period effect also present in the Warriner database (n = 78), and the dark-gray shaded area shows the 95% confidence intervals of the SE of the mean, while the light-gray area is the SD.</w:t>
      </w:r>
      <w:r>
        <w:br w:type="page"/>
      </w:r>
    </w:p>
    <w:p w14:paraId="31E28892" w14:textId="77777777" w:rsidR="00A95AE8" w:rsidRDefault="00000000">
      <w:pPr>
        <w:jc w:val="both"/>
        <w:rPr>
          <w:color w:val="000000"/>
        </w:rPr>
      </w:pPr>
      <w:r>
        <w:rPr>
          <w:color w:val="000000"/>
        </w:rPr>
        <w:lastRenderedPageBreak/>
        <w:t xml:space="preserve">Tables related to our 576 significant terms (S1) and composition of the corpus (S2) are available as extended data and also here at: </w:t>
      </w:r>
      <w:hyperlink r:id="rId20">
        <w:r>
          <w:rPr>
            <w:color w:val="0000FF"/>
            <w:u w:val="single"/>
          </w:rPr>
          <w:t>https://osf.io/mcx5a/</w:t>
        </w:r>
      </w:hyperlink>
      <w:r>
        <w:rPr>
          <w:color w:val="000000"/>
        </w:rPr>
        <w:t>.</w:t>
      </w:r>
    </w:p>
    <w:p w14:paraId="5A9E0A60" w14:textId="77777777" w:rsidR="00A95AE8" w:rsidRDefault="00000000">
      <w:pPr>
        <w:jc w:val="both"/>
        <w:rPr>
          <w:color w:val="000000"/>
        </w:rPr>
      </w:pPr>
      <w:r>
        <w:br w:type="page"/>
      </w:r>
    </w:p>
    <w:p w14:paraId="7C00EDB2" w14:textId="77777777" w:rsidR="00A95AE8" w:rsidRDefault="00000000">
      <w:pPr>
        <w:jc w:val="both"/>
        <w:rPr>
          <w:b/>
        </w:rPr>
      </w:pPr>
      <w:r>
        <w:rPr>
          <w:b/>
        </w:rPr>
        <w:lastRenderedPageBreak/>
        <w:t>Table S4. Benchmarks of word embeddings.</w:t>
      </w:r>
    </w:p>
    <w:p w14:paraId="4AABCA49" w14:textId="77777777" w:rsidR="00A95AE8" w:rsidRDefault="00A95AE8">
      <w:pPr>
        <w:jc w:val="both"/>
        <w:rPr>
          <w:b/>
        </w:rPr>
      </w:pPr>
    </w:p>
    <w:tbl>
      <w:tblPr>
        <w:tblStyle w:val="a"/>
        <w:tblW w:w="9344" w:type="dxa"/>
        <w:tblLayout w:type="fixed"/>
        <w:tblLook w:val="0400" w:firstRow="0" w:lastRow="0" w:firstColumn="0" w:lastColumn="0" w:noHBand="0" w:noVBand="1"/>
      </w:tblPr>
      <w:tblGrid>
        <w:gridCol w:w="2036"/>
        <w:gridCol w:w="2099"/>
        <w:gridCol w:w="2082"/>
        <w:gridCol w:w="1556"/>
        <w:gridCol w:w="1571"/>
      </w:tblGrid>
      <w:tr w:rsidR="00A95AE8" w14:paraId="28A435BB" w14:textId="77777777">
        <w:trPr>
          <w:trHeight w:val="255"/>
        </w:trPr>
        <w:tc>
          <w:tcPr>
            <w:tcW w:w="9344" w:type="dxa"/>
            <w:gridSpan w:val="5"/>
            <w:tcBorders>
              <w:top w:val="dotted" w:sz="6" w:space="0" w:color="000000"/>
              <w:left w:val="dotted" w:sz="6" w:space="0" w:color="000000"/>
              <w:bottom w:val="dotted" w:sz="6" w:space="0" w:color="000000"/>
              <w:right w:val="dotted" w:sz="6" w:space="0" w:color="000000"/>
            </w:tcBorders>
            <w:tcMar>
              <w:top w:w="0" w:type="dxa"/>
              <w:left w:w="45" w:type="dxa"/>
              <w:bottom w:w="0" w:type="dxa"/>
              <w:right w:w="45" w:type="dxa"/>
            </w:tcMar>
            <w:vAlign w:val="center"/>
          </w:tcPr>
          <w:p w14:paraId="3B7C3FB1" w14:textId="77777777" w:rsidR="00A95AE8" w:rsidRDefault="00000000">
            <w:pPr>
              <w:jc w:val="both"/>
              <w:rPr>
                <w:rFonts w:ascii="Arial" w:eastAsia="Arial" w:hAnsi="Arial" w:cs="Arial"/>
                <w:b/>
                <w:sz w:val="28"/>
                <w:szCs w:val="28"/>
              </w:rPr>
            </w:pPr>
            <w:r>
              <w:rPr>
                <w:rFonts w:ascii="Arial" w:eastAsia="Arial" w:hAnsi="Arial" w:cs="Arial"/>
                <w:b/>
                <w:sz w:val="28"/>
                <w:szCs w:val="28"/>
              </w:rPr>
              <w:t>Benchmarks of word embeddings</w:t>
            </w:r>
          </w:p>
        </w:tc>
      </w:tr>
      <w:tr w:rsidR="00A95AE8" w14:paraId="1C9C7B1E" w14:textId="77777777">
        <w:trPr>
          <w:trHeight w:val="255"/>
        </w:trPr>
        <w:tc>
          <w:tcPr>
            <w:tcW w:w="2036" w:type="dxa"/>
            <w:tcBorders>
              <w:top w:val="single" w:sz="6" w:space="0" w:color="CCCCCC"/>
              <w:left w:val="dotted" w:sz="6" w:space="0" w:color="000000"/>
              <w:bottom w:val="dotted" w:sz="6" w:space="0" w:color="000000"/>
              <w:right w:val="dotted" w:sz="6" w:space="0" w:color="000000"/>
            </w:tcBorders>
            <w:shd w:val="clear" w:color="auto" w:fill="EEEEEE"/>
            <w:tcMar>
              <w:top w:w="0" w:type="dxa"/>
              <w:left w:w="45" w:type="dxa"/>
              <w:bottom w:w="0" w:type="dxa"/>
              <w:right w:w="45" w:type="dxa"/>
            </w:tcMar>
            <w:vAlign w:val="bottom"/>
          </w:tcPr>
          <w:p w14:paraId="3EAE04E6" w14:textId="77777777" w:rsidR="00A95AE8" w:rsidRDefault="00000000">
            <w:pPr>
              <w:jc w:val="both"/>
              <w:rPr>
                <w:rFonts w:ascii="Arial" w:eastAsia="Arial" w:hAnsi="Arial" w:cs="Arial"/>
                <w:b/>
              </w:rPr>
            </w:pPr>
            <w:r>
              <w:rPr>
                <w:rFonts w:ascii="Arial" w:eastAsia="Arial" w:hAnsi="Arial" w:cs="Arial"/>
                <w:b/>
              </w:rPr>
              <w:t>Test</w:t>
            </w:r>
          </w:p>
        </w:tc>
        <w:tc>
          <w:tcPr>
            <w:tcW w:w="2099" w:type="dxa"/>
            <w:tcBorders>
              <w:top w:val="single" w:sz="6" w:space="0" w:color="CCCCCC"/>
              <w:left w:val="single" w:sz="6" w:space="0" w:color="CCCCCC"/>
              <w:bottom w:val="dotted" w:sz="6" w:space="0" w:color="000000"/>
              <w:right w:val="dotted" w:sz="6" w:space="0" w:color="000000"/>
            </w:tcBorders>
            <w:shd w:val="clear" w:color="auto" w:fill="EEEEEE"/>
            <w:tcMar>
              <w:top w:w="0" w:type="dxa"/>
              <w:left w:w="45" w:type="dxa"/>
              <w:bottom w:w="0" w:type="dxa"/>
              <w:right w:w="45" w:type="dxa"/>
            </w:tcMar>
            <w:vAlign w:val="bottom"/>
          </w:tcPr>
          <w:p w14:paraId="34FECDB6" w14:textId="77777777" w:rsidR="00A95AE8" w:rsidRDefault="00000000">
            <w:pPr>
              <w:jc w:val="both"/>
              <w:rPr>
                <w:rFonts w:ascii="Arial" w:eastAsia="Arial" w:hAnsi="Arial" w:cs="Arial"/>
                <w:b/>
              </w:rPr>
            </w:pPr>
            <w:r>
              <w:rPr>
                <w:rFonts w:ascii="Arial" w:eastAsia="Arial" w:hAnsi="Arial" w:cs="Arial"/>
                <w:b/>
              </w:rPr>
              <w:t>Reference</w:t>
            </w:r>
          </w:p>
        </w:tc>
        <w:tc>
          <w:tcPr>
            <w:tcW w:w="2082" w:type="dxa"/>
            <w:tcBorders>
              <w:top w:val="single" w:sz="6" w:space="0" w:color="CCCCCC"/>
              <w:left w:val="single" w:sz="6" w:space="0" w:color="CCCCCC"/>
              <w:bottom w:val="dotted" w:sz="6" w:space="0" w:color="000000"/>
              <w:right w:val="dotted" w:sz="6" w:space="0" w:color="000000"/>
            </w:tcBorders>
            <w:shd w:val="clear" w:color="auto" w:fill="EEEEEE"/>
            <w:tcMar>
              <w:top w:w="0" w:type="dxa"/>
              <w:left w:w="45" w:type="dxa"/>
              <w:bottom w:w="0" w:type="dxa"/>
              <w:right w:w="45" w:type="dxa"/>
            </w:tcMar>
            <w:vAlign w:val="bottom"/>
          </w:tcPr>
          <w:p w14:paraId="2E269702" w14:textId="77777777" w:rsidR="00A95AE8" w:rsidRDefault="00000000">
            <w:pPr>
              <w:jc w:val="both"/>
              <w:rPr>
                <w:rFonts w:ascii="Arial" w:eastAsia="Arial" w:hAnsi="Arial" w:cs="Arial"/>
                <w:b/>
              </w:rPr>
            </w:pPr>
            <w:r>
              <w:rPr>
                <w:rFonts w:ascii="Arial" w:eastAsia="Arial" w:hAnsi="Arial" w:cs="Arial"/>
                <w:b/>
              </w:rPr>
              <w:t>Correlation Coefficient</w:t>
            </w:r>
          </w:p>
        </w:tc>
        <w:tc>
          <w:tcPr>
            <w:tcW w:w="1556" w:type="dxa"/>
            <w:tcBorders>
              <w:top w:val="single" w:sz="6" w:space="0" w:color="CCCCCC"/>
              <w:left w:val="single" w:sz="6" w:space="0" w:color="CCCCCC"/>
              <w:bottom w:val="dotted" w:sz="6" w:space="0" w:color="000000"/>
              <w:right w:val="dotted" w:sz="6" w:space="0" w:color="000000"/>
            </w:tcBorders>
            <w:shd w:val="clear" w:color="auto" w:fill="EEEEEE"/>
            <w:tcMar>
              <w:top w:w="0" w:type="dxa"/>
              <w:left w:w="45" w:type="dxa"/>
              <w:bottom w:w="0" w:type="dxa"/>
              <w:right w:w="45" w:type="dxa"/>
            </w:tcMar>
            <w:vAlign w:val="bottom"/>
          </w:tcPr>
          <w:p w14:paraId="197C040A" w14:textId="77777777" w:rsidR="00A95AE8" w:rsidRDefault="00000000">
            <w:pPr>
              <w:jc w:val="both"/>
              <w:rPr>
                <w:rFonts w:ascii="Arial" w:eastAsia="Arial" w:hAnsi="Arial" w:cs="Arial"/>
                <w:b/>
              </w:rPr>
            </w:pPr>
            <w:r>
              <w:rPr>
                <w:rFonts w:ascii="Arial" w:eastAsia="Arial" w:hAnsi="Arial" w:cs="Arial"/>
                <w:b/>
              </w:rPr>
              <w:t>Accuracy in %</w:t>
            </w:r>
          </w:p>
        </w:tc>
        <w:tc>
          <w:tcPr>
            <w:tcW w:w="1571" w:type="dxa"/>
            <w:tcBorders>
              <w:top w:val="single" w:sz="6" w:space="0" w:color="CCCCCC"/>
              <w:left w:val="single" w:sz="6" w:space="0" w:color="CCCCCC"/>
              <w:bottom w:val="dotted" w:sz="6" w:space="0" w:color="000000"/>
              <w:right w:val="dotted" w:sz="6" w:space="0" w:color="000000"/>
            </w:tcBorders>
            <w:shd w:val="clear" w:color="auto" w:fill="EEEEEE"/>
            <w:tcMar>
              <w:top w:w="0" w:type="dxa"/>
              <w:left w:w="45" w:type="dxa"/>
              <w:bottom w:w="0" w:type="dxa"/>
              <w:right w:w="45" w:type="dxa"/>
            </w:tcMar>
            <w:vAlign w:val="bottom"/>
          </w:tcPr>
          <w:p w14:paraId="45B3C514" w14:textId="77777777" w:rsidR="00A95AE8" w:rsidRDefault="00000000">
            <w:pPr>
              <w:jc w:val="both"/>
              <w:rPr>
                <w:rFonts w:ascii="Arial" w:eastAsia="Arial" w:hAnsi="Arial" w:cs="Arial"/>
                <w:b/>
              </w:rPr>
            </w:pPr>
            <w:r>
              <w:rPr>
                <w:rFonts w:ascii="Arial" w:eastAsia="Arial" w:hAnsi="Arial" w:cs="Arial"/>
                <w:b/>
              </w:rPr>
              <w:t>Coverage in %</w:t>
            </w:r>
          </w:p>
        </w:tc>
      </w:tr>
      <w:tr w:rsidR="00A95AE8" w14:paraId="54BCB7F1" w14:textId="77777777">
        <w:trPr>
          <w:trHeight w:val="255"/>
        </w:trPr>
        <w:tc>
          <w:tcPr>
            <w:tcW w:w="2036" w:type="dxa"/>
            <w:tcBorders>
              <w:top w:val="single" w:sz="6" w:space="0" w:color="CCCCCC"/>
              <w:left w:val="dotted" w:sz="6" w:space="0" w:color="000000"/>
              <w:bottom w:val="dotted" w:sz="6" w:space="0" w:color="000000"/>
              <w:right w:val="dotted" w:sz="6" w:space="0" w:color="000000"/>
            </w:tcBorders>
            <w:tcMar>
              <w:top w:w="0" w:type="dxa"/>
              <w:left w:w="45" w:type="dxa"/>
              <w:bottom w:w="0" w:type="dxa"/>
              <w:right w:w="45" w:type="dxa"/>
            </w:tcMar>
            <w:vAlign w:val="bottom"/>
          </w:tcPr>
          <w:p w14:paraId="3A2BE220" w14:textId="77777777" w:rsidR="00A95AE8" w:rsidRDefault="00000000">
            <w:pPr>
              <w:jc w:val="both"/>
              <w:rPr>
                <w:rFonts w:ascii="Arial" w:eastAsia="Arial" w:hAnsi="Arial" w:cs="Arial"/>
                <w:b/>
                <w:sz w:val="18"/>
                <w:szCs w:val="18"/>
              </w:rPr>
            </w:pPr>
            <w:r>
              <w:rPr>
                <w:rFonts w:ascii="Arial" w:eastAsia="Arial" w:hAnsi="Arial" w:cs="Arial"/>
                <w:b/>
                <w:sz w:val="18"/>
                <w:szCs w:val="18"/>
              </w:rPr>
              <w:t>RG-65</w:t>
            </w:r>
          </w:p>
        </w:tc>
        <w:tc>
          <w:tcPr>
            <w:tcW w:w="2099" w:type="dxa"/>
            <w:tcBorders>
              <w:top w:val="single" w:sz="6" w:space="0" w:color="CCCCCC"/>
              <w:left w:val="single" w:sz="6" w:space="0" w:color="CCCCCC"/>
              <w:bottom w:val="dotted" w:sz="6" w:space="0" w:color="000000"/>
              <w:right w:val="dotted" w:sz="6" w:space="0" w:color="000000"/>
            </w:tcBorders>
            <w:tcMar>
              <w:top w:w="0" w:type="dxa"/>
              <w:left w:w="45" w:type="dxa"/>
              <w:bottom w:w="0" w:type="dxa"/>
              <w:right w:w="45" w:type="dxa"/>
            </w:tcMar>
            <w:vAlign w:val="bottom"/>
          </w:tcPr>
          <w:p w14:paraId="408EB041" w14:textId="77777777" w:rsidR="00A95AE8" w:rsidRDefault="00000000">
            <w:pPr>
              <w:jc w:val="both"/>
              <w:rPr>
                <w:rFonts w:ascii="Arial" w:eastAsia="Arial" w:hAnsi="Arial" w:cs="Arial"/>
                <w:i/>
                <w:sz w:val="18"/>
                <w:szCs w:val="18"/>
              </w:rPr>
            </w:pPr>
            <w:r>
              <w:rPr>
                <w:rFonts w:ascii="Arial" w:eastAsia="Arial" w:hAnsi="Arial" w:cs="Arial"/>
                <w:i/>
                <w:sz w:val="18"/>
                <w:szCs w:val="18"/>
              </w:rPr>
              <w:t>Rubenstein and Goodenough, 1965</w:t>
            </w:r>
          </w:p>
        </w:tc>
        <w:tc>
          <w:tcPr>
            <w:tcW w:w="2082" w:type="dxa"/>
            <w:tcBorders>
              <w:top w:val="single" w:sz="6" w:space="0" w:color="CCCCCC"/>
              <w:left w:val="single" w:sz="6" w:space="0" w:color="CCCCCC"/>
              <w:bottom w:val="dotted" w:sz="6" w:space="0" w:color="000000"/>
              <w:right w:val="dotted" w:sz="6" w:space="0" w:color="000000"/>
            </w:tcBorders>
            <w:tcMar>
              <w:top w:w="0" w:type="dxa"/>
              <w:left w:w="45" w:type="dxa"/>
              <w:bottom w:w="0" w:type="dxa"/>
              <w:right w:w="45" w:type="dxa"/>
            </w:tcMar>
            <w:vAlign w:val="bottom"/>
          </w:tcPr>
          <w:p w14:paraId="3D0C8428" w14:textId="77777777" w:rsidR="00A95AE8" w:rsidRDefault="00000000">
            <w:pPr>
              <w:jc w:val="both"/>
              <w:rPr>
                <w:rFonts w:ascii="Arial" w:eastAsia="Arial" w:hAnsi="Arial" w:cs="Arial"/>
                <w:sz w:val="18"/>
                <w:szCs w:val="18"/>
              </w:rPr>
            </w:pPr>
            <w:r>
              <w:rPr>
                <w:rFonts w:ascii="Arial" w:eastAsia="Arial" w:hAnsi="Arial" w:cs="Arial"/>
                <w:sz w:val="18"/>
                <w:szCs w:val="18"/>
              </w:rPr>
              <w:t>0.871</w:t>
            </w:r>
          </w:p>
        </w:tc>
        <w:tc>
          <w:tcPr>
            <w:tcW w:w="1556" w:type="dxa"/>
            <w:tcBorders>
              <w:top w:val="single" w:sz="6" w:space="0" w:color="CCCCCC"/>
              <w:left w:val="single" w:sz="6" w:space="0" w:color="CCCCCC"/>
              <w:bottom w:val="dotted" w:sz="6" w:space="0" w:color="000000"/>
              <w:right w:val="dotted" w:sz="6" w:space="0" w:color="000000"/>
            </w:tcBorders>
            <w:tcMar>
              <w:top w:w="0" w:type="dxa"/>
              <w:left w:w="45" w:type="dxa"/>
              <w:bottom w:w="0" w:type="dxa"/>
              <w:right w:w="45" w:type="dxa"/>
            </w:tcMar>
            <w:vAlign w:val="bottom"/>
          </w:tcPr>
          <w:p w14:paraId="2436C481" w14:textId="77777777" w:rsidR="00A95AE8" w:rsidRDefault="00A95AE8">
            <w:pPr>
              <w:jc w:val="both"/>
              <w:rPr>
                <w:rFonts w:ascii="Arial" w:eastAsia="Arial" w:hAnsi="Arial" w:cs="Arial"/>
                <w:sz w:val="18"/>
                <w:szCs w:val="18"/>
              </w:rPr>
            </w:pPr>
          </w:p>
        </w:tc>
        <w:tc>
          <w:tcPr>
            <w:tcW w:w="1571" w:type="dxa"/>
            <w:tcBorders>
              <w:top w:val="single" w:sz="6" w:space="0" w:color="CCCCCC"/>
              <w:left w:val="single" w:sz="6" w:space="0" w:color="CCCCCC"/>
              <w:bottom w:val="dotted" w:sz="6" w:space="0" w:color="000000"/>
              <w:right w:val="dotted" w:sz="6" w:space="0" w:color="000000"/>
            </w:tcBorders>
            <w:tcMar>
              <w:top w:w="0" w:type="dxa"/>
              <w:left w:w="45" w:type="dxa"/>
              <w:bottom w:w="0" w:type="dxa"/>
              <w:right w:w="45" w:type="dxa"/>
            </w:tcMar>
            <w:vAlign w:val="bottom"/>
          </w:tcPr>
          <w:p w14:paraId="641D57C3" w14:textId="77777777" w:rsidR="00A95AE8" w:rsidRDefault="00000000">
            <w:pPr>
              <w:jc w:val="both"/>
              <w:rPr>
                <w:rFonts w:ascii="Arial" w:eastAsia="Arial" w:hAnsi="Arial" w:cs="Arial"/>
                <w:sz w:val="18"/>
                <w:szCs w:val="18"/>
              </w:rPr>
            </w:pPr>
            <w:r>
              <w:rPr>
                <w:rFonts w:ascii="Arial" w:eastAsia="Arial" w:hAnsi="Arial" w:cs="Arial"/>
                <w:sz w:val="18"/>
                <w:szCs w:val="18"/>
              </w:rPr>
              <w:t>100.0</w:t>
            </w:r>
          </w:p>
        </w:tc>
      </w:tr>
      <w:tr w:rsidR="00A95AE8" w14:paraId="00DE3367" w14:textId="77777777">
        <w:trPr>
          <w:trHeight w:val="255"/>
        </w:trPr>
        <w:tc>
          <w:tcPr>
            <w:tcW w:w="2036" w:type="dxa"/>
            <w:tcBorders>
              <w:top w:val="single" w:sz="6" w:space="0" w:color="CCCCCC"/>
              <w:left w:val="dotted" w:sz="6" w:space="0" w:color="000000"/>
              <w:bottom w:val="dotted" w:sz="6" w:space="0" w:color="000000"/>
              <w:right w:val="dotted" w:sz="6" w:space="0" w:color="000000"/>
            </w:tcBorders>
            <w:tcMar>
              <w:top w:w="0" w:type="dxa"/>
              <w:left w:w="45" w:type="dxa"/>
              <w:bottom w:w="0" w:type="dxa"/>
              <w:right w:w="45" w:type="dxa"/>
            </w:tcMar>
            <w:vAlign w:val="bottom"/>
          </w:tcPr>
          <w:p w14:paraId="66E98C2A" w14:textId="77777777" w:rsidR="00A95AE8" w:rsidRDefault="00000000">
            <w:pPr>
              <w:jc w:val="both"/>
              <w:rPr>
                <w:rFonts w:ascii="Arial" w:eastAsia="Arial" w:hAnsi="Arial" w:cs="Arial"/>
                <w:b/>
                <w:sz w:val="18"/>
                <w:szCs w:val="18"/>
              </w:rPr>
            </w:pPr>
            <w:r>
              <w:rPr>
                <w:rFonts w:ascii="Arial" w:eastAsia="Arial" w:hAnsi="Arial" w:cs="Arial"/>
                <w:b/>
                <w:sz w:val="18"/>
                <w:szCs w:val="18"/>
              </w:rPr>
              <w:t>WordSimilarity-353</w:t>
            </w:r>
          </w:p>
        </w:tc>
        <w:tc>
          <w:tcPr>
            <w:tcW w:w="2099" w:type="dxa"/>
            <w:tcBorders>
              <w:top w:val="single" w:sz="6" w:space="0" w:color="CCCCCC"/>
              <w:left w:val="single" w:sz="6" w:space="0" w:color="CCCCCC"/>
              <w:bottom w:val="dotted" w:sz="6" w:space="0" w:color="000000"/>
              <w:right w:val="dotted" w:sz="6" w:space="0" w:color="000000"/>
            </w:tcBorders>
            <w:tcMar>
              <w:top w:w="0" w:type="dxa"/>
              <w:left w:w="45" w:type="dxa"/>
              <w:bottom w:w="0" w:type="dxa"/>
              <w:right w:w="45" w:type="dxa"/>
            </w:tcMar>
            <w:vAlign w:val="bottom"/>
          </w:tcPr>
          <w:p w14:paraId="28B30B83" w14:textId="77777777" w:rsidR="00A95AE8" w:rsidRDefault="00000000">
            <w:pPr>
              <w:jc w:val="both"/>
              <w:rPr>
                <w:rFonts w:ascii="Arial" w:eastAsia="Arial" w:hAnsi="Arial" w:cs="Arial"/>
                <w:i/>
                <w:sz w:val="18"/>
                <w:szCs w:val="18"/>
              </w:rPr>
            </w:pPr>
            <w:r>
              <w:rPr>
                <w:rFonts w:ascii="Arial" w:eastAsia="Arial" w:hAnsi="Arial" w:cs="Arial"/>
                <w:i/>
                <w:sz w:val="18"/>
                <w:szCs w:val="18"/>
              </w:rPr>
              <w:t>Finkelstein et al., 2001</w:t>
            </w:r>
          </w:p>
        </w:tc>
        <w:tc>
          <w:tcPr>
            <w:tcW w:w="2082" w:type="dxa"/>
            <w:tcBorders>
              <w:top w:val="single" w:sz="6" w:space="0" w:color="CCCCCC"/>
              <w:left w:val="single" w:sz="6" w:space="0" w:color="CCCCCC"/>
              <w:bottom w:val="dotted" w:sz="6" w:space="0" w:color="000000"/>
              <w:right w:val="dotted" w:sz="6" w:space="0" w:color="000000"/>
            </w:tcBorders>
            <w:tcMar>
              <w:top w:w="0" w:type="dxa"/>
              <w:left w:w="45" w:type="dxa"/>
              <w:bottom w:w="0" w:type="dxa"/>
              <w:right w:w="45" w:type="dxa"/>
            </w:tcMar>
            <w:vAlign w:val="bottom"/>
          </w:tcPr>
          <w:p w14:paraId="77CD7BC6" w14:textId="77777777" w:rsidR="00A95AE8" w:rsidRDefault="00000000">
            <w:pPr>
              <w:jc w:val="both"/>
              <w:rPr>
                <w:rFonts w:ascii="Arial" w:eastAsia="Arial" w:hAnsi="Arial" w:cs="Arial"/>
                <w:sz w:val="18"/>
                <w:szCs w:val="18"/>
              </w:rPr>
            </w:pPr>
            <w:r>
              <w:rPr>
                <w:rFonts w:ascii="Arial" w:eastAsia="Arial" w:hAnsi="Arial" w:cs="Arial"/>
                <w:sz w:val="18"/>
                <w:szCs w:val="18"/>
              </w:rPr>
              <w:t>0.626</w:t>
            </w:r>
          </w:p>
        </w:tc>
        <w:tc>
          <w:tcPr>
            <w:tcW w:w="1556" w:type="dxa"/>
            <w:tcBorders>
              <w:top w:val="single" w:sz="6" w:space="0" w:color="CCCCCC"/>
              <w:left w:val="single" w:sz="6" w:space="0" w:color="CCCCCC"/>
              <w:bottom w:val="dotted" w:sz="6" w:space="0" w:color="000000"/>
              <w:right w:val="dotted" w:sz="6" w:space="0" w:color="000000"/>
            </w:tcBorders>
            <w:tcMar>
              <w:top w:w="0" w:type="dxa"/>
              <w:left w:w="45" w:type="dxa"/>
              <w:bottom w:w="0" w:type="dxa"/>
              <w:right w:w="45" w:type="dxa"/>
            </w:tcMar>
            <w:vAlign w:val="bottom"/>
          </w:tcPr>
          <w:p w14:paraId="21125D4F" w14:textId="77777777" w:rsidR="00A95AE8" w:rsidRDefault="00A95AE8">
            <w:pPr>
              <w:jc w:val="both"/>
              <w:rPr>
                <w:rFonts w:ascii="Arial" w:eastAsia="Arial" w:hAnsi="Arial" w:cs="Arial"/>
                <w:sz w:val="18"/>
                <w:szCs w:val="18"/>
              </w:rPr>
            </w:pPr>
          </w:p>
        </w:tc>
        <w:tc>
          <w:tcPr>
            <w:tcW w:w="1571" w:type="dxa"/>
            <w:tcBorders>
              <w:top w:val="single" w:sz="6" w:space="0" w:color="CCCCCC"/>
              <w:left w:val="single" w:sz="6" w:space="0" w:color="CCCCCC"/>
              <w:bottom w:val="dotted" w:sz="6" w:space="0" w:color="000000"/>
              <w:right w:val="dotted" w:sz="6" w:space="0" w:color="000000"/>
            </w:tcBorders>
            <w:tcMar>
              <w:top w:w="0" w:type="dxa"/>
              <w:left w:w="45" w:type="dxa"/>
              <w:bottom w:w="0" w:type="dxa"/>
              <w:right w:w="45" w:type="dxa"/>
            </w:tcMar>
            <w:vAlign w:val="bottom"/>
          </w:tcPr>
          <w:p w14:paraId="58925546" w14:textId="77777777" w:rsidR="00A95AE8" w:rsidRDefault="00000000">
            <w:pPr>
              <w:jc w:val="both"/>
              <w:rPr>
                <w:rFonts w:ascii="Arial" w:eastAsia="Arial" w:hAnsi="Arial" w:cs="Arial"/>
                <w:sz w:val="18"/>
                <w:szCs w:val="18"/>
              </w:rPr>
            </w:pPr>
            <w:r>
              <w:rPr>
                <w:rFonts w:ascii="Arial" w:eastAsia="Arial" w:hAnsi="Arial" w:cs="Arial"/>
                <w:sz w:val="18"/>
                <w:szCs w:val="18"/>
              </w:rPr>
              <w:t>98.6</w:t>
            </w:r>
          </w:p>
        </w:tc>
      </w:tr>
      <w:tr w:rsidR="00A95AE8" w14:paraId="3F6EBBF8" w14:textId="77777777">
        <w:trPr>
          <w:trHeight w:val="255"/>
        </w:trPr>
        <w:tc>
          <w:tcPr>
            <w:tcW w:w="2036" w:type="dxa"/>
            <w:tcBorders>
              <w:top w:val="single" w:sz="6" w:space="0" w:color="CCCCCC"/>
              <w:left w:val="dotted" w:sz="6" w:space="0" w:color="000000"/>
              <w:bottom w:val="dotted" w:sz="6" w:space="0" w:color="000000"/>
              <w:right w:val="dotted" w:sz="6" w:space="0" w:color="000000"/>
            </w:tcBorders>
            <w:tcMar>
              <w:top w:w="0" w:type="dxa"/>
              <w:left w:w="45" w:type="dxa"/>
              <w:bottom w:w="0" w:type="dxa"/>
              <w:right w:w="45" w:type="dxa"/>
            </w:tcMar>
            <w:vAlign w:val="bottom"/>
          </w:tcPr>
          <w:p w14:paraId="6766A924" w14:textId="77777777" w:rsidR="00A95AE8" w:rsidRDefault="00000000">
            <w:pPr>
              <w:jc w:val="both"/>
              <w:rPr>
                <w:rFonts w:ascii="Arial" w:eastAsia="Arial" w:hAnsi="Arial" w:cs="Arial"/>
                <w:b/>
                <w:sz w:val="18"/>
                <w:szCs w:val="18"/>
              </w:rPr>
            </w:pPr>
            <w:r>
              <w:rPr>
                <w:rFonts w:ascii="Arial" w:eastAsia="Arial" w:hAnsi="Arial" w:cs="Arial"/>
                <w:b/>
                <w:sz w:val="18"/>
                <w:szCs w:val="18"/>
              </w:rPr>
              <w:t>MEN dataset</w:t>
            </w:r>
          </w:p>
        </w:tc>
        <w:tc>
          <w:tcPr>
            <w:tcW w:w="2099" w:type="dxa"/>
            <w:tcBorders>
              <w:top w:val="single" w:sz="6" w:space="0" w:color="CCCCCC"/>
              <w:left w:val="single" w:sz="6" w:space="0" w:color="CCCCCC"/>
              <w:bottom w:val="dotted" w:sz="6" w:space="0" w:color="000000"/>
              <w:right w:val="dotted" w:sz="6" w:space="0" w:color="000000"/>
            </w:tcBorders>
            <w:tcMar>
              <w:top w:w="0" w:type="dxa"/>
              <w:left w:w="45" w:type="dxa"/>
              <w:bottom w:w="0" w:type="dxa"/>
              <w:right w:w="45" w:type="dxa"/>
            </w:tcMar>
            <w:vAlign w:val="bottom"/>
          </w:tcPr>
          <w:p w14:paraId="6873C928" w14:textId="77777777" w:rsidR="00A95AE8" w:rsidRDefault="00000000">
            <w:pPr>
              <w:jc w:val="both"/>
              <w:rPr>
                <w:rFonts w:ascii="Arial" w:eastAsia="Arial" w:hAnsi="Arial" w:cs="Arial"/>
                <w:i/>
                <w:sz w:val="18"/>
                <w:szCs w:val="18"/>
              </w:rPr>
            </w:pPr>
            <w:r>
              <w:rPr>
                <w:rFonts w:ascii="Arial" w:eastAsia="Arial" w:hAnsi="Arial" w:cs="Arial"/>
                <w:i/>
                <w:sz w:val="18"/>
                <w:szCs w:val="18"/>
              </w:rPr>
              <w:t>Bruni et al., 2014</w:t>
            </w:r>
          </w:p>
        </w:tc>
        <w:tc>
          <w:tcPr>
            <w:tcW w:w="2082" w:type="dxa"/>
            <w:tcBorders>
              <w:top w:val="single" w:sz="6" w:space="0" w:color="CCCCCC"/>
              <w:left w:val="single" w:sz="6" w:space="0" w:color="CCCCCC"/>
              <w:bottom w:val="dotted" w:sz="6" w:space="0" w:color="000000"/>
              <w:right w:val="dotted" w:sz="6" w:space="0" w:color="000000"/>
            </w:tcBorders>
            <w:tcMar>
              <w:top w:w="0" w:type="dxa"/>
              <w:left w:w="45" w:type="dxa"/>
              <w:bottom w:w="0" w:type="dxa"/>
              <w:right w:w="45" w:type="dxa"/>
            </w:tcMar>
            <w:vAlign w:val="bottom"/>
          </w:tcPr>
          <w:p w14:paraId="3CF8EB3C" w14:textId="77777777" w:rsidR="00A95AE8" w:rsidRDefault="00000000">
            <w:pPr>
              <w:jc w:val="both"/>
              <w:rPr>
                <w:rFonts w:ascii="Arial" w:eastAsia="Arial" w:hAnsi="Arial" w:cs="Arial"/>
                <w:sz w:val="18"/>
                <w:szCs w:val="18"/>
              </w:rPr>
            </w:pPr>
            <w:r>
              <w:rPr>
                <w:rFonts w:ascii="Arial" w:eastAsia="Arial" w:hAnsi="Arial" w:cs="Arial"/>
                <w:sz w:val="18"/>
                <w:szCs w:val="18"/>
              </w:rPr>
              <w:t>0.754</w:t>
            </w:r>
          </w:p>
        </w:tc>
        <w:tc>
          <w:tcPr>
            <w:tcW w:w="1556" w:type="dxa"/>
            <w:tcBorders>
              <w:top w:val="single" w:sz="6" w:space="0" w:color="CCCCCC"/>
              <w:left w:val="single" w:sz="6" w:space="0" w:color="CCCCCC"/>
              <w:bottom w:val="dotted" w:sz="6" w:space="0" w:color="000000"/>
              <w:right w:val="dotted" w:sz="6" w:space="0" w:color="000000"/>
            </w:tcBorders>
            <w:tcMar>
              <w:top w:w="0" w:type="dxa"/>
              <w:left w:w="45" w:type="dxa"/>
              <w:bottom w:w="0" w:type="dxa"/>
              <w:right w:w="45" w:type="dxa"/>
            </w:tcMar>
            <w:vAlign w:val="bottom"/>
          </w:tcPr>
          <w:p w14:paraId="34651F42" w14:textId="77777777" w:rsidR="00A95AE8" w:rsidRDefault="00A95AE8">
            <w:pPr>
              <w:jc w:val="both"/>
              <w:rPr>
                <w:rFonts w:ascii="Arial" w:eastAsia="Arial" w:hAnsi="Arial" w:cs="Arial"/>
                <w:sz w:val="18"/>
                <w:szCs w:val="18"/>
              </w:rPr>
            </w:pPr>
          </w:p>
        </w:tc>
        <w:tc>
          <w:tcPr>
            <w:tcW w:w="1571" w:type="dxa"/>
            <w:tcBorders>
              <w:top w:val="single" w:sz="6" w:space="0" w:color="CCCCCC"/>
              <w:left w:val="single" w:sz="6" w:space="0" w:color="CCCCCC"/>
              <w:bottom w:val="dotted" w:sz="6" w:space="0" w:color="000000"/>
              <w:right w:val="dotted" w:sz="6" w:space="0" w:color="000000"/>
            </w:tcBorders>
            <w:tcMar>
              <w:top w:w="0" w:type="dxa"/>
              <w:left w:w="45" w:type="dxa"/>
              <w:bottom w:w="0" w:type="dxa"/>
              <w:right w:w="45" w:type="dxa"/>
            </w:tcMar>
            <w:vAlign w:val="bottom"/>
          </w:tcPr>
          <w:p w14:paraId="266D053D" w14:textId="77777777" w:rsidR="00A95AE8" w:rsidRDefault="00000000">
            <w:pPr>
              <w:jc w:val="both"/>
              <w:rPr>
                <w:rFonts w:ascii="Arial" w:eastAsia="Arial" w:hAnsi="Arial" w:cs="Arial"/>
                <w:sz w:val="18"/>
                <w:szCs w:val="18"/>
              </w:rPr>
            </w:pPr>
            <w:r>
              <w:rPr>
                <w:rFonts w:ascii="Arial" w:eastAsia="Arial" w:hAnsi="Arial" w:cs="Arial"/>
                <w:sz w:val="18"/>
                <w:szCs w:val="18"/>
              </w:rPr>
              <w:t>100.0</w:t>
            </w:r>
          </w:p>
        </w:tc>
      </w:tr>
      <w:tr w:rsidR="00A95AE8" w14:paraId="524177E2" w14:textId="77777777">
        <w:trPr>
          <w:trHeight w:val="255"/>
        </w:trPr>
        <w:tc>
          <w:tcPr>
            <w:tcW w:w="2036" w:type="dxa"/>
            <w:tcBorders>
              <w:top w:val="single" w:sz="6" w:space="0" w:color="CCCCCC"/>
              <w:left w:val="dotted" w:sz="6" w:space="0" w:color="000000"/>
              <w:bottom w:val="dotted" w:sz="6" w:space="0" w:color="000000"/>
              <w:right w:val="dotted" w:sz="6" w:space="0" w:color="000000"/>
            </w:tcBorders>
            <w:tcMar>
              <w:top w:w="0" w:type="dxa"/>
              <w:left w:w="45" w:type="dxa"/>
              <w:bottom w:w="0" w:type="dxa"/>
              <w:right w:w="45" w:type="dxa"/>
            </w:tcMar>
            <w:vAlign w:val="bottom"/>
          </w:tcPr>
          <w:p w14:paraId="162DE586" w14:textId="77777777" w:rsidR="00A95AE8" w:rsidRDefault="00000000">
            <w:pPr>
              <w:jc w:val="both"/>
              <w:rPr>
                <w:rFonts w:ascii="Arial" w:eastAsia="Arial" w:hAnsi="Arial" w:cs="Arial"/>
                <w:b/>
                <w:sz w:val="18"/>
                <w:szCs w:val="18"/>
              </w:rPr>
            </w:pPr>
            <w:r>
              <w:rPr>
                <w:rFonts w:ascii="Arial" w:eastAsia="Arial" w:hAnsi="Arial" w:cs="Arial"/>
                <w:b/>
                <w:sz w:val="18"/>
                <w:szCs w:val="18"/>
              </w:rPr>
              <w:t>TOEFL Synonym Questions</w:t>
            </w:r>
          </w:p>
        </w:tc>
        <w:tc>
          <w:tcPr>
            <w:tcW w:w="2099" w:type="dxa"/>
            <w:tcBorders>
              <w:top w:val="single" w:sz="6" w:space="0" w:color="CCCCCC"/>
              <w:left w:val="single" w:sz="6" w:space="0" w:color="CCCCCC"/>
              <w:bottom w:val="dotted" w:sz="6" w:space="0" w:color="000000"/>
              <w:right w:val="dotted" w:sz="6" w:space="0" w:color="000000"/>
            </w:tcBorders>
            <w:tcMar>
              <w:top w:w="0" w:type="dxa"/>
              <w:left w:w="45" w:type="dxa"/>
              <w:bottom w:w="0" w:type="dxa"/>
              <w:right w:w="45" w:type="dxa"/>
            </w:tcMar>
            <w:vAlign w:val="bottom"/>
          </w:tcPr>
          <w:p w14:paraId="79CB03A4" w14:textId="77777777" w:rsidR="00A95AE8" w:rsidRDefault="00000000">
            <w:pPr>
              <w:jc w:val="both"/>
              <w:rPr>
                <w:rFonts w:ascii="Arial" w:eastAsia="Arial" w:hAnsi="Arial" w:cs="Arial"/>
                <w:i/>
                <w:sz w:val="18"/>
                <w:szCs w:val="18"/>
              </w:rPr>
            </w:pPr>
            <w:r>
              <w:rPr>
                <w:rFonts w:ascii="Arial" w:eastAsia="Arial" w:hAnsi="Arial" w:cs="Arial"/>
                <w:i/>
                <w:sz w:val="18"/>
                <w:szCs w:val="18"/>
              </w:rPr>
              <w:t>Landauer and Dumais, 1997</w:t>
            </w:r>
          </w:p>
        </w:tc>
        <w:tc>
          <w:tcPr>
            <w:tcW w:w="2082" w:type="dxa"/>
            <w:tcBorders>
              <w:top w:val="single" w:sz="6" w:space="0" w:color="CCCCCC"/>
              <w:left w:val="single" w:sz="6" w:space="0" w:color="CCCCCC"/>
              <w:bottom w:val="dotted" w:sz="6" w:space="0" w:color="000000"/>
              <w:right w:val="dotted" w:sz="6" w:space="0" w:color="000000"/>
            </w:tcBorders>
            <w:tcMar>
              <w:top w:w="0" w:type="dxa"/>
              <w:left w:w="45" w:type="dxa"/>
              <w:bottom w:w="0" w:type="dxa"/>
              <w:right w:w="45" w:type="dxa"/>
            </w:tcMar>
            <w:vAlign w:val="bottom"/>
          </w:tcPr>
          <w:p w14:paraId="7C57B318" w14:textId="77777777" w:rsidR="00A95AE8" w:rsidRDefault="00A95AE8">
            <w:pPr>
              <w:jc w:val="both"/>
              <w:rPr>
                <w:rFonts w:ascii="Arial" w:eastAsia="Arial" w:hAnsi="Arial" w:cs="Arial"/>
                <w:i/>
                <w:sz w:val="18"/>
                <w:szCs w:val="18"/>
              </w:rPr>
            </w:pPr>
          </w:p>
        </w:tc>
        <w:tc>
          <w:tcPr>
            <w:tcW w:w="1556" w:type="dxa"/>
            <w:tcBorders>
              <w:top w:val="single" w:sz="6" w:space="0" w:color="CCCCCC"/>
              <w:left w:val="single" w:sz="6" w:space="0" w:color="CCCCCC"/>
              <w:bottom w:val="dotted" w:sz="6" w:space="0" w:color="000000"/>
              <w:right w:val="dotted" w:sz="6" w:space="0" w:color="000000"/>
            </w:tcBorders>
            <w:tcMar>
              <w:top w:w="0" w:type="dxa"/>
              <w:left w:w="45" w:type="dxa"/>
              <w:bottom w:w="0" w:type="dxa"/>
              <w:right w:w="45" w:type="dxa"/>
            </w:tcMar>
            <w:vAlign w:val="bottom"/>
          </w:tcPr>
          <w:p w14:paraId="4B7E9DF9" w14:textId="77777777" w:rsidR="00A95AE8" w:rsidRDefault="00000000">
            <w:pPr>
              <w:jc w:val="both"/>
              <w:rPr>
                <w:rFonts w:ascii="Arial" w:eastAsia="Arial" w:hAnsi="Arial" w:cs="Arial"/>
                <w:sz w:val="18"/>
                <w:szCs w:val="18"/>
              </w:rPr>
            </w:pPr>
            <w:r>
              <w:rPr>
                <w:rFonts w:ascii="Arial" w:eastAsia="Arial" w:hAnsi="Arial" w:cs="Arial"/>
                <w:sz w:val="18"/>
                <w:szCs w:val="18"/>
              </w:rPr>
              <w:t>85.9</w:t>
            </w:r>
          </w:p>
        </w:tc>
        <w:tc>
          <w:tcPr>
            <w:tcW w:w="1571" w:type="dxa"/>
            <w:tcBorders>
              <w:top w:val="single" w:sz="6" w:space="0" w:color="CCCCCC"/>
              <w:left w:val="single" w:sz="6" w:space="0" w:color="CCCCCC"/>
              <w:bottom w:val="dotted" w:sz="6" w:space="0" w:color="000000"/>
              <w:right w:val="dotted" w:sz="6" w:space="0" w:color="000000"/>
            </w:tcBorders>
            <w:tcMar>
              <w:top w:w="0" w:type="dxa"/>
              <w:left w:w="45" w:type="dxa"/>
              <w:bottom w:w="0" w:type="dxa"/>
              <w:right w:w="45" w:type="dxa"/>
            </w:tcMar>
            <w:vAlign w:val="bottom"/>
          </w:tcPr>
          <w:p w14:paraId="537F35D8" w14:textId="77777777" w:rsidR="00A95AE8" w:rsidRDefault="00000000">
            <w:pPr>
              <w:jc w:val="both"/>
              <w:rPr>
                <w:rFonts w:ascii="Arial" w:eastAsia="Arial" w:hAnsi="Arial" w:cs="Arial"/>
                <w:sz w:val="18"/>
                <w:szCs w:val="18"/>
              </w:rPr>
            </w:pPr>
            <w:r>
              <w:rPr>
                <w:rFonts w:ascii="Arial" w:eastAsia="Arial" w:hAnsi="Arial" w:cs="Arial"/>
                <w:sz w:val="18"/>
                <w:szCs w:val="18"/>
              </w:rPr>
              <w:t>88.8</w:t>
            </w:r>
          </w:p>
        </w:tc>
      </w:tr>
      <w:tr w:rsidR="00A95AE8" w14:paraId="3E48CE07" w14:textId="77777777">
        <w:trPr>
          <w:trHeight w:val="255"/>
        </w:trPr>
        <w:tc>
          <w:tcPr>
            <w:tcW w:w="2036" w:type="dxa"/>
            <w:tcBorders>
              <w:top w:val="single" w:sz="6" w:space="0" w:color="CCCCCC"/>
              <w:left w:val="dotted" w:sz="6" w:space="0" w:color="000000"/>
              <w:bottom w:val="dotted" w:sz="6" w:space="0" w:color="000000"/>
              <w:right w:val="dotted" w:sz="6" w:space="0" w:color="000000"/>
            </w:tcBorders>
            <w:tcMar>
              <w:top w:w="0" w:type="dxa"/>
              <w:left w:w="45" w:type="dxa"/>
              <w:bottom w:w="0" w:type="dxa"/>
              <w:right w:w="45" w:type="dxa"/>
            </w:tcMar>
            <w:vAlign w:val="bottom"/>
          </w:tcPr>
          <w:p w14:paraId="34A0FFD4" w14:textId="77777777" w:rsidR="00A95AE8" w:rsidRDefault="00000000">
            <w:pPr>
              <w:jc w:val="both"/>
              <w:rPr>
                <w:rFonts w:ascii="Arial" w:eastAsia="Arial" w:hAnsi="Arial" w:cs="Arial"/>
                <w:b/>
                <w:sz w:val="18"/>
                <w:szCs w:val="18"/>
              </w:rPr>
            </w:pPr>
            <w:r>
              <w:rPr>
                <w:rFonts w:ascii="Arial" w:eastAsia="Arial" w:hAnsi="Arial" w:cs="Arial"/>
                <w:b/>
                <w:sz w:val="18"/>
                <w:szCs w:val="18"/>
              </w:rPr>
              <w:t>BLIND eng</w:t>
            </w:r>
          </w:p>
        </w:tc>
        <w:tc>
          <w:tcPr>
            <w:tcW w:w="2099" w:type="dxa"/>
            <w:tcBorders>
              <w:top w:val="single" w:sz="6" w:space="0" w:color="CCCCCC"/>
              <w:left w:val="single" w:sz="6" w:space="0" w:color="CCCCCC"/>
              <w:bottom w:val="dotted" w:sz="6" w:space="0" w:color="000000"/>
              <w:right w:val="dotted" w:sz="6" w:space="0" w:color="000000"/>
            </w:tcBorders>
            <w:tcMar>
              <w:top w:w="0" w:type="dxa"/>
              <w:left w:w="45" w:type="dxa"/>
              <w:bottom w:w="0" w:type="dxa"/>
              <w:right w:w="45" w:type="dxa"/>
            </w:tcMar>
            <w:vAlign w:val="bottom"/>
          </w:tcPr>
          <w:p w14:paraId="1F8342FB" w14:textId="77777777" w:rsidR="00A95AE8" w:rsidRDefault="00000000">
            <w:pPr>
              <w:jc w:val="both"/>
              <w:rPr>
                <w:rFonts w:ascii="Arial" w:eastAsia="Arial" w:hAnsi="Arial" w:cs="Arial"/>
                <w:i/>
                <w:sz w:val="18"/>
                <w:szCs w:val="18"/>
              </w:rPr>
            </w:pPr>
            <w:r>
              <w:rPr>
                <w:rFonts w:ascii="Arial" w:eastAsia="Arial" w:hAnsi="Arial" w:cs="Arial"/>
                <w:i/>
                <w:sz w:val="18"/>
                <w:szCs w:val="18"/>
              </w:rPr>
              <w:t>Lenci et al., 2013</w:t>
            </w:r>
          </w:p>
        </w:tc>
        <w:tc>
          <w:tcPr>
            <w:tcW w:w="2082" w:type="dxa"/>
            <w:tcBorders>
              <w:top w:val="single" w:sz="6" w:space="0" w:color="CCCCCC"/>
              <w:left w:val="single" w:sz="6" w:space="0" w:color="CCCCCC"/>
              <w:bottom w:val="dotted" w:sz="6" w:space="0" w:color="000000"/>
              <w:right w:val="dotted" w:sz="6" w:space="0" w:color="000000"/>
            </w:tcBorders>
            <w:tcMar>
              <w:top w:w="0" w:type="dxa"/>
              <w:left w:w="45" w:type="dxa"/>
              <w:bottom w:w="0" w:type="dxa"/>
              <w:right w:w="45" w:type="dxa"/>
            </w:tcMar>
            <w:vAlign w:val="bottom"/>
          </w:tcPr>
          <w:p w14:paraId="09AD5E4B" w14:textId="77777777" w:rsidR="00A95AE8" w:rsidRDefault="00000000">
            <w:pPr>
              <w:jc w:val="both"/>
              <w:rPr>
                <w:rFonts w:ascii="Arial" w:eastAsia="Arial" w:hAnsi="Arial" w:cs="Arial"/>
                <w:sz w:val="18"/>
                <w:szCs w:val="18"/>
              </w:rPr>
            </w:pPr>
            <w:r>
              <w:rPr>
                <w:rFonts w:ascii="Arial" w:eastAsia="Arial" w:hAnsi="Arial" w:cs="Arial"/>
                <w:sz w:val="18"/>
                <w:szCs w:val="18"/>
              </w:rPr>
              <w:t>0.712</w:t>
            </w:r>
          </w:p>
        </w:tc>
        <w:tc>
          <w:tcPr>
            <w:tcW w:w="1556" w:type="dxa"/>
            <w:tcBorders>
              <w:top w:val="single" w:sz="6" w:space="0" w:color="CCCCCC"/>
              <w:left w:val="single" w:sz="6" w:space="0" w:color="CCCCCC"/>
              <w:bottom w:val="dotted" w:sz="6" w:space="0" w:color="000000"/>
              <w:right w:val="dotted" w:sz="6" w:space="0" w:color="000000"/>
            </w:tcBorders>
            <w:tcMar>
              <w:top w:w="0" w:type="dxa"/>
              <w:left w:w="45" w:type="dxa"/>
              <w:bottom w:w="0" w:type="dxa"/>
              <w:right w:w="45" w:type="dxa"/>
            </w:tcMar>
            <w:vAlign w:val="bottom"/>
          </w:tcPr>
          <w:p w14:paraId="5B07252F" w14:textId="77777777" w:rsidR="00A95AE8" w:rsidRDefault="00A95AE8">
            <w:pPr>
              <w:jc w:val="both"/>
              <w:rPr>
                <w:rFonts w:ascii="Arial" w:eastAsia="Arial" w:hAnsi="Arial" w:cs="Arial"/>
                <w:sz w:val="18"/>
                <w:szCs w:val="18"/>
              </w:rPr>
            </w:pPr>
          </w:p>
        </w:tc>
        <w:tc>
          <w:tcPr>
            <w:tcW w:w="1571" w:type="dxa"/>
            <w:tcBorders>
              <w:top w:val="single" w:sz="6" w:space="0" w:color="CCCCCC"/>
              <w:left w:val="single" w:sz="6" w:space="0" w:color="CCCCCC"/>
              <w:bottom w:val="dotted" w:sz="6" w:space="0" w:color="000000"/>
              <w:right w:val="dotted" w:sz="6" w:space="0" w:color="000000"/>
            </w:tcBorders>
            <w:tcMar>
              <w:top w:w="0" w:type="dxa"/>
              <w:left w:w="45" w:type="dxa"/>
              <w:bottom w:w="0" w:type="dxa"/>
              <w:right w:w="45" w:type="dxa"/>
            </w:tcMar>
            <w:vAlign w:val="bottom"/>
          </w:tcPr>
          <w:p w14:paraId="3C2A4FEB" w14:textId="77777777" w:rsidR="00A95AE8" w:rsidRDefault="00000000">
            <w:pPr>
              <w:jc w:val="both"/>
              <w:rPr>
                <w:rFonts w:ascii="Arial" w:eastAsia="Arial" w:hAnsi="Arial" w:cs="Arial"/>
                <w:sz w:val="18"/>
                <w:szCs w:val="18"/>
              </w:rPr>
            </w:pPr>
            <w:r>
              <w:rPr>
                <w:rFonts w:ascii="Arial" w:eastAsia="Arial" w:hAnsi="Arial" w:cs="Arial"/>
                <w:sz w:val="18"/>
                <w:szCs w:val="18"/>
              </w:rPr>
              <w:t>100.0</w:t>
            </w:r>
          </w:p>
        </w:tc>
      </w:tr>
      <w:tr w:rsidR="00A95AE8" w14:paraId="540665C1" w14:textId="77777777">
        <w:trPr>
          <w:trHeight w:val="255"/>
        </w:trPr>
        <w:tc>
          <w:tcPr>
            <w:tcW w:w="2036" w:type="dxa"/>
            <w:tcBorders>
              <w:top w:val="single" w:sz="6" w:space="0" w:color="CCCCCC"/>
              <w:left w:val="dotted" w:sz="6" w:space="0" w:color="000000"/>
              <w:bottom w:val="dotted" w:sz="6" w:space="0" w:color="000000"/>
              <w:right w:val="dotted" w:sz="6" w:space="0" w:color="000000"/>
            </w:tcBorders>
            <w:tcMar>
              <w:top w:w="0" w:type="dxa"/>
              <w:left w:w="45" w:type="dxa"/>
              <w:bottom w:w="0" w:type="dxa"/>
              <w:right w:w="45" w:type="dxa"/>
            </w:tcMar>
            <w:vAlign w:val="bottom"/>
          </w:tcPr>
          <w:p w14:paraId="0A14AC5A" w14:textId="77777777" w:rsidR="00A95AE8" w:rsidRDefault="00000000">
            <w:pPr>
              <w:jc w:val="both"/>
              <w:rPr>
                <w:rFonts w:ascii="Arial" w:eastAsia="Arial" w:hAnsi="Arial" w:cs="Arial"/>
                <w:b/>
                <w:sz w:val="18"/>
                <w:szCs w:val="18"/>
              </w:rPr>
            </w:pPr>
            <w:r>
              <w:rPr>
                <w:rFonts w:ascii="Arial" w:eastAsia="Arial" w:hAnsi="Arial" w:cs="Arial"/>
                <w:b/>
                <w:sz w:val="18"/>
                <w:szCs w:val="18"/>
              </w:rPr>
              <w:t>McRAE</w:t>
            </w:r>
          </w:p>
        </w:tc>
        <w:tc>
          <w:tcPr>
            <w:tcW w:w="2099" w:type="dxa"/>
            <w:tcBorders>
              <w:top w:val="single" w:sz="6" w:space="0" w:color="CCCCCC"/>
              <w:left w:val="single" w:sz="6" w:space="0" w:color="CCCCCC"/>
              <w:bottom w:val="dotted" w:sz="6" w:space="0" w:color="000000"/>
              <w:right w:val="dotted" w:sz="6" w:space="0" w:color="000000"/>
            </w:tcBorders>
            <w:tcMar>
              <w:top w:w="0" w:type="dxa"/>
              <w:left w:w="45" w:type="dxa"/>
              <w:bottom w:w="0" w:type="dxa"/>
              <w:right w:w="45" w:type="dxa"/>
            </w:tcMar>
            <w:vAlign w:val="bottom"/>
          </w:tcPr>
          <w:p w14:paraId="5624A8F3" w14:textId="77777777" w:rsidR="00A95AE8" w:rsidRDefault="00000000">
            <w:pPr>
              <w:jc w:val="both"/>
              <w:rPr>
                <w:rFonts w:ascii="Arial" w:eastAsia="Arial" w:hAnsi="Arial" w:cs="Arial"/>
                <w:i/>
                <w:sz w:val="18"/>
                <w:szCs w:val="18"/>
              </w:rPr>
            </w:pPr>
            <w:r>
              <w:rPr>
                <w:rFonts w:ascii="Arial" w:eastAsia="Arial" w:hAnsi="Arial" w:cs="Arial"/>
                <w:i/>
                <w:sz w:val="18"/>
                <w:szCs w:val="18"/>
              </w:rPr>
              <w:t>McRae et al., 2005</w:t>
            </w:r>
          </w:p>
        </w:tc>
        <w:tc>
          <w:tcPr>
            <w:tcW w:w="2082" w:type="dxa"/>
            <w:tcBorders>
              <w:top w:val="single" w:sz="6" w:space="0" w:color="CCCCCC"/>
              <w:left w:val="single" w:sz="6" w:space="0" w:color="CCCCCC"/>
              <w:bottom w:val="dotted" w:sz="6" w:space="0" w:color="000000"/>
              <w:right w:val="dotted" w:sz="6" w:space="0" w:color="000000"/>
            </w:tcBorders>
            <w:tcMar>
              <w:top w:w="0" w:type="dxa"/>
              <w:left w:w="45" w:type="dxa"/>
              <w:bottom w:w="0" w:type="dxa"/>
              <w:right w:w="45" w:type="dxa"/>
            </w:tcMar>
            <w:vAlign w:val="bottom"/>
          </w:tcPr>
          <w:p w14:paraId="57724B37" w14:textId="77777777" w:rsidR="00A95AE8" w:rsidRDefault="00000000">
            <w:pPr>
              <w:jc w:val="both"/>
              <w:rPr>
                <w:rFonts w:ascii="Arial" w:eastAsia="Arial" w:hAnsi="Arial" w:cs="Arial"/>
                <w:sz w:val="18"/>
                <w:szCs w:val="18"/>
              </w:rPr>
            </w:pPr>
            <w:r>
              <w:rPr>
                <w:rFonts w:ascii="Arial" w:eastAsia="Arial" w:hAnsi="Arial" w:cs="Arial"/>
                <w:sz w:val="18"/>
                <w:szCs w:val="18"/>
              </w:rPr>
              <w:t>0.485</w:t>
            </w:r>
          </w:p>
        </w:tc>
        <w:tc>
          <w:tcPr>
            <w:tcW w:w="1556" w:type="dxa"/>
            <w:tcBorders>
              <w:top w:val="single" w:sz="6" w:space="0" w:color="CCCCCC"/>
              <w:left w:val="single" w:sz="6" w:space="0" w:color="CCCCCC"/>
              <w:bottom w:val="dotted" w:sz="6" w:space="0" w:color="000000"/>
              <w:right w:val="dotted" w:sz="6" w:space="0" w:color="000000"/>
            </w:tcBorders>
            <w:tcMar>
              <w:top w:w="0" w:type="dxa"/>
              <w:left w:w="45" w:type="dxa"/>
              <w:bottom w:w="0" w:type="dxa"/>
              <w:right w:w="45" w:type="dxa"/>
            </w:tcMar>
            <w:vAlign w:val="bottom"/>
          </w:tcPr>
          <w:p w14:paraId="56BC6E1F" w14:textId="77777777" w:rsidR="00A95AE8" w:rsidRDefault="00A95AE8">
            <w:pPr>
              <w:jc w:val="both"/>
              <w:rPr>
                <w:rFonts w:ascii="Arial" w:eastAsia="Arial" w:hAnsi="Arial" w:cs="Arial"/>
                <w:sz w:val="18"/>
                <w:szCs w:val="18"/>
              </w:rPr>
            </w:pPr>
          </w:p>
        </w:tc>
        <w:tc>
          <w:tcPr>
            <w:tcW w:w="1571" w:type="dxa"/>
            <w:tcBorders>
              <w:top w:val="single" w:sz="6" w:space="0" w:color="CCCCCC"/>
              <w:left w:val="single" w:sz="6" w:space="0" w:color="CCCCCC"/>
              <w:bottom w:val="dotted" w:sz="6" w:space="0" w:color="000000"/>
              <w:right w:val="dotted" w:sz="6" w:space="0" w:color="000000"/>
            </w:tcBorders>
            <w:tcMar>
              <w:top w:w="0" w:type="dxa"/>
              <w:left w:w="45" w:type="dxa"/>
              <w:bottom w:w="0" w:type="dxa"/>
              <w:right w:w="45" w:type="dxa"/>
            </w:tcMar>
            <w:vAlign w:val="bottom"/>
          </w:tcPr>
          <w:p w14:paraId="15D97FBE" w14:textId="77777777" w:rsidR="00A95AE8" w:rsidRDefault="00000000">
            <w:pPr>
              <w:jc w:val="both"/>
              <w:rPr>
                <w:rFonts w:ascii="Arial" w:eastAsia="Arial" w:hAnsi="Arial" w:cs="Arial"/>
                <w:sz w:val="18"/>
                <w:szCs w:val="18"/>
              </w:rPr>
            </w:pPr>
            <w:r>
              <w:rPr>
                <w:rFonts w:ascii="Arial" w:eastAsia="Arial" w:hAnsi="Arial" w:cs="Arial"/>
                <w:sz w:val="18"/>
                <w:szCs w:val="18"/>
              </w:rPr>
              <w:t>98.7</w:t>
            </w:r>
          </w:p>
        </w:tc>
      </w:tr>
      <w:tr w:rsidR="00A95AE8" w14:paraId="199BB99F" w14:textId="77777777">
        <w:trPr>
          <w:trHeight w:val="255"/>
        </w:trPr>
        <w:tc>
          <w:tcPr>
            <w:tcW w:w="2036" w:type="dxa"/>
            <w:tcBorders>
              <w:top w:val="single" w:sz="6" w:space="0" w:color="CCCCCC"/>
              <w:left w:val="dotted" w:sz="6" w:space="0" w:color="000000"/>
              <w:bottom w:val="dotted" w:sz="6" w:space="0" w:color="000000"/>
              <w:right w:val="dotted" w:sz="6" w:space="0" w:color="000000"/>
            </w:tcBorders>
            <w:tcMar>
              <w:top w:w="0" w:type="dxa"/>
              <w:left w:w="45" w:type="dxa"/>
              <w:bottom w:w="0" w:type="dxa"/>
              <w:right w:w="45" w:type="dxa"/>
            </w:tcMar>
            <w:vAlign w:val="bottom"/>
          </w:tcPr>
          <w:p w14:paraId="147A6CC4" w14:textId="77777777" w:rsidR="00A95AE8" w:rsidRDefault="00000000">
            <w:pPr>
              <w:jc w:val="both"/>
              <w:rPr>
                <w:rFonts w:ascii="Arial" w:eastAsia="Arial" w:hAnsi="Arial" w:cs="Arial"/>
                <w:b/>
                <w:sz w:val="18"/>
                <w:szCs w:val="18"/>
              </w:rPr>
            </w:pPr>
            <w:r>
              <w:rPr>
                <w:rFonts w:ascii="Arial" w:eastAsia="Arial" w:hAnsi="Arial" w:cs="Arial"/>
                <w:b/>
                <w:sz w:val="18"/>
                <w:szCs w:val="18"/>
              </w:rPr>
              <w:t>VINSON</w:t>
            </w:r>
          </w:p>
        </w:tc>
        <w:tc>
          <w:tcPr>
            <w:tcW w:w="2099" w:type="dxa"/>
            <w:tcBorders>
              <w:top w:val="single" w:sz="6" w:space="0" w:color="CCCCCC"/>
              <w:left w:val="single" w:sz="6" w:space="0" w:color="CCCCCC"/>
              <w:bottom w:val="dotted" w:sz="6" w:space="0" w:color="000000"/>
              <w:right w:val="dotted" w:sz="6" w:space="0" w:color="000000"/>
            </w:tcBorders>
            <w:tcMar>
              <w:top w:w="0" w:type="dxa"/>
              <w:left w:w="45" w:type="dxa"/>
              <w:bottom w:w="0" w:type="dxa"/>
              <w:right w:w="45" w:type="dxa"/>
            </w:tcMar>
            <w:vAlign w:val="bottom"/>
          </w:tcPr>
          <w:p w14:paraId="37AB51E7" w14:textId="77777777" w:rsidR="00A95AE8" w:rsidRDefault="00000000">
            <w:pPr>
              <w:jc w:val="both"/>
              <w:rPr>
                <w:rFonts w:ascii="Arial" w:eastAsia="Arial" w:hAnsi="Arial" w:cs="Arial"/>
                <w:i/>
                <w:sz w:val="18"/>
                <w:szCs w:val="18"/>
              </w:rPr>
            </w:pPr>
            <w:r>
              <w:rPr>
                <w:rFonts w:ascii="Arial" w:eastAsia="Arial" w:hAnsi="Arial" w:cs="Arial"/>
                <w:i/>
                <w:sz w:val="18"/>
                <w:szCs w:val="18"/>
              </w:rPr>
              <w:t>Vinson &amp; Vigliocco, 2008</w:t>
            </w:r>
          </w:p>
        </w:tc>
        <w:tc>
          <w:tcPr>
            <w:tcW w:w="2082" w:type="dxa"/>
            <w:tcBorders>
              <w:top w:val="single" w:sz="6" w:space="0" w:color="CCCCCC"/>
              <w:left w:val="single" w:sz="6" w:space="0" w:color="CCCCCC"/>
              <w:bottom w:val="dotted" w:sz="6" w:space="0" w:color="000000"/>
              <w:right w:val="dotted" w:sz="6" w:space="0" w:color="000000"/>
            </w:tcBorders>
            <w:tcMar>
              <w:top w:w="0" w:type="dxa"/>
              <w:left w:w="45" w:type="dxa"/>
              <w:bottom w:w="0" w:type="dxa"/>
              <w:right w:w="45" w:type="dxa"/>
            </w:tcMar>
            <w:vAlign w:val="bottom"/>
          </w:tcPr>
          <w:p w14:paraId="4271D552" w14:textId="77777777" w:rsidR="00A95AE8" w:rsidRDefault="00000000">
            <w:pPr>
              <w:jc w:val="both"/>
              <w:rPr>
                <w:rFonts w:ascii="Arial" w:eastAsia="Arial" w:hAnsi="Arial" w:cs="Arial"/>
                <w:sz w:val="18"/>
                <w:szCs w:val="18"/>
              </w:rPr>
            </w:pPr>
            <w:r>
              <w:rPr>
                <w:rFonts w:ascii="Arial" w:eastAsia="Arial" w:hAnsi="Arial" w:cs="Arial"/>
                <w:sz w:val="18"/>
                <w:szCs w:val="18"/>
              </w:rPr>
              <w:t>0.582</w:t>
            </w:r>
          </w:p>
        </w:tc>
        <w:tc>
          <w:tcPr>
            <w:tcW w:w="1556" w:type="dxa"/>
            <w:tcBorders>
              <w:top w:val="single" w:sz="6" w:space="0" w:color="CCCCCC"/>
              <w:left w:val="single" w:sz="6" w:space="0" w:color="CCCCCC"/>
              <w:bottom w:val="dotted" w:sz="6" w:space="0" w:color="000000"/>
              <w:right w:val="dotted" w:sz="6" w:space="0" w:color="000000"/>
            </w:tcBorders>
            <w:tcMar>
              <w:top w:w="0" w:type="dxa"/>
              <w:left w:w="45" w:type="dxa"/>
              <w:bottom w:w="0" w:type="dxa"/>
              <w:right w:w="45" w:type="dxa"/>
            </w:tcMar>
            <w:vAlign w:val="bottom"/>
          </w:tcPr>
          <w:p w14:paraId="241192CB" w14:textId="77777777" w:rsidR="00A95AE8" w:rsidRDefault="00A95AE8">
            <w:pPr>
              <w:jc w:val="both"/>
              <w:rPr>
                <w:rFonts w:ascii="Arial" w:eastAsia="Arial" w:hAnsi="Arial" w:cs="Arial"/>
                <w:sz w:val="18"/>
                <w:szCs w:val="18"/>
              </w:rPr>
            </w:pPr>
          </w:p>
        </w:tc>
        <w:tc>
          <w:tcPr>
            <w:tcW w:w="1571" w:type="dxa"/>
            <w:tcBorders>
              <w:top w:val="single" w:sz="6" w:space="0" w:color="CCCCCC"/>
              <w:left w:val="single" w:sz="6" w:space="0" w:color="CCCCCC"/>
              <w:bottom w:val="dotted" w:sz="6" w:space="0" w:color="000000"/>
              <w:right w:val="dotted" w:sz="6" w:space="0" w:color="000000"/>
            </w:tcBorders>
            <w:tcMar>
              <w:top w:w="0" w:type="dxa"/>
              <w:left w:w="45" w:type="dxa"/>
              <w:bottom w:w="0" w:type="dxa"/>
              <w:right w:w="45" w:type="dxa"/>
            </w:tcMar>
            <w:vAlign w:val="bottom"/>
          </w:tcPr>
          <w:p w14:paraId="51392DB8" w14:textId="77777777" w:rsidR="00A95AE8" w:rsidRDefault="00000000">
            <w:pPr>
              <w:jc w:val="both"/>
              <w:rPr>
                <w:rFonts w:ascii="Arial" w:eastAsia="Arial" w:hAnsi="Arial" w:cs="Arial"/>
                <w:sz w:val="18"/>
                <w:szCs w:val="18"/>
              </w:rPr>
            </w:pPr>
            <w:r>
              <w:rPr>
                <w:rFonts w:ascii="Arial" w:eastAsia="Arial" w:hAnsi="Arial" w:cs="Arial"/>
                <w:sz w:val="18"/>
                <w:szCs w:val="18"/>
              </w:rPr>
              <w:t>99.6</w:t>
            </w:r>
          </w:p>
        </w:tc>
      </w:tr>
      <w:tr w:rsidR="00A95AE8" w14:paraId="7EACDCAF" w14:textId="77777777">
        <w:trPr>
          <w:trHeight w:val="255"/>
        </w:trPr>
        <w:tc>
          <w:tcPr>
            <w:tcW w:w="2036" w:type="dxa"/>
            <w:tcBorders>
              <w:top w:val="single" w:sz="6" w:space="0" w:color="CCCCCC"/>
              <w:left w:val="dotted" w:sz="6" w:space="0" w:color="000000"/>
              <w:bottom w:val="dotted" w:sz="6" w:space="0" w:color="000000"/>
              <w:right w:val="dotted" w:sz="6" w:space="0" w:color="000000"/>
            </w:tcBorders>
            <w:tcMar>
              <w:top w:w="0" w:type="dxa"/>
              <w:left w:w="45" w:type="dxa"/>
              <w:bottom w:w="0" w:type="dxa"/>
              <w:right w:w="45" w:type="dxa"/>
            </w:tcMar>
            <w:vAlign w:val="bottom"/>
          </w:tcPr>
          <w:p w14:paraId="062CD112" w14:textId="77777777" w:rsidR="00A95AE8" w:rsidRDefault="00000000">
            <w:pPr>
              <w:jc w:val="both"/>
              <w:rPr>
                <w:rFonts w:ascii="Arial" w:eastAsia="Arial" w:hAnsi="Arial" w:cs="Arial"/>
                <w:b/>
                <w:sz w:val="18"/>
                <w:szCs w:val="18"/>
              </w:rPr>
            </w:pPr>
            <w:r>
              <w:rPr>
                <w:rFonts w:ascii="Arial" w:eastAsia="Arial" w:hAnsi="Arial" w:cs="Arial"/>
                <w:b/>
                <w:sz w:val="18"/>
                <w:szCs w:val="18"/>
              </w:rPr>
              <w:t>SIMLEX-999</w:t>
            </w:r>
          </w:p>
        </w:tc>
        <w:tc>
          <w:tcPr>
            <w:tcW w:w="2099" w:type="dxa"/>
            <w:tcBorders>
              <w:top w:val="single" w:sz="6" w:space="0" w:color="CCCCCC"/>
              <w:left w:val="single" w:sz="6" w:space="0" w:color="CCCCCC"/>
              <w:bottom w:val="dotted" w:sz="6" w:space="0" w:color="000000"/>
              <w:right w:val="dotted" w:sz="6" w:space="0" w:color="000000"/>
            </w:tcBorders>
            <w:tcMar>
              <w:top w:w="0" w:type="dxa"/>
              <w:left w:w="45" w:type="dxa"/>
              <w:bottom w:w="0" w:type="dxa"/>
              <w:right w:w="45" w:type="dxa"/>
            </w:tcMar>
            <w:vAlign w:val="bottom"/>
          </w:tcPr>
          <w:p w14:paraId="005D5DE2" w14:textId="77777777" w:rsidR="00A95AE8" w:rsidRDefault="00000000">
            <w:pPr>
              <w:jc w:val="both"/>
              <w:rPr>
                <w:rFonts w:ascii="Arial" w:eastAsia="Arial" w:hAnsi="Arial" w:cs="Arial"/>
                <w:i/>
                <w:sz w:val="18"/>
                <w:szCs w:val="18"/>
              </w:rPr>
            </w:pPr>
            <w:r>
              <w:rPr>
                <w:rFonts w:ascii="Arial" w:eastAsia="Arial" w:hAnsi="Arial" w:cs="Arial"/>
                <w:i/>
                <w:sz w:val="18"/>
                <w:szCs w:val="18"/>
              </w:rPr>
              <w:t>Reichart &amp; Korhonen, 2015</w:t>
            </w:r>
          </w:p>
        </w:tc>
        <w:tc>
          <w:tcPr>
            <w:tcW w:w="2082" w:type="dxa"/>
            <w:tcBorders>
              <w:top w:val="single" w:sz="6" w:space="0" w:color="CCCCCC"/>
              <w:left w:val="single" w:sz="6" w:space="0" w:color="CCCCCC"/>
              <w:bottom w:val="dotted" w:sz="6" w:space="0" w:color="000000"/>
              <w:right w:val="dotted" w:sz="6" w:space="0" w:color="000000"/>
            </w:tcBorders>
            <w:tcMar>
              <w:top w:w="0" w:type="dxa"/>
              <w:left w:w="45" w:type="dxa"/>
              <w:bottom w:w="0" w:type="dxa"/>
              <w:right w:w="45" w:type="dxa"/>
            </w:tcMar>
            <w:vAlign w:val="bottom"/>
          </w:tcPr>
          <w:p w14:paraId="18E75F60" w14:textId="77777777" w:rsidR="00A95AE8" w:rsidRDefault="00000000">
            <w:pPr>
              <w:jc w:val="both"/>
              <w:rPr>
                <w:rFonts w:ascii="Arial" w:eastAsia="Arial" w:hAnsi="Arial" w:cs="Arial"/>
                <w:sz w:val="18"/>
                <w:szCs w:val="18"/>
              </w:rPr>
            </w:pPr>
            <w:r>
              <w:rPr>
                <w:rFonts w:ascii="Arial" w:eastAsia="Arial" w:hAnsi="Arial" w:cs="Arial"/>
                <w:sz w:val="18"/>
                <w:szCs w:val="18"/>
              </w:rPr>
              <w:t>0.451</w:t>
            </w:r>
          </w:p>
        </w:tc>
        <w:tc>
          <w:tcPr>
            <w:tcW w:w="1556" w:type="dxa"/>
            <w:tcBorders>
              <w:top w:val="single" w:sz="6" w:space="0" w:color="CCCCCC"/>
              <w:left w:val="single" w:sz="6" w:space="0" w:color="CCCCCC"/>
              <w:bottom w:val="dotted" w:sz="6" w:space="0" w:color="000000"/>
              <w:right w:val="dotted" w:sz="6" w:space="0" w:color="000000"/>
            </w:tcBorders>
            <w:tcMar>
              <w:top w:w="0" w:type="dxa"/>
              <w:left w:w="45" w:type="dxa"/>
              <w:bottom w:w="0" w:type="dxa"/>
              <w:right w:w="45" w:type="dxa"/>
            </w:tcMar>
            <w:vAlign w:val="bottom"/>
          </w:tcPr>
          <w:p w14:paraId="7F42A929" w14:textId="77777777" w:rsidR="00A95AE8" w:rsidRDefault="00A95AE8">
            <w:pPr>
              <w:jc w:val="both"/>
              <w:rPr>
                <w:rFonts w:ascii="Arial" w:eastAsia="Arial" w:hAnsi="Arial" w:cs="Arial"/>
                <w:sz w:val="18"/>
                <w:szCs w:val="18"/>
              </w:rPr>
            </w:pPr>
          </w:p>
        </w:tc>
        <w:tc>
          <w:tcPr>
            <w:tcW w:w="1571" w:type="dxa"/>
            <w:tcBorders>
              <w:top w:val="single" w:sz="6" w:space="0" w:color="CCCCCC"/>
              <w:left w:val="single" w:sz="6" w:space="0" w:color="CCCCCC"/>
              <w:bottom w:val="dotted" w:sz="6" w:space="0" w:color="000000"/>
              <w:right w:val="dotted" w:sz="6" w:space="0" w:color="000000"/>
            </w:tcBorders>
            <w:tcMar>
              <w:top w:w="0" w:type="dxa"/>
              <w:left w:w="45" w:type="dxa"/>
              <w:bottom w:w="0" w:type="dxa"/>
              <w:right w:w="45" w:type="dxa"/>
            </w:tcMar>
            <w:vAlign w:val="bottom"/>
          </w:tcPr>
          <w:p w14:paraId="3B607673" w14:textId="77777777" w:rsidR="00A95AE8" w:rsidRDefault="00000000">
            <w:pPr>
              <w:jc w:val="both"/>
              <w:rPr>
                <w:rFonts w:ascii="Arial" w:eastAsia="Arial" w:hAnsi="Arial" w:cs="Arial"/>
                <w:sz w:val="18"/>
                <w:szCs w:val="18"/>
              </w:rPr>
            </w:pPr>
            <w:r>
              <w:rPr>
                <w:rFonts w:ascii="Arial" w:eastAsia="Arial" w:hAnsi="Arial" w:cs="Arial"/>
                <w:sz w:val="18"/>
                <w:szCs w:val="18"/>
              </w:rPr>
              <w:t>99.9</w:t>
            </w:r>
          </w:p>
        </w:tc>
      </w:tr>
      <w:tr w:rsidR="00A95AE8" w14:paraId="6AEF8369" w14:textId="77777777">
        <w:trPr>
          <w:trHeight w:val="255"/>
        </w:trPr>
        <w:tc>
          <w:tcPr>
            <w:tcW w:w="2036" w:type="dxa"/>
            <w:tcBorders>
              <w:top w:val="single" w:sz="6" w:space="0" w:color="CCCCCC"/>
              <w:left w:val="dotted" w:sz="6" w:space="0" w:color="000000"/>
              <w:bottom w:val="dotted" w:sz="6" w:space="0" w:color="000000"/>
              <w:right w:val="dotted" w:sz="6" w:space="0" w:color="000000"/>
            </w:tcBorders>
            <w:tcMar>
              <w:top w:w="0" w:type="dxa"/>
              <w:left w:w="45" w:type="dxa"/>
              <w:bottom w:w="0" w:type="dxa"/>
              <w:right w:w="45" w:type="dxa"/>
            </w:tcMar>
            <w:vAlign w:val="bottom"/>
          </w:tcPr>
          <w:p w14:paraId="489B2DA5" w14:textId="77777777" w:rsidR="00A95AE8" w:rsidRDefault="00000000">
            <w:pPr>
              <w:jc w:val="both"/>
              <w:rPr>
                <w:rFonts w:ascii="Arial" w:eastAsia="Arial" w:hAnsi="Arial" w:cs="Arial"/>
                <w:b/>
                <w:sz w:val="18"/>
                <w:szCs w:val="18"/>
              </w:rPr>
            </w:pPr>
            <w:r>
              <w:rPr>
                <w:rFonts w:ascii="Arial" w:eastAsia="Arial" w:hAnsi="Arial" w:cs="Arial"/>
                <w:b/>
                <w:sz w:val="18"/>
                <w:szCs w:val="18"/>
              </w:rPr>
              <w:t>MTURK-771</w:t>
            </w:r>
          </w:p>
        </w:tc>
        <w:tc>
          <w:tcPr>
            <w:tcW w:w="2099" w:type="dxa"/>
            <w:tcBorders>
              <w:top w:val="single" w:sz="6" w:space="0" w:color="CCCCCC"/>
              <w:left w:val="single" w:sz="6" w:space="0" w:color="CCCCCC"/>
              <w:bottom w:val="dotted" w:sz="6" w:space="0" w:color="000000"/>
              <w:right w:val="dotted" w:sz="6" w:space="0" w:color="000000"/>
            </w:tcBorders>
            <w:tcMar>
              <w:top w:w="0" w:type="dxa"/>
              <w:left w:w="45" w:type="dxa"/>
              <w:bottom w:w="0" w:type="dxa"/>
              <w:right w:w="45" w:type="dxa"/>
            </w:tcMar>
            <w:vAlign w:val="bottom"/>
          </w:tcPr>
          <w:p w14:paraId="0432E764" w14:textId="77777777" w:rsidR="00A95AE8" w:rsidRDefault="00000000">
            <w:pPr>
              <w:jc w:val="both"/>
              <w:rPr>
                <w:rFonts w:ascii="Arial" w:eastAsia="Arial" w:hAnsi="Arial" w:cs="Arial"/>
                <w:i/>
                <w:sz w:val="18"/>
                <w:szCs w:val="18"/>
              </w:rPr>
            </w:pPr>
            <w:r>
              <w:rPr>
                <w:rFonts w:ascii="Arial" w:eastAsia="Arial" w:hAnsi="Arial" w:cs="Arial"/>
                <w:i/>
                <w:sz w:val="18"/>
                <w:szCs w:val="18"/>
              </w:rPr>
              <w:t>Halawi et al., 2012</w:t>
            </w:r>
          </w:p>
        </w:tc>
        <w:tc>
          <w:tcPr>
            <w:tcW w:w="2082" w:type="dxa"/>
            <w:tcBorders>
              <w:top w:val="single" w:sz="6" w:space="0" w:color="CCCCCC"/>
              <w:left w:val="single" w:sz="6" w:space="0" w:color="CCCCCC"/>
              <w:bottom w:val="dotted" w:sz="6" w:space="0" w:color="000000"/>
              <w:right w:val="dotted" w:sz="6" w:space="0" w:color="000000"/>
            </w:tcBorders>
            <w:tcMar>
              <w:top w:w="0" w:type="dxa"/>
              <w:left w:w="45" w:type="dxa"/>
              <w:bottom w:w="0" w:type="dxa"/>
              <w:right w:w="45" w:type="dxa"/>
            </w:tcMar>
            <w:vAlign w:val="bottom"/>
          </w:tcPr>
          <w:p w14:paraId="2FE38FA4" w14:textId="77777777" w:rsidR="00A95AE8" w:rsidRDefault="00000000">
            <w:pPr>
              <w:jc w:val="both"/>
              <w:rPr>
                <w:rFonts w:ascii="Arial" w:eastAsia="Arial" w:hAnsi="Arial" w:cs="Arial"/>
                <w:sz w:val="18"/>
                <w:szCs w:val="18"/>
              </w:rPr>
            </w:pPr>
            <w:r>
              <w:rPr>
                <w:rFonts w:ascii="Arial" w:eastAsia="Arial" w:hAnsi="Arial" w:cs="Arial"/>
                <w:sz w:val="18"/>
                <w:szCs w:val="18"/>
              </w:rPr>
              <w:t>0.647</w:t>
            </w:r>
          </w:p>
        </w:tc>
        <w:tc>
          <w:tcPr>
            <w:tcW w:w="1556" w:type="dxa"/>
            <w:tcBorders>
              <w:top w:val="single" w:sz="6" w:space="0" w:color="CCCCCC"/>
              <w:left w:val="single" w:sz="6" w:space="0" w:color="CCCCCC"/>
              <w:bottom w:val="dotted" w:sz="6" w:space="0" w:color="000000"/>
              <w:right w:val="dotted" w:sz="6" w:space="0" w:color="000000"/>
            </w:tcBorders>
            <w:tcMar>
              <w:top w:w="0" w:type="dxa"/>
              <w:left w:w="45" w:type="dxa"/>
              <w:bottom w:w="0" w:type="dxa"/>
              <w:right w:w="45" w:type="dxa"/>
            </w:tcMar>
            <w:vAlign w:val="bottom"/>
          </w:tcPr>
          <w:p w14:paraId="480A55C7" w14:textId="77777777" w:rsidR="00A95AE8" w:rsidRDefault="00A95AE8">
            <w:pPr>
              <w:jc w:val="both"/>
              <w:rPr>
                <w:rFonts w:ascii="Arial" w:eastAsia="Arial" w:hAnsi="Arial" w:cs="Arial"/>
                <w:sz w:val="18"/>
                <w:szCs w:val="18"/>
              </w:rPr>
            </w:pPr>
          </w:p>
        </w:tc>
        <w:tc>
          <w:tcPr>
            <w:tcW w:w="1571" w:type="dxa"/>
            <w:tcBorders>
              <w:top w:val="single" w:sz="6" w:space="0" w:color="CCCCCC"/>
              <w:left w:val="single" w:sz="6" w:space="0" w:color="CCCCCC"/>
              <w:bottom w:val="dotted" w:sz="6" w:space="0" w:color="000000"/>
              <w:right w:val="dotted" w:sz="6" w:space="0" w:color="000000"/>
            </w:tcBorders>
            <w:tcMar>
              <w:top w:w="0" w:type="dxa"/>
              <w:left w:w="45" w:type="dxa"/>
              <w:bottom w:w="0" w:type="dxa"/>
              <w:right w:w="45" w:type="dxa"/>
            </w:tcMar>
            <w:vAlign w:val="bottom"/>
          </w:tcPr>
          <w:p w14:paraId="4F898CE8" w14:textId="77777777" w:rsidR="00A95AE8" w:rsidRDefault="00000000">
            <w:pPr>
              <w:jc w:val="both"/>
              <w:rPr>
                <w:rFonts w:ascii="Arial" w:eastAsia="Arial" w:hAnsi="Arial" w:cs="Arial"/>
                <w:sz w:val="18"/>
                <w:szCs w:val="18"/>
              </w:rPr>
            </w:pPr>
            <w:r>
              <w:rPr>
                <w:rFonts w:ascii="Arial" w:eastAsia="Arial" w:hAnsi="Arial" w:cs="Arial"/>
                <w:sz w:val="18"/>
                <w:szCs w:val="18"/>
              </w:rPr>
              <w:t>99.7</w:t>
            </w:r>
          </w:p>
        </w:tc>
      </w:tr>
      <w:tr w:rsidR="00A95AE8" w14:paraId="5CAC81B2" w14:textId="77777777">
        <w:trPr>
          <w:trHeight w:val="255"/>
        </w:trPr>
        <w:tc>
          <w:tcPr>
            <w:tcW w:w="2036" w:type="dxa"/>
            <w:tcBorders>
              <w:top w:val="single" w:sz="6" w:space="0" w:color="CCCCCC"/>
              <w:left w:val="dotted" w:sz="6" w:space="0" w:color="000000"/>
              <w:bottom w:val="dotted" w:sz="6" w:space="0" w:color="000000"/>
              <w:right w:val="dotted" w:sz="6" w:space="0" w:color="000000"/>
            </w:tcBorders>
            <w:tcMar>
              <w:top w:w="0" w:type="dxa"/>
              <w:left w:w="45" w:type="dxa"/>
              <w:bottom w:w="0" w:type="dxa"/>
              <w:right w:w="45" w:type="dxa"/>
            </w:tcMar>
            <w:vAlign w:val="bottom"/>
          </w:tcPr>
          <w:p w14:paraId="019138E7" w14:textId="77777777" w:rsidR="00A95AE8" w:rsidRDefault="00000000">
            <w:pPr>
              <w:jc w:val="both"/>
              <w:rPr>
                <w:rFonts w:ascii="Arial" w:eastAsia="Arial" w:hAnsi="Arial" w:cs="Arial"/>
                <w:b/>
                <w:sz w:val="18"/>
                <w:szCs w:val="18"/>
              </w:rPr>
            </w:pPr>
            <w:r>
              <w:rPr>
                <w:rFonts w:ascii="Arial" w:eastAsia="Arial" w:hAnsi="Arial" w:cs="Arial"/>
                <w:b/>
                <w:sz w:val="18"/>
                <w:szCs w:val="18"/>
              </w:rPr>
              <w:t>WORD NORMS</w:t>
            </w:r>
          </w:p>
        </w:tc>
        <w:tc>
          <w:tcPr>
            <w:tcW w:w="2099" w:type="dxa"/>
            <w:tcBorders>
              <w:top w:val="single" w:sz="6" w:space="0" w:color="CCCCCC"/>
              <w:left w:val="single" w:sz="6" w:space="0" w:color="CCCCCC"/>
              <w:bottom w:val="dotted" w:sz="6" w:space="0" w:color="000000"/>
              <w:right w:val="dotted" w:sz="6" w:space="0" w:color="000000"/>
            </w:tcBorders>
            <w:tcMar>
              <w:top w:w="0" w:type="dxa"/>
              <w:left w:w="45" w:type="dxa"/>
              <w:bottom w:w="0" w:type="dxa"/>
              <w:right w:w="45" w:type="dxa"/>
            </w:tcMar>
            <w:vAlign w:val="bottom"/>
          </w:tcPr>
          <w:p w14:paraId="3B409CA8" w14:textId="77777777" w:rsidR="00A95AE8" w:rsidRDefault="00000000">
            <w:pPr>
              <w:jc w:val="both"/>
              <w:rPr>
                <w:rFonts w:ascii="Arial" w:eastAsia="Arial" w:hAnsi="Arial" w:cs="Arial"/>
                <w:i/>
                <w:sz w:val="18"/>
                <w:szCs w:val="18"/>
              </w:rPr>
            </w:pPr>
            <w:r>
              <w:rPr>
                <w:rFonts w:ascii="Arial" w:eastAsia="Arial" w:hAnsi="Arial" w:cs="Arial"/>
                <w:i/>
                <w:sz w:val="18"/>
                <w:szCs w:val="18"/>
              </w:rPr>
              <w:t>Buchanan et al., 2013</w:t>
            </w:r>
          </w:p>
        </w:tc>
        <w:tc>
          <w:tcPr>
            <w:tcW w:w="2082" w:type="dxa"/>
            <w:tcBorders>
              <w:top w:val="single" w:sz="6" w:space="0" w:color="CCCCCC"/>
              <w:left w:val="single" w:sz="6" w:space="0" w:color="CCCCCC"/>
              <w:bottom w:val="dotted" w:sz="6" w:space="0" w:color="000000"/>
              <w:right w:val="dotted" w:sz="6" w:space="0" w:color="000000"/>
            </w:tcBorders>
            <w:tcMar>
              <w:top w:w="0" w:type="dxa"/>
              <w:left w:w="45" w:type="dxa"/>
              <w:bottom w:w="0" w:type="dxa"/>
              <w:right w:w="45" w:type="dxa"/>
            </w:tcMar>
            <w:vAlign w:val="bottom"/>
          </w:tcPr>
          <w:p w14:paraId="38C6AF5A" w14:textId="77777777" w:rsidR="00A95AE8" w:rsidRDefault="00000000">
            <w:pPr>
              <w:jc w:val="both"/>
              <w:rPr>
                <w:rFonts w:ascii="Arial" w:eastAsia="Arial" w:hAnsi="Arial" w:cs="Arial"/>
                <w:sz w:val="18"/>
                <w:szCs w:val="18"/>
              </w:rPr>
            </w:pPr>
            <w:r>
              <w:rPr>
                <w:rFonts w:ascii="Arial" w:eastAsia="Arial" w:hAnsi="Arial" w:cs="Arial"/>
                <w:sz w:val="18"/>
                <w:szCs w:val="18"/>
              </w:rPr>
              <w:t>0.379</w:t>
            </w:r>
          </w:p>
        </w:tc>
        <w:tc>
          <w:tcPr>
            <w:tcW w:w="1556" w:type="dxa"/>
            <w:tcBorders>
              <w:top w:val="single" w:sz="6" w:space="0" w:color="CCCCCC"/>
              <w:left w:val="single" w:sz="6" w:space="0" w:color="CCCCCC"/>
              <w:bottom w:val="dotted" w:sz="6" w:space="0" w:color="000000"/>
              <w:right w:val="dotted" w:sz="6" w:space="0" w:color="000000"/>
            </w:tcBorders>
            <w:tcMar>
              <w:top w:w="0" w:type="dxa"/>
              <w:left w:w="45" w:type="dxa"/>
              <w:bottom w:w="0" w:type="dxa"/>
              <w:right w:w="45" w:type="dxa"/>
            </w:tcMar>
            <w:vAlign w:val="bottom"/>
          </w:tcPr>
          <w:p w14:paraId="3941D83A" w14:textId="77777777" w:rsidR="00A95AE8" w:rsidRDefault="00A95AE8">
            <w:pPr>
              <w:jc w:val="both"/>
              <w:rPr>
                <w:rFonts w:ascii="Arial" w:eastAsia="Arial" w:hAnsi="Arial" w:cs="Arial"/>
                <w:sz w:val="18"/>
                <w:szCs w:val="18"/>
              </w:rPr>
            </w:pPr>
          </w:p>
        </w:tc>
        <w:tc>
          <w:tcPr>
            <w:tcW w:w="1571" w:type="dxa"/>
            <w:tcBorders>
              <w:top w:val="single" w:sz="6" w:space="0" w:color="CCCCCC"/>
              <w:left w:val="single" w:sz="6" w:space="0" w:color="CCCCCC"/>
              <w:bottom w:val="dotted" w:sz="6" w:space="0" w:color="000000"/>
              <w:right w:val="dotted" w:sz="6" w:space="0" w:color="000000"/>
            </w:tcBorders>
            <w:tcMar>
              <w:top w:w="0" w:type="dxa"/>
              <w:left w:w="45" w:type="dxa"/>
              <w:bottom w:w="0" w:type="dxa"/>
              <w:right w:w="45" w:type="dxa"/>
            </w:tcMar>
            <w:vAlign w:val="bottom"/>
          </w:tcPr>
          <w:p w14:paraId="2E10FC51" w14:textId="77777777" w:rsidR="00A95AE8" w:rsidRDefault="00000000">
            <w:pPr>
              <w:jc w:val="both"/>
              <w:rPr>
                <w:rFonts w:ascii="Arial" w:eastAsia="Arial" w:hAnsi="Arial" w:cs="Arial"/>
                <w:sz w:val="18"/>
                <w:szCs w:val="18"/>
              </w:rPr>
            </w:pPr>
            <w:r>
              <w:rPr>
                <w:rFonts w:ascii="Arial" w:eastAsia="Arial" w:hAnsi="Arial" w:cs="Arial"/>
                <w:sz w:val="18"/>
                <w:szCs w:val="18"/>
              </w:rPr>
              <w:t>98.8</w:t>
            </w:r>
          </w:p>
        </w:tc>
      </w:tr>
      <w:tr w:rsidR="00A95AE8" w14:paraId="5957E049" w14:textId="77777777">
        <w:trPr>
          <w:trHeight w:val="255"/>
        </w:trPr>
        <w:tc>
          <w:tcPr>
            <w:tcW w:w="2036"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60F8746F" w14:textId="77777777" w:rsidR="00A95AE8" w:rsidRDefault="00A95AE8">
            <w:pPr>
              <w:jc w:val="both"/>
              <w:rPr>
                <w:rFonts w:ascii="Arial" w:eastAsia="Arial" w:hAnsi="Arial" w:cs="Arial"/>
                <w:sz w:val="18"/>
                <w:szCs w:val="18"/>
              </w:rPr>
            </w:pPr>
          </w:p>
        </w:tc>
        <w:tc>
          <w:tcPr>
            <w:tcW w:w="209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3697C04F" w14:textId="77777777" w:rsidR="00A95AE8" w:rsidRDefault="00A95AE8">
            <w:pPr>
              <w:jc w:val="both"/>
              <w:rPr>
                <w:sz w:val="20"/>
                <w:szCs w:val="20"/>
              </w:rPr>
            </w:pPr>
          </w:p>
        </w:tc>
        <w:tc>
          <w:tcPr>
            <w:tcW w:w="208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76B96572" w14:textId="77777777" w:rsidR="00A95AE8" w:rsidRDefault="00A95AE8">
            <w:pPr>
              <w:jc w:val="both"/>
              <w:rPr>
                <w:sz w:val="20"/>
                <w:szCs w:val="20"/>
              </w:rPr>
            </w:pPr>
          </w:p>
        </w:tc>
        <w:tc>
          <w:tcPr>
            <w:tcW w:w="1556"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4175C2F2" w14:textId="77777777" w:rsidR="00A95AE8" w:rsidRDefault="00A95AE8">
            <w:pPr>
              <w:jc w:val="both"/>
              <w:rPr>
                <w:sz w:val="20"/>
                <w:szCs w:val="20"/>
              </w:rPr>
            </w:pPr>
          </w:p>
        </w:tc>
        <w:tc>
          <w:tcPr>
            <w:tcW w:w="157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5DC49368" w14:textId="77777777" w:rsidR="00A95AE8" w:rsidRDefault="00A95AE8">
            <w:pPr>
              <w:jc w:val="both"/>
              <w:rPr>
                <w:sz w:val="20"/>
                <w:szCs w:val="20"/>
              </w:rPr>
            </w:pPr>
          </w:p>
        </w:tc>
      </w:tr>
      <w:tr w:rsidR="00A95AE8" w14:paraId="7DD801B2" w14:textId="77777777">
        <w:trPr>
          <w:trHeight w:val="255"/>
        </w:trPr>
        <w:tc>
          <w:tcPr>
            <w:tcW w:w="2036"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1B4432C1" w14:textId="77777777" w:rsidR="00A95AE8" w:rsidRDefault="00A95AE8">
            <w:pPr>
              <w:jc w:val="both"/>
              <w:rPr>
                <w:sz w:val="20"/>
                <w:szCs w:val="20"/>
              </w:rPr>
            </w:pPr>
          </w:p>
        </w:tc>
        <w:tc>
          <w:tcPr>
            <w:tcW w:w="209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225BCE9D" w14:textId="77777777" w:rsidR="00A95AE8" w:rsidRDefault="00A95AE8">
            <w:pPr>
              <w:jc w:val="both"/>
              <w:rPr>
                <w:sz w:val="20"/>
                <w:szCs w:val="20"/>
              </w:rPr>
            </w:pPr>
          </w:p>
        </w:tc>
        <w:tc>
          <w:tcPr>
            <w:tcW w:w="208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37120EDD" w14:textId="77777777" w:rsidR="00A95AE8" w:rsidRDefault="00A95AE8">
            <w:pPr>
              <w:jc w:val="both"/>
              <w:rPr>
                <w:sz w:val="20"/>
                <w:szCs w:val="20"/>
              </w:rPr>
            </w:pPr>
          </w:p>
        </w:tc>
        <w:tc>
          <w:tcPr>
            <w:tcW w:w="1556"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4AD1061B" w14:textId="77777777" w:rsidR="00A95AE8" w:rsidRDefault="00A95AE8">
            <w:pPr>
              <w:jc w:val="both"/>
              <w:rPr>
                <w:sz w:val="20"/>
                <w:szCs w:val="20"/>
              </w:rPr>
            </w:pPr>
          </w:p>
        </w:tc>
        <w:tc>
          <w:tcPr>
            <w:tcW w:w="157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4FE42122" w14:textId="77777777" w:rsidR="00A95AE8" w:rsidRDefault="00A95AE8">
            <w:pPr>
              <w:jc w:val="both"/>
              <w:rPr>
                <w:sz w:val="20"/>
                <w:szCs w:val="20"/>
              </w:rPr>
            </w:pPr>
          </w:p>
        </w:tc>
      </w:tr>
      <w:tr w:rsidR="00A95AE8" w14:paraId="005C718E" w14:textId="77777777">
        <w:trPr>
          <w:trHeight w:val="255"/>
        </w:trPr>
        <w:tc>
          <w:tcPr>
            <w:tcW w:w="2036"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62C5FC87" w14:textId="77777777" w:rsidR="00A95AE8" w:rsidRDefault="00A95AE8">
            <w:pPr>
              <w:jc w:val="both"/>
              <w:rPr>
                <w:sz w:val="20"/>
                <w:szCs w:val="20"/>
              </w:rPr>
            </w:pPr>
          </w:p>
        </w:tc>
        <w:tc>
          <w:tcPr>
            <w:tcW w:w="209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6075B26A" w14:textId="77777777" w:rsidR="00A95AE8" w:rsidRDefault="00A95AE8">
            <w:pPr>
              <w:jc w:val="both"/>
              <w:rPr>
                <w:sz w:val="20"/>
                <w:szCs w:val="20"/>
              </w:rPr>
            </w:pPr>
          </w:p>
        </w:tc>
        <w:tc>
          <w:tcPr>
            <w:tcW w:w="208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1E4A7183" w14:textId="77777777" w:rsidR="00A95AE8" w:rsidRDefault="00A95AE8">
            <w:pPr>
              <w:jc w:val="both"/>
              <w:rPr>
                <w:sz w:val="20"/>
                <w:szCs w:val="20"/>
              </w:rPr>
            </w:pPr>
          </w:p>
        </w:tc>
        <w:tc>
          <w:tcPr>
            <w:tcW w:w="1556"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28F182BC" w14:textId="77777777" w:rsidR="00A95AE8" w:rsidRDefault="00A95AE8">
            <w:pPr>
              <w:jc w:val="both"/>
              <w:rPr>
                <w:sz w:val="20"/>
                <w:szCs w:val="20"/>
              </w:rPr>
            </w:pPr>
          </w:p>
        </w:tc>
        <w:tc>
          <w:tcPr>
            <w:tcW w:w="157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54313F76" w14:textId="77777777" w:rsidR="00A95AE8" w:rsidRDefault="00A95AE8">
            <w:pPr>
              <w:jc w:val="both"/>
              <w:rPr>
                <w:sz w:val="20"/>
                <w:szCs w:val="20"/>
              </w:rPr>
            </w:pPr>
          </w:p>
        </w:tc>
      </w:tr>
      <w:tr w:rsidR="00A95AE8" w14:paraId="73A7FFC5" w14:textId="77777777">
        <w:trPr>
          <w:trHeight w:val="255"/>
        </w:trPr>
        <w:tc>
          <w:tcPr>
            <w:tcW w:w="2036"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757D0656" w14:textId="77777777" w:rsidR="00A95AE8" w:rsidRDefault="00A95AE8">
            <w:pPr>
              <w:jc w:val="both"/>
              <w:rPr>
                <w:sz w:val="20"/>
                <w:szCs w:val="20"/>
              </w:rPr>
            </w:pPr>
          </w:p>
        </w:tc>
        <w:tc>
          <w:tcPr>
            <w:tcW w:w="209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58690276" w14:textId="77777777" w:rsidR="00A95AE8" w:rsidRDefault="00A95AE8">
            <w:pPr>
              <w:jc w:val="both"/>
              <w:rPr>
                <w:sz w:val="20"/>
                <w:szCs w:val="20"/>
              </w:rPr>
            </w:pPr>
          </w:p>
        </w:tc>
        <w:tc>
          <w:tcPr>
            <w:tcW w:w="208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4F903C43" w14:textId="77777777" w:rsidR="00A95AE8" w:rsidRDefault="00A95AE8">
            <w:pPr>
              <w:jc w:val="both"/>
              <w:rPr>
                <w:sz w:val="20"/>
                <w:szCs w:val="20"/>
              </w:rPr>
            </w:pPr>
          </w:p>
        </w:tc>
        <w:tc>
          <w:tcPr>
            <w:tcW w:w="1556"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6B64B68C" w14:textId="77777777" w:rsidR="00A95AE8" w:rsidRDefault="00A95AE8">
            <w:pPr>
              <w:jc w:val="both"/>
              <w:rPr>
                <w:sz w:val="20"/>
                <w:szCs w:val="20"/>
              </w:rPr>
            </w:pPr>
          </w:p>
        </w:tc>
        <w:tc>
          <w:tcPr>
            <w:tcW w:w="157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11BBFB65" w14:textId="77777777" w:rsidR="00A95AE8" w:rsidRDefault="00A95AE8">
            <w:pPr>
              <w:jc w:val="both"/>
              <w:rPr>
                <w:sz w:val="20"/>
                <w:szCs w:val="20"/>
              </w:rPr>
            </w:pPr>
          </w:p>
        </w:tc>
      </w:tr>
      <w:tr w:rsidR="00A95AE8" w14:paraId="5ED89282" w14:textId="77777777">
        <w:trPr>
          <w:trHeight w:val="255"/>
        </w:trPr>
        <w:tc>
          <w:tcPr>
            <w:tcW w:w="9344" w:type="dxa"/>
            <w:gridSpan w:val="5"/>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0F0C1D9C" w14:textId="77777777" w:rsidR="00A95AE8" w:rsidRDefault="00000000">
            <w:pPr>
              <w:jc w:val="both"/>
              <w:rPr>
                <w:rFonts w:ascii="Arial" w:eastAsia="Arial" w:hAnsi="Arial" w:cs="Arial"/>
                <w:b/>
                <w:sz w:val="20"/>
                <w:szCs w:val="20"/>
              </w:rPr>
            </w:pPr>
            <w:r>
              <w:rPr>
                <w:rFonts w:ascii="Arial" w:eastAsia="Arial" w:hAnsi="Arial" w:cs="Arial"/>
                <w:b/>
                <w:sz w:val="20"/>
                <w:szCs w:val="20"/>
              </w:rPr>
              <w:t>REFERENCES</w:t>
            </w:r>
          </w:p>
        </w:tc>
      </w:tr>
      <w:tr w:rsidR="00A95AE8" w14:paraId="0C38413D" w14:textId="77777777">
        <w:trPr>
          <w:trHeight w:val="255"/>
        </w:trPr>
        <w:tc>
          <w:tcPr>
            <w:tcW w:w="9344" w:type="dxa"/>
            <w:gridSpan w:val="5"/>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bottom"/>
          </w:tcPr>
          <w:p w14:paraId="35795ED7" w14:textId="77777777" w:rsidR="00A95AE8" w:rsidRDefault="00000000">
            <w:pPr>
              <w:jc w:val="both"/>
              <w:rPr>
                <w:rFonts w:ascii="Arial" w:eastAsia="Arial" w:hAnsi="Arial" w:cs="Arial"/>
                <w:i/>
                <w:color w:val="222222"/>
                <w:sz w:val="16"/>
                <w:szCs w:val="16"/>
              </w:rPr>
            </w:pPr>
            <w:r>
              <w:rPr>
                <w:rFonts w:ascii="Arial" w:eastAsia="Arial" w:hAnsi="Arial" w:cs="Arial"/>
                <w:i/>
                <w:color w:val="222222"/>
                <w:sz w:val="16"/>
                <w:szCs w:val="16"/>
              </w:rPr>
              <w:t>Rubenstein, H., &amp; Goodenough, J. B. (1965). Contextual correlates of synonymy. Communications of the ACM, 8(10), 627-633.</w:t>
            </w:r>
          </w:p>
        </w:tc>
      </w:tr>
      <w:tr w:rsidR="00A95AE8" w14:paraId="50EF6E53" w14:textId="77777777">
        <w:trPr>
          <w:trHeight w:val="300"/>
        </w:trPr>
        <w:tc>
          <w:tcPr>
            <w:tcW w:w="9344" w:type="dxa"/>
            <w:gridSpan w:val="5"/>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bottom"/>
          </w:tcPr>
          <w:p w14:paraId="652B808C" w14:textId="77777777" w:rsidR="00A95AE8" w:rsidRDefault="00000000">
            <w:pPr>
              <w:jc w:val="both"/>
              <w:rPr>
                <w:rFonts w:ascii="Arial" w:eastAsia="Arial" w:hAnsi="Arial" w:cs="Arial"/>
                <w:i/>
                <w:color w:val="222222"/>
                <w:sz w:val="16"/>
                <w:szCs w:val="16"/>
              </w:rPr>
            </w:pPr>
            <w:r>
              <w:rPr>
                <w:rFonts w:ascii="Arial" w:eastAsia="Arial" w:hAnsi="Arial" w:cs="Arial"/>
                <w:i/>
                <w:color w:val="222222"/>
                <w:sz w:val="16"/>
                <w:szCs w:val="16"/>
              </w:rPr>
              <w:t>Finkelstein, L., Gabrilovich, E., Matias, Y., Rivlin, E., Solan, Z., Wolfman, G., &amp; Ruppin, E. (2001, April). Placing search in context: The concept revisited. In Proceedings of the 10th international conference on World Wide Web (pp. 406-414).</w:t>
            </w:r>
          </w:p>
        </w:tc>
      </w:tr>
      <w:tr w:rsidR="00A95AE8" w14:paraId="15E4AB07" w14:textId="77777777">
        <w:trPr>
          <w:trHeight w:val="255"/>
        </w:trPr>
        <w:tc>
          <w:tcPr>
            <w:tcW w:w="9344" w:type="dxa"/>
            <w:gridSpan w:val="5"/>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bottom"/>
          </w:tcPr>
          <w:p w14:paraId="0C683C79" w14:textId="77777777" w:rsidR="00A95AE8" w:rsidRDefault="00000000">
            <w:pPr>
              <w:jc w:val="both"/>
              <w:rPr>
                <w:rFonts w:ascii="Arial" w:eastAsia="Arial" w:hAnsi="Arial" w:cs="Arial"/>
                <w:i/>
                <w:color w:val="222222"/>
                <w:sz w:val="16"/>
                <w:szCs w:val="16"/>
              </w:rPr>
            </w:pPr>
            <w:r>
              <w:rPr>
                <w:rFonts w:ascii="Arial" w:eastAsia="Arial" w:hAnsi="Arial" w:cs="Arial"/>
                <w:i/>
                <w:color w:val="222222"/>
                <w:sz w:val="16"/>
                <w:szCs w:val="16"/>
              </w:rPr>
              <w:t>Bruni, E., Tran, N. K., &amp; Baroni, M. (2014). Multimodal distributional semantics. Journal of artificial intelligence research, 49, 1-47.</w:t>
            </w:r>
          </w:p>
        </w:tc>
      </w:tr>
      <w:tr w:rsidR="00A95AE8" w14:paraId="118C3209" w14:textId="77777777">
        <w:trPr>
          <w:trHeight w:val="255"/>
        </w:trPr>
        <w:tc>
          <w:tcPr>
            <w:tcW w:w="9344" w:type="dxa"/>
            <w:gridSpan w:val="5"/>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0081E072" w14:textId="77777777" w:rsidR="00A95AE8" w:rsidRDefault="00000000">
            <w:pPr>
              <w:jc w:val="both"/>
              <w:rPr>
                <w:rFonts w:ascii="Arial" w:eastAsia="Arial" w:hAnsi="Arial" w:cs="Arial"/>
                <w:i/>
                <w:sz w:val="16"/>
                <w:szCs w:val="16"/>
              </w:rPr>
            </w:pPr>
            <w:r>
              <w:rPr>
                <w:rFonts w:ascii="Arial" w:eastAsia="Arial" w:hAnsi="Arial" w:cs="Arial"/>
                <w:i/>
                <w:sz w:val="16"/>
                <w:szCs w:val="16"/>
              </w:rPr>
              <w:t>Landauer, T. K., &amp; Dumais, S. T. (1997). A solution to Plato's problem: The latent semantic analysis theory of acquisition, induction, and representation of knowledge. Psychological review, 104(2), 211.</w:t>
            </w:r>
          </w:p>
        </w:tc>
      </w:tr>
      <w:tr w:rsidR="00A95AE8" w14:paraId="1ABB7E0E" w14:textId="77777777">
        <w:trPr>
          <w:trHeight w:val="255"/>
        </w:trPr>
        <w:tc>
          <w:tcPr>
            <w:tcW w:w="9344" w:type="dxa"/>
            <w:gridSpan w:val="5"/>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4A6834B9" w14:textId="77777777" w:rsidR="00A95AE8" w:rsidRDefault="00000000">
            <w:pPr>
              <w:jc w:val="both"/>
              <w:rPr>
                <w:rFonts w:ascii="Arial" w:eastAsia="Arial" w:hAnsi="Arial" w:cs="Arial"/>
                <w:sz w:val="16"/>
                <w:szCs w:val="16"/>
              </w:rPr>
            </w:pPr>
            <w:r>
              <w:rPr>
                <w:rFonts w:ascii="Arial" w:eastAsia="Arial" w:hAnsi="Arial" w:cs="Arial"/>
                <w:sz w:val="16"/>
                <w:szCs w:val="16"/>
              </w:rPr>
              <w:t>Lenci, A., Baroni, M., Cazzolli, G., &amp; Marotta, G. (2013). BLIND: A set of semantic feature norms from the congenitally blind. Behavior research methods, 45(4), 1218-1233.</w:t>
            </w:r>
          </w:p>
        </w:tc>
      </w:tr>
      <w:tr w:rsidR="00A95AE8" w14:paraId="0E95FE03" w14:textId="77777777">
        <w:trPr>
          <w:trHeight w:val="255"/>
        </w:trPr>
        <w:tc>
          <w:tcPr>
            <w:tcW w:w="9344" w:type="dxa"/>
            <w:gridSpan w:val="5"/>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25DF9CFB" w14:textId="77777777" w:rsidR="00A95AE8" w:rsidRDefault="00000000">
            <w:pPr>
              <w:jc w:val="both"/>
              <w:rPr>
                <w:rFonts w:ascii="Arial" w:eastAsia="Arial" w:hAnsi="Arial" w:cs="Arial"/>
                <w:i/>
                <w:sz w:val="16"/>
                <w:szCs w:val="16"/>
              </w:rPr>
            </w:pPr>
            <w:r>
              <w:rPr>
                <w:rFonts w:ascii="Arial" w:eastAsia="Arial" w:hAnsi="Arial" w:cs="Arial"/>
                <w:i/>
                <w:sz w:val="16"/>
                <w:szCs w:val="16"/>
              </w:rPr>
              <w:t>McRae, K., Cree, G. S., Seidenberg, M. S., &amp; McNorgan, C. (2005). Semantic feature production norms for a large set of living and nonliving things. Behavior research methods, 37(4), 547-559.</w:t>
            </w:r>
          </w:p>
        </w:tc>
      </w:tr>
      <w:tr w:rsidR="00A95AE8" w14:paraId="152B249A" w14:textId="77777777">
        <w:trPr>
          <w:trHeight w:val="255"/>
        </w:trPr>
        <w:tc>
          <w:tcPr>
            <w:tcW w:w="9344" w:type="dxa"/>
            <w:gridSpan w:val="5"/>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2B3E6EBD" w14:textId="77777777" w:rsidR="00A95AE8" w:rsidRDefault="00000000">
            <w:pPr>
              <w:jc w:val="both"/>
              <w:rPr>
                <w:rFonts w:ascii="Arial" w:eastAsia="Arial" w:hAnsi="Arial" w:cs="Arial"/>
                <w:i/>
                <w:sz w:val="16"/>
                <w:szCs w:val="16"/>
              </w:rPr>
            </w:pPr>
            <w:r>
              <w:rPr>
                <w:rFonts w:ascii="Arial" w:eastAsia="Arial" w:hAnsi="Arial" w:cs="Arial"/>
                <w:i/>
                <w:sz w:val="16"/>
                <w:szCs w:val="16"/>
              </w:rPr>
              <w:t>Vinson, D. P., &amp; Vigliocco, G. (2008). Semantic feature production norms for a large set of objects and events. Behavior Research Methods, 40(1), 183-190.</w:t>
            </w:r>
          </w:p>
        </w:tc>
      </w:tr>
      <w:tr w:rsidR="00A95AE8" w14:paraId="1A5EB851" w14:textId="77777777">
        <w:trPr>
          <w:trHeight w:val="255"/>
        </w:trPr>
        <w:tc>
          <w:tcPr>
            <w:tcW w:w="9344" w:type="dxa"/>
            <w:gridSpan w:val="5"/>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3327D68D" w14:textId="77777777" w:rsidR="00A95AE8" w:rsidRDefault="00000000">
            <w:pPr>
              <w:jc w:val="both"/>
              <w:rPr>
                <w:rFonts w:ascii="Arial" w:eastAsia="Arial" w:hAnsi="Arial" w:cs="Arial"/>
                <w:i/>
                <w:sz w:val="16"/>
                <w:szCs w:val="16"/>
              </w:rPr>
            </w:pPr>
            <w:r>
              <w:rPr>
                <w:rFonts w:ascii="Arial" w:eastAsia="Arial" w:hAnsi="Arial" w:cs="Arial"/>
                <w:i/>
                <w:sz w:val="16"/>
                <w:szCs w:val="16"/>
              </w:rPr>
              <w:t>Hill, F., Reichart, R., &amp; Korhonen, A. (2015). Simlex-999: Evaluating semantic models with (genuine) similarity estimation. Computational Linguistics, 41(4), 665-695.</w:t>
            </w:r>
          </w:p>
        </w:tc>
      </w:tr>
      <w:tr w:rsidR="00A95AE8" w14:paraId="0D048788" w14:textId="77777777">
        <w:trPr>
          <w:trHeight w:val="255"/>
        </w:trPr>
        <w:tc>
          <w:tcPr>
            <w:tcW w:w="9344" w:type="dxa"/>
            <w:gridSpan w:val="5"/>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3ED1ADC7" w14:textId="77777777" w:rsidR="00A95AE8" w:rsidRDefault="00000000">
            <w:pPr>
              <w:jc w:val="both"/>
              <w:rPr>
                <w:rFonts w:ascii="Arial" w:eastAsia="Arial" w:hAnsi="Arial" w:cs="Arial"/>
                <w:i/>
                <w:sz w:val="16"/>
                <w:szCs w:val="16"/>
              </w:rPr>
            </w:pPr>
            <w:r>
              <w:rPr>
                <w:rFonts w:ascii="Arial" w:eastAsia="Arial" w:hAnsi="Arial" w:cs="Arial"/>
                <w:i/>
                <w:sz w:val="16"/>
                <w:szCs w:val="16"/>
              </w:rPr>
              <w:t>Halawi, G., Dror, G., Gabrilovich, E., &amp; Koren, Y. (2012, August). Large-scale learning of word relatedness with constraints. In Proceedings of the 18th ACM SIGKDD international conference on Knowledge discovery and data mining (pp. 1406-1414).</w:t>
            </w:r>
          </w:p>
        </w:tc>
      </w:tr>
      <w:tr w:rsidR="00A95AE8" w14:paraId="2BD66B12" w14:textId="77777777">
        <w:trPr>
          <w:trHeight w:val="255"/>
        </w:trPr>
        <w:tc>
          <w:tcPr>
            <w:tcW w:w="9344" w:type="dxa"/>
            <w:gridSpan w:val="5"/>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01D036E4" w14:textId="77777777" w:rsidR="00A95AE8" w:rsidRDefault="00000000">
            <w:pPr>
              <w:jc w:val="both"/>
              <w:rPr>
                <w:rFonts w:ascii="Arial" w:eastAsia="Arial" w:hAnsi="Arial" w:cs="Arial"/>
                <w:i/>
                <w:sz w:val="16"/>
                <w:szCs w:val="16"/>
              </w:rPr>
            </w:pPr>
            <w:r>
              <w:rPr>
                <w:rFonts w:ascii="Arial" w:eastAsia="Arial" w:hAnsi="Arial" w:cs="Arial"/>
                <w:i/>
                <w:sz w:val="16"/>
                <w:szCs w:val="16"/>
              </w:rPr>
              <w:t>Buchanan, E. M., Valentine, K. D., &amp; Maxwell, N. P. (2019). English semantic feature production norms: An extended database of 4436 concepts. Behavior Research Methods, 51(4), 1849-1863.</w:t>
            </w:r>
          </w:p>
        </w:tc>
      </w:tr>
    </w:tbl>
    <w:p w14:paraId="5BD66BC1" w14:textId="77777777" w:rsidR="00A95AE8" w:rsidRDefault="00A95AE8">
      <w:pPr>
        <w:pBdr>
          <w:top w:val="nil"/>
          <w:left w:val="nil"/>
          <w:bottom w:val="nil"/>
          <w:right w:val="nil"/>
          <w:between w:val="nil"/>
        </w:pBdr>
        <w:jc w:val="both"/>
        <w:rPr>
          <w:b/>
          <w:color w:val="000000"/>
        </w:rPr>
      </w:pPr>
    </w:p>
    <w:p w14:paraId="4BF0B044" w14:textId="77777777" w:rsidR="00A95AE8" w:rsidRDefault="00A95AE8">
      <w:pPr>
        <w:pBdr>
          <w:top w:val="nil"/>
          <w:left w:val="nil"/>
          <w:bottom w:val="nil"/>
          <w:right w:val="nil"/>
          <w:between w:val="nil"/>
        </w:pBdr>
        <w:jc w:val="both"/>
        <w:rPr>
          <w:b/>
        </w:rPr>
      </w:pPr>
    </w:p>
    <w:p w14:paraId="6BA702C8" w14:textId="77777777" w:rsidR="00A95AE8" w:rsidRDefault="00A95AE8">
      <w:pPr>
        <w:pBdr>
          <w:top w:val="nil"/>
          <w:left w:val="nil"/>
          <w:bottom w:val="nil"/>
          <w:right w:val="nil"/>
          <w:between w:val="nil"/>
        </w:pBdr>
        <w:jc w:val="both"/>
        <w:rPr>
          <w:b/>
        </w:rPr>
      </w:pPr>
    </w:p>
    <w:p w14:paraId="0122A9F2" w14:textId="77777777" w:rsidR="00A95AE8" w:rsidRDefault="00A95AE8">
      <w:pPr>
        <w:pBdr>
          <w:top w:val="nil"/>
          <w:left w:val="nil"/>
          <w:bottom w:val="nil"/>
          <w:right w:val="nil"/>
          <w:between w:val="nil"/>
        </w:pBdr>
        <w:jc w:val="both"/>
        <w:rPr>
          <w:b/>
        </w:rPr>
      </w:pPr>
    </w:p>
    <w:p w14:paraId="29DE62FC" w14:textId="77777777" w:rsidR="00A95AE8" w:rsidRDefault="00A95AE8">
      <w:pPr>
        <w:pBdr>
          <w:top w:val="nil"/>
          <w:left w:val="nil"/>
          <w:bottom w:val="nil"/>
          <w:right w:val="nil"/>
          <w:between w:val="nil"/>
        </w:pBdr>
        <w:jc w:val="both"/>
        <w:rPr>
          <w:b/>
        </w:rPr>
      </w:pPr>
    </w:p>
    <w:p w14:paraId="53882E9F" w14:textId="77777777" w:rsidR="00A95AE8" w:rsidRDefault="00A95AE8">
      <w:pPr>
        <w:pBdr>
          <w:top w:val="nil"/>
          <w:left w:val="nil"/>
          <w:bottom w:val="nil"/>
          <w:right w:val="nil"/>
          <w:between w:val="nil"/>
        </w:pBdr>
        <w:jc w:val="both"/>
        <w:rPr>
          <w:b/>
        </w:rPr>
      </w:pPr>
    </w:p>
    <w:p w14:paraId="2A715D45" w14:textId="77777777" w:rsidR="00A95AE8" w:rsidRDefault="00A95AE8">
      <w:pPr>
        <w:pBdr>
          <w:top w:val="nil"/>
          <w:left w:val="nil"/>
          <w:bottom w:val="nil"/>
          <w:right w:val="nil"/>
          <w:between w:val="nil"/>
        </w:pBdr>
        <w:jc w:val="both"/>
        <w:rPr>
          <w:b/>
        </w:rPr>
      </w:pPr>
    </w:p>
    <w:p w14:paraId="5A13F795" w14:textId="77777777" w:rsidR="00A95AE8" w:rsidRDefault="00A95AE8">
      <w:pPr>
        <w:pBdr>
          <w:top w:val="nil"/>
          <w:left w:val="nil"/>
          <w:bottom w:val="nil"/>
          <w:right w:val="nil"/>
          <w:between w:val="nil"/>
        </w:pBdr>
        <w:jc w:val="both"/>
        <w:rPr>
          <w:b/>
        </w:rPr>
      </w:pPr>
    </w:p>
    <w:p w14:paraId="4B0DEEF6" w14:textId="77777777" w:rsidR="00A95AE8" w:rsidRDefault="00A95AE8">
      <w:pPr>
        <w:pBdr>
          <w:top w:val="nil"/>
          <w:left w:val="nil"/>
          <w:bottom w:val="nil"/>
          <w:right w:val="nil"/>
          <w:between w:val="nil"/>
        </w:pBdr>
        <w:jc w:val="both"/>
        <w:rPr>
          <w:b/>
        </w:rPr>
      </w:pPr>
    </w:p>
    <w:p w14:paraId="7095396B" w14:textId="77777777" w:rsidR="00A95AE8" w:rsidRDefault="00A95AE8">
      <w:pPr>
        <w:pBdr>
          <w:top w:val="nil"/>
          <w:left w:val="nil"/>
          <w:bottom w:val="nil"/>
          <w:right w:val="nil"/>
          <w:between w:val="nil"/>
        </w:pBdr>
        <w:jc w:val="both"/>
        <w:rPr>
          <w:b/>
        </w:rPr>
      </w:pPr>
    </w:p>
    <w:p w14:paraId="27C8A6D9" w14:textId="77777777" w:rsidR="00A95AE8" w:rsidRDefault="00A95AE8">
      <w:pPr>
        <w:pBdr>
          <w:top w:val="nil"/>
          <w:left w:val="nil"/>
          <w:bottom w:val="nil"/>
          <w:right w:val="nil"/>
          <w:between w:val="nil"/>
        </w:pBdr>
        <w:jc w:val="both"/>
        <w:rPr>
          <w:b/>
        </w:rPr>
      </w:pPr>
    </w:p>
    <w:p w14:paraId="57B598BD" w14:textId="77777777" w:rsidR="00A95AE8" w:rsidRDefault="00A95AE8">
      <w:pPr>
        <w:pBdr>
          <w:top w:val="nil"/>
          <w:left w:val="nil"/>
          <w:bottom w:val="nil"/>
          <w:right w:val="nil"/>
          <w:between w:val="nil"/>
        </w:pBdr>
        <w:jc w:val="both"/>
        <w:rPr>
          <w:b/>
        </w:rPr>
      </w:pPr>
    </w:p>
    <w:p w14:paraId="6CB1768E" w14:textId="77777777" w:rsidR="00A95AE8" w:rsidRDefault="00000000">
      <w:pPr>
        <w:jc w:val="both"/>
        <w:rPr>
          <w:b/>
        </w:rPr>
      </w:pPr>
      <w:r>
        <w:rPr>
          <w:b/>
        </w:rPr>
        <w:lastRenderedPageBreak/>
        <w:t>Table S5. References for the selection of diachronic words.</w:t>
      </w:r>
    </w:p>
    <w:p w14:paraId="6F1E1500" w14:textId="77777777" w:rsidR="00A95AE8" w:rsidRDefault="00A95AE8">
      <w:pPr>
        <w:pBdr>
          <w:top w:val="nil"/>
          <w:left w:val="nil"/>
          <w:bottom w:val="nil"/>
          <w:right w:val="nil"/>
          <w:between w:val="nil"/>
        </w:pBdr>
        <w:jc w:val="both"/>
      </w:pPr>
    </w:p>
    <w:tbl>
      <w:tblPr>
        <w:tblStyle w:val="a0"/>
        <w:tblW w:w="9344" w:type="dxa"/>
        <w:tblLayout w:type="fixed"/>
        <w:tblLook w:val="0400" w:firstRow="0" w:lastRow="0" w:firstColumn="0" w:lastColumn="0" w:noHBand="0" w:noVBand="1"/>
      </w:tblPr>
      <w:tblGrid>
        <w:gridCol w:w="1219"/>
        <w:gridCol w:w="8125"/>
      </w:tblGrid>
      <w:tr w:rsidR="00A95AE8" w14:paraId="384AE4F6" w14:textId="77777777">
        <w:trPr>
          <w:trHeight w:val="315"/>
        </w:trPr>
        <w:tc>
          <w:tcPr>
            <w:tcW w:w="121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7018A519" w14:textId="77777777" w:rsidR="00A95AE8" w:rsidRDefault="00000000">
            <w:pPr>
              <w:jc w:val="both"/>
              <w:rPr>
                <w:b/>
              </w:rPr>
            </w:pPr>
            <w:r>
              <w:rPr>
                <w:b/>
              </w:rPr>
              <w:t>Authors</w:t>
            </w:r>
          </w:p>
        </w:tc>
        <w:tc>
          <w:tcPr>
            <w:tcW w:w="8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7C8292E9" w14:textId="77777777" w:rsidR="00A95AE8" w:rsidRDefault="00000000">
            <w:pPr>
              <w:jc w:val="both"/>
              <w:rPr>
                <w:b/>
              </w:rPr>
            </w:pPr>
            <w:r>
              <w:rPr>
                <w:b/>
              </w:rPr>
              <w:t>Reference</w:t>
            </w:r>
          </w:p>
        </w:tc>
      </w:tr>
      <w:tr w:rsidR="00A95AE8" w14:paraId="2CDC8ABE" w14:textId="77777777">
        <w:trPr>
          <w:trHeight w:val="315"/>
        </w:trPr>
        <w:tc>
          <w:tcPr>
            <w:tcW w:w="121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2C3E95FF" w14:textId="77777777" w:rsidR="00A95AE8" w:rsidRDefault="00000000">
            <w:pPr>
              <w:jc w:val="both"/>
            </w:pPr>
            <w:r>
              <w:t>Bamler et al. (2017)</w:t>
            </w:r>
          </w:p>
        </w:tc>
        <w:tc>
          <w:tcPr>
            <w:tcW w:w="8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780D2F4D" w14:textId="77777777" w:rsidR="00A95AE8" w:rsidRDefault="00000000">
            <w:pPr>
              <w:jc w:val="both"/>
            </w:pPr>
            <w:r>
              <w:t>Bamler, R., &amp; Mandt, S. (2017). Dynamic word embeddings. In International conference on Machine learning (pp. 380-389). PMLR.</w:t>
            </w:r>
          </w:p>
        </w:tc>
      </w:tr>
      <w:tr w:rsidR="00A95AE8" w14:paraId="7C4FCD7C" w14:textId="77777777">
        <w:trPr>
          <w:trHeight w:val="315"/>
        </w:trPr>
        <w:tc>
          <w:tcPr>
            <w:tcW w:w="121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23C378E9" w14:textId="77777777" w:rsidR="00A95AE8" w:rsidRDefault="00000000">
            <w:pPr>
              <w:jc w:val="both"/>
            </w:pPr>
            <w:r>
              <w:t>Banks (2004)</w:t>
            </w:r>
          </w:p>
        </w:tc>
        <w:tc>
          <w:tcPr>
            <w:tcW w:w="8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1D024CFA" w14:textId="77777777" w:rsidR="00A95AE8" w:rsidRDefault="00000000">
            <w:pPr>
              <w:jc w:val="both"/>
            </w:pPr>
            <w:r>
              <w:t>Banks, M. A., "Semantic Changes in Present-Day English (PDE)" (2004). McCabe Thesis Collection. Paper 25.</w:t>
            </w:r>
          </w:p>
        </w:tc>
      </w:tr>
      <w:tr w:rsidR="00A95AE8" w14:paraId="53E98E8D" w14:textId="77777777">
        <w:trPr>
          <w:trHeight w:val="315"/>
        </w:trPr>
        <w:tc>
          <w:tcPr>
            <w:tcW w:w="121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1C8B16DE" w14:textId="77777777" w:rsidR="00A95AE8" w:rsidRDefault="00000000">
            <w:pPr>
              <w:jc w:val="both"/>
            </w:pPr>
            <w:r>
              <w:t>Boukhaled et al. (2019)</w:t>
            </w:r>
          </w:p>
        </w:tc>
        <w:tc>
          <w:tcPr>
            <w:tcW w:w="8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1EF9100D" w14:textId="77777777" w:rsidR="00A95AE8" w:rsidRDefault="00000000">
            <w:pPr>
              <w:jc w:val="both"/>
            </w:pPr>
            <w:r>
              <w:t>Boukhaled, M., Fagard, B., &amp; Poibeau, T. (2019). Modelling the semantic change dynamics using diachronic word embedding. In 11th International Conference on Agents and Artificial Intelligence (NLPinAI Special Session).</w:t>
            </w:r>
          </w:p>
        </w:tc>
      </w:tr>
      <w:tr w:rsidR="00A95AE8" w14:paraId="5DFF347E" w14:textId="77777777">
        <w:trPr>
          <w:trHeight w:val="315"/>
        </w:trPr>
        <w:tc>
          <w:tcPr>
            <w:tcW w:w="121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420E8A2B" w14:textId="77777777" w:rsidR="00A95AE8" w:rsidRDefault="00000000">
            <w:pPr>
              <w:jc w:val="both"/>
            </w:pPr>
            <w:r>
              <w:t>Curzane (2014)</w:t>
            </w:r>
          </w:p>
        </w:tc>
        <w:tc>
          <w:tcPr>
            <w:tcW w:w="8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42D77062" w14:textId="77777777" w:rsidR="00A95AE8" w:rsidRDefault="00000000">
            <w:pPr>
              <w:jc w:val="both"/>
            </w:pPr>
            <w:r>
              <w:t xml:space="preserve">Curzane A. (2014). What makes a word "real"? TED Conferences. https://www.ted.com/talks/anne_curzan_what_makes_a_word_real </w:t>
            </w:r>
          </w:p>
        </w:tc>
      </w:tr>
      <w:tr w:rsidR="00A95AE8" w14:paraId="5B7FF56C" w14:textId="77777777">
        <w:trPr>
          <w:trHeight w:val="315"/>
        </w:trPr>
        <w:tc>
          <w:tcPr>
            <w:tcW w:w="121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228DBE43" w14:textId="77777777" w:rsidR="00A95AE8" w:rsidRDefault="00000000">
            <w:pPr>
              <w:jc w:val="both"/>
            </w:pPr>
            <w:r>
              <w:t>Delpech (2018)</w:t>
            </w:r>
          </w:p>
        </w:tc>
        <w:tc>
          <w:tcPr>
            <w:tcW w:w="8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32C8C6D0" w14:textId="77777777" w:rsidR="00A95AE8" w:rsidRDefault="00000000">
            <w:pPr>
              <w:jc w:val="both"/>
            </w:pPr>
            <w:r>
              <w:t>Delpech, J. (2018). Unsupervised detection of diachronic word sense evolution. ArXiv, abs/1805.11295.</w:t>
            </w:r>
          </w:p>
        </w:tc>
      </w:tr>
      <w:tr w:rsidR="00A95AE8" w14:paraId="60C6EA16" w14:textId="77777777">
        <w:trPr>
          <w:trHeight w:val="315"/>
        </w:trPr>
        <w:tc>
          <w:tcPr>
            <w:tcW w:w="121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56F72499" w14:textId="77777777" w:rsidR="00A95AE8" w:rsidRDefault="00000000">
            <w:pPr>
              <w:jc w:val="both"/>
            </w:pPr>
            <w:r>
              <w:t>Duan et al. (2021)</w:t>
            </w:r>
          </w:p>
        </w:tc>
        <w:tc>
          <w:tcPr>
            <w:tcW w:w="8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6243DECB" w14:textId="77777777" w:rsidR="00A95AE8" w:rsidRDefault="00000000">
            <w:pPr>
              <w:jc w:val="both"/>
            </w:pPr>
            <w:r>
              <w:t>Duan, Y., Jatowt, A., Yoshikawa, M., Liu, X., Matono, A. (2021). Diachronic Linguistic Periodization of Temporal Document Collections for Discovering Evolutionary Word Semantics. In: Ke, HR., Lee, C.S., Sugiyama, K. (eds) Towards Open and Trustworthy Digital Societies. ICADL 2021. Lecture Notes in Computer Science, vol 13133. Springer, Cham. https://doi.org/10.1007/978-3-030-91669-5_1</w:t>
            </w:r>
          </w:p>
        </w:tc>
      </w:tr>
      <w:tr w:rsidR="00A95AE8" w14:paraId="14C8C17A" w14:textId="77777777">
        <w:trPr>
          <w:trHeight w:val="315"/>
        </w:trPr>
        <w:tc>
          <w:tcPr>
            <w:tcW w:w="121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4A0F2DC0" w14:textId="77777777" w:rsidR="00A95AE8" w:rsidRDefault="00000000">
            <w:pPr>
              <w:jc w:val="both"/>
            </w:pPr>
            <w:r>
              <w:t>Finegan (2014)</w:t>
            </w:r>
          </w:p>
        </w:tc>
        <w:tc>
          <w:tcPr>
            <w:tcW w:w="8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435AFDD6" w14:textId="77777777" w:rsidR="00A95AE8" w:rsidRDefault="00000000">
            <w:pPr>
              <w:jc w:val="both"/>
            </w:pPr>
            <w:r>
              <w:t>Finegan, E. (2014). Language: Its structure and use. Cengage Learning.</w:t>
            </w:r>
          </w:p>
        </w:tc>
      </w:tr>
      <w:tr w:rsidR="00A95AE8" w14:paraId="0DF8E6CF" w14:textId="77777777">
        <w:trPr>
          <w:trHeight w:val="315"/>
        </w:trPr>
        <w:tc>
          <w:tcPr>
            <w:tcW w:w="121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74B32AC7" w14:textId="77777777" w:rsidR="00A95AE8" w:rsidRDefault="00000000">
            <w:pPr>
              <w:jc w:val="both"/>
            </w:pPr>
            <w:r>
              <w:t>Hamilton et al. (2016)</w:t>
            </w:r>
          </w:p>
        </w:tc>
        <w:tc>
          <w:tcPr>
            <w:tcW w:w="8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187CFCBF" w14:textId="77777777" w:rsidR="00A95AE8" w:rsidRDefault="00000000">
            <w:pPr>
              <w:jc w:val="both"/>
            </w:pPr>
            <w:r>
              <w:t>Hamilton, W.L., Leskovec, J., &amp; Jurafsky, D. (2016). Diachronic Word Embeddings Reveal Statistical Laws of Semantic Change. ArXiv, abs/1605.09096.</w:t>
            </w:r>
          </w:p>
        </w:tc>
      </w:tr>
      <w:tr w:rsidR="00A95AE8" w14:paraId="73E67368" w14:textId="77777777">
        <w:trPr>
          <w:trHeight w:val="315"/>
        </w:trPr>
        <w:tc>
          <w:tcPr>
            <w:tcW w:w="121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20BB4840" w14:textId="77777777" w:rsidR="00A95AE8" w:rsidRDefault="00000000">
            <w:pPr>
              <w:jc w:val="both"/>
            </w:pPr>
            <w:r>
              <w:t>Hamilton et al. (2016)</w:t>
            </w:r>
          </w:p>
        </w:tc>
        <w:tc>
          <w:tcPr>
            <w:tcW w:w="8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4BCF89CE" w14:textId="77777777" w:rsidR="00A95AE8" w:rsidRDefault="00000000">
            <w:pPr>
              <w:jc w:val="both"/>
            </w:pPr>
            <w:r>
              <w:t>Hamilton, W. L., Leskovec, J., &amp; Jurafsky, D. (2016). Cultural shift or linguistic drift? comparing two computational measures of semantic change. In Proceedings of the Conference on Empirical Methods in Natural Language Processing. Conference on Empirical Methods in Natural Language Processing (Vol. 2016, p. 2116). NIH Public Access.</w:t>
            </w:r>
          </w:p>
        </w:tc>
      </w:tr>
      <w:tr w:rsidR="00A95AE8" w14:paraId="199FCC26" w14:textId="77777777">
        <w:trPr>
          <w:trHeight w:val="315"/>
        </w:trPr>
        <w:tc>
          <w:tcPr>
            <w:tcW w:w="121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6AE6593C" w14:textId="77777777" w:rsidR="00A95AE8" w:rsidRDefault="00000000">
            <w:pPr>
              <w:jc w:val="both"/>
            </w:pPr>
            <w:r>
              <w:t>Jones (2019)</w:t>
            </w:r>
          </w:p>
        </w:tc>
        <w:tc>
          <w:tcPr>
            <w:tcW w:w="8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21FA47C3" w14:textId="77777777" w:rsidR="00A95AE8" w:rsidRDefault="00000000">
            <w:pPr>
              <w:jc w:val="both"/>
            </w:pPr>
            <w:r>
              <w:t>Jones, P. A. (2017). The Accidental Dictionary: The Remarkable Twists and Turns of English Words. Pegasus Books.</w:t>
            </w:r>
          </w:p>
        </w:tc>
      </w:tr>
      <w:tr w:rsidR="00A95AE8" w14:paraId="1625308E" w14:textId="77777777">
        <w:trPr>
          <w:trHeight w:val="315"/>
        </w:trPr>
        <w:tc>
          <w:tcPr>
            <w:tcW w:w="121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22678C26" w14:textId="77777777" w:rsidR="00A95AE8" w:rsidRDefault="00000000">
            <w:pPr>
              <w:jc w:val="both"/>
            </w:pPr>
            <w:r>
              <w:t>Kulkarni et al. (2015)</w:t>
            </w:r>
          </w:p>
        </w:tc>
        <w:tc>
          <w:tcPr>
            <w:tcW w:w="8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79784613" w14:textId="77777777" w:rsidR="00A95AE8" w:rsidRDefault="00000000">
            <w:pPr>
              <w:jc w:val="both"/>
            </w:pPr>
            <w:r>
              <w:t>Kulkarni, V., Al-Rfou, R., Perozzi, B., &amp; Skiena, S. (2015). Statistically significant detection of linguistic change. In Proceedings of the 24th international conference on world wide web (pp. 625-635).</w:t>
            </w:r>
          </w:p>
        </w:tc>
      </w:tr>
      <w:tr w:rsidR="00A95AE8" w14:paraId="62FB6A18" w14:textId="77777777">
        <w:trPr>
          <w:trHeight w:val="315"/>
        </w:trPr>
        <w:tc>
          <w:tcPr>
            <w:tcW w:w="121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2BC46F69" w14:textId="77777777" w:rsidR="00A95AE8" w:rsidRDefault="00000000">
            <w:pPr>
              <w:jc w:val="both"/>
            </w:pPr>
            <w:r>
              <w:t>McWhorter (2016)</w:t>
            </w:r>
          </w:p>
        </w:tc>
        <w:tc>
          <w:tcPr>
            <w:tcW w:w="8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29F2CEFC" w14:textId="77777777" w:rsidR="00A95AE8" w:rsidRDefault="00000000">
            <w:pPr>
              <w:jc w:val="both"/>
            </w:pPr>
            <w:r>
              <w:t>McWhorter, J. (2016). 4 reasons to learn a new language. TED Conferences. https://www.ted.com/talks/john_mcwhorter_4_reasons_to_learn_a_new_language</w:t>
            </w:r>
          </w:p>
        </w:tc>
      </w:tr>
      <w:tr w:rsidR="00A95AE8" w14:paraId="5CDDFB64" w14:textId="77777777">
        <w:trPr>
          <w:trHeight w:val="315"/>
        </w:trPr>
        <w:tc>
          <w:tcPr>
            <w:tcW w:w="121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6221FEAC" w14:textId="77777777" w:rsidR="00A95AE8" w:rsidRDefault="00000000">
            <w:pPr>
              <w:jc w:val="both"/>
            </w:pPr>
            <w:r>
              <w:t>Qiu et al. (2022)</w:t>
            </w:r>
          </w:p>
        </w:tc>
        <w:tc>
          <w:tcPr>
            <w:tcW w:w="8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4D33F229" w14:textId="77777777" w:rsidR="00A95AE8" w:rsidRDefault="00000000">
            <w:pPr>
              <w:jc w:val="both"/>
            </w:pPr>
            <w:r>
              <w:t xml:space="preserve">Qiu, Wenjun &amp; Xu, Yang. (2022). HistBERT: A Pre-trained Language Model for Diachronic Lexical Semantic Analysis. 10.13140/RG.2.2.14905.44649. </w:t>
            </w:r>
          </w:p>
        </w:tc>
      </w:tr>
      <w:tr w:rsidR="00A95AE8" w14:paraId="5C83A9C2" w14:textId="77777777">
        <w:trPr>
          <w:trHeight w:val="315"/>
        </w:trPr>
        <w:tc>
          <w:tcPr>
            <w:tcW w:w="121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4B0205C4" w14:textId="77777777" w:rsidR="00A95AE8" w:rsidRDefault="00000000">
            <w:pPr>
              <w:jc w:val="both"/>
            </w:pPr>
            <w:r>
              <w:t>Tsakalidis et al. (2021)</w:t>
            </w:r>
          </w:p>
        </w:tc>
        <w:tc>
          <w:tcPr>
            <w:tcW w:w="8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27A41343" w14:textId="77777777" w:rsidR="00A95AE8" w:rsidRDefault="00000000">
            <w:pPr>
              <w:jc w:val="both"/>
            </w:pPr>
            <w:r>
              <w:t>Tsakalidis, A., Basile, P., Bazzi, M. et al. (2021). DUKweb, diachronic word representations from the UK Web Archive corpus. Sci Data 8, 269. https://doi.org/10.1038/s41597-021-01047-x</w:t>
            </w:r>
          </w:p>
        </w:tc>
      </w:tr>
      <w:tr w:rsidR="00A95AE8" w14:paraId="7B726910" w14:textId="77777777">
        <w:trPr>
          <w:trHeight w:val="315"/>
        </w:trPr>
        <w:tc>
          <w:tcPr>
            <w:tcW w:w="121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42146F10" w14:textId="77777777" w:rsidR="00A95AE8" w:rsidRDefault="00000000">
            <w:pPr>
              <w:jc w:val="both"/>
            </w:pPr>
            <w:r>
              <w:t>Vijayarani &amp; Geetha (2020)</w:t>
            </w:r>
          </w:p>
        </w:tc>
        <w:tc>
          <w:tcPr>
            <w:tcW w:w="8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24F58EC2" w14:textId="77777777" w:rsidR="00A95AE8" w:rsidRDefault="00000000">
            <w:pPr>
              <w:jc w:val="both"/>
            </w:pPr>
            <w:r>
              <w:t>Vijayarani, J., Geetha, T.V. (2020). Knowledge-enhanced temporal word embedding for diachronic semantic change estimation. Soft Comput 24, 12901–12918. https://doi.org/10.1007/s00500-020-04714-0</w:t>
            </w:r>
          </w:p>
        </w:tc>
      </w:tr>
    </w:tbl>
    <w:p w14:paraId="6F357AAE" w14:textId="77777777" w:rsidR="00A95AE8" w:rsidRDefault="00A95AE8"/>
    <w:p w14:paraId="71B04664" w14:textId="77777777" w:rsidR="00A95AE8" w:rsidRDefault="00000000">
      <w:pPr>
        <w:pBdr>
          <w:top w:val="nil"/>
          <w:left w:val="nil"/>
          <w:bottom w:val="nil"/>
          <w:right w:val="nil"/>
          <w:between w:val="nil"/>
        </w:pBdr>
        <w:jc w:val="both"/>
        <w:rPr>
          <w:b/>
          <w:color w:val="000000"/>
        </w:rPr>
      </w:pPr>
      <w:r>
        <w:rPr>
          <w:b/>
          <w:color w:val="000000"/>
        </w:rPr>
        <w:t>References</w:t>
      </w:r>
    </w:p>
    <w:p w14:paraId="12895ACC" w14:textId="77777777" w:rsidR="00A95AE8" w:rsidRDefault="00A95AE8">
      <w:pPr>
        <w:pBdr>
          <w:top w:val="nil"/>
          <w:left w:val="nil"/>
          <w:bottom w:val="nil"/>
          <w:right w:val="nil"/>
          <w:between w:val="nil"/>
        </w:pBdr>
        <w:jc w:val="both"/>
        <w:rPr>
          <w:b/>
          <w:color w:val="000000"/>
          <w:sz w:val="10"/>
          <w:szCs w:val="10"/>
        </w:rPr>
      </w:pPr>
    </w:p>
    <w:p w14:paraId="3A6D1050" w14:textId="77777777" w:rsidR="00A95AE8" w:rsidRDefault="00000000">
      <w:pPr>
        <w:shd w:val="clear" w:color="auto" w:fill="FFFFFF"/>
        <w:spacing w:before="120" w:after="120"/>
        <w:ind w:firstLine="720"/>
        <w:rPr>
          <w:color w:val="212121"/>
          <w:sz w:val="22"/>
          <w:szCs w:val="22"/>
          <w:highlight w:val="white"/>
        </w:rPr>
      </w:pPr>
      <w:r>
        <w:rPr>
          <w:color w:val="212121"/>
          <w:sz w:val="22"/>
          <w:szCs w:val="22"/>
          <w:highlight w:val="white"/>
        </w:rPr>
        <w:lastRenderedPageBreak/>
        <w:t xml:space="preserve">Benjamini, Y., &amp; Hochberg, Y. (1995). Controlling the false discovery rate: a practical and powerful approach to multiple testing. </w:t>
      </w:r>
      <w:r>
        <w:rPr>
          <w:i/>
          <w:color w:val="212121"/>
          <w:sz w:val="22"/>
          <w:szCs w:val="22"/>
          <w:highlight w:val="white"/>
        </w:rPr>
        <w:t>Journal of the Royal statistical society: series B (Methodological)</w:t>
      </w:r>
      <w:r>
        <w:rPr>
          <w:color w:val="212121"/>
          <w:sz w:val="22"/>
          <w:szCs w:val="22"/>
          <w:highlight w:val="white"/>
        </w:rPr>
        <w:t xml:space="preserve">, </w:t>
      </w:r>
      <w:r>
        <w:rPr>
          <w:i/>
          <w:color w:val="212121"/>
          <w:sz w:val="22"/>
          <w:szCs w:val="22"/>
          <w:highlight w:val="white"/>
        </w:rPr>
        <w:t>57</w:t>
      </w:r>
      <w:r>
        <w:rPr>
          <w:color w:val="212121"/>
          <w:sz w:val="22"/>
          <w:szCs w:val="22"/>
          <w:highlight w:val="white"/>
        </w:rPr>
        <w:t>(1), 289-300.</w:t>
      </w:r>
    </w:p>
    <w:p w14:paraId="05179C7E" w14:textId="77777777" w:rsidR="00A95AE8" w:rsidRDefault="00000000">
      <w:pPr>
        <w:shd w:val="clear" w:color="auto" w:fill="FFFFFF"/>
        <w:spacing w:before="120" w:after="120"/>
        <w:ind w:firstLine="720"/>
        <w:rPr>
          <w:color w:val="212121"/>
          <w:sz w:val="22"/>
          <w:szCs w:val="22"/>
          <w:highlight w:val="white"/>
        </w:rPr>
      </w:pPr>
      <w:r>
        <w:rPr>
          <w:color w:val="212121"/>
          <w:sz w:val="22"/>
          <w:szCs w:val="22"/>
          <w:highlight w:val="white"/>
        </w:rPr>
        <w:t>Bonini, A. N. (2008). Cross-national variation in individual life satisfaction: Effects of national wealth, human development, and environmental conditions. Social indicators research, 87, 223-236.</w:t>
      </w:r>
    </w:p>
    <w:p w14:paraId="75DB2F90" w14:textId="77777777" w:rsidR="00A95AE8" w:rsidRDefault="00000000">
      <w:pPr>
        <w:shd w:val="clear" w:color="auto" w:fill="FFFFFF"/>
        <w:spacing w:before="120" w:after="120"/>
        <w:ind w:firstLine="720"/>
        <w:rPr>
          <w:color w:val="212121"/>
          <w:sz w:val="22"/>
          <w:szCs w:val="22"/>
          <w:highlight w:val="white"/>
        </w:rPr>
      </w:pPr>
      <w:r>
        <w:rPr>
          <w:color w:val="212121"/>
          <w:sz w:val="22"/>
          <w:szCs w:val="22"/>
          <w:highlight w:val="white"/>
        </w:rPr>
        <w:t>Dodds, P. S., Clark, E. M., Desu, S., Frank, M. R., Reagan, A. J., Williams, J. R., ... &amp; Danforth, C. M. (2015). Human language reveals a universal positivity bias. Proceedings of the national academy of sciences, 112(8), 2389-2394.</w:t>
      </w:r>
    </w:p>
    <w:p w14:paraId="74BCA471" w14:textId="77777777" w:rsidR="00A95AE8" w:rsidRDefault="00000000">
      <w:pPr>
        <w:shd w:val="clear" w:color="auto" w:fill="FFFFFF"/>
        <w:spacing w:before="120" w:after="120"/>
        <w:ind w:firstLine="720"/>
        <w:rPr>
          <w:color w:val="212121"/>
          <w:sz w:val="22"/>
          <w:szCs w:val="22"/>
          <w:highlight w:val="white"/>
        </w:rPr>
      </w:pPr>
      <w:r>
        <w:rPr>
          <w:color w:val="212121"/>
          <w:sz w:val="22"/>
          <w:szCs w:val="22"/>
          <w:highlight w:val="white"/>
        </w:rPr>
        <w:t xml:space="preserve">Hamilton, W. L., Leskovec, J., &amp; Jurafsky, D. (2016a). Diachronic word embeddings reveal statistical laws of semantic change. </w:t>
      </w:r>
      <w:r>
        <w:rPr>
          <w:i/>
          <w:color w:val="212121"/>
          <w:sz w:val="22"/>
          <w:szCs w:val="22"/>
          <w:highlight w:val="white"/>
        </w:rPr>
        <w:t>arXiv preprint arXiv:1605.09096</w:t>
      </w:r>
      <w:r>
        <w:rPr>
          <w:color w:val="212121"/>
          <w:sz w:val="22"/>
          <w:szCs w:val="22"/>
          <w:highlight w:val="white"/>
        </w:rPr>
        <w:t>.</w:t>
      </w:r>
    </w:p>
    <w:p w14:paraId="03FD69EE" w14:textId="77777777" w:rsidR="00A95AE8" w:rsidRDefault="00000000">
      <w:pPr>
        <w:shd w:val="clear" w:color="auto" w:fill="FFFFFF"/>
        <w:spacing w:before="120" w:after="120"/>
        <w:ind w:firstLine="720"/>
        <w:rPr>
          <w:color w:val="212121"/>
          <w:sz w:val="22"/>
          <w:szCs w:val="22"/>
          <w:highlight w:val="white"/>
        </w:rPr>
      </w:pPr>
      <w:r>
        <w:rPr>
          <w:color w:val="212121"/>
          <w:sz w:val="22"/>
          <w:szCs w:val="22"/>
          <w:highlight w:val="white"/>
        </w:rPr>
        <w:t xml:space="preserve">Hamilton, W. L., Leskovec, J., &amp; Jurafsky, D. (2016b). Cultural shift or linguistic drift? comparing two computational measures of semantic change. In </w:t>
      </w:r>
      <w:r>
        <w:rPr>
          <w:i/>
          <w:color w:val="212121"/>
          <w:sz w:val="22"/>
          <w:szCs w:val="22"/>
          <w:highlight w:val="white"/>
        </w:rPr>
        <w:t>Proceedings of the conference on empirical methods in natural language processing. Conference on empirical methods in natural language processing</w:t>
      </w:r>
      <w:r>
        <w:rPr>
          <w:color w:val="212121"/>
          <w:sz w:val="22"/>
          <w:szCs w:val="22"/>
          <w:highlight w:val="white"/>
        </w:rPr>
        <w:t xml:space="preserve"> (Vol. 2016, p. 2116). NIH Public Access.</w:t>
      </w:r>
    </w:p>
    <w:p w14:paraId="2BD59213" w14:textId="77777777" w:rsidR="00A95AE8" w:rsidRDefault="00000000">
      <w:pPr>
        <w:shd w:val="clear" w:color="auto" w:fill="FFFFFF"/>
        <w:spacing w:before="120" w:after="120"/>
        <w:ind w:firstLine="720"/>
        <w:rPr>
          <w:color w:val="212121"/>
          <w:sz w:val="22"/>
          <w:szCs w:val="22"/>
        </w:rPr>
      </w:pPr>
      <w:r>
        <w:rPr>
          <w:color w:val="212121"/>
          <w:sz w:val="22"/>
          <w:szCs w:val="22"/>
          <w:highlight w:val="white"/>
        </w:rPr>
        <w:t xml:space="preserve">Jockers, M. L. (2013). Macroanalysis: Digital methods and literary history. University of Illinois </w:t>
      </w:r>
      <w:r>
        <w:rPr>
          <w:color w:val="212121"/>
          <w:sz w:val="22"/>
          <w:szCs w:val="22"/>
        </w:rPr>
        <w:t xml:space="preserve">Press. </w:t>
      </w:r>
    </w:p>
    <w:p w14:paraId="3B51A8BC" w14:textId="77777777" w:rsidR="00A95AE8" w:rsidRDefault="00000000">
      <w:pPr>
        <w:shd w:val="clear" w:color="auto" w:fill="FFFFFF"/>
        <w:spacing w:before="120" w:after="120"/>
        <w:ind w:firstLine="720"/>
        <w:rPr>
          <w:color w:val="212121"/>
          <w:sz w:val="22"/>
          <w:szCs w:val="22"/>
        </w:rPr>
      </w:pPr>
      <w:r>
        <w:rPr>
          <w:color w:val="212121"/>
          <w:sz w:val="22"/>
          <w:szCs w:val="22"/>
          <w:highlight w:val="white"/>
        </w:rPr>
        <w:t xml:space="preserve">Lazer, D., Hargittai, E., Freelon, D., Gonzalez-Bailon, S., Munger, K., Ognyanova, K., &amp; Radford, J. (2021). Meaningful measures of human society in the twenty-first century. Nature, 595(7866), 189-196. </w:t>
      </w:r>
    </w:p>
    <w:p w14:paraId="46C3193A" w14:textId="77777777" w:rsidR="00A95AE8" w:rsidRDefault="00000000">
      <w:pPr>
        <w:shd w:val="clear" w:color="auto" w:fill="FFFFFF"/>
        <w:spacing w:before="120" w:after="120"/>
        <w:ind w:firstLine="720"/>
        <w:rPr>
          <w:color w:val="212121"/>
          <w:sz w:val="22"/>
          <w:szCs w:val="22"/>
          <w:highlight w:val="white"/>
        </w:rPr>
      </w:pPr>
      <w:r>
        <w:rPr>
          <w:color w:val="212121"/>
          <w:sz w:val="22"/>
          <w:szCs w:val="22"/>
          <w:highlight w:val="white"/>
        </w:rPr>
        <w:t xml:space="preserve">Michel, J. B., Shen, Y. K., Aiden, A. P., Veres, A., Gray, M. K., Google Books Team, ... &amp; Aiden, E. L. (2011). Quantitative analysis of culture using millions of digitized books. </w:t>
      </w:r>
      <w:r>
        <w:rPr>
          <w:i/>
          <w:color w:val="212121"/>
          <w:sz w:val="22"/>
          <w:szCs w:val="22"/>
          <w:highlight w:val="white"/>
        </w:rPr>
        <w:t>Science</w:t>
      </w:r>
      <w:r>
        <w:rPr>
          <w:color w:val="212121"/>
          <w:sz w:val="22"/>
          <w:szCs w:val="22"/>
          <w:highlight w:val="white"/>
        </w:rPr>
        <w:t xml:space="preserve">, 331(6014), 176-182. </w:t>
      </w:r>
    </w:p>
    <w:p w14:paraId="45AB933F" w14:textId="77777777" w:rsidR="00A95AE8" w:rsidRDefault="00000000">
      <w:pPr>
        <w:shd w:val="clear" w:color="auto" w:fill="FFFFFF"/>
        <w:spacing w:before="120" w:after="120"/>
        <w:ind w:firstLine="720"/>
        <w:rPr>
          <w:color w:val="212121"/>
          <w:sz w:val="22"/>
          <w:szCs w:val="22"/>
          <w:highlight w:val="white"/>
        </w:rPr>
      </w:pPr>
      <w:r>
        <w:rPr>
          <w:color w:val="000000"/>
          <w:sz w:val="22"/>
          <w:szCs w:val="22"/>
          <w:highlight w:val="white"/>
        </w:rPr>
        <w:t xml:space="preserve">Moretti, F. (1999). Atlas of the European novel: 1800-1900. verso. </w:t>
      </w:r>
    </w:p>
    <w:p w14:paraId="623CB52C" w14:textId="77777777" w:rsidR="00A95AE8" w:rsidRDefault="00000000">
      <w:pPr>
        <w:shd w:val="clear" w:color="auto" w:fill="FFFFFF"/>
        <w:spacing w:before="120" w:after="120"/>
        <w:ind w:firstLine="720"/>
        <w:rPr>
          <w:color w:val="212121"/>
          <w:sz w:val="22"/>
          <w:szCs w:val="22"/>
          <w:highlight w:val="white"/>
        </w:rPr>
      </w:pPr>
      <w:r>
        <w:rPr>
          <w:color w:val="212121"/>
          <w:sz w:val="22"/>
          <w:szCs w:val="22"/>
          <w:highlight w:val="white"/>
        </w:rPr>
        <w:t xml:space="preserve">Pechenick, E. A., Danforth, C. M., &amp; Dodds, P. S. (2015). Characterizing the Google Books corpus: Strong limits to inferences of socio-cultural and linguistic evolution. </w:t>
      </w:r>
      <w:r>
        <w:rPr>
          <w:rFonts w:ascii="Times" w:eastAsia="Times" w:hAnsi="Times" w:cs="Times"/>
          <w:i/>
          <w:color w:val="212121"/>
          <w:sz w:val="22"/>
          <w:szCs w:val="22"/>
          <w:highlight w:val="white"/>
        </w:rPr>
        <w:t>PloS one</w:t>
      </w:r>
      <w:r>
        <w:rPr>
          <w:color w:val="212121"/>
          <w:sz w:val="22"/>
          <w:szCs w:val="22"/>
          <w:highlight w:val="white"/>
        </w:rPr>
        <w:t xml:space="preserve">, 10(10), e0137041. </w:t>
      </w:r>
    </w:p>
    <w:p w14:paraId="4DFF384B" w14:textId="77777777" w:rsidR="00A95AE8" w:rsidRDefault="00000000">
      <w:pPr>
        <w:shd w:val="clear" w:color="auto" w:fill="FFFFFF"/>
        <w:spacing w:before="120" w:after="120"/>
        <w:ind w:firstLine="720"/>
        <w:rPr>
          <w:color w:val="212121"/>
          <w:sz w:val="22"/>
          <w:szCs w:val="22"/>
          <w:highlight w:val="white"/>
        </w:rPr>
      </w:pPr>
      <w:r>
        <w:rPr>
          <w:color w:val="212121"/>
          <w:sz w:val="22"/>
          <w:szCs w:val="22"/>
          <w:highlight w:val="white"/>
        </w:rPr>
        <w:t xml:space="preserve">Popescu, Ioan-Iovitz. Word frequency studies. De Gruyter Mouton, 2009. </w:t>
      </w:r>
    </w:p>
    <w:p w14:paraId="531F70E2" w14:textId="77777777" w:rsidR="00A95AE8" w:rsidRDefault="00000000">
      <w:pPr>
        <w:shd w:val="clear" w:color="auto" w:fill="FFFFFF"/>
        <w:spacing w:before="120" w:after="120"/>
        <w:ind w:firstLine="720"/>
        <w:rPr>
          <w:color w:val="212121"/>
          <w:sz w:val="22"/>
          <w:szCs w:val="22"/>
          <w:highlight w:val="white"/>
        </w:rPr>
      </w:pPr>
      <w:r>
        <w:rPr>
          <w:color w:val="212121"/>
          <w:sz w:val="22"/>
          <w:szCs w:val="22"/>
          <w:highlight w:val="white"/>
        </w:rPr>
        <w:t xml:space="preserve">Twenge, J. M., Campbell, W. K., &amp; Gentile, B. (2012). Male and female pronoun use in US books reflects women’s status, 1900–2008. </w:t>
      </w:r>
      <w:r>
        <w:rPr>
          <w:rFonts w:ascii="Times" w:eastAsia="Times" w:hAnsi="Times" w:cs="Times"/>
          <w:i/>
          <w:color w:val="212121"/>
          <w:sz w:val="22"/>
          <w:szCs w:val="22"/>
          <w:highlight w:val="white"/>
        </w:rPr>
        <w:t>Sex roles</w:t>
      </w:r>
      <w:r>
        <w:rPr>
          <w:color w:val="212121"/>
          <w:sz w:val="22"/>
          <w:szCs w:val="22"/>
          <w:highlight w:val="white"/>
        </w:rPr>
        <w:t xml:space="preserve">, 67(9), 488-493. </w:t>
      </w:r>
    </w:p>
    <w:p w14:paraId="783A6D8F" w14:textId="77777777" w:rsidR="00A95AE8" w:rsidRDefault="00000000">
      <w:pPr>
        <w:shd w:val="clear" w:color="auto" w:fill="FFFFFF"/>
        <w:spacing w:before="120" w:after="120"/>
        <w:ind w:firstLine="720"/>
        <w:rPr>
          <w:color w:val="212121"/>
          <w:sz w:val="22"/>
          <w:szCs w:val="22"/>
          <w:highlight w:val="white"/>
        </w:rPr>
      </w:pPr>
      <w:r>
        <w:rPr>
          <w:color w:val="212121"/>
          <w:sz w:val="22"/>
          <w:szCs w:val="22"/>
          <w:highlight w:val="white"/>
        </w:rPr>
        <w:t xml:space="preserve">Underwood, T., Bamman, D., &amp; Lee, S. (2018). The transformation of gender in English-language fiction. </w:t>
      </w:r>
      <w:r>
        <w:rPr>
          <w:rFonts w:ascii="Times" w:eastAsia="Times" w:hAnsi="Times" w:cs="Times"/>
          <w:i/>
          <w:color w:val="212121"/>
          <w:sz w:val="22"/>
          <w:szCs w:val="22"/>
          <w:highlight w:val="white"/>
        </w:rPr>
        <w:t>Journal of Cultural Analytics</w:t>
      </w:r>
      <w:r>
        <w:rPr>
          <w:color w:val="212121"/>
          <w:sz w:val="22"/>
          <w:szCs w:val="22"/>
          <w:highlight w:val="white"/>
        </w:rPr>
        <w:t xml:space="preserve">, 3(2), 11035. </w:t>
      </w:r>
    </w:p>
    <w:p w14:paraId="7489F085" w14:textId="77777777" w:rsidR="00A95AE8" w:rsidRDefault="00000000">
      <w:pPr>
        <w:shd w:val="clear" w:color="auto" w:fill="FFFFFF"/>
        <w:spacing w:before="120" w:after="120"/>
        <w:ind w:firstLine="720"/>
        <w:rPr>
          <w:color w:val="212121"/>
          <w:sz w:val="22"/>
          <w:szCs w:val="22"/>
          <w:highlight w:val="white"/>
        </w:rPr>
      </w:pPr>
      <w:r>
        <w:rPr>
          <w:color w:val="212121"/>
          <w:sz w:val="22"/>
          <w:szCs w:val="22"/>
          <w:highlight w:val="white"/>
        </w:rPr>
        <w:t xml:space="preserve">Verboord, M. (2012). Female bestsellers: A cross-national study of gender inequality and the popular–highbrow culture divide in fiction book production, 1960–2009. </w:t>
      </w:r>
      <w:r>
        <w:rPr>
          <w:rFonts w:ascii="Times" w:eastAsia="Times" w:hAnsi="Times" w:cs="Times"/>
          <w:i/>
          <w:color w:val="212121"/>
          <w:sz w:val="22"/>
          <w:szCs w:val="22"/>
          <w:highlight w:val="white"/>
        </w:rPr>
        <w:t>European Journal of Communication</w:t>
      </w:r>
      <w:r>
        <w:rPr>
          <w:color w:val="212121"/>
          <w:sz w:val="22"/>
          <w:szCs w:val="22"/>
          <w:highlight w:val="white"/>
        </w:rPr>
        <w:t xml:space="preserve">, 27(4), 395-409. </w:t>
      </w:r>
    </w:p>
    <w:p w14:paraId="6ADD1BF8" w14:textId="77777777" w:rsidR="00A95AE8" w:rsidRDefault="00000000">
      <w:pPr>
        <w:shd w:val="clear" w:color="auto" w:fill="FFFFFF"/>
        <w:spacing w:before="120" w:after="120"/>
        <w:ind w:firstLine="720"/>
        <w:rPr>
          <w:color w:val="212121"/>
          <w:sz w:val="22"/>
          <w:szCs w:val="22"/>
          <w:highlight w:val="white"/>
        </w:rPr>
      </w:pPr>
      <w:r>
        <w:rPr>
          <w:color w:val="212121"/>
          <w:sz w:val="22"/>
          <w:szCs w:val="22"/>
          <w:highlight w:val="white"/>
        </w:rPr>
        <w:t>Warriner, A.B., Kuperman, V., &amp; Brysbaert, M. (2013). Norms of valence, arousal, and dominance for 13,915 English lemmas. Behavior Research Methods, 45, 1191-1207.</w:t>
      </w:r>
    </w:p>
    <w:p w14:paraId="3F86EA76" w14:textId="77777777" w:rsidR="00A95AE8" w:rsidRDefault="00000000">
      <w:pPr>
        <w:shd w:val="clear" w:color="auto" w:fill="FFFFFF"/>
        <w:spacing w:before="120" w:after="120"/>
        <w:ind w:firstLine="720"/>
        <w:rPr>
          <w:color w:val="212121"/>
          <w:sz w:val="22"/>
          <w:szCs w:val="22"/>
          <w:highlight w:val="white"/>
        </w:rPr>
      </w:pPr>
      <w:r>
        <w:rPr>
          <w:color w:val="212121"/>
          <w:sz w:val="22"/>
          <w:szCs w:val="22"/>
          <w:highlight w:val="white"/>
        </w:rPr>
        <w:t>Williams, J. R., Bagrow, J. P., Danforth, C. M., &amp; Dodds, P. S. (2015). Text mixing shapes the anatomy of rank-frequency distributions. Physical Review E, 91(5), 052811.</w:t>
      </w:r>
    </w:p>
    <w:p w14:paraId="35DD83F7" w14:textId="77777777" w:rsidR="00A95AE8" w:rsidRDefault="00000000">
      <w:pPr>
        <w:shd w:val="clear" w:color="auto" w:fill="FFFFFF"/>
        <w:spacing w:before="120" w:after="120"/>
        <w:ind w:firstLine="720"/>
        <w:rPr>
          <w:color w:val="212121"/>
          <w:sz w:val="22"/>
          <w:szCs w:val="22"/>
          <w:highlight w:val="white"/>
        </w:rPr>
      </w:pPr>
      <w:r>
        <w:rPr>
          <w:color w:val="212121"/>
          <w:sz w:val="22"/>
          <w:szCs w:val="22"/>
          <w:highlight w:val="white"/>
        </w:rPr>
        <w:t xml:space="preserve">Zipf, G. K. (1949). Human behavior and the principle of least effort: An introduction to human ecology. </w:t>
      </w:r>
    </w:p>
    <w:p w14:paraId="0E1C5F12" w14:textId="77777777" w:rsidR="00A95AE8" w:rsidRDefault="00000000">
      <w:pPr>
        <w:shd w:val="clear" w:color="auto" w:fill="FFFFFF"/>
        <w:spacing w:before="120" w:after="120"/>
        <w:ind w:firstLine="720"/>
        <w:rPr>
          <w:color w:val="212121"/>
          <w:sz w:val="22"/>
          <w:szCs w:val="22"/>
          <w:highlight w:val="white"/>
        </w:rPr>
      </w:pPr>
      <w:r>
        <w:rPr>
          <w:color w:val="212121"/>
          <w:sz w:val="22"/>
          <w:szCs w:val="22"/>
          <w:highlight w:val="white"/>
        </w:rPr>
        <w:t xml:space="preserve">Zwar, J., Throsby, D., &amp; Longden, T. (2015). Demographics of Australian book authors. (Australian authors Industry Briefs; No. 2). Macquarie University. </w:t>
      </w:r>
    </w:p>
    <w:sectPr w:rsidR="00A95AE8">
      <w:headerReference w:type="default" r:id="rId21"/>
      <w:footerReference w:type="default" r:id="rId2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5C7DA4" w14:textId="77777777" w:rsidR="0021430B" w:rsidRDefault="0021430B">
      <w:r>
        <w:separator/>
      </w:r>
    </w:p>
  </w:endnote>
  <w:endnote w:type="continuationSeparator" w:id="0">
    <w:p w14:paraId="1C975D67" w14:textId="77777777" w:rsidR="0021430B" w:rsidRDefault="00214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FD75F" w14:textId="77777777" w:rsidR="00A95AE8" w:rsidRDefault="00000000">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B03F23">
      <w:rPr>
        <w:noProof/>
        <w:color w:val="000000"/>
      </w:rPr>
      <w:t>1</w:t>
    </w:r>
    <w:r>
      <w:rPr>
        <w:color w:val="000000"/>
      </w:rPr>
      <w:fldChar w:fldCharType="end"/>
    </w:r>
  </w:p>
  <w:p w14:paraId="1C9648E2" w14:textId="77777777" w:rsidR="00A95AE8" w:rsidRDefault="00A95AE8">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0B9745" w14:textId="77777777" w:rsidR="0021430B" w:rsidRDefault="0021430B">
      <w:r>
        <w:separator/>
      </w:r>
    </w:p>
  </w:footnote>
  <w:footnote w:type="continuationSeparator" w:id="0">
    <w:p w14:paraId="3F8FA699" w14:textId="77777777" w:rsidR="0021430B" w:rsidRDefault="002143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91BC6" w14:textId="77777777" w:rsidR="00A95AE8" w:rsidRDefault="00A95AE8">
    <w:pPr>
      <w:jc w:val="right"/>
      <w:rPr>
        <w:sz w:val="20"/>
        <w:szCs w:val="20"/>
      </w:rPr>
    </w:pPr>
  </w:p>
  <w:p w14:paraId="6A8B73A3" w14:textId="77777777" w:rsidR="00A95AE8" w:rsidRDefault="00A95A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7A1E4E"/>
    <w:multiLevelType w:val="multilevel"/>
    <w:tmpl w:val="8E3CF82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496919733">
    <w:abstractNumId w:val="0"/>
  </w:num>
  <w:num w:numId="2" w16cid:durableId="9715208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157804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449479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115951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879739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105958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393237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757496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650126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AE8"/>
    <w:rsid w:val="0021430B"/>
    <w:rsid w:val="00A95AE8"/>
    <w:rsid w:val="00B03F23"/>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decimalSymbol w:val=","/>
  <w:listSeparator w:val=","/>
  <w14:docId w14:val="42DA274A"/>
  <w15:docId w15:val="{005C9DBC-1535-164F-AFD1-38871B694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B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30EA"/>
  </w:style>
  <w:style w:type="paragraph" w:styleId="Heading1">
    <w:name w:val="heading 1"/>
    <w:basedOn w:val="Normal"/>
    <w:next w:val="Normal"/>
    <w:link w:val="Heading1Char"/>
    <w:uiPriority w:val="9"/>
    <w:qFormat/>
    <w:rsid w:val="00B43B31"/>
    <w:pPr>
      <w:keepNext/>
      <w:spacing w:before="240" w:after="60"/>
      <w:outlineLvl w:val="0"/>
    </w:pPr>
    <w:rPr>
      <w:b/>
      <w:bCs/>
      <w:kern w:val="32"/>
    </w:rPr>
  </w:style>
  <w:style w:type="paragraph" w:styleId="Heading2">
    <w:name w:val="heading 2"/>
    <w:basedOn w:val="Normal"/>
    <w:next w:val="Normal"/>
    <w:link w:val="Heading2Char"/>
    <w:uiPriority w:val="9"/>
    <w:semiHidden/>
    <w:unhideWhenUsed/>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uiPriority w:val="9"/>
    <w:semiHidden/>
    <w:unhideWhenUsed/>
    <w:qFormat/>
    <w:rsid w:val="00C600D9"/>
    <w:pPr>
      <w:keepNext/>
      <w:spacing w:line="480" w:lineRule="auto"/>
      <w:outlineLvl w:val="2"/>
    </w:pPr>
    <w:rPr>
      <w:rFonts w:ascii="Times" w:eastAsia="Times" w:hAnsi="Times"/>
      <w:b/>
    </w:rPr>
  </w:style>
  <w:style w:type="paragraph" w:styleId="Heading4">
    <w:name w:val="heading 4"/>
    <w:basedOn w:val="Normal"/>
    <w:next w:val="Normal"/>
    <w:uiPriority w:val="9"/>
    <w:semiHidden/>
    <w:unhideWhenUsed/>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uiPriority w:val="9"/>
    <w:semiHidden/>
    <w:unhideWhenUsed/>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semiHidden/>
    <w:unhideWhenUsed/>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rPr>
  </w:style>
  <w:style w:type="paragraph" w:styleId="Heading8">
    <w:name w:val="heading 8"/>
    <w:basedOn w:val="Normal"/>
    <w:next w:val="Normal"/>
    <w:link w:val="Heading8Char"/>
    <w:semiHidden/>
    <w:qFormat/>
    <w:rsid w:val="007411A1"/>
    <w:pPr>
      <w:spacing w:before="240" w:after="60"/>
      <w:outlineLvl w:val="7"/>
    </w:pPr>
    <w:rPr>
      <w:rFonts w:ascii="Calibri" w:hAnsi="Calibri"/>
      <w:i/>
      <w:iCs/>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05336"/>
    <w:pPr>
      <w:spacing w:before="240" w:after="60"/>
      <w:jc w:val="center"/>
      <w:outlineLvl w:val="0"/>
    </w:pPr>
    <w:rPr>
      <w:rFonts w:ascii="Cambria" w:hAnsi="Cambria"/>
      <w:b/>
      <w:bCs/>
      <w:kern w:val="28"/>
      <w:sz w:val="32"/>
      <w:szCs w:val="32"/>
    </w:rPr>
  </w:style>
  <w:style w:type="character" w:styleId="PageNumber">
    <w:name w:val="page number"/>
    <w:basedOn w:val="DefaultParagraphFont"/>
    <w:semiHidden/>
    <w:rsid w:val="00477182"/>
  </w:style>
  <w:style w:type="character" w:customStyle="1" w:styleId="Heading1Char">
    <w:name w:val="Heading 1 Char"/>
    <w:link w:val="Heading1"/>
    <w:semiHidden/>
    <w:rsid w:val="00FF04E3"/>
    <w:rPr>
      <w:b/>
      <w:bCs/>
      <w:kern w:val="32"/>
      <w:sz w:val="24"/>
      <w:szCs w:val="24"/>
    </w:rPr>
  </w:style>
  <w:style w:type="character" w:customStyle="1" w:styleId="Heading2Char">
    <w:name w:val="Heading 2 Char"/>
    <w:link w:val="Heading2"/>
    <w:semiHidden/>
    <w:rsid w:val="00FF04E3"/>
    <w:rPr>
      <w:rFonts w:ascii="Cambria" w:hAnsi="Cambria"/>
      <w:b/>
      <w:bCs/>
      <w:i/>
      <w:iCs/>
      <w:sz w:val="28"/>
      <w:szCs w:val="28"/>
    </w:rPr>
  </w:style>
  <w:style w:type="character" w:customStyle="1" w:styleId="Heading5Char">
    <w:name w:val="Heading 5 Char"/>
    <w:link w:val="Heading5"/>
    <w:semiHidden/>
    <w:rsid w:val="00FF04E3"/>
    <w:rPr>
      <w:rFonts w:ascii="Calibri" w:hAnsi="Calibri"/>
      <w:b/>
      <w:bCs/>
      <w:i/>
      <w:iCs/>
      <w:sz w:val="26"/>
      <w:szCs w:val="26"/>
    </w:rPr>
  </w:style>
  <w:style w:type="character" w:customStyle="1" w:styleId="Heading6Char">
    <w:name w:val="Heading 6 Char"/>
    <w:link w:val="Heading6"/>
    <w:semiHidden/>
    <w:rsid w:val="00FF04E3"/>
    <w:rPr>
      <w:rFonts w:ascii="Calibri" w:hAnsi="Calibri"/>
      <w:b/>
      <w:bCs/>
      <w:sz w:val="22"/>
      <w:szCs w:val="22"/>
    </w:rPr>
  </w:style>
  <w:style w:type="character" w:customStyle="1" w:styleId="Heading7Char">
    <w:name w:val="Heading 7 Char"/>
    <w:link w:val="Heading7"/>
    <w:semiHidden/>
    <w:rsid w:val="00FF04E3"/>
    <w:rPr>
      <w:rFonts w:ascii="Calibri" w:hAnsi="Calibri"/>
      <w:sz w:val="24"/>
      <w:szCs w:val="24"/>
    </w:rPr>
  </w:style>
  <w:style w:type="character" w:customStyle="1" w:styleId="Heading8Char">
    <w:name w:val="Heading 8 Char"/>
    <w:link w:val="Heading8"/>
    <w:semiHidden/>
    <w:rsid w:val="00FF04E3"/>
    <w:rPr>
      <w:rFonts w:ascii="Calibri" w:hAnsi="Calibri"/>
      <w:i/>
      <w:iCs/>
      <w:sz w:val="24"/>
      <w:szCs w:val="24"/>
    </w:rPr>
  </w:style>
  <w:style w:type="character" w:customStyle="1" w:styleId="Heading9Char">
    <w:name w:val="Heading 9 Char"/>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link w:val="Closing"/>
    <w:semiHidden/>
    <w:rsid w:val="00FF04E3"/>
    <w:rPr>
      <w:sz w:val="24"/>
    </w:rPr>
  </w:style>
  <w:style w:type="paragraph" w:styleId="CommentText">
    <w:name w:val="annotation text"/>
    <w:basedOn w:val="Normal"/>
    <w:link w:val="CommentTextChar"/>
    <w:semiHidden/>
    <w:rsid w:val="00405336"/>
    <w:rPr>
      <w:sz w:val="20"/>
    </w:rPr>
  </w:style>
  <w:style w:type="character" w:customStyle="1" w:styleId="CommentTextChar">
    <w:name w:val="Comment Text Char"/>
    <w:basedOn w:val="DefaultParagraphFont"/>
    <w:link w:val="CommentText"/>
    <w:semiHidden/>
    <w:rsid w:val="00FF04E3"/>
  </w:style>
  <w:style w:type="paragraph" w:styleId="CommentSubject">
    <w:name w:val="annotation subject"/>
    <w:basedOn w:val="CommentText"/>
    <w:next w:val="CommentText"/>
    <w:link w:val="CommentSubjectChar"/>
    <w:semiHidden/>
    <w:rsid w:val="00405336"/>
    <w:rPr>
      <w:b/>
      <w:bCs/>
    </w:rPr>
  </w:style>
  <w:style w:type="character" w:customStyle="1" w:styleId="CommentSubjectChar">
    <w:name w:val="Comment Subject Char"/>
    <w:link w:val="CommentSubject"/>
    <w:semiHidden/>
    <w:rsid w:val="00FF04E3"/>
    <w:rPr>
      <w:b/>
      <w:bCs/>
    </w:rPr>
  </w:style>
  <w:style w:type="paragraph" w:styleId="Date">
    <w:name w:val="Date"/>
    <w:basedOn w:val="Normal"/>
    <w:next w:val="Normal"/>
    <w:link w:val="DateChar"/>
    <w:semiHidden/>
    <w:rsid w:val="00405336"/>
  </w:style>
  <w:style w:type="character" w:customStyle="1" w:styleId="DateChar">
    <w:name w:val="Date Char"/>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semiHidden/>
    <w:rsid w:val="00405336"/>
    <w:pPr>
      <w:tabs>
        <w:tab w:val="center" w:pos="4680"/>
        <w:tab w:val="right" w:pos="9360"/>
      </w:tabs>
    </w:pPr>
  </w:style>
  <w:style w:type="character" w:customStyle="1" w:styleId="FooterChar">
    <w:name w:val="Footer Char"/>
    <w:link w:val="Footer"/>
    <w:semiHidden/>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semiHidden/>
    <w:rsid w:val="00405336"/>
    <w:pPr>
      <w:tabs>
        <w:tab w:val="center" w:pos="4680"/>
        <w:tab w:val="right" w:pos="9360"/>
      </w:tabs>
    </w:pPr>
  </w:style>
  <w:style w:type="character" w:customStyle="1" w:styleId="HeaderChar">
    <w:name w:val="Header Char"/>
    <w:link w:val="Header"/>
    <w:semiHidden/>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tabs>
        <w:tab w:val="num" w:pos="720"/>
      </w:tabs>
      <w:ind w:left="720" w:hanging="720"/>
      <w:contextualSpacing/>
    </w:pPr>
  </w:style>
  <w:style w:type="paragraph" w:styleId="ListBullet3">
    <w:name w:val="List Bullet 3"/>
    <w:basedOn w:val="Normal"/>
    <w:semiHidden/>
    <w:rsid w:val="00405336"/>
    <w:pPr>
      <w:tabs>
        <w:tab w:val="num" w:pos="720"/>
      </w:tabs>
      <w:ind w:left="720" w:hanging="720"/>
      <w:contextualSpacing/>
    </w:pPr>
  </w:style>
  <w:style w:type="paragraph" w:styleId="ListBullet4">
    <w:name w:val="List Bullet 4"/>
    <w:basedOn w:val="Normal"/>
    <w:semiHidden/>
    <w:rsid w:val="00405336"/>
    <w:pPr>
      <w:tabs>
        <w:tab w:val="num" w:pos="720"/>
      </w:tabs>
      <w:ind w:left="720" w:hanging="720"/>
      <w:contextualSpacing/>
    </w:pPr>
  </w:style>
  <w:style w:type="paragraph" w:styleId="ListBullet5">
    <w:name w:val="List Bullet 5"/>
    <w:basedOn w:val="Normal"/>
    <w:semiHidden/>
    <w:rsid w:val="00405336"/>
    <w:pPr>
      <w:tabs>
        <w:tab w:val="num" w:pos="720"/>
      </w:tabs>
      <w:ind w:left="720" w:hanging="720"/>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tabs>
        <w:tab w:val="num" w:pos="720"/>
      </w:tabs>
      <w:ind w:left="720" w:hanging="720"/>
      <w:contextualSpacing/>
    </w:pPr>
  </w:style>
  <w:style w:type="paragraph" w:styleId="ListNumber2">
    <w:name w:val="List Number 2"/>
    <w:basedOn w:val="Normal"/>
    <w:semiHidden/>
    <w:rsid w:val="00405336"/>
    <w:pPr>
      <w:tabs>
        <w:tab w:val="num" w:pos="720"/>
      </w:tabs>
      <w:ind w:left="720" w:hanging="720"/>
      <w:contextualSpacing/>
    </w:pPr>
  </w:style>
  <w:style w:type="paragraph" w:styleId="ListNumber3">
    <w:name w:val="List Number 3"/>
    <w:basedOn w:val="Normal"/>
    <w:semiHidden/>
    <w:rsid w:val="00405336"/>
    <w:pPr>
      <w:tabs>
        <w:tab w:val="num" w:pos="720"/>
      </w:tabs>
      <w:ind w:left="720" w:hanging="720"/>
      <w:contextualSpacing/>
    </w:pPr>
  </w:style>
  <w:style w:type="paragraph" w:styleId="ListNumber4">
    <w:name w:val="List Number 4"/>
    <w:basedOn w:val="Normal"/>
    <w:semiHidden/>
    <w:rsid w:val="00405336"/>
    <w:pPr>
      <w:tabs>
        <w:tab w:val="num" w:pos="720"/>
      </w:tabs>
      <w:ind w:left="720" w:hanging="720"/>
      <w:contextualSpacing/>
    </w:pPr>
  </w:style>
  <w:style w:type="paragraph" w:styleId="ListNumber5">
    <w:name w:val="List Number 5"/>
    <w:basedOn w:val="Normal"/>
    <w:semiHidden/>
    <w:rsid w:val="00405336"/>
    <w:pPr>
      <w:tabs>
        <w:tab w:val="num" w:pos="720"/>
      </w:tabs>
      <w:ind w:left="720" w:hanging="720"/>
      <w:contextualSpacing/>
    </w:pPr>
  </w:style>
  <w:style w:type="paragraph" w:styleId="ListParagraph">
    <w:name w:val="List Paragraph"/>
    <w:basedOn w:val="Normal"/>
    <w:uiPriority w:val="34"/>
    <w:semiHidden/>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rPr>
  </w:style>
  <w:style w:type="character" w:customStyle="1" w:styleId="MessageHeaderChar">
    <w:name w:val="Message Header Char"/>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style>
  <w:style w:type="paragraph" w:styleId="NormalWeb">
    <w:name w:val="Normal (Web)"/>
    <w:basedOn w:val="Normal"/>
    <w:uiPriority w:val="99"/>
    <w:semiHidden/>
    <w:rsid w:val="00405336"/>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link w:val="Signature"/>
    <w:semiHidden/>
    <w:rsid w:val="00FF04E3"/>
    <w:rPr>
      <w:sz w:val="24"/>
    </w:rPr>
  </w:style>
  <w:style w:type="paragraph" w:styleId="Subtitle">
    <w:name w:val="Subtitle"/>
    <w:basedOn w:val="Normal"/>
    <w:next w:val="Normal"/>
    <w:link w:val="SubtitleChar"/>
    <w:uiPriority w:val="11"/>
    <w:qFormat/>
    <w:pPr>
      <w:spacing w:after="60"/>
      <w:jc w:val="center"/>
    </w:pPr>
    <w:rPr>
      <w:rFonts w:ascii="Cambria" w:eastAsia="Cambria" w:hAnsi="Cambria" w:cs="Cambria"/>
    </w:rPr>
  </w:style>
  <w:style w:type="character" w:customStyle="1" w:styleId="SubtitleChar">
    <w:name w:val="Subtitle Char"/>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character" w:customStyle="1" w:styleId="TitleChar">
    <w:name w:val="Title Char"/>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uiPriority w:val="99"/>
    <w:semiHidden/>
    <w:rsid w:val="007402FC"/>
    <w:rPr>
      <w:color w:val="0000FF"/>
      <w:u w:val="single"/>
    </w:rPr>
  </w:style>
  <w:style w:type="character" w:styleId="FollowedHyperlink">
    <w:name w:val="FollowedHyperlink"/>
    <w:semiHidden/>
    <w:unhideWhenUsed/>
    <w:rsid w:val="00793072"/>
    <w:rPr>
      <w:color w:val="800080"/>
      <w:u w:val="single"/>
    </w:rPr>
  </w:style>
  <w:style w:type="character" w:styleId="CommentReference">
    <w:name w:val="annotation reference"/>
    <w:semiHidden/>
    <w:unhideWhenUsed/>
    <w:rsid w:val="00793072"/>
    <w:rPr>
      <w:sz w:val="16"/>
      <w:szCs w:val="16"/>
    </w:rPr>
  </w:style>
  <w:style w:type="character" w:styleId="UnresolvedMention">
    <w:name w:val="Unresolved Mention"/>
    <w:basedOn w:val="DefaultParagraphFont"/>
    <w:uiPriority w:val="99"/>
    <w:semiHidden/>
    <w:unhideWhenUsed/>
    <w:rsid w:val="008218C4"/>
    <w:rPr>
      <w:color w:val="808080"/>
      <w:shd w:val="clear" w:color="auto" w:fill="E6E6E6"/>
    </w:rPr>
  </w:style>
  <w:style w:type="paragraph" w:customStyle="1" w:styleId="PubInfo">
    <w:name w:val="PubInfo"/>
    <w:basedOn w:val="Normal"/>
    <w:qFormat/>
    <w:rsid w:val="00533910"/>
    <w:pPr>
      <w:suppressAutoHyphens/>
      <w:jc w:val="center"/>
    </w:pPr>
    <w:rPr>
      <w:sz w:val="20"/>
      <w:lang w:eastAsia="ar-SA"/>
    </w:rPr>
  </w:style>
  <w:style w:type="paragraph" w:customStyle="1" w:styleId="DoiInfo">
    <w:name w:val="DoiInfo"/>
    <w:basedOn w:val="Normal"/>
    <w:qFormat/>
    <w:rsid w:val="00533910"/>
    <w:pPr>
      <w:suppressAutoHyphens/>
      <w:jc w:val="center"/>
    </w:pPr>
    <w:rPr>
      <w:sz w:val="20"/>
      <w:lang w:eastAsia="ar-SA"/>
    </w:rPr>
  </w:style>
  <w:style w:type="paragraph" w:customStyle="1" w:styleId="Paragraph">
    <w:name w:val="Paragraph"/>
    <w:basedOn w:val="Normal"/>
    <w:rsid w:val="00BD2979"/>
    <w:pPr>
      <w:spacing w:before="120"/>
      <w:ind w:firstLine="720"/>
    </w:pPr>
  </w:style>
  <w:style w:type="paragraph" w:customStyle="1" w:styleId="Teaser">
    <w:name w:val="Teaser"/>
    <w:basedOn w:val="Normal"/>
    <w:rsid w:val="00BD2979"/>
    <w:pPr>
      <w:spacing w:before="120"/>
    </w:p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github.com/giacomohandjaras/SaneNLP_toolbox" TargetMode="External"/><Relationship Id="rId13" Type="http://schemas.openxmlformats.org/officeDocument/2006/relationships/image" Target="media/image3.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www.sane-elab.eu/litemo/welcome.php" TargetMode="Externa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s://osf.io/mcx5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hyperlink" Target="https://books.google.com/ngrams"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https://www.sane-elab.eu/litemo/welcome.php" TargetMode="External"/><Relationship Id="rId14" Type="http://schemas.openxmlformats.org/officeDocument/2006/relationships/image" Target="media/image4.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AOeq7jciCA0VrHCF1mojvM0ARA==">CgMxLjA4AGopChRzdWdnZXN0LnZhODdrMWFnNnprdBIRR2lhY29tbyBIYW5kamFyYXNyITE1bTh0dWh3Q1c0WTRfNDNpRU9OWnF1a1BZQ1FxLWRBZA==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21</Pages>
  <Words>5901</Words>
  <Characters>33636</Characters>
  <Application>Microsoft Office Word</Application>
  <DocSecurity>0</DocSecurity>
  <Lines>280</Lines>
  <Paragraphs>78</Paragraphs>
  <ScaleCrop>false</ScaleCrop>
  <Company/>
  <LinksUpToDate>false</LinksUpToDate>
  <CharactersWithSpaces>39459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Brooks Hanson</dc:creator>
  <cp:lastModifiedBy>Giada Lettieri</cp:lastModifiedBy>
  <cp:revision>2</cp:revision>
  <dcterms:created xsi:type="dcterms:W3CDTF">2022-09-15T09:26:00Z</dcterms:created>
  <dcterms:modified xsi:type="dcterms:W3CDTF">2023-07-18T08:20:00Z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0x0101000C8221A7F0343744B07CC2CED3D6F8EE</vt:lpwstr>
  </property>
</Properties>
</file>