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AE2B1" w14:textId="77777777" w:rsidR="000F5520" w:rsidRDefault="000F5520" w:rsidP="000F5520">
      <w:pPr>
        <w:pStyle w:val="NoSpacing"/>
        <w:spacing w:line="480" w:lineRule="auto"/>
        <w:jc w:val="center"/>
        <w:rPr>
          <w:rFonts w:cs="Times New Roman"/>
          <w:b/>
          <w:bCs/>
          <w:szCs w:val="24"/>
        </w:rPr>
      </w:pPr>
      <w:bookmarkStart w:id="0" w:name="_Ref181621459"/>
      <w:r w:rsidRPr="00B8164D">
        <w:rPr>
          <w:rFonts w:cs="Times New Roman"/>
          <w:b/>
          <w:bCs/>
          <w:szCs w:val="24"/>
        </w:rPr>
        <w:t>Effect of Agitation Speed on Anaerobic Digestion of Sewage Sludge and the Organic Fraction of Municipal Solid Waste at a Pilot Scale</w:t>
      </w:r>
    </w:p>
    <w:p w14:paraId="26F775A5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b/>
          <w:bCs/>
          <w:szCs w:val="24"/>
        </w:rPr>
      </w:pPr>
    </w:p>
    <w:p w14:paraId="7E691082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szCs w:val="24"/>
          <w:vertAlign w:val="superscript"/>
          <w:lang w:val="es-CO"/>
        </w:rPr>
      </w:pPr>
      <w:r w:rsidRPr="00B8164D">
        <w:rPr>
          <w:rFonts w:cs="Times New Roman"/>
          <w:szCs w:val="24"/>
          <w:lang w:val="es-CO"/>
        </w:rPr>
        <w:t xml:space="preserve">Carlos Esteven Pulgarín-Muñoz </w:t>
      </w:r>
      <w:r w:rsidRPr="00B8164D">
        <w:rPr>
          <w:rFonts w:cs="Times New Roman"/>
          <w:szCs w:val="24"/>
          <w:vertAlign w:val="superscript"/>
          <w:lang w:val="es-CO"/>
        </w:rPr>
        <w:t>a*</w:t>
      </w:r>
      <w:r w:rsidRPr="00B8164D">
        <w:rPr>
          <w:rFonts w:cs="Times New Roman"/>
          <w:szCs w:val="24"/>
          <w:lang w:val="es-CO"/>
        </w:rPr>
        <w:t xml:space="preserve">, Julio César Saldarriaga-Molina </w:t>
      </w:r>
      <w:r w:rsidRPr="00B8164D">
        <w:rPr>
          <w:rFonts w:cs="Times New Roman"/>
          <w:szCs w:val="24"/>
          <w:vertAlign w:val="superscript"/>
          <w:lang w:val="es-CO"/>
        </w:rPr>
        <w:t>b</w:t>
      </w:r>
      <w:r w:rsidRPr="00B8164D">
        <w:rPr>
          <w:rFonts w:cs="Times New Roman"/>
          <w:szCs w:val="24"/>
          <w:lang w:val="es-CO"/>
        </w:rPr>
        <w:t xml:space="preserve">, Johan Camilo Castro-Valencia </w:t>
      </w:r>
      <w:r w:rsidRPr="00B8164D">
        <w:rPr>
          <w:rFonts w:cs="Times New Roman"/>
          <w:szCs w:val="24"/>
          <w:vertAlign w:val="superscript"/>
          <w:lang w:val="es-CO"/>
        </w:rPr>
        <w:t>c</w:t>
      </w:r>
      <w:r w:rsidRPr="00B8164D">
        <w:rPr>
          <w:rFonts w:cs="Times New Roman"/>
          <w:szCs w:val="24"/>
          <w:lang w:val="es-CO"/>
        </w:rPr>
        <w:t xml:space="preserve">, Mauricio Andres Correa-Ochoa </w:t>
      </w:r>
      <w:r w:rsidRPr="00B8164D">
        <w:rPr>
          <w:rFonts w:cs="Times New Roman"/>
          <w:szCs w:val="24"/>
          <w:vertAlign w:val="superscript"/>
          <w:lang w:val="es-CO"/>
        </w:rPr>
        <w:t>a</w:t>
      </w:r>
      <w:r w:rsidRPr="00B8164D">
        <w:rPr>
          <w:rFonts w:cs="Times New Roman"/>
          <w:szCs w:val="24"/>
          <w:lang w:val="es-CO"/>
        </w:rPr>
        <w:t xml:space="preserve"> and Juan David Echeverry-Ruiz </w:t>
      </w:r>
      <w:r w:rsidRPr="00B8164D">
        <w:rPr>
          <w:rFonts w:cs="Times New Roman"/>
          <w:szCs w:val="24"/>
          <w:vertAlign w:val="superscript"/>
          <w:lang w:val="es-CO"/>
        </w:rPr>
        <w:t>d</w:t>
      </w:r>
    </w:p>
    <w:p w14:paraId="1FAB35B4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szCs w:val="24"/>
          <w:lang w:val="es-CO"/>
        </w:rPr>
      </w:pPr>
    </w:p>
    <w:p w14:paraId="0637F237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szCs w:val="24"/>
        </w:rPr>
      </w:pPr>
      <w:r w:rsidRPr="00B8164D">
        <w:rPr>
          <w:rFonts w:cs="Times New Roman"/>
          <w:szCs w:val="24"/>
          <w:vertAlign w:val="superscript"/>
        </w:rPr>
        <w:t>a</w:t>
      </w:r>
      <w:r w:rsidRPr="00B8164D">
        <w:rPr>
          <w:rFonts w:cs="Times New Roman"/>
        </w:rPr>
        <w:t xml:space="preserve"> Environmental Monitoring Laboratory and Research Group G-LIMA, Environmental School, Faculty of Engineering, Universidad de Antioquia. Medellín, 050010</w:t>
      </w:r>
      <w:r w:rsidRPr="00B8164D">
        <w:rPr>
          <w:rFonts w:cs="Times New Roman"/>
          <w:lang w:eastAsia="zh-CN"/>
        </w:rPr>
        <w:t xml:space="preserve">, </w:t>
      </w:r>
      <w:r w:rsidRPr="00B8164D">
        <w:rPr>
          <w:rFonts w:cs="Times New Roman"/>
        </w:rPr>
        <w:t>Colombia</w:t>
      </w:r>
    </w:p>
    <w:p w14:paraId="2B53E7D2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szCs w:val="24"/>
        </w:rPr>
      </w:pPr>
      <w:r w:rsidRPr="00B8164D">
        <w:rPr>
          <w:rFonts w:cs="Times New Roman"/>
          <w:szCs w:val="24"/>
          <w:vertAlign w:val="superscript"/>
        </w:rPr>
        <w:t xml:space="preserve">b </w:t>
      </w:r>
      <w:r w:rsidRPr="00B8164D">
        <w:rPr>
          <w:rFonts w:cs="Times New Roman"/>
          <w:szCs w:val="24"/>
        </w:rPr>
        <w:t>Infrastructure Investigation Group (</w:t>
      </w:r>
      <w:r w:rsidRPr="00B8164D">
        <w:rPr>
          <w:rFonts w:cs="Times New Roman"/>
          <w:iCs/>
          <w:szCs w:val="24"/>
        </w:rPr>
        <w:t>GII)</w:t>
      </w:r>
      <w:r w:rsidRPr="00B8164D">
        <w:rPr>
          <w:rFonts w:cs="Times New Roman"/>
          <w:szCs w:val="24"/>
        </w:rPr>
        <w:t>, Environmental School, Faculty of Engineering, Universidad de Antioquia. Medellín, 050010, Colombia</w:t>
      </w:r>
    </w:p>
    <w:p w14:paraId="4CF133D6" w14:textId="14C37A2A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</w:rPr>
      </w:pPr>
      <w:r w:rsidRPr="00B8164D">
        <w:rPr>
          <w:rFonts w:cs="Times New Roman"/>
          <w:szCs w:val="24"/>
          <w:vertAlign w:val="superscript"/>
        </w:rPr>
        <w:t xml:space="preserve">c </w:t>
      </w:r>
      <w:r w:rsidRPr="00B8164D">
        <w:rPr>
          <w:rFonts w:cs="Times New Roman"/>
          <w:szCs w:val="24"/>
        </w:rPr>
        <w:t>Environmental Monitoring Laboratory and Research Group G-LIMA, Biochemical Engineering, Faculty of Engineering, Universidad de Antioquia, Carmen de Viboral, 054030, Colombia</w:t>
      </w:r>
    </w:p>
    <w:p w14:paraId="5C5E7CB2" w14:textId="77777777" w:rsidR="000F5520" w:rsidRDefault="000F5520" w:rsidP="000F5520">
      <w:pPr>
        <w:pStyle w:val="NoSpacing"/>
        <w:adjustRightInd w:val="0"/>
        <w:snapToGrid w:val="0"/>
        <w:spacing w:before="0" w:after="0"/>
        <w:jc w:val="left"/>
        <w:rPr>
          <w:rFonts w:cs="Times New Roman"/>
          <w:szCs w:val="24"/>
          <w:lang w:val="es-CO"/>
        </w:rPr>
      </w:pPr>
      <w:r w:rsidRPr="00B8164D">
        <w:rPr>
          <w:rFonts w:cs="Times New Roman"/>
          <w:szCs w:val="24"/>
          <w:vertAlign w:val="superscript"/>
          <w:lang w:val="es-CO"/>
        </w:rPr>
        <w:t>d</w:t>
      </w:r>
      <w:r w:rsidRPr="00B8164D">
        <w:rPr>
          <w:rFonts w:cs="Times New Roman"/>
          <w:szCs w:val="24"/>
          <w:lang w:val="es-CO"/>
        </w:rPr>
        <w:t xml:space="preserve"> Corporación Autónoma Regional de las Cuencas de los Ríos Negro y Nare “Cornare”, El Santuario, 054450, Colombia</w:t>
      </w:r>
    </w:p>
    <w:p w14:paraId="2FE29E58" w14:textId="77777777" w:rsidR="000F5520" w:rsidRPr="00CC23EF" w:rsidRDefault="000F5520" w:rsidP="000F5520">
      <w:pPr>
        <w:pStyle w:val="NoSpacing"/>
        <w:adjustRightInd w:val="0"/>
        <w:snapToGrid w:val="0"/>
        <w:spacing w:before="0" w:after="0"/>
        <w:jc w:val="left"/>
      </w:pPr>
      <w:r w:rsidRPr="00B8164D">
        <w:rPr>
          <w:rFonts w:cs="Times New Roman"/>
          <w:szCs w:val="24"/>
        </w:rPr>
        <w:t xml:space="preserve">* Corresponding </w:t>
      </w:r>
      <w:bookmarkStart w:id="1" w:name="_GoBack"/>
      <w:r w:rsidRPr="00CC23EF">
        <w:t>author: esteven.pulgarin@udea.edu.co (C.E. Pulgarín-Muñoz)</w:t>
      </w:r>
    </w:p>
    <w:bookmarkEnd w:id="1"/>
    <w:p w14:paraId="2A394003" w14:textId="77777777" w:rsidR="000F5520" w:rsidRDefault="000F5520" w:rsidP="000F5520">
      <w:pPr>
        <w:pStyle w:val="NoSpacing"/>
        <w:jc w:val="center"/>
        <w:rPr>
          <w:rFonts w:cs="Times New Roman"/>
          <w:b/>
          <w:bCs/>
          <w:szCs w:val="24"/>
        </w:rPr>
      </w:pPr>
    </w:p>
    <w:p w14:paraId="2533C860" w14:textId="5832A6E3" w:rsidR="000F5520" w:rsidRDefault="000F5520" w:rsidP="000F5520">
      <w:pPr>
        <w:pStyle w:val="NoSpacing"/>
        <w:jc w:val="center"/>
        <w:rPr>
          <w:rStyle w:val="Figura-TablasCar"/>
          <w:szCs w:val="24"/>
          <w:lang w:val="en-US"/>
        </w:rPr>
      </w:pPr>
      <w:r>
        <w:rPr>
          <w:rFonts w:cs="Times New Roman"/>
          <w:b/>
          <w:bCs/>
          <w:szCs w:val="24"/>
        </w:rPr>
        <w:t>Supplementary</w:t>
      </w:r>
    </w:p>
    <w:p w14:paraId="6449079C" w14:textId="754F46D9" w:rsidR="00C07837" w:rsidRPr="00B8164D" w:rsidRDefault="00C07837" w:rsidP="00C07837">
      <w:pPr>
        <w:pStyle w:val="Leyendas"/>
        <w:rPr>
          <w:rFonts w:cs="Times New Roman"/>
          <w:i w:val="0"/>
        </w:rPr>
      </w:pPr>
      <w:r w:rsidRPr="00B8164D">
        <w:rPr>
          <w:rStyle w:val="Figura-TablasCar"/>
          <w:rFonts w:cs="Times New Roman"/>
          <w:i w:val="0"/>
          <w:szCs w:val="24"/>
          <w:lang w:val="en-US"/>
        </w:rPr>
        <w:t xml:space="preserve">Table </w:t>
      </w:r>
      <w:r w:rsidR="000F5520">
        <w:rPr>
          <w:rStyle w:val="Figura-TablasCar"/>
          <w:rFonts w:cs="Times New Roman"/>
          <w:i w:val="0"/>
          <w:szCs w:val="24"/>
          <w:lang w:val="en-US"/>
        </w:rPr>
        <w:t>S</w:t>
      </w:r>
      <w:r w:rsidRPr="00B8164D">
        <w:rPr>
          <w:rStyle w:val="Figura-TablasCar"/>
          <w:rFonts w:cs="Times New Roman"/>
          <w:i w:val="0"/>
          <w:noProof/>
          <w:szCs w:val="24"/>
          <w:lang w:val="en-US"/>
        </w:rPr>
        <w:t>1</w:t>
      </w:r>
      <w:bookmarkEnd w:id="0"/>
      <w:r w:rsidRPr="00B8164D">
        <w:rPr>
          <w:rFonts w:cs="Times New Roman"/>
          <w:i w:val="0"/>
        </w:rPr>
        <w:t xml:space="preserve">. The models used to describe </w:t>
      </w:r>
      <w:r w:rsidRPr="00B8164D">
        <w:rPr>
          <w:rStyle w:val="Strong"/>
          <w:rFonts w:cs="Times New Roman"/>
          <w:b w:val="0"/>
          <w:bCs w:val="0"/>
          <w:i w:val="0"/>
          <w:szCs w:val="24"/>
        </w:rPr>
        <w:t>CH</w:t>
      </w:r>
      <w:r w:rsidRPr="00B8164D">
        <w:rPr>
          <w:rStyle w:val="Strong"/>
          <w:rFonts w:cs="Times New Roman"/>
          <w:b w:val="0"/>
          <w:bCs w:val="0"/>
          <w:i w:val="0"/>
          <w:szCs w:val="24"/>
          <w:vertAlign w:val="subscript"/>
        </w:rPr>
        <w:t>4</w:t>
      </w:r>
      <w:r w:rsidRPr="00B8164D">
        <w:rPr>
          <w:rFonts w:cs="Times New Roman"/>
          <w:i w:val="0"/>
        </w:rPr>
        <w:t xml:space="preserve"> production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843"/>
        <w:gridCol w:w="4820"/>
        <w:gridCol w:w="2409"/>
      </w:tblGrid>
      <w:tr w:rsidR="00C07837" w:rsidRPr="00B8164D" w14:paraId="460428B0" w14:textId="77777777" w:rsidTr="00737705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B5C908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B8164D">
              <w:rPr>
                <w:rFonts w:cs="Times New Roman"/>
                <w:b/>
                <w:bCs/>
                <w:szCs w:val="24"/>
              </w:rPr>
              <w:t>Kinetic Model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EE1E2F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B8164D">
              <w:rPr>
                <w:rFonts w:cs="Times New Roman"/>
                <w:b/>
                <w:bCs/>
                <w:szCs w:val="24"/>
              </w:rPr>
              <w:t>Equation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208C898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b/>
                <w:bCs/>
                <w:szCs w:val="24"/>
              </w:rPr>
            </w:pPr>
            <w:r w:rsidRPr="00B8164D">
              <w:rPr>
                <w:rFonts w:cs="Times New Roman"/>
                <w:b/>
                <w:bCs/>
                <w:szCs w:val="24"/>
              </w:rPr>
              <w:t>Reference</w:t>
            </w:r>
          </w:p>
        </w:tc>
      </w:tr>
      <w:tr w:rsidR="00C07837" w:rsidRPr="00B8164D" w14:paraId="652D8D89" w14:textId="77777777" w:rsidTr="00737705">
        <w:tc>
          <w:tcPr>
            <w:tcW w:w="1843" w:type="dxa"/>
            <w:tcBorders>
              <w:top w:val="single" w:sz="4" w:space="0" w:color="auto"/>
            </w:tcBorders>
          </w:tcPr>
          <w:p w14:paraId="2899CDFE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t>Modified Gompertz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F804BE3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b>
                </m:sSub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exp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-exp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m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*e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Cs w:val="24"/>
                                      </w:rPr>
                                      <m:t>0</m:t>
                                    </m:r>
                                  </m:sub>
                                </m:sSub>
                              </m:den>
                            </m:f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λ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t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+1</m:t>
                            </m:r>
                          </m:e>
                        </m:d>
                      </m:e>
                    </m:d>
                  </m:e>
                </m:d>
              </m:oMath>
            </m:oMathPara>
          </w:p>
        </w:tc>
        <w:sdt>
          <w:sdtPr>
            <w:rPr>
              <w:rFonts w:cs="Times New Roman"/>
              <w:color w:val="000000"/>
              <w:szCs w:val="24"/>
            </w:rPr>
            <w:tag w:val="MENDELEY_CITATION_v3_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"/>
            <w:id w:val="-257983395"/>
            <w:placeholder>
              <w:docPart w:val="D90351A79830E640A689DA1F436437F3"/>
            </w:placeholder>
          </w:sdtPr>
          <w:sdtEndPr/>
          <w:sdtContent>
            <w:tc>
              <w:tcPr>
                <w:tcW w:w="2409" w:type="dxa"/>
                <w:tcBorders>
                  <w:top w:val="single" w:sz="4" w:space="0" w:color="auto"/>
                </w:tcBorders>
                <w:vAlign w:val="center"/>
              </w:tcPr>
              <w:p w14:paraId="67EC094C" w14:textId="5B901B68" w:rsidR="00C07837" w:rsidRPr="00B8164D" w:rsidRDefault="00C07837" w:rsidP="00737705">
                <w:pPr>
                  <w:pStyle w:val="Tabla"/>
                  <w:spacing w:line="360" w:lineRule="auto"/>
                  <w:rPr>
                    <w:rFonts w:cs="Times New Roman"/>
                    <w:szCs w:val="24"/>
                  </w:rPr>
                </w:pPr>
                <w:r w:rsidRPr="00B8164D">
                  <w:rPr>
                    <w:rFonts w:cs="Times New Roman"/>
                    <w:color w:val="000000"/>
                    <w:szCs w:val="24"/>
                  </w:rPr>
                  <w:t>[1]</w:t>
                </w:r>
              </w:p>
            </w:tc>
          </w:sdtContent>
        </w:sdt>
      </w:tr>
      <w:tr w:rsidR="00C07837" w:rsidRPr="00B8164D" w14:paraId="2ED49633" w14:textId="77777777" w:rsidTr="00737705">
        <w:tc>
          <w:tcPr>
            <w:tcW w:w="1843" w:type="dxa"/>
          </w:tcPr>
          <w:p w14:paraId="1F9BB450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t>First-order</w:t>
            </w:r>
          </w:p>
        </w:tc>
        <w:tc>
          <w:tcPr>
            <w:tcW w:w="4820" w:type="dxa"/>
            <w:hideMark/>
          </w:tcPr>
          <w:p w14:paraId="336117FC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*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exp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kt</m:t>
                        </m:r>
                      </m:sup>
                    </m:sSup>
                  </m:e>
                </m:d>
              </m:oMath>
            </m:oMathPara>
          </w:p>
        </w:tc>
        <w:sdt>
          <w:sdtPr>
            <w:rPr>
              <w:rFonts w:cs="Times New Roman"/>
              <w:color w:val="000000"/>
              <w:szCs w:val="24"/>
            </w:rPr>
            <w:tag w:val="MENDELEY_CITATION_v3_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"/>
            <w:id w:val="-1733841154"/>
            <w:placeholder>
              <w:docPart w:val="D90351A79830E640A689DA1F436437F3"/>
            </w:placeholder>
          </w:sdtPr>
          <w:sdtEndPr/>
          <w:sdtContent>
            <w:tc>
              <w:tcPr>
                <w:tcW w:w="2409" w:type="dxa"/>
              </w:tcPr>
              <w:p w14:paraId="2EE1FDDB" w14:textId="42784DFB" w:rsidR="00C07837" w:rsidRPr="00B8164D" w:rsidRDefault="00C07837" w:rsidP="00737705">
                <w:pPr>
                  <w:pStyle w:val="Tabla"/>
                  <w:spacing w:line="360" w:lineRule="auto"/>
                  <w:rPr>
                    <w:rFonts w:cs="Times New Roman"/>
                    <w:szCs w:val="24"/>
                  </w:rPr>
                </w:pPr>
                <w:r w:rsidRPr="00B8164D">
                  <w:rPr>
                    <w:rFonts w:cs="Times New Roman"/>
                    <w:color w:val="000000"/>
                    <w:szCs w:val="24"/>
                  </w:rPr>
                  <w:t>[2]</w:t>
                </w:r>
              </w:p>
            </w:tc>
          </w:sdtContent>
        </w:sdt>
      </w:tr>
      <w:tr w:rsidR="00C07837" w:rsidRPr="00B8164D" w14:paraId="526AB0D4" w14:textId="77777777" w:rsidTr="00737705">
        <w:tc>
          <w:tcPr>
            <w:tcW w:w="1843" w:type="dxa"/>
            <w:vAlign w:val="center"/>
          </w:tcPr>
          <w:p w14:paraId="2C92DBA0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t>Monod</w:t>
            </w:r>
          </w:p>
        </w:tc>
        <w:tc>
          <w:tcPr>
            <w:tcW w:w="4820" w:type="dxa"/>
            <w:hideMark/>
          </w:tcPr>
          <w:p w14:paraId="19004C57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*</m:t>
                </m:r>
                <m:d>
                  <m:d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k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*</m:t>
                        </m:r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1+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k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*</m:t>
                            </m:r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t</m:t>
                            </m:r>
                          </m:e>
                        </m:d>
                      </m:den>
                    </m:f>
                  </m:e>
                </m:d>
              </m:oMath>
            </m:oMathPara>
          </w:p>
        </w:tc>
        <w:sdt>
          <w:sdtPr>
            <w:rPr>
              <w:rFonts w:cs="Times New Roman"/>
              <w:color w:val="000000"/>
              <w:szCs w:val="24"/>
            </w:rPr>
            <w:tag w:val="MENDELEY_CITATION_v3_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"/>
            <w:id w:val="-1083291609"/>
            <w:placeholder>
              <w:docPart w:val="D90351A79830E640A689DA1F436437F3"/>
            </w:placeholder>
          </w:sdtPr>
          <w:sdtEndPr/>
          <w:sdtContent>
            <w:tc>
              <w:tcPr>
                <w:tcW w:w="2409" w:type="dxa"/>
                <w:vMerge w:val="restart"/>
                <w:vAlign w:val="center"/>
              </w:tcPr>
              <w:p w14:paraId="3B7D5676" w14:textId="1C5470ED" w:rsidR="00C07837" w:rsidRPr="00B8164D" w:rsidRDefault="00C07837" w:rsidP="00737705">
                <w:pPr>
                  <w:pStyle w:val="Tabla"/>
                  <w:spacing w:line="360" w:lineRule="auto"/>
                  <w:rPr>
                    <w:rFonts w:cs="Times New Roman"/>
                    <w:szCs w:val="24"/>
                  </w:rPr>
                </w:pPr>
                <w:r w:rsidRPr="00B8164D">
                  <w:rPr>
                    <w:rFonts w:cs="Times New Roman"/>
                    <w:color w:val="000000"/>
                    <w:szCs w:val="24"/>
                  </w:rPr>
                  <w:t>[3]</w:t>
                </w:r>
              </w:p>
            </w:tc>
          </w:sdtContent>
        </w:sdt>
      </w:tr>
      <w:tr w:rsidR="00C07837" w:rsidRPr="00B8164D" w14:paraId="791DB3B8" w14:textId="77777777" w:rsidTr="00737705">
        <w:tc>
          <w:tcPr>
            <w:tcW w:w="1843" w:type="dxa"/>
          </w:tcPr>
          <w:p w14:paraId="620E8530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lastRenderedPageBreak/>
              <w:t>Transfer equation</w:t>
            </w:r>
          </w:p>
        </w:tc>
        <w:tc>
          <w:tcPr>
            <w:tcW w:w="4820" w:type="dxa"/>
            <w:hideMark/>
          </w:tcPr>
          <w:p w14:paraId="621869E9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*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1-exp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m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*(</m:t>
                            </m:r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λ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)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d>
              </m:oMath>
            </m:oMathPara>
          </w:p>
        </w:tc>
        <w:tc>
          <w:tcPr>
            <w:tcW w:w="2409" w:type="dxa"/>
            <w:vMerge/>
          </w:tcPr>
          <w:p w14:paraId="5DA409ED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C07837" w:rsidRPr="00B8164D" w14:paraId="10D1574B" w14:textId="77777777" w:rsidTr="00737705">
        <w:tc>
          <w:tcPr>
            <w:tcW w:w="1843" w:type="dxa"/>
          </w:tcPr>
          <w:p w14:paraId="038485E5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t>Logistic equation</w:t>
            </w:r>
          </w:p>
        </w:tc>
        <w:tc>
          <w:tcPr>
            <w:tcW w:w="4820" w:type="dxa"/>
            <w:hideMark/>
          </w:tcPr>
          <w:p w14:paraId="0E1152D3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1+exp</m:t>
                    </m:r>
                    <m:d>
                      <m:dPr>
                        <m:begChr m:val="{"/>
                        <m:endChr m:val="}"/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4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m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*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fPr>
                          <m:num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λ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t</m:t>
                                </m:r>
                              </m:e>
                            </m:d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  <w:szCs w:val="24"/>
                                  </w:rPr>
                                  <m:t>0</m:t>
                                </m:r>
                              </m:sub>
                            </m:sSub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+2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2409" w:type="dxa"/>
            <w:vMerge/>
          </w:tcPr>
          <w:p w14:paraId="49A317B5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C07837" w:rsidRPr="00B8164D" w14:paraId="21E1D014" w14:textId="77777777" w:rsidTr="00737705"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A0E983C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w:r w:rsidRPr="00B8164D">
              <w:rPr>
                <w:rFonts w:cs="Times New Roman"/>
                <w:szCs w:val="24"/>
              </w:rPr>
              <w:t>Cone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hideMark/>
          </w:tcPr>
          <w:p w14:paraId="2CF31448" w14:textId="77777777" w:rsidR="00C07837" w:rsidRPr="00B8164D" w:rsidRDefault="00C07837" w:rsidP="00737705">
            <w:pPr>
              <w:pStyle w:val="Tabla"/>
              <w:spacing w:line="360" w:lineRule="auto"/>
              <w:rPr>
                <w:rFonts w:cs="Times New Roman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4"/>
                  </w:rPr>
                  <m:t>B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k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*</m:t>
                            </m:r>
                            <m:r>
                              <w:rPr>
                                <w:rFonts w:ascii="Cambria Math" w:hAnsi="Cambria Math" w:cs="Times New Roman"/>
                                <w:szCs w:val="24"/>
                              </w:rPr>
                              <m:t>t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sdt>
          <w:sdtPr>
            <w:rPr>
              <w:rFonts w:cs="Times New Roman"/>
              <w:color w:val="000000"/>
              <w:szCs w:val="24"/>
            </w:rPr>
            <w:tag w:val="MENDELEY_CITATION_v3_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"/>
            <w:id w:val="-856804507"/>
            <w:placeholder>
              <w:docPart w:val="D90351A79830E640A689DA1F436437F3"/>
            </w:placeholder>
          </w:sdtPr>
          <w:sdtEndPr/>
          <w:sdtContent>
            <w:tc>
              <w:tcPr>
                <w:tcW w:w="2409" w:type="dxa"/>
                <w:tcBorders>
                  <w:bottom w:val="single" w:sz="4" w:space="0" w:color="auto"/>
                </w:tcBorders>
              </w:tcPr>
              <w:p w14:paraId="045DE9DF" w14:textId="6E7CE64C" w:rsidR="00C07837" w:rsidRPr="00B8164D" w:rsidRDefault="00C07837" w:rsidP="00737705">
                <w:pPr>
                  <w:pStyle w:val="Tabla"/>
                  <w:keepNext/>
                  <w:spacing w:line="360" w:lineRule="auto"/>
                  <w:rPr>
                    <w:rFonts w:cs="Times New Roman"/>
                    <w:szCs w:val="24"/>
                  </w:rPr>
                </w:pPr>
                <w:r w:rsidRPr="00B8164D">
                  <w:rPr>
                    <w:rFonts w:cs="Times New Roman"/>
                    <w:color w:val="000000"/>
                    <w:szCs w:val="24"/>
                  </w:rPr>
                  <w:t>[1]</w:t>
                </w:r>
              </w:p>
            </w:tc>
          </w:sdtContent>
        </w:sdt>
      </w:tr>
    </w:tbl>
    <w:p w14:paraId="6EF84E5A" w14:textId="36DC5FFC" w:rsidR="00C07837" w:rsidRPr="00B8164D" w:rsidRDefault="00C07837" w:rsidP="00C07837">
      <w:pPr>
        <w:pStyle w:val="Nota1"/>
        <w:spacing w:line="360" w:lineRule="auto"/>
        <w:rPr>
          <w:rFonts w:cs="Times New Roman"/>
          <w:i w:val="0"/>
          <w:sz w:val="24"/>
          <w:szCs w:val="24"/>
        </w:rPr>
      </w:pPr>
      <w:r w:rsidRPr="00B8164D">
        <w:rPr>
          <w:rFonts w:cs="Times New Roman"/>
          <w:i w:val="0"/>
          <w:sz w:val="24"/>
          <w:szCs w:val="24"/>
        </w:rPr>
        <w:t xml:space="preserve">Where, </w:t>
      </w:r>
      <w:r w:rsidRPr="00B8164D">
        <w:rPr>
          <w:rFonts w:cs="Times New Roman"/>
          <w:sz w:val="24"/>
          <w:szCs w:val="24"/>
        </w:rPr>
        <w:t>B</w:t>
      </w:r>
      <w:r w:rsidRPr="00B8164D">
        <w:rPr>
          <w:rFonts w:cs="Times New Roman"/>
          <w:i w:val="0"/>
          <w:sz w:val="24"/>
          <w:szCs w:val="24"/>
        </w:rPr>
        <w:t>: Accumulated CH</w:t>
      </w:r>
      <w:r w:rsidRPr="00B8164D">
        <w:rPr>
          <w:rFonts w:cs="Times New Roman"/>
          <w:i w:val="0"/>
          <w:sz w:val="24"/>
          <w:szCs w:val="24"/>
          <w:vertAlign w:val="subscript"/>
        </w:rPr>
        <w:t>4</w:t>
      </w:r>
      <w:r w:rsidRPr="00B8164D">
        <w:rPr>
          <w:rFonts w:cs="Times New Roman"/>
          <w:i w:val="0"/>
          <w:sz w:val="24"/>
          <w:szCs w:val="24"/>
        </w:rPr>
        <w:t xml:space="preserve"> (mL/g VS), </w:t>
      </w:r>
      <w:r w:rsidRPr="00B8164D">
        <w:rPr>
          <w:rFonts w:cs="Times New Roman"/>
          <w:sz w:val="24"/>
          <w:szCs w:val="24"/>
        </w:rPr>
        <w:t>B</w:t>
      </w:r>
      <w:r w:rsidRPr="00B8164D">
        <w:rPr>
          <w:rFonts w:cs="Times New Roman"/>
          <w:i w:val="0"/>
          <w:sz w:val="24"/>
          <w:szCs w:val="24"/>
          <w:vertAlign w:val="subscript"/>
        </w:rPr>
        <w:t>0</w:t>
      </w:r>
      <w:r w:rsidRPr="00B8164D">
        <w:rPr>
          <w:rFonts w:cs="Times New Roman"/>
          <w:i w:val="0"/>
          <w:sz w:val="24"/>
          <w:szCs w:val="24"/>
        </w:rPr>
        <w:t xml:space="preserve">: Maximum production potential (mL/g VS), </w:t>
      </w:r>
      <w:r w:rsidRPr="00B8164D">
        <w:rPr>
          <w:rFonts w:cs="Times New Roman"/>
          <w:sz w:val="24"/>
          <w:szCs w:val="24"/>
        </w:rPr>
        <w:t>R</w:t>
      </w:r>
      <w:r w:rsidRPr="00B8164D">
        <w:rPr>
          <w:rFonts w:cs="Times New Roman"/>
          <w:i w:val="0"/>
          <w:sz w:val="24"/>
          <w:szCs w:val="24"/>
          <w:vertAlign w:val="subscript"/>
        </w:rPr>
        <w:t>m</w:t>
      </w:r>
      <w:r w:rsidRPr="00B8164D">
        <w:rPr>
          <w:rFonts w:cs="Times New Roman"/>
          <w:i w:val="0"/>
          <w:sz w:val="24"/>
          <w:szCs w:val="24"/>
        </w:rPr>
        <w:t>: Maximum production rate (mL/(g</w:t>
      </w:r>
      <w:r>
        <w:rPr>
          <w:rFonts w:cs="Times New Roman"/>
          <w:i w:val="0"/>
          <w:sz w:val="24"/>
          <w:szCs w:val="24"/>
        </w:rPr>
        <w:t xml:space="preserve">VS </w:t>
      </w:r>
      <w:r w:rsidRPr="00B8164D">
        <w:rPr>
          <w:rFonts w:cs="Times New Roman"/>
          <w:i w:val="0"/>
          <w:sz w:val="24"/>
          <w:szCs w:val="24"/>
        </w:rPr>
        <w:t>⸱d)</w:t>
      </w:r>
      <w:r>
        <w:rPr>
          <w:rFonts w:cs="Times New Roman"/>
          <w:i w:val="0"/>
          <w:sz w:val="24"/>
          <w:szCs w:val="24"/>
        </w:rPr>
        <w:t xml:space="preserve">, </w:t>
      </w:r>
      <w:r w:rsidRPr="00B8164D">
        <w:rPr>
          <w:rFonts w:cs="Times New Roman"/>
          <w:i w:val="0"/>
          <w:sz w:val="24"/>
          <w:szCs w:val="24"/>
        </w:rPr>
        <w:t xml:space="preserve"> </w:t>
      </w:r>
      <w:r w:rsidRPr="0048283D">
        <w:rPr>
          <w:rFonts w:cs="Times New Roman"/>
          <w:i w:val="0"/>
          <w:sz w:val="24"/>
          <w:szCs w:val="24"/>
        </w:rPr>
        <w:t>λ</w:t>
      </w:r>
      <w:r w:rsidRPr="00B8164D">
        <w:rPr>
          <w:rFonts w:cs="Times New Roman"/>
          <w:i w:val="0"/>
          <w:sz w:val="24"/>
          <w:szCs w:val="24"/>
        </w:rPr>
        <w:t xml:space="preserve">: Latency phase (d), </w:t>
      </w:r>
      <w:r w:rsidRPr="0048283D">
        <w:rPr>
          <w:rFonts w:cs="Times New Roman"/>
          <w:i w:val="0"/>
          <w:sz w:val="24"/>
          <w:szCs w:val="24"/>
        </w:rPr>
        <w:t>t</w:t>
      </w:r>
      <w:r w:rsidRPr="00B8164D">
        <w:rPr>
          <w:rFonts w:cs="Times New Roman"/>
          <w:i w:val="0"/>
          <w:sz w:val="24"/>
          <w:szCs w:val="24"/>
        </w:rPr>
        <w:t xml:space="preserve">: Time (d), </w:t>
      </w:r>
      <w:r w:rsidRPr="0048283D">
        <w:rPr>
          <w:rFonts w:cs="Times New Roman"/>
          <w:i w:val="0"/>
          <w:sz w:val="24"/>
          <w:szCs w:val="24"/>
        </w:rPr>
        <w:t>k</w:t>
      </w:r>
      <w:r w:rsidRPr="00B8164D">
        <w:rPr>
          <w:rFonts w:cs="Times New Roman"/>
          <w:i w:val="0"/>
          <w:sz w:val="24"/>
          <w:szCs w:val="24"/>
        </w:rPr>
        <w:t>: Rate constant (d</w:t>
      </w:r>
      <w:r w:rsidRPr="0048283D">
        <w:rPr>
          <w:rFonts w:cs="Times New Roman"/>
          <w:i w:val="0"/>
          <w:sz w:val="24"/>
          <w:szCs w:val="24"/>
        </w:rPr>
        <w:t>−1</w:t>
      </w:r>
      <w:r w:rsidRPr="00B8164D">
        <w:rPr>
          <w:rFonts w:cs="Times New Roman"/>
          <w:i w:val="0"/>
          <w:sz w:val="24"/>
          <w:szCs w:val="24"/>
        </w:rPr>
        <w:t xml:space="preserve">), </w:t>
      </w:r>
      <w:r w:rsidRPr="0048283D">
        <w:rPr>
          <w:rFonts w:cs="Times New Roman"/>
          <w:i w:val="0"/>
          <w:sz w:val="24"/>
          <w:szCs w:val="24"/>
        </w:rPr>
        <w:t>n</w:t>
      </w:r>
      <w:r w:rsidRPr="00B8164D">
        <w:rPr>
          <w:rFonts w:cs="Times New Roman"/>
          <w:i w:val="0"/>
          <w:sz w:val="24"/>
          <w:szCs w:val="24"/>
        </w:rPr>
        <w:t xml:space="preserve">: </w:t>
      </w:r>
      <w:r w:rsidR="0048283D" w:rsidRPr="0048283D">
        <w:rPr>
          <w:rFonts w:cs="Times New Roman"/>
          <w:i w:val="0"/>
          <w:sz w:val="24"/>
          <w:szCs w:val="24"/>
        </w:rPr>
        <w:t>Dimensionless shape factor of the Cone model related to the biodegradation pattern</w:t>
      </w:r>
      <w:r w:rsidRPr="00B8164D">
        <w:rPr>
          <w:rFonts w:cs="Times New Roman"/>
          <w:i w:val="0"/>
          <w:sz w:val="24"/>
          <w:szCs w:val="24"/>
        </w:rPr>
        <w:t>, e: Euler constant.</w:t>
      </w:r>
    </w:p>
    <w:p w14:paraId="66CB19A3" w14:textId="6FCD5594" w:rsidR="00F75BE1" w:rsidRDefault="00F75BE1" w:rsidP="004D2424">
      <w:pPr>
        <w:spacing w:after="0"/>
        <w:jc w:val="both"/>
        <w:rPr>
          <w:rFonts w:ascii="TimesNewRomanPSMT" w:eastAsia="Times New Roman" w:hAnsi="TimesNewRomanPSMT"/>
          <w:lang w:val="en-US" w:eastAsia="es-CO"/>
        </w:rPr>
      </w:pPr>
    </w:p>
    <w:p w14:paraId="33590B86" w14:textId="265A219C" w:rsidR="0067609D" w:rsidRPr="0067609D" w:rsidRDefault="0067609D" w:rsidP="0067609D">
      <w:pPr>
        <w:spacing w:after="0"/>
        <w:jc w:val="both"/>
        <w:rPr>
          <w:rFonts w:ascii="TimesNewRomanPSMT" w:hAnsi="TimesNewRomanPSMT" w:hint="eastAsia"/>
          <w:b/>
          <w:lang w:val="en-US" w:eastAsia="zh-CN"/>
        </w:rPr>
      </w:pPr>
      <w:r w:rsidRPr="0067609D">
        <w:rPr>
          <w:rFonts w:ascii="TimesNewRomanPSMT" w:hAnsi="TimesNewRomanPSMT" w:hint="eastAsia"/>
          <w:b/>
          <w:lang w:val="en-US" w:eastAsia="zh-CN"/>
        </w:rPr>
        <w:t>R</w:t>
      </w:r>
      <w:r w:rsidRPr="0067609D">
        <w:rPr>
          <w:rFonts w:ascii="TimesNewRomanPSMT" w:hAnsi="TimesNewRomanPSMT"/>
          <w:b/>
          <w:lang w:val="en-US" w:eastAsia="zh-CN"/>
        </w:rPr>
        <w:t>eferences</w:t>
      </w:r>
    </w:p>
    <w:p w14:paraId="196343AD" w14:textId="75D7ED1F" w:rsidR="0067609D" w:rsidRPr="00C720FB" w:rsidRDefault="0067609D" w:rsidP="0067609D">
      <w:pPr>
        <w:autoSpaceDE w:val="0"/>
        <w:autoSpaceDN w:val="0"/>
        <w:ind w:left="640" w:hanging="640"/>
        <w:jc w:val="both"/>
        <w:rPr>
          <w:rFonts w:eastAsia="Times New Roman"/>
        </w:rPr>
      </w:pPr>
      <w:r w:rsidRPr="00C720FB">
        <w:rPr>
          <w:rFonts w:eastAsia="Times New Roman"/>
        </w:rPr>
        <w:t xml:space="preserve">1. Zeshan, Karthikeyan, O.P., and Visvanathan, C. 2012. Effect of C/N ratio and ammonia-N accumulation in a pilot-scale thermophilic dry anaerobic digester. </w:t>
      </w:r>
      <w:r w:rsidRPr="00C720FB">
        <w:rPr>
          <w:rFonts w:eastAsia="Times New Roman"/>
          <w:i/>
        </w:rPr>
        <w:t>Bioresource Technology</w:t>
      </w:r>
      <w:r w:rsidRPr="00C720FB">
        <w:rPr>
          <w:rFonts w:eastAsia="Times New Roman"/>
        </w:rPr>
        <w:t xml:space="preserve"> 113: 294–302. https://doi.org/10.1016/j.biortech.2012.02.028. </w:t>
      </w:r>
    </w:p>
    <w:p w14:paraId="102804F7" w14:textId="77B0BB9D" w:rsidR="0067609D" w:rsidRPr="00C720FB" w:rsidRDefault="0067609D" w:rsidP="0067609D">
      <w:pPr>
        <w:autoSpaceDE w:val="0"/>
        <w:autoSpaceDN w:val="0"/>
        <w:ind w:left="640" w:hanging="640"/>
        <w:jc w:val="both"/>
        <w:rPr>
          <w:rFonts w:eastAsia="Times New Roman"/>
        </w:rPr>
      </w:pPr>
      <w:r w:rsidRPr="00C720FB">
        <w:rPr>
          <w:rFonts w:eastAsia="Times New Roman"/>
        </w:rPr>
        <w:t xml:space="preserve">2. Zhang, M., Zhang, Y., Li, Z., et al. 2019. Anaerobic co-digestion of food waste/excess sludge: Substrates-products transformation and role of NADH as an indicator. </w:t>
      </w:r>
      <w:r w:rsidRPr="00C720FB">
        <w:rPr>
          <w:rFonts w:eastAsia="Times New Roman"/>
          <w:i/>
        </w:rPr>
        <w:t>Journal of Environmental Management</w:t>
      </w:r>
      <w:r w:rsidRPr="00C720FB">
        <w:rPr>
          <w:rFonts w:eastAsia="Times New Roman"/>
        </w:rPr>
        <w:t xml:space="preserve"> 232: 197–206. https://doi.org/10.1016/j.jenvman.2018.11.087. </w:t>
      </w:r>
    </w:p>
    <w:p w14:paraId="6A532549" w14:textId="521A71E4" w:rsidR="0067609D" w:rsidRPr="00C720FB" w:rsidRDefault="0067609D" w:rsidP="0067609D">
      <w:pPr>
        <w:autoSpaceDE w:val="0"/>
        <w:autoSpaceDN w:val="0"/>
        <w:ind w:left="640" w:hanging="640"/>
        <w:jc w:val="both"/>
        <w:rPr>
          <w:rFonts w:eastAsia="Times New Roman"/>
        </w:rPr>
      </w:pPr>
      <w:r w:rsidRPr="00C720FB">
        <w:rPr>
          <w:rFonts w:eastAsia="Times New Roman"/>
        </w:rPr>
        <w:t xml:space="preserve">3. Kim, M., Kim, B.C., Choi, Y., et al. 2017. Minimizing mixing intensity to improve the performance of rice straw anaerobic digestion </w:t>
      </w:r>
      <w:r w:rsidRPr="00C720FB">
        <w:rPr>
          <w:rFonts w:eastAsia="Times New Roman"/>
          <w:iCs/>
        </w:rPr>
        <w:t>via</w:t>
      </w:r>
      <w:r w:rsidRPr="00C720FB">
        <w:rPr>
          <w:rFonts w:eastAsia="Times New Roman"/>
        </w:rPr>
        <w:t xml:space="preserve"> enhanced development of microbe-substrate aggregates. </w:t>
      </w:r>
      <w:r w:rsidRPr="00C720FB">
        <w:rPr>
          <w:rFonts w:eastAsia="Times New Roman"/>
          <w:i/>
        </w:rPr>
        <w:t>Bioresource Technology</w:t>
      </w:r>
      <w:r w:rsidRPr="00C720FB">
        <w:rPr>
          <w:rFonts w:eastAsia="Times New Roman"/>
        </w:rPr>
        <w:t xml:space="preserve"> 245(Pt A): 590–597. https://doi.org/10.1016/j.biortech.2017.09.006. </w:t>
      </w:r>
    </w:p>
    <w:p w14:paraId="6AC81890" w14:textId="77777777" w:rsidR="0067609D" w:rsidRPr="0067609D" w:rsidRDefault="0067609D" w:rsidP="0067609D">
      <w:pPr>
        <w:spacing w:after="0"/>
        <w:jc w:val="both"/>
        <w:rPr>
          <w:rFonts w:ascii="TimesNewRomanPSMT" w:hAnsi="TimesNewRomanPSMT" w:hint="eastAsia"/>
          <w:lang w:eastAsia="zh-CN"/>
        </w:rPr>
      </w:pPr>
    </w:p>
    <w:sectPr w:rsidR="0067609D" w:rsidRPr="006760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FEA6B" w14:textId="77777777" w:rsidR="00793FCB" w:rsidRDefault="00793FCB" w:rsidP="000F5520">
      <w:pPr>
        <w:spacing w:after="0" w:line="240" w:lineRule="auto"/>
      </w:pPr>
      <w:r>
        <w:separator/>
      </w:r>
    </w:p>
  </w:endnote>
  <w:endnote w:type="continuationSeparator" w:id="0">
    <w:p w14:paraId="097409FC" w14:textId="77777777" w:rsidR="00793FCB" w:rsidRDefault="00793FCB" w:rsidP="000F5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150AE" w14:textId="77777777" w:rsidR="00793FCB" w:rsidRDefault="00793FCB" w:rsidP="000F5520">
      <w:pPr>
        <w:spacing w:after="0" w:line="240" w:lineRule="auto"/>
      </w:pPr>
      <w:r>
        <w:separator/>
      </w:r>
    </w:p>
  </w:footnote>
  <w:footnote w:type="continuationSeparator" w:id="0">
    <w:p w14:paraId="10A2C84C" w14:textId="77777777" w:rsidR="00793FCB" w:rsidRDefault="00793FCB" w:rsidP="000F5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369D6"/>
    <w:multiLevelType w:val="hybridMultilevel"/>
    <w:tmpl w:val="C234B63E"/>
    <w:lvl w:ilvl="0" w:tplc="A32EA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64746"/>
    <w:multiLevelType w:val="hybridMultilevel"/>
    <w:tmpl w:val="C4A0B5E6"/>
    <w:lvl w:ilvl="0" w:tplc="C58C2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518AA"/>
    <w:multiLevelType w:val="hybridMultilevel"/>
    <w:tmpl w:val="C19C3642"/>
    <w:lvl w:ilvl="0" w:tplc="D442A5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AD7361"/>
    <w:multiLevelType w:val="hybridMultilevel"/>
    <w:tmpl w:val="E4CAD5FA"/>
    <w:lvl w:ilvl="0" w:tplc="69CE9C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90"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8"/>
    <w:rsid w:val="00016FB2"/>
    <w:rsid w:val="000F5520"/>
    <w:rsid w:val="00153918"/>
    <w:rsid w:val="00175DF6"/>
    <w:rsid w:val="00446C9C"/>
    <w:rsid w:val="0048283D"/>
    <w:rsid w:val="004D2424"/>
    <w:rsid w:val="005568DB"/>
    <w:rsid w:val="005A114A"/>
    <w:rsid w:val="005A220D"/>
    <w:rsid w:val="005C031E"/>
    <w:rsid w:val="005C3B0F"/>
    <w:rsid w:val="0067609D"/>
    <w:rsid w:val="00722737"/>
    <w:rsid w:val="00793FCB"/>
    <w:rsid w:val="0098608E"/>
    <w:rsid w:val="009B1E37"/>
    <w:rsid w:val="009B3051"/>
    <w:rsid w:val="00A85059"/>
    <w:rsid w:val="00AE2C83"/>
    <w:rsid w:val="00C07837"/>
    <w:rsid w:val="00CC23EF"/>
    <w:rsid w:val="00F03602"/>
    <w:rsid w:val="00F16EEE"/>
    <w:rsid w:val="00F7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5F182D"/>
  <w15:chartTrackingRefBased/>
  <w15:docId w15:val="{122581A9-210B-478A-8527-A62378B0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color w:val="000000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568D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F75BE1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F75BE1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F75BE1"/>
    <w:pPr>
      <w:ind w:left="720"/>
      <w:contextualSpacing/>
    </w:pPr>
  </w:style>
  <w:style w:type="table" w:styleId="TableGrid">
    <w:name w:val="Table Grid"/>
    <w:basedOn w:val="TableNormal"/>
    <w:uiPriority w:val="39"/>
    <w:rsid w:val="00C07837"/>
    <w:pPr>
      <w:spacing w:after="0" w:line="240" w:lineRule="auto"/>
    </w:pPr>
    <w:rPr>
      <w:rFonts w:asciiTheme="minorHAnsi" w:hAnsiTheme="minorHAnsi" w:cstheme="minorBidi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07837"/>
    <w:pPr>
      <w:spacing w:line="240" w:lineRule="auto"/>
    </w:pPr>
    <w:rPr>
      <w:rFonts w:asciiTheme="minorHAnsi" w:hAnsiTheme="minorHAnsi" w:cstheme="minorBidi"/>
      <w:color w:val="auto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837"/>
    <w:rPr>
      <w:rFonts w:asciiTheme="minorHAnsi" w:eastAsiaTheme="minorEastAsia" w:hAnsiTheme="minorHAnsi" w:cstheme="minorBidi"/>
      <w:color w:val="auto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7837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C07837"/>
    <w:rPr>
      <w:b/>
      <w:bCs/>
    </w:rPr>
  </w:style>
  <w:style w:type="paragraph" w:customStyle="1" w:styleId="Nota1">
    <w:name w:val="Nota 1"/>
    <w:basedOn w:val="Normal"/>
    <w:link w:val="Nota1Car"/>
    <w:qFormat/>
    <w:rsid w:val="00C07837"/>
    <w:pPr>
      <w:spacing w:line="240" w:lineRule="auto"/>
      <w:jc w:val="both"/>
    </w:pPr>
    <w:rPr>
      <w:rFonts w:cstheme="minorBidi"/>
      <w:i/>
      <w:color w:val="auto"/>
      <w:sz w:val="20"/>
      <w:lang w:val="en-US"/>
    </w:rPr>
  </w:style>
  <w:style w:type="character" w:customStyle="1" w:styleId="Nota1Car">
    <w:name w:val="Nota 1 Car"/>
    <w:basedOn w:val="DefaultParagraphFont"/>
    <w:link w:val="Nota1"/>
    <w:rsid w:val="00C07837"/>
    <w:rPr>
      <w:rFonts w:eastAsiaTheme="minorEastAsia" w:cstheme="minorBidi"/>
      <w:i/>
      <w:color w:val="auto"/>
      <w:sz w:val="20"/>
      <w:lang w:val="en-US"/>
    </w:rPr>
  </w:style>
  <w:style w:type="paragraph" w:customStyle="1" w:styleId="Tabla">
    <w:name w:val="Tabla"/>
    <w:basedOn w:val="Caption"/>
    <w:link w:val="TablaCar"/>
    <w:qFormat/>
    <w:rsid w:val="00C07837"/>
    <w:pPr>
      <w:jc w:val="center"/>
    </w:pPr>
    <w:rPr>
      <w:rFonts w:cstheme="minorBidi"/>
      <w:i w:val="0"/>
      <w:color w:val="auto"/>
      <w:sz w:val="24"/>
      <w:lang w:val="en-US"/>
    </w:rPr>
  </w:style>
  <w:style w:type="character" w:customStyle="1" w:styleId="TablaCar">
    <w:name w:val="Tabla Car"/>
    <w:basedOn w:val="DefaultParagraphFont"/>
    <w:link w:val="Tabla"/>
    <w:rsid w:val="00C07837"/>
    <w:rPr>
      <w:rFonts w:eastAsiaTheme="minorEastAsia" w:cstheme="minorBidi"/>
      <w:iCs/>
      <w:color w:val="auto"/>
      <w:sz w:val="24"/>
      <w:szCs w:val="18"/>
      <w:lang w:val="en-US"/>
    </w:rPr>
  </w:style>
  <w:style w:type="paragraph" w:customStyle="1" w:styleId="Figura-Tablas">
    <w:name w:val="Figura -Tablas"/>
    <w:basedOn w:val="Caption"/>
    <w:link w:val="Figura-TablasCar"/>
    <w:qFormat/>
    <w:rsid w:val="00C07837"/>
    <w:pPr>
      <w:spacing w:before="240" w:after="440"/>
    </w:pPr>
    <w:rPr>
      <w:rFonts w:cstheme="minorBidi"/>
      <w:b/>
      <w:i w:val="0"/>
      <w:iCs w:val="0"/>
      <w:color w:val="000000" w:themeColor="text1"/>
      <w:sz w:val="24"/>
      <w:lang w:val="es-ES"/>
    </w:rPr>
  </w:style>
  <w:style w:type="character" w:customStyle="1" w:styleId="Figura-TablasCar">
    <w:name w:val="Figura -Tablas Car"/>
    <w:basedOn w:val="DefaultParagraphFont"/>
    <w:link w:val="Figura-Tablas"/>
    <w:rsid w:val="00C07837"/>
    <w:rPr>
      <w:rFonts w:eastAsiaTheme="minorEastAsia" w:cstheme="minorBidi"/>
      <w:b/>
      <w:color w:val="000000" w:themeColor="text1"/>
      <w:sz w:val="24"/>
      <w:szCs w:val="18"/>
      <w:lang w:val="es-ES"/>
    </w:rPr>
  </w:style>
  <w:style w:type="paragraph" w:customStyle="1" w:styleId="Leyendas">
    <w:name w:val="Leyendas"/>
    <w:qFormat/>
    <w:rsid w:val="00C07837"/>
    <w:pPr>
      <w:spacing w:before="240" w:after="400" w:line="360" w:lineRule="auto"/>
    </w:pPr>
    <w:rPr>
      <w:rFonts w:cstheme="minorBidi"/>
      <w:i/>
      <w:color w:val="000000" w:themeColor="text1"/>
      <w:sz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7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520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520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5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55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552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5520"/>
    <w:rPr>
      <w:sz w:val="18"/>
      <w:szCs w:val="18"/>
    </w:rPr>
  </w:style>
  <w:style w:type="paragraph" w:styleId="NoSpacing">
    <w:name w:val="No Spacing"/>
    <w:aliases w:val="Parrafo 1."/>
    <w:uiPriority w:val="1"/>
    <w:qFormat/>
    <w:rsid w:val="000F5520"/>
    <w:pPr>
      <w:spacing w:before="120" w:after="120" w:line="360" w:lineRule="auto"/>
      <w:jc w:val="both"/>
    </w:pPr>
    <w:rPr>
      <w:rFonts w:cstheme="minorBidi"/>
      <w:color w:val="auto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F55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0351A79830E640A689DA1F43643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A45CB-3BA2-7649-A85B-10277B6B8F08}"/>
      </w:docPartPr>
      <w:docPartBody>
        <w:p w:rsidR="00154CE3" w:rsidRDefault="00154CE3" w:rsidP="00154CE3">
          <w:pPr>
            <w:pStyle w:val="D90351A79830E640A689DA1F436437F3"/>
          </w:pPr>
          <w:r w:rsidRPr="00C23A10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E3"/>
    <w:rsid w:val="00154CE3"/>
    <w:rsid w:val="0098608E"/>
    <w:rsid w:val="00AF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4CE3"/>
    <w:rPr>
      <w:color w:val="666666"/>
    </w:rPr>
  </w:style>
  <w:style w:type="paragraph" w:customStyle="1" w:styleId="D90351A79830E640A689DA1F436437F3">
    <w:name w:val="D90351A79830E640A689DA1F436437F3"/>
    <w:rsid w:val="00154C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CAMILO CASTRO VALENCIA</dc:creator>
  <cp:keywords/>
  <dc:description/>
  <cp:lastModifiedBy>Raman Venkateswaran Sethumadhavan</cp:lastModifiedBy>
  <cp:revision>5</cp:revision>
  <dcterms:created xsi:type="dcterms:W3CDTF">2025-12-18T15:40:00Z</dcterms:created>
  <dcterms:modified xsi:type="dcterms:W3CDTF">2026-01-10T16:31:00Z</dcterms:modified>
</cp:coreProperties>
</file>