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 Bold" w:hAnsi="Times New Roman Bold" w:cs="Times New Roman Bold"/>
          <w:b/>
          <w:bCs/>
          <w:sz w:val="28"/>
          <w:szCs w:val="28"/>
        </w:rPr>
      </w:pPr>
      <w:r>
        <w:rPr>
          <w:rFonts w:ascii="Times New Roman Bold" w:hAnsi="Times New Roman Bold" w:cs="Times New Roman Bold"/>
          <w:b/>
          <w:bCs/>
          <w:sz w:val="28"/>
          <w:szCs w:val="28"/>
        </w:rPr>
        <w:t>Su</w:t>
      </w:r>
      <w:r>
        <w:rPr>
          <w:rFonts w:hint="eastAsia" w:ascii="Times New Roman Bold" w:hAnsi="Times New Roman Bold" w:cs="Times New Roman Bold"/>
          <w:b/>
          <w:bCs/>
          <w:sz w:val="28"/>
          <w:szCs w:val="28"/>
        </w:rPr>
        <w:t>pplementary Information</w:t>
      </w:r>
    </w:p>
    <w:p>
      <w:pPr>
        <w:spacing w:line="480" w:lineRule="auto"/>
        <w:jc w:val="both"/>
        <w:rPr>
          <w:rFonts w:cs="Times New Roman"/>
          <w:b/>
          <w:sz w:val="28"/>
        </w:rPr>
      </w:pPr>
    </w:p>
    <w:p>
      <w:pPr>
        <w:spacing w:line="480" w:lineRule="auto"/>
        <w:jc w:val="both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 xml:space="preserve">Application of </w:t>
      </w:r>
      <w:r>
        <w:rPr>
          <w:rFonts w:hint="eastAsia" w:cs="Times New Roman"/>
          <w:b/>
          <w:sz w:val="28"/>
        </w:rPr>
        <w:t>M</w:t>
      </w:r>
      <w:r>
        <w:rPr>
          <w:rFonts w:cs="Times New Roman"/>
          <w:b/>
          <w:sz w:val="28"/>
        </w:rPr>
        <w:t xml:space="preserve">agnesium and </w:t>
      </w:r>
      <w:r>
        <w:rPr>
          <w:rFonts w:hint="eastAsia" w:cs="Times New Roman"/>
          <w:b/>
          <w:sz w:val="28"/>
        </w:rPr>
        <w:t>Biosurfactant</w:t>
      </w:r>
      <w:r>
        <w:rPr>
          <w:rFonts w:cs="Times New Roman"/>
          <w:b/>
          <w:sz w:val="28"/>
        </w:rPr>
        <w:t xml:space="preserve"> </w:t>
      </w:r>
      <w:r>
        <w:rPr>
          <w:rFonts w:hint="eastAsia" w:cs="Times New Roman"/>
          <w:b/>
          <w:sz w:val="28"/>
        </w:rPr>
        <w:t>F</w:t>
      </w:r>
      <w:r>
        <w:rPr>
          <w:rFonts w:cs="Times New Roman"/>
          <w:b/>
          <w:sz w:val="28"/>
        </w:rPr>
        <w:t xml:space="preserve">unctionalized </w:t>
      </w:r>
      <w:r>
        <w:rPr>
          <w:rFonts w:hint="eastAsia" w:cs="Times New Roman"/>
          <w:b/>
          <w:sz w:val="28"/>
        </w:rPr>
        <w:t>B</w:t>
      </w:r>
      <w:r>
        <w:rPr>
          <w:rFonts w:cs="Times New Roman"/>
          <w:b/>
          <w:sz w:val="28"/>
        </w:rPr>
        <w:t xml:space="preserve">iochar </w:t>
      </w:r>
      <w:r>
        <w:rPr>
          <w:rFonts w:hint="eastAsia" w:cs="Times New Roman"/>
          <w:b/>
          <w:sz w:val="28"/>
        </w:rPr>
        <w:t xml:space="preserve">Composite </w:t>
      </w:r>
      <w:r>
        <w:rPr>
          <w:rFonts w:cs="Times New Roman"/>
          <w:b/>
          <w:sz w:val="28"/>
        </w:rPr>
        <w:t xml:space="preserve">in </w:t>
      </w:r>
      <w:r>
        <w:rPr>
          <w:rFonts w:hint="eastAsia" w:cs="Times New Roman"/>
          <w:b/>
          <w:sz w:val="28"/>
        </w:rPr>
        <w:t>T</w:t>
      </w:r>
      <w:r>
        <w:rPr>
          <w:rFonts w:cs="Times New Roman"/>
          <w:b/>
          <w:sz w:val="28"/>
        </w:rPr>
        <w:t xml:space="preserve">reating </w:t>
      </w:r>
      <w:r>
        <w:rPr>
          <w:rFonts w:hint="eastAsia" w:cs="Times New Roman"/>
          <w:b/>
          <w:sz w:val="28"/>
        </w:rPr>
        <w:t>C</w:t>
      </w:r>
      <w:r>
        <w:rPr>
          <w:rFonts w:cs="Times New Roman"/>
          <w:b/>
          <w:sz w:val="28"/>
        </w:rPr>
        <w:t xml:space="preserve">yanobacteria in </w:t>
      </w:r>
      <w:r>
        <w:rPr>
          <w:rFonts w:hint="eastAsia" w:cs="Times New Roman"/>
          <w:b/>
          <w:sz w:val="28"/>
        </w:rPr>
        <w:t>P</w:t>
      </w:r>
      <w:r>
        <w:rPr>
          <w:rFonts w:cs="Times New Roman"/>
          <w:b/>
          <w:sz w:val="28"/>
        </w:rPr>
        <w:t xml:space="preserve">hosphorus and </w:t>
      </w:r>
      <w:r>
        <w:rPr>
          <w:rFonts w:hint="eastAsia" w:cs="Times New Roman"/>
          <w:b/>
          <w:sz w:val="28"/>
        </w:rPr>
        <w:t>C</w:t>
      </w:r>
      <w:r>
        <w:rPr>
          <w:rFonts w:cs="Times New Roman"/>
          <w:b/>
          <w:sz w:val="28"/>
        </w:rPr>
        <w:t xml:space="preserve">rude </w:t>
      </w:r>
      <w:r>
        <w:rPr>
          <w:rFonts w:hint="eastAsia" w:cs="Times New Roman"/>
          <w:b/>
          <w:sz w:val="28"/>
        </w:rPr>
        <w:t>O</w:t>
      </w:r>
      <w:r>
        <w:rPr>
          <w:rFonts w:cs="Times New Roman"/>
          <w:b/>
          <w:sz w:val="28"/>
        </w:rPr>
        <w:t xml:space="preserve">il </w:t>
      </w:r>
      <w:r>
        <w:rPr>
          <w:rFonts w:hint="eastAsia" w:cs="Times New Roman"/>
          <w:b/>
          <w:sz w:val="28"/>
        </w:rPr>
        <w:t>C</w:t>
      </w:r>
      <w:r>
        <w:rPr>
          <w:rFonts w:cs="Times New Roman"/>
          <w:b/>
          <w:sz w:val="28"/>
        </w:rPr>
        <w:t xml:space="preserve">ontaminated </w:t>
      </w:r>
      <w:r>
        <w:rPr>
          <w:rFonts w:hint="eastAsia" w:cs="Times New Roman"/>
          <w:b/>
          <w:sz w:val="28"/>
        </w:rPr>
        <w:t>W</w:t>
      </w:r>
      <w:r>
        <w:rPr>
          <w:rFonts w:cs="Times New Roman"/>
          <w:b/>
          <w:sz w:val="28"/>
        </w:rPr>
        <w:t>ater</w:t>
      </w:r>
      <w:bookmarkStart w:id="0" w:name="_GoBack"/>
      <w:bookmarkEnd w:id="0"/>
    </w:p>
    <w:p>
      <w:pPr>
        <w:spacing w:line="480" w:lineRule="auto"/>
        <w:jc w:val="both"/>
        <w:rPr>
          <w:rFonts w:cs="Times New Roman"/>
          <w:b/>
          <w:sz w:val="28"/>
        </w:rPr>
      </w:pPr>
    </w:p>
    <w:p>
      <w:pPr>
        <w:spacing w:line="480" w:lineRule="auto"/>
        <w:jc w:val="both"/>
        <w:rPr>
          <w:rFonts w:cs="Times New Roman"/>
          <w:bCs/>
          <w:szCs w:val="22"/>
        </w:rPr>
      </w:pPr>
      <w:r>
        <w:rPr>
          <w:rFonts w:cs="Times New Roman"/>
          <w:bCs/>
          <w:szCs w:val="22"/>
        </w:rPr>
        <w:t>Zhuo Wei</w:t>
      </w:r>
      <w:r>
        <w:rPr>
          <w:rFonts w:cs="Times New Roman"/>
          <w:bCs/>
          <w:szCs w:val="22"/>
          <w:vertAlign w:val="superscript"/>
        </w:rPr>
        <w:t>1, 2</w:t>
      </w:r>
      <w:r>
        <w:rPr>
          <w:rFonts w:cs="Times New Roman"/>
          <w:bCs/>
          <w:szCs w:val="22"/>
          <w:vertAlign w:val="subscript"/>
        </w:rPr>
        <w:t>,</w:t>
      </w:r>
      <w:r>
        <w:rPr>
          <w:rFonts w:cs="Times New Roman"/>
          <w:bCs/>
          <w:szCs w:val="22"/>
        </w:rPr>
        <w:t xml:space="preserve"> </w:t>
      </w:r>
      <w:r>
        <w:rPr>
          <w:rFonts w:hint="eastAsia" w:cs="Times New Roman"/>
          <w:bCs/>
          <w:szCs w:val="22"/>
        </w:rPr>
        <w:t>Ya</w:t>
      </w:r>
      <w:r>
        <w:rPr>
          <w:rFonts w:cs="Times New Roman"/>
          <w:bCs/>
          <w:szCs w:val="22"/>
        </w:rPr>
        <w:t>xi Xu</w:t>
      </w:r>
      <w:r>
        <w:rPr>
          <w:rFonts w:cs="Times New Roman"/>
          <w:bCs/>
          <w:szCs w:val="22"/>
          <w:vertAlign w:val="superscript"/>
        </w:rPr>
        <w:t>1</w:t>
      </w:r>
      <w:r>
        <w:rPr>
          <w:rFonts w:cs="Times New Roman"/>
          <w:bCs/>
          <w:szCs w:val="22"/>
        </w:rPr>
        <w:t>, Yi Wei</w:t>
      </w:r>
      <w:r>
        <w:rPr>
          <w:rFonts w:cs="Times New Roman"/>
          <w:bCs/>
          <w:szCs w:val="22"/>
          <w:vertAlign w:val="superscript"/>
        </w:rPr>
        <w:t>1</w:t>
      </w:r>
      <w:r>
        <w:rPr>
          <w:rFonts w:cs="Times New Roman"/>
          <w:bCs/>
          <w:szCs w:val="22"/>
        </w:rPr>
        <w:t>, Yang Liu</w:t>
      </w:r>
      <w:r>
        <w:rPr>
          <w:rFonts w:cs="Times New Roman"/>
          <w:bCs/>
          <w:szCs w:val="22"/>
          <w:vertAlign w:val="superscript"/>
        </w:rPr>
        <w:t>1</w:t>
      </w:r>
      <w:r>
        <w:rPr>
          <w:rFonts w:cs="Times New Roman"/>
          <w:bCs/>
          <w:szCs w:val="22"/>
        </w:rPr>
        <w:t>, Shuai Niu</w:t>
      </w:r>
      <w:r>
        <w:rPr>
          <w:rFonts w:cs="Times New Roman"/>
          <w:bCs/>
          <w:szCs w:val="22"/>
          <w:vertAlign w:val="superscript"/>
        </w:rPr>
        <w:t>1</w:t>
      </w:r>
      <w:r>
        <w:rPr>
          <w:rFonts w:cs="Times New Roman"/>
          <w:bCs/>
          <w:szCs w:val="22"/>
        </w:rPr>
        <w:t>, Jim J. Wang</w:t>
      </w:r>
      <w:r>
        <w:rPr>
          <w:rFonts w:cs="Times New Roman"/>
          <w:bCs/>
          <w:szCs w:val="22"/>
          <w:vertAlign w:val="superscript"/>
        </w:rPr>
        <w:t>2*</w:t>
      </w:r>
    </w:p>
    <w:p>
      <w:pPr>
        <w:numPr>
          <w:ilvl w:val="255"/>
          <w:numId w:val="0"/>
        </w:numPr>
        <w:spacing w:line="480" w:lineRule="auto"/>
        <w:jc w:val="both"/>
        <w:rPr>
          <w:rFonts w:cs="Times New Roman"/>
          <w:bCs/>
          <w:szCs w:val="22"/>
        </w:rPr>
      </w:pPr>
      <w:r>
        <w:rPr>
          <w:rFonts w:cs="Times New Roman"/>
          <w:bCs/>
          <w:szCs w:val="22"/>
          <w:vertAlign w:val="superscript"/>
        </w:rPr>
        <w:t>1</w:t>
      </w:r>
      <w:r>
        <w:rPr>
          <w:rFonts w:cs="Times New Roman"/>
          <w:bCs/>
          <w:szCs w:val="22"/>
        </w:rPr>
        <w:t xml:space="preserve"> Faculty of Environmental Science &amp; Engineering, Kunming University of Science &amp; Technology, Kunming, 650500, Yunnan, China</w:t>
      </w:r>
    </w:p>
    <w:p>
      <w:pPr>
        <w:numPr>
          <w:ilvl w:val="255"/>
          <w:numId w:val="0"/>
        </w:numPr>
        <w:spacing w:line="480" w:lineRule="auto"/>
        <w:jc w:val="both"/>
        <w:rPr>
          <w:rFonts w:hint="eastAsia" w:cs="Times New Roman"/>
          <w:bCs/>
          <w:szCs w:val="22"/>
        </w:rPr>
      </w:pPr>
      <w:r>
        <w:rPr>
          <w:rFonts w:cs="Times New Roman"/>
          <w:bCs/>
          <w:szCs w:val="22"/>
          <w:vertAlign w:val="superscript"/>
        </w:rPr>
        <w:t xml:space="preserve">2 </w:t>
      </w:r>
      <w:r>
        <w:rPr>
          <w:rFonts w:hint="eastAsia" w:cs="Times New Roman"/>
          <w:bCs/>
          <w:szCs w:val="22"/>
        </w:rPr>
        <w:t xml:space="preserve">School of Plant, Environment </w:t>
      </w:r>
      <w:r>
        <w:rPr>
          <w:rFonts w:cs="Times New Roman"/>
          <w:bCs/>
          <w:szCs w:val="22"/>
        </w:rPr>
        <w:t>and</w:t>
      </w:r>
      <w:r>
        <w:rPr>
          <w:rFonts w:hint="eastAsia" w:cs="Times New Roman"/>
          <w:bCs/>
          <w:szCs w:val="22"/>
        </w:rPr>
        <w:t xml:space="preserve"> Soil Sciences, Louisiana State University AgCenter, Baton Rouge, LA 70803, USA</w:t>
      </w:r>
    </w:p>
    <w:p>
      <w:pPr>
        <w:numPr>
          <w:ilvl w:val="255"/>
          <w:numId w:val="0"/>
        </w:numPr>
        <w:spacing w:line="480" w:lineRule="auto"/>
        <w:jc w:val="both"/>
        <w:rPr>
          <w:rFonts w:hint="eastAsia" w:cs="Times New Roman"/>
          <w:bCs/>
          <w:szCs w:val="22"/>
        </w:rPr>
      </w:pPr>
    </w:p>
    <w:p>
      <w:pPr>
        <w:spacing w:line="480" w:lineRule="auto"/>
        <w:jc w:val="both"/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t>*</w:t>
      </w:r>
      <w:r>
        <w:rPr>
          <w:rFonts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>Corresponding author:</w:t>
      </w:r>
    </w:p>
    <w:p>
      <w:pPr>
        <w:numPr>
          <w:ilvl w:val="0"/>
          <w:numId w:val="1"/>
        </w:numPr>
        <w:spacing w:line="480" w:lineRule="auto"/>
        <w:jc w:val="both"/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mail addresses: </w:t>
      </w:r>
      <w:r>
        <w:fldChar w:fldCharType="begin"/>
      </w:r>
      <w:r>
        <w:instrText xml:space="preserve"> HYPERLINK "mailto:jjwang@agcenter.lsu.edu" </w:instrText>
      </w:r>
      <w:r>
        <w:fldChar w:fldCharType="separate"/>
      </w:r>
      <w:r>
        <w:rPr>
          <w:rStyle w:val="6"/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t>jjwang@agcenter.lsu.edu</w:t>
      </w:r>
      <w:r>
        <w:rPr>
          <w:rStyle w:val="6"/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(Jim J. Wang)</w:t>
      </w:r>
    </w:p>
    <w:p>
      <w:pPr>
        <w:rPr>
          <w:rFonts w:ascii="Times New Roman Bold" w:hAnsi="Times New Roman Bold" w:cs="Times New Roman Bold"/>
          <w:b/>
          <w:bCs/>
          <w:sz w:val="28"/>
          <w:szCs w:val="28"/>
        </w:rPr>
      </w:pPr>
    </w:p>
    <w:p>
      <w:pPr>
        <w:rPr>
          <w:rFonts w:hint="default" w:cs="Times New Roman"/>
          <w:b w:val="0"/>
          <w:bCs w:val="0"/>
          <w:lang w:val="en-US" w:eastAsia="zh-CN"/>
        </w:rPr>
      </w:pPr>
      <w:r>
        <w:rPr>
          <w:rFonts w:hint="eastAsia" w:cs="Times New Roman"/>
          <w:b/>
          <w:bCs/>
          <w:lang w:val="en-US" w:eastAsia="zh-CN"/>
        </w:rPr>
        <w:t xml:space="preserve">Contents: </w:t>
      </w:r>
      <w:r>
        <w:rPr>
          <w:rFonts w:hint="eastAsia" w:cs="Times New Roman"/>
          <w:b w:val="0"/>
          <w:bCs w:val="0"/>
          <w:lang w:val="en-US" w:eastAsia="zh-CN"/>
        </w:rPr>
        <w:t>1 table and 5 figures</w:t>
      </w:r>
    </w:p>
    <w:p>
      <w:pPr>
        <w:rPr>
          <w:rFonts w:hint="default" w:cs="Times New Roman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cs="Times New Roman"/>
        </w:rPr>
      </w:pPr>
      <w:r>
        <w:rPr>
          <w:rFonts w:cs="Times New Roman"/>
          <w:b/>
          <w:bCs/>
        </w:rPr>
        <w:t xml:space="preserve">Table S1. </w:t>
      </w:r>
      <w:r>
        <w:rPr>
          <w:rFonts w:cs="Times New Roman"/>
        </w:rPr>
        <w:t>Parameters of Freundlich and Langmuir adsorption isotherms models. (a) PO</w:t>
      </w:r>
      <w:r>
        <w:rPr>
          <w:rFonts w:cs="Times New Roman"/>
          <w:vertAlign w:val="subscript"/>
        </w:rPr>
        <w:t>4</w:t>
      </w:r>
      <w:r>
        <w:rPr>
          <w:rFonts w:cs="Times New Roman"/>
          <w:vertAlign w:val="superscript"/>
        </w:rPr>
        <w:t>3−</w:t>
      </w:r>
      <w:r>
        <w:rPr>
          <w:rFonts w:cs="Times New Roman"/>
        </w:rPr>
        <w:t xml:space="preserve"> and (b) total petroleum hydrocarbons (TPH).</w:t>
      </w:r>
    </w:p>
    <w:p>
      <w:pPr>
        <w:rPr>
          <w:rFonts w:cs="Times New Roman"/>
        </w:rPr>
      </w:pPr>
      <w:r>
        <w:rPr>
          <w:rFonts w:ascii="Times New Roman Regular" w:hAnsi="Times New Roman Regular" w:cs="Times New Roman Regular"/>
          <w:color w:val="000000"/>
        </w:rPr>
        <w:t xml:space="preserve">(a) </w:t>
      </w:r>
    </w:p>
    <w:tbl>
      <w:tblPr>
        <w:tblStyle w:val="4"/>
        <w:tblW w:w="803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80"/>
        <w:gridCol w:w="1656"/>
        <w:gridCol w:w="753"/>
        <w:gridCol w:w="718"/>
        <w:gridCol w:w="766"/>
        <w:gridCol w:w="948"/>
        <w:gridCol w:w="875"/>
        <w:gridCol w:w="74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atLeast"/>
        </w:trPr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PO</w:t>
            </w:r>
            <w:r>
              <w:rPr>
                <w:rFonts w:ascii="Times New Roman Regular" w:hAnsi="Times New Roman Regular" w:cs="Times New Roman Regular"/>
                <w:color w:val="000000"/>
                <w:vertAlign w:val="subscript"/>
              </w:rPr>
              <w:t>4</w:t>
            </w:r>
            <w:r>
              <w:rPr>
                <w:rFonts w:ascii="Times New Roman Regular" w:hAnsi="Times New Roman Regular" w:cs="Times New Roman Regular"/>
                <w:color w:val="000000"/>
                <w:vertAlign w:val="superscript"/>
              </w:rPr>
              <w:t xml:space="preserve">3- </w:t>
            </w:r>
            <w:r>
              <w:rPr>
                <w:rFonts w:ascii="Times New Roman Regular" w:hAnsi="Times New Roman Regular" w:cs="Times New Roman Regular"/>
                <w:color w:val="000000"/>
              </w:rPr>
              <w:t>adsorption</w:t>
            </w:r>
          </w:p>
        </w:tc>
        <w:tc>
          <w:tcPr>
            <w:tcW w:w="3127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Freundlich model</w:t>
            </w:r>
          </w:p>
        </w:tc>
        <w:tc>
          <w:tcPr>
            <w:tcW w:w="76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2565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Langmuir model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2" w:hRule="atLeast"/>
        </w:trPr>
        <w:tc>
          <w:tcPr>
            <w:tcW w:w="1580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656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K</w:t>
            </w:r>
            <w:r>
              <w:rPr>
                <w:rFonts w:ascii="Times New Roman Regular" w:hAnsi="Times New Roman Regular" w:eastAsia="宋体" w:cs="Times New Roman Regular"/>
                <w:color w:val="000000"/>
                <w:vertAlign w:val="subscript"/>
                <w:lang w:bidi="ar"/>
              </w:rPr>
              <w:t>F</w:t>
            </w:r>
          </w:p>
        </w:tc>
        <w:tc>
          <w:tcPr>
            <w:tcW w:w="753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n</w:t>
            </w:r>
          </w:p>
        </w:tc>
        <w:tc>
          <w:tcPr>
            <w:tcW w:w="718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R</w:t>
            </w:r>
            <w:r>
              <w:rPr>
                <w:rFonts w:ascii="Times New Roman Regular" w:hAnsi="Times New Roman Regular" w:eastAsia="宋体" w:cs="Times New Roman Regular"/>
                <w:color w:val="000000"/>
                <w:vertAlign w:val="superscript"/>
                <w:lang w:bidi="ar"/>
              </w:rPr>
              <w:t>2</w:t>
            </w:r>
          </w:p>
        </w:tc>
        <w:tc>
          <w:tcPr>
            <w:tcW w:w="766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948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Q</w:t>
            </w:r>
            <w:r>
              <w:rPr>
                <w:rFonts w:ascii="Times New Roman Regular" w:hAnsi="Times New Roman Regular" w:eastAsia="宋体" w:cs="Times New Roman Regular"/>
                <w:color w:val="000000"/>
                <w:vertAlign w:val="subscript"/>
                <w:lang w:bidi="ar"/>
              </w:rPr>
              <w:t>max</w:t>
            </w:r>
          </w:p>
        </w:tc>
        <w:tc>
          <w:tcPr>
            <w:tcW w:w="875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K</w:t>
            </w:r>
            <w:r>
              <w:rPr>
                <w:rFonts w:ascii="Times New Roman Regular" w:hAnsi="Times New Roman Regular" w:eastAsia="宋体" w:cs="Times New Roman Regular"/>
                <w:color w:val="000000"/>
                <w:vertAlign w:val="subscript"/>
                <w:lang w:bidi="ar"/>
              </w:rPr>
              <w:t>L</w:t>
            </w:r>
          </w:p>
        </w:tc>
        <w:tc>
          <w:tcPr>
            <w:tcW w:w="742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R</w:t>
            </w:r>
            <w:r>
              <w:rPr>
                <w:rFonts w:ascii="Times New Roman Regular" w:hAnsi="Times New Roman Regular" w:eastAsia="宋体" w:cs="Times New Roman Regular"/>
                <w:color w:val="000000"/>
                <w:vertAlign w:val="superscript"/>
                <w:lang w:bidi="ar"/>
              </w:rPr>
              <w:t>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</w:trPr>
        <w:tc>
          <w:tcPr>
            <w:tcW w:w="1580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656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textAlignment w:val="bottom"/>
              <w:rPr>
                <w:rFonts w:ascii="Times New Roman Regular" w:hAnsi="Times New Roman Regular" w:eastAsia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lang w:bidi="ar"/>
              </w:rPr>
              <w:t>(mg g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vertAlign w:val="superscript"/>
                <w:lang w:bidi="ar"/>
              </w:rPr>
              <w:t>-1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lang w:bidi="ar"/>
              </w:rPr>
              <w:t>) / (mg L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vertAlign w:val="superscript"/>
                <w:lang w:bidi="ar"/>
              </w:rPr>
              <w:t>-1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lang w:bidi="ar"/>
              </w:rPr>
              <w:t>)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vertAlign w:val="superscript"/>
                <w:lang w:bidi="ar"/>
              </w:rPr>
              <w:t>n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lang w:bidi="ar"/>
              </w:rPr>
              <w:t>)</w:t>
            </w:r>
          </w:p>
        </w:tc>
        <w:tc>
          <w:tcPr>
            <w:tcW w:w="753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718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766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948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textAlignment w:val="bottom"/>
              <w:rPr>
                <w:rFonts w:ascii="Times New Roman Regular" w:hAnsi="Times New Roman Regular" w:eastAsia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lang w:bidi="ar"/>
              </w:rPr>
              <w:t>(mg g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vertAlign w:val="superscript"/>
                <w:lang w:bidi="ar"/>
              </w:rPr>
              <w:t>-1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lang w:bidi="ar"/>
              </w:rPr>
              <w:t>)</w:t>
            </w:r>
          </w:p>
        </w:tc>
        <w:tc>
          <w:tcPr>
            <w:tcW w:w="875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(L mg</w:t>
            </w:r>
            <w:r>
              <w:rPr>
                <w:rFonts w:ascii="Times New Roman Regular" w:hAnsi="Times New Roman Regular" w:eastAsia="宋体" w:cs="Times New Roman Regular"/>
                <w:color w:val="000000"/>
                <w:vertAlign w:val="superscript"/>
                <w:lang w:bidi="ar"/>
              </w:rPr>
              <w:t>-1</w:t>
            </w: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)</w:t>
            </w:r>
          </w:p>
        </w:tc>
        <w:tc>
          <w:tcPr>
            <w:tcW w:w="742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2" w:hRule="atLeast"/>
        </w:trPr>
        <w:tc>
          <w:tcPr>
            <w:tcW w:w="1580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Biochar</w:t>
            </w:r>
          </w:p>
        </w:tc>
        <w:tc>
          <w:tcPr>
            <w:tcW w:w="165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0.25</w:t>
            </w:r>
          </w:p>
        </w:tc>
        <w:tc>
          <w:tcPr>
            <w:tcW w:w="75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0.614</w:t>
            </w:r>
          </w:p>
        </w:tc>
        <w:tc>
          <w:tcPr>
            <w:tcW w:w="71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0.987</w:t>
            </w:r>
          </w:p>
        </w:tc>
        <w:tc>
          <w:tcPr>
            <w:tcW w:w="76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94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12.87</w:t>
            </w:r>
          </w:p>
        </w:tc>
        <w:tc>
          <w:tcPr>
            <w:tcW w:w="87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0.021</w:t>
            </w:r>
          </w:p>
        </w:tc>
        <w:tc>
          <w:tcPr>
            <w:tcW w:w="74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0.982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</w:trPr>
        <w:tc>
          <w:tcPr>
            <w:tcW w:w="1580" w:type="dxa"/>
            <w:shd w:val="clear" w:color="auto" w:fill="auto"/>
            <w:vAlign w:val="bottom"/>
          </w:tcPr>
          <w:p>
            <w:pPr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Mg-biochar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12.59</w:t>
            </w:r>
          </w:p>
        </w:tc>
        <w:tc>
          <w:tcPr>
            <w:tcW w:w="753" w:type="dxa"/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0.414</w:t>
            </w:r>
          </w:p>
        </w:tc>
        <w:tc>
          <w:tcPr>
            <w:tcW w:w="718" w:type="dxa"/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0.976</w:t>
            </w:r>
          </w:p>
        </w:tc>
        <w:tc>
          <w:tcPr>
            <w:tcW w:w="76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118.31</w:t>
            </w:r>
          </w:p>
        </w:tc>
        <w:tc>
          <w:tcPr>
            <w:tcW w:w="875" w:type="dxa"/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0.035</w:t>
            </w:r>
          </w:p>
        </w:tc>
        <w:tc>
          <w:tcPr>
            <w:tcW w:w="74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0.960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</w:trPr>
        <w:tc>
          <w:tcPr>
            <w:tcW w:w="1580" w:type="dxa"/>
            <w:shd w:val="clear" w:color="auto" w:fill="auto"/>
            <w:vAlign w:val="bottom"/>
          </w:tcPr>
          <w:p>
            <w:pPr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RL-biochar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__</w:t>
            </w:r>
          </w:p>
        </w:tc>
        <w:tc>
          <w:tcPr>
            <w:tcW w:w="753" w:type="dxa"/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__</w:t>
            </w:r>
          </w:p>
        </w:tc>
        <w:tc>
          <w:tcPr>
            <w:tcW w:w="718" w:type="dxa"/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__</w:t>
            </w:r>
          </w:p>
        </w:tc>
        <w:tc>
          <w:tcPr>
            <w:tcW w:w="76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__</w:t>
            </w:r>
          </w:p>
        </w:tc>
        <w:tc>
          <w:tcPr>
            <w:tcW w:w="875" w:type="dxa"/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__</w:t>
            </w:r>
          </w:p>
        </w:tc>
        <w:tc>
          <w:tcPr>
            <w:tcW w:w="742" w:type="dxa"/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</w:trPr>
        <w:tc>
          <w:tcPr>
            <w:tcW w:w="1580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Mg-RL-biochar</w:t>
            </w:r>
          </w:p>
        </w:tc>
        <w:tc>
          <w:tcPr>
            <w:tcW w:w="165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10.83</w:t>
            </w:r>
          </w:p>
        </w:tc>
        <w:tc>
          <w:tcPr>
            <w:tcW w:w="75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0.437</w:t>
            </w:r>
          </w:p>
        </w:tc>
        <w:tc>
          <w:tcPr>
            <w:tcW w:w="71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0.979</w:t>
            </w:r>
          </w:p>
        </w:tc>
        <w:tc>
          <w:tcPr>
            <w:tcW w:w="76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94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112.12</w:t>
            </w:r>
          </w:p>
        </w:tc>
        <w:tc>
          <w:tcPr>
            <w:tcW w:w="87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0.031</w:t>
            </w:r>
          </w:p>
        </w:tc>
        <w:tc>
          <w:tcPr>
            <w:tcW w:w="74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0.979</w:t>
            </w:r>
          </w:p>
        </w:tc>
      </w:tr>
    </w:tbl>
    <w:p>
      <w:pPr>
        <w:rPr>
          <w:rFonts w:cs="Times New Roman"/>
        </w:rPr>
      </w:pPr>
    </w:p>
    <w:p>
      <w:pPr>
        <w:rPr>
          <w:rFonts w:cs="Times New Roman"/>
        </w:rPr>
      </w:pPr>
      <w:r>
        <w:rPr>
          <w:rFonts w:ascii="Times New Roman Regular" w:hAnsi="Times New Roman Regular" w:cs="Times New Roman Regular"/>
          <w:color w:val="000000"/>
        </w:rPr>
        <w:t>(b)</w:t>
      </w:r>
    </w:p>
    <w:tbl>
      <w:tblPr>
        <w:tblStyle w:val="4"/>
        <w:tblW w:w="803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16"/>
        <w:gridCol w:w="1636"/>
        <w:gridCol w:w="737"/>
        <w:gridCol w:w="719"/>
        <w:gridCol w:w="766"/>
        <w:gridCol w:w="948"/>
        <w:gridCol w:w="875"/>
        <w:gridCol w:w="74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</w:trPr>
        <w:tc>
          <w:tcPr>
            <w:tcW w:w="161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TPH adsorption</w:t>
            </w:r>
          </w:p>
        </w:tc>
        <w:tc>
          <w:tcPr>
            <w:tcW w:w="309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Freundlich model</w:t>
            </w:r>
          </w:p>
        </w:tc>
        <w:tc>
          <w:tcPr>
            <w:tcW w:w="76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2565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Langmuir model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</w:trPr>
        <w:tc>
          <w:tcPr>
            <w:tcW w:w="1616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636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K</w:t>
            </w:r>
            <w:r>
              <w:rPr>
                <w:rFonts w:ascii="Times New Roman Regular" w:hAnsi="Times New Roman Regular" w:eastAsia="宋体" w:cs="Times New Roman Regular"/>
                <w:color w:val="000000"/>
                <w:vertAlign w:val="subscript"/>
                <w:lang w:bidi="ar"/>
              </w:rPr>
              <w:t>F</w:t>
            </w:r>
          </w:p>
        </w:tc>
        <w:tc>
          <w:tcPr>
            <w:tcW w:w="737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n</w:t>
            </w:r>
          </w:p>
        </w:tc>
        <w:tc>
          <w:tcPr>
            <w:tcW w:w="719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R</w:t>
            </w:r>
            <w:r>
              <w:rPr>
                <w:rFonts w:ascii="Times New Roman Regular" w:hAnsi="Times New Roman Regular" w:eastAsia="宋体" w:cs="Times New Roman Regular"/>
                <w:color w:val="000000"/>
                <w:vertAlign w:val="superscript"/>
                <w:lang w:bidi="ar"/>
              </w:rPr>
              <w:t>2</w:t>
            </w:r>
          </w:p>
        </w:tc>
        <w:tc>
          <w:tcPr>
            <w:tcW w:w="766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948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Q</w:t>
            </w:r>
            <w:r>
              <w:rPr>
                <w:rFonts w:ascii="Times New Roman Regular" w:hAnsi="Times New Roman Regular" w:eastAsia="宋体" w:cs="Times New Roman Regular"/>
                <w:color w:val="000000"/>
                <w:vertAlign w:val="subscript"/>
                <w:lang w:bidi="ar"/>
              </w:rPr>
              <w:t>max</w:t>
            </w:r>
          </w:p>
        </w:tc>
        <w:tc>
          <w:tcPr>
            <w:tcW w:w="875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K</w:t>
            </w:r>
            <w:r>
              <w:rPr>
                <w:rFonts w:ascii="Times New Roman Regular" w:hAnsi="Times New Roman Regular" w:eastAsia="宋体" w:cs="Times New Roman Regular"/>
                <w:color w:val="000000"/>
                <w:vertAlign w:val="subscript"/>
                <w:lang w:bidi="ar"/>
              </w:rPr>
              <w:t>L</w:t>
            </w:r>
          </w:p>
        </w:tc>
        <w:tc>
          <w:tcPr>
            <w:tcW w:w="742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R</w:t>
            </w:r>
            <w:r>
              <w:rPr>
                <w:rFonts w:ascii="Times New Roman Regular" w:hAnsi="Times New Roman Regular" w:eastAsia="宋体" w:cs="Times New Roman Regular"/>
                <w:color w:val="000000"/>
                <w:vertAlign w:val="superscript"/>
                <w:lang w:bidi="ar"/>
              </w:rPr>
              <w:t>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1616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1636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textAlignment w:val="bottom"/>
              <w:rPr>
                <w:rFonts w:ascii="Times New Roman Regular" w:hAnsi="Times New Roman Regular" w:eastAsia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lang w:bidi="ar"/>
              </w:rPr>
              <w:t>(mg g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vertAlign w:val="superscript"/>
                <w:lang w:bidi="ar"/>
              </w:rPr>
              <w:t>-1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lang w:bidi="ar"/>
              </w:rPr>
              <w:t>) / (mg L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vertAlign w:val="superscript"/>
                <w:lang w:bidi="ar"/>
              </w:rPr>
              <w:t>-1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lang w:bidi="ar"/>
              </w:rPr>
              <w:t>)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vertAlign w:val="superscript"/>
                <w:lang w:bidi="ar"/>
              </w:rPr>
              <w:t>n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lang w:bidi="ar"/>
              </w:rPr>
              <w:t>)</w:t>
            </w:r>
          </w:p>
        </w:tc>
        <w:tc>
          <w:tcPr>
            <w:tcW w:w="737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719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766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948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textAlignment w:val="bottom"/>
              <w:rPr>
                <w:rFonts w:ascii="Times New Roman Regular" w:hAnsi="Times New Roman Regular" w:eastAsia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Times New Roman Regular" w:cs="Times New Roman Regular"/>
                <w:color w:val="000000"/>
                <w:lang w:bidi="ar"/>
              </w:rPr>
              <w:t>(mg g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vertAlign w:val="superscript"/>
                <w:lang w:bidi="ar"/>
              </w:rPr>
              <w:t>-1</w:t>
            </w:r>
            <w:r>
              <w:rPr>
                <w:rFonts w:ascii="Times New Roman Regular" w:hAnsi="Times New Roman Regular" w:eastAsia="Times New Roman Regular" w:cs="Times New Roman Regular"/>
                <w:color w:val="000000"/>
                <w:lang w:bidi="ar"/>
              </w:rPr>
              <w:t>)</w:t>
            </w:r>
          </w:p>
        </w:tc>
        <w:tc>
          <w:tcPr>
            <w:tcW w:w="875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(L mg</w:t>
            </w:r>
            <w:r>
              <w:rPr>
                <w:rFonts w:ascii="Times New Roman Regular" w:hAnsi="Times New Roman Regular" w:eastAsia="宋体" w:cs="Times New Roman Regular"/>
                <w:color w:val="000000"/>
                <w:vertAlign w:val="superscript"/>
                <w:lang w:bidi="ar"/>
              </w:rPr>
              <w:t>-1</w:t>
            </w: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)</w:t>
            </w:r>
          </w:p>
        </w:tc>
        <w:tc>
          <w:tcPr>
            <w:tcW w:w="742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</w:trPr>
        <w:tc>
          <w:tcPr>
            <w:tcW w:w="1616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Biochar</w:t>
            </w:r>
          </w:p>
        </w:tc>
        <w:tc>
          <w:tcPr>
            <w:tcW w:w="1636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0.03</w:t>
            </w:r>
          </w:p>
        </w:tc>
        <w:tc>
          <w:tcPr>
            <w:tcW w:w="737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0.733</w:t>
            </w:r>
          </w:p>
        </w:tc>
        <w:tc>
          <w:tcPr>
            <w:tcW w:w="719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0.994</w:t>
            </w:r>
          </w:p>
        </w:tc>
        <w:tc>
          <w:tcPr>
            <w:tcW w:w="766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94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2.34</w:t>
            </w:r>
          </w:p>
        </w:tc>
        <w:tc>
          <w:tcPr>
            <w:tcW w:w="87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0.022</w:t>
            </w:r>
          </w:p>
        </w:tc>
        <w:tc>
          <w:tcPr>
            <w:tcW w:w="742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0.968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1616" w:type="dxa"/>
            <w:shd w:val="clear" w:color="auto" w:fill="auto"/>
            <w:vAlign w:val="bottom"/>
          </w:tcPr>
          <w:p>
            <w:pPr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Mg-biochar</w:t>
            </w:r>
          </w:p>
        </w:tc>
        <w:tc>
          <w:tcPr>
            <w:tcW w:w="1636" w:type="dxa"/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__</w:t>
            </w: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__</w:t>
            </w:r>
          </w:p>
        </w:tc>
        <w:tc>
          <w:tcPr>
            <w:tcW w:w="719" w:type="dxa"/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__</w:t>
            </w:r>
          </w:p>
        </w:tc>
        <w:tc>
          <w:tcPr>
            <w:tcW w:w="76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__</w:t>
            </w:r>
          </w:p>
        </w:tc>
        <w:tc>
          <w:tcPr>
            <w:tcW w:w="875" w:type="dxa"/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__</w:t>
            </w:r>
          </w:p>
        </w:tc>
        <w:tc>
          <w:tcPr>
            <w:tcW w:w="742" w:type="dxa"/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__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1616" w:type="dxa"/>
            <w:shd w:val="clear" w:color="auto" w:fill="auto"/>
            <w:vAlign w:val="bottom"/>
          </w:tcPr>
          <w:p>
            <w:pPr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RL-biochar</w:t>
            </w:r>
          </w:p>
        </w:tc>
        <w:tc>
          <w:tcPr>
            <w:tcW w:w="1636" w:type="dxa"/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0.23</w:t>
            </w: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0.903</w:t>
            </w:r>
          </w:p>
        </w:tc>
        <w:tc>
          <w:tcPr>
            <w:tcW w:w="719" w:type="dxa"/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0.986</w:t>
            </w:r>
          </w:p>
        </w:tc>
        <w:tc>
          <w:tcPr>
            <w:tcW w:w="766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44.42</w:t>
            </w:r>
          </w:p>
        </w:tc>
        <w:tc>
          <w:tcPr>
            <w:tcW w:w="875" w:type="dxa"/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0.011</w:t>
            </w:r>
          </w:p>
        </w:tc>
        <w:tc>
          <w:tcPr>
            <w:tcW w:w="742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0.977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1616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Mg-RL-biochar</w:t>
            </w:r>
          </w:p>
        </w:tc>
        <w:tc>
          <w:tcPr>
            <w:tcW w:w="163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0.15</w:t>
            </w:r>
          </w:p>
        </w:tc>
        <w:tc>
          <w:tcPr>
            <w:tcW w:w="73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0.956</w:t>
            </w:r>
          </w:p>
        </w:tc>
        <w:tc>
          <w:tcPr>
            <w:tcW w:w="71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0.985</w:t>
            </w:r>
          </w:p>
        </w:tc>
        <w:tc>
          <w:tcPr>
            <w:tcW w:w="76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</w:p>
        </w:tc>
        <w:tc>
          <w:tcPr>
            <w:tcW w:w="94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40.21</w:t>
            </w:r>
          </w:p>
        </w:tc>
        <w:tc>
          <w:tcPr>
            <w:tcW w:w="87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eastAsia="宋体" w:cs="Times New Roman Regular"/>
                <w:color w:val="000000"/>
                <w:lang w:bidi="ar"/>
              </w:rPr>
              <w:t>0.007</w:t>
            </w:r>
          </w:p>
        </w:tc>
        <w:tc>
          <w:tcPr>
            <w:tcW w:w="74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 Regular" w:hAnsi="Times New Roman Regular" w:cs="Times New Roman Regular"/>
                <w:color w:val="000000"/>
              </w:rPr>
            </w:pPr>
            <w:r>
              <w:rPr>
                <w:rFonts w:ascii="Times New Roman Regular" w:hAnsi="Times New Roman Regular" w:cs="Times New Roman Regular"/>
                <w:color w:val="000000"/>
              </w:rPr>
              <w:t>0.983</w:t>
            </w:r>
          </w:p>
        </w:tc>
      </w:tr>
    </w:tbl>
    <w:p>
      <w:pPr>
        <w:rPr>
          <w:rFonts w:cs="Times New Roma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cs="Times New Roman"/>
        </w:rPr>
      </w:pPr>
      <w:r>
        <w:rPr>
          <w:rFonts w:cs="Times New Roman"/>
        </w:rPr>
        <w:drawing>
          <wp:inline distT="0" distB="0" distL="0" distR="0">
            <wp:extent cx="4572635" cy="2743200"/>
            <wp:effectExtent l="0" t="0" r="0" b="0"/>
            <wp:docPr id="12584721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472110" name="图片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cs="Times New Roman"/>
        </w:rPr>
      </w:pPr>
      <w:r>
        <w:rPr>
          <w:rFonts w:cs="Times New Roman"/>
          <w:b/>
          <w:bCs/>
        </w:rPr>
        <w:t>Fig. S1.</w:t>
      </w:r>
      <w:r>
        <w:rPr>
          <w:rFonts w:cs="Times New Roman"/>
        </w:rPr>
        <w:t xml:space="preserve"> Oxygen volume change curve in 30 mins.(The space of furnace:10 L, the flow rate of N</w:t>
      </w:r>
      <w:r>
        <w:rPr>
          <w:rFonts w:cs="Times New Roman"/>
          <w:vertAlign w:val="subscript"/>
        </w:rPr>
        <w:t>2</w:t>
      </w:r>
      <w:r>
        <w:rPr>
          <w:rFonts w:cs="Times New Roman"/>
        </w:rPr>
        <w:t>: 400 mL min</w:t>
      </w:r>
      <w:r>
        <w:rPr>
          <w:rFonts w:cs="Times New Roman"/>
          <w:vertAlign w:val="superscript"/>
        </w:rPr>
        <w:t>-1</w:t>
      </w:r>
      <w:r>
        <w:rPr>
          <w:rFonts w:cs="Times New Roman"/>
        </w:rPr>
        <w:t xml:space="preserve">, time: 30 min. </w:t>
      </w:r>
      <m:oMath>
        <m:r>
          <m:rPr/>
          <w:rPr>
            <w:rFonts w:ascii="Cambria Math" w:hAnsi="Cambria Math" w:cs="Times New Roman"/>
          </w:rPr>
          <m:t>V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/>
              <w:rPr>
                <w:rFonts w:ascii="Cambria Math" w:hAnsi="Cambria Math" w:cs="Times New Roman"/>
              </w:rPr>
              <m:t>O</m:t>
            </m:r>
            <m:ctrlPr>
              <w:rPr>
                <w:rFonts w:ascii="Cambria Math" w:hAnsi="Cambria Math" w:cs="Times New Roman"/>
                <w:i/>
              </w:rPr>
            </m:ctrlPr>
          </m:e>
          <m:sub>
            <m:r>
              <m:rPr/>
              <w:rPr>
                <w:rFonts w:ascii="Cambria Math" w:hAnsi="Cambria Math" w:cs="Times New Roman"/>
              </w:rPr>
              <m:t>2</m:t>
            </m:r>
            <m:ctrlPr>
              <w:rPr>
                <w:rFonts w:ascii="Cambria Math" w:hAnsi="Cambria Math" w:cs="Times New Roman"/>
                <w:i/>
              </w:rPr>
            </m:ctrlPr>
          </m:sub>
        </m:sSub>
        <m:r>
          <m:rPr/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/>
              <w:rPr>
                <w:rFonts w:ascii="Cambria Math" w:hAnsi="Cambria Math" w:cs="Times New Roman"/>
              </w:rPr>
              <m:t>V</m:t>
            </m:r>
            <m:ctrlPr>
              <w:rPr>
                <w:rFonts w:ascii="Cambria Math" w:hAnsi="Cambria Math" w:cs="Times New Roman"/>
                <w:i/>
              </w:rPr>
            </m:ctrlPr>
          </m:e>
          <m:sub>
            <m:r>
              <m:rPr/>
              <w:rPr>
                <w:rFonts w:ascii="Cambria Math" w:hAnsi="Cambria Math" w:cs="Times New Roman"/>
              </w:rPr>
              <m:t>0</m:t>
            </m:r>
            <m:ctrlPr>
              <w:rPr>
                <w:rFonts w:ascii="Cambria Math" w:hAnsi="Cambria Math" w:cs="Times New Roman"/>
                <w:i/>
              </w:rPr>
            </m:ctrlPr>
          </m:sub>
        </m:sSub>
        <m:r>
          <m:rPr/>
          <w:rPr>
            <w:rFonts w:ascii="Cambria Math" w:hAnsi="Cambria Math" w:cs="Times New Roman"/>
          </w:rPr>
          <m:t>−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/>
              <w:rPr>
                <w:rFonts w:ascii="Cambria Math" w:hAnsi="Cambria Math" w:cs="Times New Roman"/>
              </w:rPr>
              <m:t>v</m:t>
            </m:r>
            <m:ctrlPr>
              <w:rPr>
                <w:rFonts w:ascii="Cambria Math" w:hAnsi="Cambria Math" w:cs="Times New Roman"/>
                <w:i/>
              </w:rPr>
            </m:ctrlP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</w:rPr>
                  <m:t>N</m:t>
                </m:r>
                <m:ctrlPr>
                  <w:rPr>
                    <w:rFonts w:ascii="Cambria Math" w:hAnsi="Cambria Math" w:cs="Times New Roman"/>
                    <w:i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</w:rPr>
                  <m:t>2</m:t>
                </m:r>
                <m:ctrlPr>
                  <w:rPr>
                    <w:rFonts w:ascii="Cambria Math" w:hAnsi="Cambria Math" w:cs="Times New Roman"/>
                    <w:i/>
                  </w:rPr>
                </m:ctrlPr>
              </m:sub>
            </m:sSub>
            <m:ctrlPr>
              <w:rPr>
                <w:rFonts w:ascii="Cambria Math" w:hAnsi="Cambria Math" w:cs="Times New Roman"/>
                <w:i/>
              </w:rPr>
            </m:ctrlPr>
          </m:sub>
        </m:sSub>
        <m:r>
          <m:rPr/>
          <w:rPr>
            <w:rFonts w:ascii="Cambria Math" w:hAnsi="Cambria Math" w:cs="Times New Roman"/>
          </w:rPr>
          <m:t>∙t</m:t>
        </m:r>
      </m:oMath>
      <w:r>
        <w:rPr>
          <w:rFonts w:cs="Times New Roman"/>
        </w:rPr>
        <w:t>)</w:t>
      </w:r>
    </w:p>
    <w:p>
      <w:pPr>
        <w:rPr>
          <w:rFonts w:cs="Times New Roman"/>
        </w:rPr>
      </w:pPr>
    </w:p>
    <w:p>
      <w:pPr>
        <w:spacing w:line="480" w:lineRule="auto"/>
        <w:rPr>
          <w:rFonts w:cs="Times New Roman"/>
        </w:rPr>
      </w:pPr>
      <w:r>
        <w:rPr>
          <w:lang w:eastAsia="en-US"/>
        </w:rPr>
        <w:drawing>
          <wp:inline distT="0" distB="0" distL="0" distR="0">
            <wp:extent cx="5488940" cy="2994660"/>
            <wp:effectExtent l="0" t="0" r="22860" b="254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>
      <w:pPr>
        <w:spacing w:line="360" w:lineRule="auto"/>
        <w:jc w:val="both"/>
        <w:rPr>
          <w:rFonts w:cs="Times New Roman"/>
        </w:rPr>
      </w:pPr>
      <w:r>
        <w:rPr>
          <w:rFonts w:hint="eastAsia" w:cs="Times New Roman"/>
          <w:b/>
          <w:bCs/>
        </w:rPr>
        <w:t>F</w:t>
      </w:r>
      <w:r>
        <w:rPr>
          <w:rFonts w:cs="Times New Roman"/>
          <w:b/>
          <w:bCs/>
        </w:rPr>
        <w:t>ig. S2.</w:t>
      </w:r>
      <w:r>
        <w:rPr>
          <w:rFonts w:cs="Times New Roman"/>
        </w:rPr>
        <w:t xml:space="preserve"> Phosphorous adsorption by biochar modified with different level of magnesium.</w:t>
      </w:r>
    </w:p>
    <w:p>
      <w:pPr>
        <w:spacing w:line="360" w:lineRule="auto"/>
        <w:rPr>
          <w:rFonts w:cs="Times New Roman"/>
        </w:rPr>
      </w:pPr>
      <w:r>
        <w:rPr>
          <w:lang w:eastAsia="en-US"/>
        </w:rPr>
        <w:drawing>
          <wp:inline distT="0" distB="0" distL="0" distR="0">
            <wp:extent cx="5603240" cy="2693670"/>
            <wp:effectExtent l="0" t="0" r="10160" b="2413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cs="Times New Roman"/>
          <w:b/>
          <w:bCs/>
        </w:rPr>
        <w:t xml:space="preserve">Fig. S3. </w:t>
      </w:r>
      <w:r>
        <w:rPr>
          <w:rFonts w:cs="Times New Roman"/>
        </w:rPr>
        <w:t>Percentage total petroleum hydrocarbon (TPH) adsorbed by MgO-biochar composite modified with different levels of rhamnolipids (RL).</w:t>
      </w: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r>
        <w:t>(a)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(b)</w:t>
      </w:r>
    </w:p>
    <w:p>
      <w:r>
        <w:rPr>
          <w:lang w:eastAsia="en-US"/>
        </w:rPr>
        <w:drawing>
          <wp:inline distT="0" distB="0" distL="114300" distR="114300">
            <wp:extent cx="2520950" cy="2322830"/>
            <wp:effectExtent l="0" t="0" r="19050" b="13970"/>
            <wp:docPr id="103" name="图片 103" descr="Mg-Biochar_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Mg-Biochar_0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0950" cy="232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en-US"/>
        </w:rPr>
        <w:drawing>
          <wp:inline distT="0" distB="0" distL="0" distR="0">
            <wp:extent cx="2453005" cy="2325370"/>
            <wp:effectExtent l="12700" t="12700" r="23495" b="24130"/>
            <wp:docPr id="17" name="Picture 5" descr="Image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5" descr="Image00005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r="56171"/>
                    <a:stretch>
                      <a:fillRect/>
                    </a:stretch>
                  </pic:blipFill>
                  <pic:spPr>
                    <a:xfrm>
                      <a:off x="0" y="0"/>
                      <a:ext cx="2453005" cy="232537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>
      <w:r>
        <w:t>(c)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(d)</w:t>
      </w:r>
    </w:p>
    <w:p>
      <w:r>
        <w:rPr>
          <w:lang w:eastAsia="en-US"/>
        </w:rPr>
        <w:drawing>
          <wp:inline distT="0" distB="0" distL="114300" distR="114300">
            <wp:extent cx="2529840" cy="2330450"/>
            <wp:effectExtent l="0" t="0" r="10160" b="6350"/>
            <wp:docPr id="102" name="图片 102" descr="Mg-Biochar-P_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Mg-Biochar-P_00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29840" cy="233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en-US"/>
        </w:rPr>
        <w:drawing>
          <wp:inline distT="0" distB="0" distL="0" distR="0">
            <wp:extent cx="2484755" cy="2301875"/>
            <wp:effectExtent l="12700" t="12700" r="17145" b="22225"/>
            <wp:docPr id="18" name="Picture 5" descr="Image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5" descr="Image00005.jp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 r="55957"/>
                    <a:stretch>
                      <a:fillRect/>
                    </a:stretch>
                  </pic:blipFill>
                  <pic:spPr>
                    <a:xfrm>
                      <a:off x="0" y="0"/>
                      <a:ext cx="2484755" cy="230187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>
      <w:pPr>
        <w:spacing w:line="360" w:lineRule="auto"/>
      </w:pPr>
      <w:r>
        <w:rPr>
          <w:b/>
          <w:bCs/>
        </w:rPr>
        <w:t xml:space="preserve">Fig. S4. </w:t>
      </w:r>
      <w:r>
        <w:t xml:space="preserve">Scanning electron microscopy (SEM) images and the corresponding energy dispersive X-ray spectroscope (EDX) of Mg-biochar before (a), (b) and after (c), (d) phosphorous adsorption. </w:t>
      </w:r>
    </w:p>
    <w:p/>
    <w:p/>
    <w:p/>
    <w:p/>
    <w:p/>
    <w:p/>
    <w:p/>
    <w:p/>
    <w:p/>
    <w:p>
      <w:pPr>
        <w:jc w:val="center"/>
      </w:pPr>
      <w:r>
        <w:rPr>
          <w:rFonts w:ascii="Calibri Light" w:hAnsi="Calibri Light" w:eastAsia="宋体" w:cs="Calibri Light"/>
          <w:color w:val="000033"/>
          <w:szCs w:val="21"/>
          <w:lang w:bidi="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4559300</wp:posOffset>
                </wp:positionH>
                <wp:positionV relativeFrom="paragraph">
                  <wp:posOffset>2353945</wp:posOffset>
                </wp:positionV>
                <wp:extent cx="1130300" cy="285750"/>
                <wp:effectExtent l="0" t="0" r="0" b="0"/>
                <wp:wrapNone/>
                <wp:docPr id="4815331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3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385723" w:themeColor="accent6" w:themeShade="8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385723" w:themeColor="accent6" w:themeShade="80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color w:val="385723" w:themeColor="accent6" w:themeShade="80"/>
                              </w:rPr>
                              <w:t xml:space="preserve"> weeks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359pt;margin-top:185.35pt;height:22.5pt;width:89pt;z-index:251660288;mso-width-relative:page;mso-height-relative:page;" filled="f" stroked="f" coordsize="21600,21600" o:gfxdata="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Cw3Af3AAAAAsBAAAPAAAAAAAAAAEAIAAA&#10;ACIAAABkcnMvZG93bnJldi54bWxQSwECFAAUAAAACACHTuJAWxdrvEECAABtBAAADgAAAAAAAAAB&#10;ACAAAAAr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  <w:color w:val="385723" w:themeColor="accent6" w:themeShade="8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385723" w:themeColor="accent6" w:themeShade="80"/>
                        </w:rPr>
                        <w:t>2</w:t>
                      </w:r>
                      <w:r>
                        <w:rPr>
                          <w:b/>
                          <w:bCs/>
                          <w:color w:val="385723" w:themeColor="accent6" w:themeShade="80"/>
                        </w:rPr>
                        <w:t xml:space="preserve"> weeks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5274310" cy="2595245"/>
            <wp:effectExtent l="0" t="0" r="2540" b="0"/>
            <wp:docPr id="17354293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429358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jc w:val="center"/>
      </w:pPr>
      <w:r>
        <w:drawing>
          <wp:inline distT="0" distB="0" distL="0" distR="0">
            <wp:extent cx="4514215" cy="2710180"/>
            <wp:effectExtent l="0" t="0" r="635" b="0"/>
            <wp:docPr id="9068107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810728" name="图片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37146" cy="2723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rPr>
          <w:b/>
          <w:bCs/>
        </w:rPr>
        <w:t xml:space="preserve">Fig. S5. </w:t>
      </w:r>
      <w:r>
        <w:t xml:space="preserve">The effect of RL-Biochar with a series of levels on growth of algae (The cultivation time of algae was two weeks).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Bold">
    <w:altName w:val="Times New Roman"/>
    <w:panose1 w:val="02020803070505020304"/>
    <w:charset w:val="00"/>
    <w:family w:val="auto"/>
    <w:pitch w:val="default"/>
    <w:sig w:usb0="00000000" w:usb1="00000000" w:usb2="00000001" w:usb3="00000000" w:csb0="400001BF" w:csb1="DFF7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1078E1"/>
    <w:multiLevelType w:val="singleLevel"/>
    <w:tmpl w:val="051078E1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MyM2ZiNjBjNjhiN2VmNTA2MDJiOWFmYmE0OTE5NWIifQ=="/>
  </w:docVars>
  <w:rsids>
    <w:rsidRoot w:val="00512E7E"/>
    <w:rsid w:val="001050DE"/>
    <w:rsid w:val="00140B03"/>
    <w:rsid w:val="00153EF7"/>
    <w:rsid w:val="001C57E9"/>
    <w:rsid w:val="00206479"/>
    <w:rsid w:val="002820A6"/>
    <w:rsid w:val="002846F3"/>
    <w:rsid w:val="002F6276"/>
    <w:rsid w:val="00383C7A"/>
    <w:rsid w:val="004426B0"/>
    <w:rsid w:val="004D284A"/>
    <w:rsid w:val="00512E7E"/>
    <w:rsid w:val="0053549A"/>
    <w:rsid w:val="006372AF"/>
    <w:rsid w:val="00731B36"/>
    <w:rsid w:val="0089605F"/>
    <w:rsid w:val="008A0133"/>
    <w:rsid w:val="00A53928"/>
    <w:rsid w:val="00B14025"/>
    <w:rsid w:val="00B172EC"/>
    <w:rsid w:val="00C00170"/>
    <w:rsid w:val="00C903C0"/>
    <w:rsid w:val="00D5305A"/>
    <w:rsid w:val="00FE77CB"/>
    <w:rsid w:val="3BC5599F"/>
    <w:rsid w:val="5C4F0418"/>
    <w:rsid w:val="60682E00"/>
    <w:rsid w:val="6D1F4EA8"/>
    <w:rsid w:val="6EC76CAA"/>
    <w:rsid w:val="74CE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Times New Roman" w:hAnsi="Times New Roman" w:eastAsiaTheme="minorEastAsia" w:cstheme="minorBidi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hAnsiTheme="minorHAnsi"/>
      <w:kern w:val="2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/>
      <w:kern w:val="2"/>
      <w:sz w:val="18"/>
      <w:szCs w:val="18"/>
    </w:rPr>
  </w:style>
  <w:style w:type="character" w:styleId="6">
    <w:name w:val="Hyperlink"/>
    <w:basedOn w:val="5"/>
    <w:qFormat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  <w14:ligatures w14:val="none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  <w14:ligatures w14:val="none"/>
    </w:rPr>
  </w:style>
  <w:style w:type="character" w:styleId="9">
    <w:name w:val="Placeholder Text"/>
    <w:basedOn w:val="5"/>
    <w:unhideWhenUsed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2.xml"/><Relationship Id="rId8" Type="http://schemas.openxmlformats.org/officeDocument/2006/relationships/chart" Target="charts/chart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jpeg"/><Relationship Id="rId12" Type="http://schemas.openxmlformats.org/officeDocument/2006/relationships/image" Target="media/image4.tiff"/><Relationship Id="rId11" Type="http://schemas.openxmlformats.org/officeDocument/2006/relationships/image" Target="media/image3.jpeg"/><Relationship Id="rId10" Type="http://schemas.openxmlformats.org/officeDocument/2006/relationships/image" Target="media/image2.tiff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/Users/zhuowei/Desktop/Multifunctional%20biochar%20/2020%20Multifunctional%20Biochar%20data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/Users\zhuowei\Desktop\research\Publications\F7.%20Multifunctional%20biochar\2020%20Multifunctional%20Biochar%20Preliminary%20Study%202%20dat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0891294838145"/>
          <c:y val="0.138888888888889"/>
          <c:w val="0.828553149606299"/>
          <c:h val="0.66753864100320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bg1">
                <a:lumMod val="50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delete val="1"/>
          </c:dLbls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'P calibration'!$U$33:$U$38</c:f>
              <c:strCache>
                <c:ptCount val="6"/>
                <c:pt idx="0">
                  <c:v>0Mg</c:v>
                </c:pt>
                <c:pt idx="1">
                  <c:v>5Mg</c:v>
                </c:pt>
                <c:pt idx="2">
                  <c:v>10Mg</c:v>
                </c:pt>
                <c:pt idx="3">
                  <c:v>15Mg</c:v>
                </c:pt>
                <c:pt idx="4">
                  <c:v>20Mg</c:v>
                </c:pt>
                <c:pt idx="5">
                  <c:v>25Mg</c:v>
                </c:pt>
              </c:strCache>
            </c:strRef>
          </c:cat>
          <c:val>
            <c:numRef>
              <c:f>'P calibration'!$X$33:$X$38</c:f>
              <c:numCache>
                <c:formatCode>General</c:formatCode>
                <c:ptCount val="6"/>
                <c:pt idx="0">
                  <c:v>0.106232729429782</c:v>
                </c:pt>
                <c:pt idx="1">
                  <c:v>0.290741516444407</c:v>
                </c:pt>
                <c:pt idx="2">
                  <c:v>0.345388788315009</c:v>
                </c:pt>
                <c:pt idx="3">
                  <c:v>0.521374685528248</c:v>
                </c:pt>
                <c:pt idx="4">
                  <c:v>0.524442</c:v>
                </c:pt>
                <c:pt idx="5">
                  <c:v>0.532221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856534224"/>
        <c:axId val="-1829588416"/>
      </c:barChart>
      <c:catAx>
        <c:axId val="-18565342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/>
                  <a:t>Percent magnesium</a:t>
                </a:r>
                <a:r>
                  <a:rPr lang="en-US" baseline="0"/>
                  <a:t> on biochar</a:t>
                </a:r>
                <a:endParaRPr lang="en-US" baseline="0"/>
              </a:p>
            </c:rich>
          </c:tx>
          <c:layout>
            <c:manualLayout>
              <c:xMode val="edge"/>
              <c:yMode val="edge"/>
              <c:x val="0.354959536307962"/>
              <c:y val="0.92129629629629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1829588416"/>
        <c:crosses val="autoZero"/>
        <c:auto val="1"/>
        <c:lblAlgn val="ctr"/>
        <c:lblOffset val="100"/>
        <c:noMultiLvlLbl val="0"/>
      </c:catAx>
      <c:valAx>
        <c:axId val="-182958841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/>
                  <a:t>Percent P adsorbed on biochar</a:t>
                </a:r>
                <a:endParaRPr lang="en-US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0%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-18565342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en-US">
          <a:solidFill>
            <a:schemeClr val="tx1"/>
          </a:solidFill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3196850393701"/>
          <c:y val="0.0601851851851852"/>
          <c:w val="0.810692038495188"/>
          <c:h val="0.75161453794384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bg1">
                <a:lumMod val="50000"/>
              </a:schemeClr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delete val="1"/>
          </c:dLbls>
          <c:errBars>
            <c:errBarType val="both"/>
            <c:errValType val="cust"/>
            <c:noEndCap val="0"/>
            <c:plus>
              <c:numRef>
                <c:f>'RL effect on oil adsorption'!$I$31:$I$35</c:f>
                <c:numCache>
                  <c:formatCode>General</c:formatCode>
                  <c:ptCount val="5"/>
                  <c:pt idx="0">
                    <c:v>0.005</c:v>
                  </c:pt>
                  <c:pt idx="1">
                    <c:v>0.021</c:v>
                  </c:pt>
                  <c:pt idx="2">
                    <c:v>0.024</c:v>
                  </c:pt>
                  <c:pt idx="3">
                    <c:v>0.033</c:v>
                  </c:pt>
                  <c:pt idx="4">
                    <c:v>0.027</c:v>
                  </c:pt>
                </c:numCache>
              </c:numRef>
            </c:plus>
            <c:minus>
              <c:numRef>
                <c:f>'RL effect on oil adsorption'!$I$31:$I$35</c:f>
                <c:numCache>
                  <c:formatCode>General</c:formatCode>
                  <c:ptCount val="5"/>
                  <c:pt idx="0">
                    <c:v>0.005</c:v>
                  </c:pt>
                  <c:pt idx="1">
                    <c:v>0.021</c:v>
                  </c:pt>
                  <c:pt idx="2">
                    <c:v>0.024</c:v>
                  </c:pt>
                  <c:pt idx="3">
                    <c:v>0.033</c:v>
                  </c:pt>
                  <c:pt idx="4">
                    <c:v>0.027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'RL effect on oil adsorption'!$G$31:$G$35</c:f>
              <c:strCache>
                <c:ptCount val="5"/>
                <c:pt idx="0">
                  <c:v>0% RL</c:v>
                </c:pt>
                <c:pt idx="1">
                  <c:v>25% RL</c:v>
                </c:pt>
                <c:pt idx="2">
                  <c:v>50% RL</c:v>
                </c:pt>
                <c:pt idx="3">
                  <c:v>75% RL</c:v>
                </c:pt>
                <c:pt idx="4">
                  <c:v>100% RL</c:v>
                </c:pt>
              </c:strCache>
            </c:strRef>
          </c:cat>
          <c:val>
            <c:numRef>
              <c:f>'RL effect on oil adsorption'!$H$31:$H$35</c:f>
              <c:numCache>
                <c:formatCode>0.00%</c:formatCode>
                <c:ptCount val="5"/>
                <c:pt idx="0">
                  <c:v>0.020139246142568</c:v>
                </c:pt>
                <c:pt idx="1">
                  <c:v>0.132502426831164</c:v>
                </c:pt>
                <c:pt idx="2">
                  <c:v>0.263051597021591</c:v>
                </c:pt>
                <c:pt idx="3">
                  <c:v>0.286006178558662</c:v>
                </c:pt>
                <c:pt idx="4">
                  <c:v>0.2878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7905776"/>
        <c:axId val="244488544"/>
      </c:barChart>
      <c:catAx>
        <c:axId val="2079057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defRPr lang="en-US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</a:defRPr>
                </a:pPr>
                <a:r>
                  <a:rPr lang="en-US" sz="1000" b="0" i="0" kern="1200" baseline="0">
                    <a:solidFill>
                      <a:srgbClr val="000000"/>
                    </a:solidFill>
                    <a:effectLst/>
                    <a:latin typeface="Times New Roman" panose="02020603050405020304" charset="0"/>
                    <a:cs typeface="Times New Roman" panose="02020603050405020304" charset="0"/>
                  </a:rPr>
                  <a:t>Rhamnolipid content on biochar</a:t>
                </a:r>
                <a:endParaRPr lang="en-US">
                  <a:effectLst/>
                </a:endParaRPr>
              </a:p>
            </c:rich>
          </c:tx>
          <c:layout>
            <c:manualLayout>
              <c:xMode val="edge"/>
              <c:yMode val="edge"/>
              <c:x val="0.36877632385707"/>
              <c:y val="0.92179500837184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</a:defRPr>
            </a:pPr>
          </a:p>
        </c:txPr>
        <c:crossAx val="244488544"/>
        <c:crosses val="autoZero"/>
        <c:auto val="1"/>
        <c:lblAlgn val="ctr"/>
        <c:lblOffset val="100"/>
        <c:noMultiLvlLbl val="0"/>
      </c:catAx>
      <c:valAx>
        <c:axId val="24448854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defRPr lang="en-US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</a:defRPr>
                </a:pPr>
                <a:r>
                  <a:rPr lang="en-US" sz="1000" b="0" i="0" kern="1200" baseline="0">
                    <a:solidFill>
                      <a:srgbClr val="000000"/>
                    </a:solidFill>
                    <a:effectLst/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</a:rPr>
                  <a:t>Percent TPH adsorbed by biochar</a:t>
                </a:r>
                <a:endParaRPr lang="en-US">
                  <a:effectLst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0%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</a:defRPr>
            </a:pPr>
          </a:p>
        </c:txPr>
        <c:crossAx val="207905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en-US">
          <a:solidFill>
            <a:schemeClr val="tx1"/>
          </a:solidFill>
          <a:latin typeface="Times New Roman" panose="02020603050405020304" charset="0"/>
          <a:ea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323</Words>
  <Characters>1676</Characters>
  <Lines>10</Lines>
  <Paragraphs>3</Paragraphs>
  <TotalTime>3</TotalTime>
  <ScaleCrop>false</ScaleCrop>
  <LinksUpToDate>false</LinksUpToDate>
  <CharactersWithSpaces>1951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2023-06-11T03:19:00Z</dcterms:created>
  <dc:creator>yi wei</dc:creator>
  <cp:lastModifiedBy>WPS_1666850813</cp:lastModifiedBy>
  <dcterms:modified xsi:type="dcterms:W3CDTF">2023-08-10T14:11:19Z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DF325A741FF248D380FDEC65A19272C6_13</vt:lpwstr>
  </property>
</Properties>
</file>