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44487" w14:textId="3E58B744" w:rsidR="005A715A" w:rsidRDefault="004A2A3B" w:rsidP="00D94001">
      <w:pPr>
        <w:jc w:val="left"/>
        <w:rPr>
          <w:rFonts w:hint="eastAsia"/>
        </w:rPr>
      </w:pPr>
      <w:r>
        <w:t>Supplementary Information</w:t>
      </w:r>
    </w:p>
    <w:p w14:paraId="1197CD1F" w14:textId="7D6E8BC5" w:rsidR="00D2024B" w:rsidRDefault="00225C09" w:rsidP="00A36EC4">
      <w:pPr>
        <w:jc w:val="both"/>
        <w:rPr>
          <w:b/>
          <w:bCs w:val="0"/>
          <w:sz w:val="28"/>
          <w:szCs w:val="28"/>
        </w:rPr>
      </w:pPr>
      <w:bookmarkStart w:id="0" w:name="OLE_LINK8"/>
      <w:bookmarkStart w:id="1" w:name="_Hlk153006884"/>
      <w:r w:rsidRPr="00225C09">
        <w:rPr>
          <w:b/>
          <w:sz w:val="28"/>
          <w:szCs w:val="28"/>
        </w:rPr>
        <w:t>Roles of iron and manganese in bimetallic biochar composites for efficient persulfate activation and atrazi</w:t>
      </w:r>
      <w:r>
        <w:rPr>
          <w:b/>
          <w:sz w:val="28"/>
          <w:szCs w:val="28"/>
        </w:rPr>
        <w:t>ne removal</w:t>
      </w:r>
    </w:p>
    <w:bookmarkEnd w:id="0"/>
    <w:p w14:paraId="07A4C9F3" w14:textId="77777777" w:rsidR="00D2024B" w:rsidRDefault="00D2024B" w:rsidP="00A36EC4">
      <w:pPr>
        <w:jc w:val="both"/>
        <w:rPr>
          <w:b/>
          <w:bCs w:val="0"/>
          <w:sz w:val="28"/>
          <w:szCs w:val="28"/>
        </w:rPr>
      </w:pPr>
    </w:p>
    <w:p w14:paraId="57E41EC8" w14:textId="77777777" w:rsidR="00D2024B" w:rsidRPr="007B2F36" w:rsidRDefault="00D2024B" w:rsidP="00A36EC4">
      <w:pPr>
        <w:jc w:val="both"/>
        <w:rPr>
          <w:bCs w:val="0"/>
        </w:rPr>
      </w:pPr>
      <w:bookmarkStart w:id="2" w:name="_Hlk153010527"/>
      <w:r w:rsidRPr="00CF1344">
        <w:t>Yuan Liang</w:t>
      </w:r>
      <w:proofErr w:type="gramStart"/>
      <w:r w:rsidRPr="00CF1344">
        <w:rPr>
          <w:vertAlign w:val="superscript"/>
        </w:rPr>
        <w:t>1,</w:t>
      </w:r>
      <w:r w:rsidRPr="00CF1344">
        <w:t>*</w:t>
      </w:r>
      <w:proofErr w:type="gramEnd"/>
      <w:r w:rsidRPr="00CF1344">
        <w:t>, Ran</w:t>
      </w:r>
      <w:r w:rsidRPr="00535C8D">
        <w:t xml:space="preserve"> </w:t>
      </w:r>
      <w:r w:rsidRPr="00CF1344">
        <w:t>Tao</w:t>
      </w:r>
      <w:r w:rsidRPr="00CF1344">
        <w:rPr>
          <w:vertAlign w:val="superscript"/>
        </w:rPr>
        <w:t xml:space="preserve"> 1</w:t>
      </w:r>
      <w:r w:rsidRPr="00CF1344">
        <w:t>, Ben</w:t>
      </w:r>
      <w:r w:rsidRPr="00535C8D">
        <w:t xml:space="preserve"> </w:t>
      </w:r>
      <w:r w:rsidRPr="00CF1344">
        <w:t>Zhao</w:t>
      </w:r>
      <w:r w:rsidRPr="00CF1344">
        <w:rPr>
          <w:vertAlign w:val="superscript"/>
        </w:rPr>
        <w:t>1</w:t>
      </w:r>
      <w:r w:rsidRPr="00CF1344">
        <w:t xml:space="preserve">, </w:t>
      </w:r>
      <w:proofErr w:type="spellStart"/>
      <w:r>
        <w:t>Zeda</w:t>
      </w:r>
      <w:proofErr w:type="spellEnd"/>
      <w:r>
        <w:t xml:space="preserve"> Meng</w:t>
      </w:r>
      <w:r>
        <w:rPr>
          <w:vertAlign w:val="superscript"/>
        </w:rPr>
        <w:t>2</w:t>
      </w:r>
      <w:r>
        <w:t xml:space="preserve">, </w:t>
      </w:r>
      <w:r w:rsidRPr="00CF1344">
        <w:t xml:space="preserve">Yuan </w:t>
      </w:r>
      <w:proofErr w:type="spellStart"/>
      <w:r w:rsidRPr="00CF1344">
        <w:t>Yuan</w:t>
      </w:r>
      <w:proofErr w:type="spellEnd"/>
      <w:r w:rsidRPr="00535C8D">
        <w:t xml:space="preserve"> </w:t>
      </w:r>
      <w:r w:rsidRPr="00CF1344">
        <w:t>Cheng</w:t>
      </w:r>
      <w:r w:rsidRPr="00CF1344">
        <w:rPr>
          <w:vertAlign w:val="superscript"/>
        </w:rPr>
        <w:t>1</w:t>
      </w:r>
      <w:r>
        <w:t>, Fan Yang</w:t>
      </w:r>
      <w:r>
        <w:rPr>
          <w:vertAlign w:val="superscript"/>
        </w:rPr>
        <w:t>3</w:t>
      </w:r>
      <w:r>
        <w:t xml:space="preserve">, </w:t>
      </w:r>
      <w:proofErr w:type="spellStart"/>
      <w:r>
        <w:t>Huihui</w:t>
      </w:r>
      <w:proofErr w:type="spellEnd"/>
      <w:r>
        <w:t xml:space="preserve"> Lei</w:t>
      </w:r>
      <w:r>
        <w:rPr>
          <w:vertAlign w:val="superscript"/>
        </w:rPr>
        <w:t>1</w:t>
      </w:r>
      <w:r>
        <w:t xml:space="preserve">, </w:t>
      </w:r>
      <w:proofErr w:type="spellStart"/>
      <w:r>
        <w:t>L</w:t>
      </w:r>
      <w:r>
        <w:rPr>
          <w:rFonts w:hint="eastAsia"/>
        </w:rPr>
        <w:t>ing</w:t>
      </w:r>
      <w:r>
        <w:t>zhao</w:t>
      </w:r>
      <w:proofErr w:type="spellEnd"/>
      <w:r>
        <w:t xml:space="preserve"> Kong</w:t>
      </w:r>
      <w:r>
        <w:rPr>
          <w:rFonts w:hint="eastAsia"/>
          <w:vertAlign w:val="superscript"/>
        </w:rPr>
        <w:t>*</w:t>
      </w:r>
      <w:r>
        <w:rPr>
          <w:vertAlign w:val="superscript"/>
        </w:rPr>
        <w:t>1</w:t>
      </w:r>
    </w:p>
    <w:p w14:paraId="657DBEA3" w14:textId="77777777" w:rsidR="00D2024B" w:rsidRPr="003D7671" w:rsidRDefault="00D2024B" w:rsidP="00A36EC4">
      <w:pPr>
        <w:jc w:val="both"/>
        <w:rPr>
          <w:bCs w:val="0"/>
          <w:vertAlign w:val="superscript"/>
        </w:rPr>
      </w:pPr>
    </w:p>
    <w:p w14:paraId="24076735" w14:textId="77777777" w:rsidR="00D2024B" w:rsidRPr="00F84A24" w:rsidRDefault="00D2024B" w:rsidP="00A36EC4">
      <w:pPr>
        <w:pStyle w:val="ac"/>
        <w:jc w:val="both"/>
        <w:rPr>
          <w:rFonts w:ascii="Times New Roman" w:hAnsi="Times New Roman" w:cs="Times New Roman"/>
        </w:rPr>
      </w:pPr>
      <w:r w:rsidRPr="00F84A24">
        <w:rPr>
          <w:rFonts w:ascii="Times New Roman" w:hAnsi="Times New Roman" w:cs="Times New Roman"/>
          <w:vertAlign w:val="superscript"/>
        </w:rPr>
        <w:t>1</w:t>
      </w:r>
      <w:r w:rsidRPr="00F84A24">
        <w:rPr>
          <w:rFonts w:ascii="Times New Roman" w:hAnsi="Times New Roman" w:cs="Times New Roman"/>
        </w:rPr>
        <w:t xml:space="preserve"> </w:t>
      </w:r>
      <w:bookmarkStart w:id="3" w:name="OLE_LINK1"/>
      <w:r w:rsidRPr="00F84A24">
        <w:rPr>
          <w:rFonts w:ascii="Times New Roman" w:hAnsi="Times New Roman" w:cs="Times New Roman"/>
        </w:rPr>
        <w:t>School of Environmental Science and Engineering</w:t>
      </w:r>
      <w:bookmarkEnd w:id="3"/>
      <w:r w:rsidRPr="00F84A24">
        <w:rPr>
          <w:rFonts w:ascii="Times New Roman" w:hAnsi="Times New Roman" w:cs="Times New Roman"/>
        </w:rPr>
        <w:t xml:space="preserve">, </w:t>
      </w:r>
      <w:bookmarkStart w:id="4" w:name="OLE_LINK9"/>
      <w:bookmarkStart w:id="5" w:name="OLE_LINK10"/>
      <w:r w:rsidRPr="00F84A24">
        <w:rPr>
          <w:rFonts w:ascii="Times New Roman" w:hAnsi="Times New Roman" w:cs="Times New Roman"/>
        </w:rPr>
        <w:t>Suzhou University of Science and Technology</w:t>
      </w:r>
      <w:bookmarkEnd w:id="4"/>
      <w:bookmarkEnd w:id="5"/>
      <w:r w:rsidRPr="00F84A24">
        <w:rPr>
          <w:rFonts w:ascii="Times New Roman" w:hAnsi="Times New Roman" w:cs="Times New Roman"/>
        </w:rPr>
        <w:t>, Suzhou, 215000, China</w:t>
      </w:r>
    </w:p>
    <w:p w14:paraId="4B0F169F" w14:textId="77777777" w:rsidR="00D2024B" w:rsidRPr="00F84A24" w:rsidRDefault="00D2024B" w:rsidP="00A36EC4">
      <w:pPr>
        <w:pStyle w:val="ac"/>
        <w:jc w:val="both"/>
        <w:rPr>
          <w:rFonts w:ascii="Times New Roman" w:hAnsi="Times New Roman" w:cs="Times New Roman"/>
        </w:rPr>
      </w:pPr>
      <w:r w:rsidRPr="00F84A24">
        <w:rPr>
          <w:rFonts w:ascii="Times New Roman" w:hAnsi="Times New Roman" w:cs="Times New Roman"/>
          <w:vertAlign w:val="superscript"/>
        </w:rPr>
        <w:t xml:space="preserve">2 </w:t>
      </w:r>
      <w:r w:rsidRPr="00F84A24">
        <w:rPr>
          <w:rFonts w:ascii="Times New Roman" w:hAnsi="Times New Roman" w:cs="Times New Roman"/>
        </w:rPr>
        <w:t xml:space="preserve">School of </w:t>
      </w:r>
      <w:r>
        <w:rPr>
          <w:rFonts w:ascii="Times New Roman" w:hAnsi="Times New Roman" w:cs="Times New Roman"/>
        </w:rPr>
        <w:t>C</w:t>
      </w:r>
      <w:r w:rsidRPr="00F84A24">
        <w:rPr>
          <w:rFonts w:ascii="Times New Roman" w:hAnsi="Times New Roman" w:cs="Times New Roman"/>
        </w:rPr>
        <w:t xml:space="preserve">hemistry and </w:t>
      </w:r>
      <w:r>
        <w:rPr>
          <w:rFonts w:ascii="Times New Roman" w:hAnsi="Times New Roman" w:cs="Times New Roman"/>
        </w:rPr>
        <w:t>L</w:t>
      </w:r>
      <w:r w:rsidRPr="00F84A24">
        <w:rPr>
          <w:rFonts w:ascii="Times New Roman" w:hAnsi="Times New Roman" w:cs="Times New Roman"/>
        </w:rPr>
        <w:t>ife sciences, Suzhou University of Science and Technology, Suzhou, 215000, China</w:t>
      </w:r>
    </w:p>
    <w:p w14:paraId="1CE3BEB6" w14:textId="77777777" w:rsidR="00D2024B" w:rsidRPr="00F84A24" w:rsidRDefault="00D2024B" w:rsidP="00A36EC4">
      <w:pPr>
        <w:pStyle w:val="ac"/>
        <w:jc w:val="both"/>
        <w:rPr>
          <w:rFonts w:ascii="Times New Roman" w:hAnsi="Times New Roman" w:cs="Times New Roman"/>
        </w:rPr>
      </w:pPr>
      <w:r w:rsidRPr="00F84A24">
        <w:rPr>
          <w:rFonts w:ascii="Times New Roman" w:hAnsi="Times New Roman" w:cs="Times New Roman"/>
          <w:vertAlign w:val="superscript"/>
        </w:rPr>
        <w:t xml:space="preserve">3 </w:t>
      </w:r>
      <w:r w:rsidRPr="00F84A24">
        <w:rPr>
          <w:rFonts w:ascii="Times New Roman" w:hAnsi="Times New Roman" w:cs="Times New Roman"/>
        </w:rPr>
        <w:t>School of Environment and Architecture, University of Shanghai for Science and Technology, Shanghai 200093, China</w:t>
      </w:r>
    </w:p>
    <w:p w14:paraId="681803A3" w14:textId="77777777" w:rsidR="00D2024B" w:rsidRDefault="00D2024B" w:rsidP="00A36EC4">
      <w:pPr>
        <w:jc w:val="both"/>
        <w:rPr>
          <w:b/>
          <w:bCs w:val="0"/>
        </w:rPr>
      </w:pPr>
    </w:p>
    <w:p w14:paraId="7C5074E7" w14:textId="77777777" w:rsidR="00D2024B" w:rsidRPr="00CF1344" w:rsidRDefault="00D2024B" w:rsidP="00A36EC4">
      <w:pPr>
        <w:widowControl/>
        <w:adjustRightInd w:val="0"/>
        <w:spacing w:line="720" w:lineRule="auto"/>
        <w:jc w:val="both"/>
        <w:rPr>
          <w:rFonts w:eastAsia="宋体"/>
          <w:color w:val="000000" w:themeColor="text1"/>
        </w:rPr>
      </w:pPr>
      <w:r w:rsidRPr="00CF1344">
        <w:rPr>
          <w:rFonts w:eastAsia="宋体"/>
          <w:color w:val="000000" w:themeColor="text1"/>
        </w:rPr>
        <w:t>Corresponding author</w:t>
      </w:r>
    </w:p>
    <w:p w14:paraId="04427E50" w14:textId="77777777" w:rsidR="00A36EC4" w:rsidRDefault="00D2024B" w:rsidP="00A36EC4">
      <w:pPr>
        <w:widowControl/>
        <w:adjustRightInd w:val="0"/>
        <w:jc w:val="both"/>
        <w:rPr>
          <w:rFonts w:eastAsia="宋体"/>
          <w:color w:val="000000" w:themeColor="text1"/>
        </w:rPr>
      </w:pPr>
      <w:r w:rsidRPr="00CF1344">
        <w:rPr>
          <w:rFonts w:eastAsia="宋体"/>
          <w:color w:val="000000" w:themeColor="text1"/>
        </w:rPr>
        <w:t xml:space="preserve">Yuan Liang, E-mail: </w:t>
      </w:r>
      <w:hyperlink r:id="rId7" w:history="1">
        <w:r w:rsidRPr="00284842">
          <w:rPr>
            <w:rStyle w:val="ab"/>
            <w:rFonts w:eastAsia="宋体"/>
          </w:rPr>
          <w:t>liangyuan@usts.edu.cn</w:t>
        </w:r>
      </w:hyperlink>
      <w:r>
        <w:rPr>
          <w:rFonts w:eastAsia="宋体" w:hint="eastAsia"/>
          <w:color w:val="000000" w:themeColor="text1"/>
        </w:rPr>
        <w:t>,</w:t>
      </w:r>
      <w:r>
        <w:rPr>
          <w:rFonts w:eastAsia="宋体"/>
          <w:color w:val="000000" w:themeColor="text1"/>
        </w:rPr>
        <w:t xml:space="preserve"> </w:t>
      </w:r>
    </w:p>
    <w:p w14:paraId="5A2E21EA" w14:textId="77777777" w:rsidR="00A36EC4" w:rsidRDefault="00D2024B" w:rsidP="00A36EC4">
      <w:pPr>
        <w:widowControl/>
        <w:adjustRightInd w:val="0"/>
        <w:jc w:val="both"/>
        <w:rPr>
          <w:rFonts w:eastAsia="宋体"/>
          <w:color w:val="000000" w:themeColor="text1"/>
        </w:rPr>
      </w:pPr>
      <w:proofErr w:type="spellStart"/>
      <w:r>
        <w:rPr>
          <w:rFonts w:eastAsia="宋体"/>
          <w:color w:val="000000" w:themeColor="text1"/>
        </w:rPr>
        <w:t>L</w:t>
      </w:r>
      <w:r>
        <w:rPr>
          <w:rFonts w:eastAsia="宋体" w:hint="eastAsia"/>
          <w:color w:val="000000" w:themeColor="text1"/>
        </w:rPr>
        <w:t>ing</w:t>
      </w:r>
      <w:r>
        <w:rPr>
          <w:rFonts w:eastAsia="宋体"/>
          <w:color w:val="000000" w:themeColor="text1"/>
        </w:rPr>
        <w:t>zhao</w:t>
      </w:r>
      <w:proofErr w:type="spellEnd"/>
      <w:r>
        <w:rPr>
          <w:rFonts w:eastAsia="宋体"/>
          <w:color w:val="000000" w:themeColor="text1"/>
        </w:rPr>
        <w:t xml:space="preserve"> Kong, </w:t>
      </w:r>
      <w:r w:rsidRPr="00CF1344">
        <w:rPr>
          <w:rFonts w:eastAsia="宋体"/>
          <w:color w:val="000000" w:themeColor="text1"/>
        </w:rPr>
        <w:t>E-mail:</w:t>
      </w:r>
      <w:r>
        <w:rPr>
          <w:rFonts w:eastAsia="宋体"/>
          <w:color w:val="000000" w:themeColor="text1"/>
        </w:rPr>
        <w:t xml:space="preserve"> </w:t>
      </w:r>
      <w:hyperlink r:id="rId8" w:history="1">
        <w:r w:rsidRPr="006E3C0B">
          <w:rPr>
            <w:rStyle w:val="ab"/>
            <w:rFonts w:eastAsia="宋体"/>
          </w:rPr>
          <w:t>konglz@sari.ac.cn</w:t>
        </w:r>
      </w:hyperlink>
      <w:r>
        <w:rPr>
          <w:rFonts w:eastAsia="宋体"/>
          <w:color w:val="000000" w:themeColor="text1"/>
        </w:rPr>
        <w:t>,</w:t>
      </w:r>
    </w:p>
    <w:p w14:paraId="35A1C950" w14:textId="4A09A942" w:rsidR="00D2024B" w:rsidRPr="00CF1344" w:rsidRDefault="00D2024B" w:rsidP="00A36EC4">
      <w:pPr>
        <w:widowControl/>
        <w:adjustRightInd w:val="0"/>
        <w:jc w:val="both"/>
        <w:rPr>
          <w:rFonts w:eastAsia="宋体"/>
          <w:color w:val="000000" w:themeColor="text1"/>
        </w:rPr>
      </w:pPr>
      <w:r w:rsidRPr="00CF1344">
        <w:rPr>
          <w:rFonts w:eastAsia="宋体"/>
          <w:color w:val="000000" w:themeColor="text1"/>
        </w:rPr>
        <w:t>Yuan Liang</w:t>
      </w:r>
      <w:r>
        <w:rPr>
          <w:rFonts w:eastAsia="宋体"/>
          <w:color w:val="000000" w:themeColor="text1"/>
        </w:rPr>
        <w:t xml:space="preserve"> and </w:t>
      </w:r>
      <w:proofErr w:type="spellStart"/>
      <w:r>
        <w:rPr>
          <w:rFonts w:eastAsia="宋体"/>
          <w:color w:val="000000" w:themeColor="text1"/>
        </w:rPr>
        <w:t>Lingzhao</w:t>
      </w:r>
      <w:proofErr w:type="spellEnd"/>
      <w:r>
        <w:rPr>
          <w:rFonts w:eastAsia="宋体"/>
          <w:color w:val="000000" w:themeColor="text1"/>
        </w:rPr>
        <w:t xml:space="preserve"> Kong</w:t>
      </w:r>
      <w:r w:rsidRPr="00CF1344">
        <w:rPr>
          <w:rFonts w:eastAsia="宋体"/>
          <w:color w:val="000000" w:themeColor="text1"/>
        </w:rPr>
        <w:t xml:space="preserve"> will handle correspondence at all stages of refereeing and publication, also post-publication.</w:t>
      </w:r>
    </w:p>
    <w:bookmarkEnd w:id="1"/>
    <w:bookmarkEnd w:id="2"/>
    <w:p w14:paraId="1DE48CCE" w14:textId="77777777" w:rsidR="005A715A" w:rsidRDefault="000D6C3A" w:rsidP="00171F5A">
      <w:r>
        <w:br w:type="page"/>
      </w:r>
    </w:p>
    <w:p w14:paraId="63FA7E58" w14:textId="77777777" w:rsidR="005A715A" w:rsidRDefault="000D6C3A" w:rsidP="00171F5A">
      <w:r>
        <w:lastRenderedPageBreak/>
        <w:t>S.1 The calculation of the total removal amount (QT), the adsorption amount (Qs), and the degradation amount (</w:t>
      </w:r>
      <w:proofErr w:type="spellStart"/>
      <w:r>
        <w:t>Qd</w:t>
      </w:r>
      <w:proofErr w:type="spellEnd"/>
      <w:r>
        <w:t>) of atrazine.</w:t>
      </w:r>
    </w:p>
    <w:p w14:paraId="1BCDE910" w14:textId="77777777" w:rsidR="005A715A" w:rsidRDefault="005A715A" w:rsidP="00171F5A"/>
    <w:p w14:paraId="4572BE4A" w14:textId="77777777" w:rsidR="005A715A" w:rsidRDefault="000D6C3A" w:rsidP="00171F5A">
      <w:r>
        <w:t>In the atrazine removal experiments, after the 120-min reaction, the total removal amount of atrazine was Q</w:t>
      </w:r>
      <w:r>
        <w:rPr>
          <w:vertAlign w:val="subscript"/>
        </w:rPr>
        <w:t xml:space="preserve">T </w:t>
      </w:r>
      <w:r>
        <w:t xml:space="preserve">(mg·kg-1), calculated using the </w:t>
      </w:r>
      <w:r>
        <w:rPr>
          <w:rFonts w:hint="eastAsia"/>
        </w:rPr>
        <w:t>formula:</w:t>
      </w:r>
    </w:p>
    <w:p w14:paraId="5DFAEE8E" w14:textId="77777777" w:rsidR="005A715A" w:rsidRDefault="000D6C3A" w:rsidP="00171F5A">
      <w:r>
        <w:rPr>
          <w:rFonts w:hint="eastAsia"/>
        </w:rPr>
        <w:t xml:space="preserve"> </w:t>
      </w:r>
      <w:r>
        <w:t xml:space="preserve">                     </w:t>
      </w:r>
      <w:r w:rsidR="00564FC1">
        <w:rPr>
          <w:rFonts w:eastAsia="宋体"/>
          <w:noProof/>
          <w:position w:val="-24"/>
        </w:rPr>
        <w:object w:dxaOrig="1595" w:dyaOrig="543" w14:anchorId="3F70B8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alt="" style="width:80.55pt;height:26.75pt;mso-width-percent:0;mso-height-percent:0;mso-width-percent:0;mso-height-percent:0" o:ole="">
            <v:imagedata r:id="rId9" o:title=""/>
          </v:shape>
          <o:OLEObject Type="Embed" ProgID="Equation.3" ShapeID="_x0000_i1060" DrawAspect="Content" ObjectID="_1774030767" r:id="rId10"/>
        </w:object>
      </w:r>
      <w:r>
        <w:t xml:space="preserve">  </w:t>
      </w:r>
      <w:r>
        <w:rPr>
          <w:rFonts w:hint="eastAsia"/>
        </w:rPr>
        <w:t xml:space="preserve"> </w:t>
      </w:r>
      <w:r>
        <w:t xml:space="preserve">                   (S1)</w:t>
      </w:r>
    </w:p>
    <w:p w14:paraId="7E9E96F9" w14:textId="77777777" w:rsidR="005A715A" w:rsidRDefault="000D6C3A" w:rsidP="00171F5A">
      <w:r>
        <w:t xml:space="preserve">where </w:t>
      </w:r>
      <w:r>
        <w:rPr>
          <w:i/>
          <w:iCs/>
        </w:rPr>
        <w:t>C</w:t>
      </w:r>
      <w:r>
        <w:rPr>
          <w:i/>
          <w:iCs/>
          <w:vertAlign w:val="subscript"/>
        </w:rPr>
        <w:t>0</w:t>
      </w:r>
      <w:r>
        <w:t xml:space="preserve"> is the initial atrazine concentration in mg·L</w:t>
      </w:r>
      <w:r w:rsidRPr="00176238">
        <w:rPr>
          <w:vertAlign w:val="superscript"/>
        </w:rPr>
        <w:t>-1</w:t>
      </w:r>
      <w:r>
        <w:t xml:space="preserve">, </w:t>
      </w:r>
      <w:r>
        <w:rPr>
          <w:i/>
          <w:iCs/>
        </w:rPr>
        <w:t>C</w:t>
      </w:r>
      <w:r>
        <w:rPr>
          <w:i/>
          <w:iCs/>
          <w:vertAlign w:val="subscript"/>
        </w:rPr>
        <w:t>e</w:t>
      </w:r>
      <w:r>
        <w:t xml:space="preserve"> is the atrazine concentration in the solution at 120 min in</w:t>
      </w:r>
      <w:r>
        <w:rPr>
          <w:rFonts w:hint="eastAsia"/>
        </w:rPr>
        <w:t xml:space="preserve"> </w:t>
      </w:r>
      <w:r>
        <w:t>mg·L</w:t>
      </w:r>
      <w:r w:rsidRPr="00176238">
        <w:rPr>
          <w:vertAlign w:val="superscript"/>
        </w:rPr>
        <w:t>-1</w:t>
      </w:r>
      <w:r>
        <w:t xml:space="preserve">, </w:t>
      </w:r>
      <w:r>
        <w:rPr>
          <w:i/>
          <w:iCs/>
        </w:rPr>
        <w:t xml:space="preserve">V </w:t>
      </w:r>
      <w:r>
        <w:rPr>
          <w:iCs/>
        </w:rPr>
        <w:t>is the</w:t>
      </w:r>
      <w:r>
        <w:t xml:space="preserve"> mixture solution volume in L, and m is the mass of biochar or Fe/Mn loaded biochar in kg.</w:t>
      </w:r>
    </w:p>
    <w:p w14:paraId="2512C30C" w14:textId="77777777" w:rsidR="005A715A" w:rsidRDefault="000D6C3A" w:rsidP="00171F5A">
      <w:r>
        <w:t xml:space="preserve">Both adsorption and degradation played roles in the removal of atrazine from the mixture solution. The filtered complex, after a 120-min reaction, was freeze-dried and extracted with 40 ml of methanol through 6 h of shaking. </w:t>
      </w:r>
      <w:bookmarkStart w:id="6" w:name="_Hlk156330327"/>
      <w:r>
        <w:t>This process aimed to detect any residual atrazine on the surface of biochar or Fe</w:t>
      </w:r>
      <w:r>
        <w:rPr>
          <w:rFonts w:hint="eastAsia"/>
        </w:rPr>
        <w:t>/</w:t>
      </w:r>
      <w:r>
        <w:t>Mn loaded biochar, representing the amount of atrazine adsorption on biochar</w:t>
      </w:r>
      <w:bookmarkEnd w:id="6"/>
      <w:r>
        <w:t xml:space="preserve"> (</w:t>
      </w:r>
      <w:r>
        <w:rPr>
          <w:rFonts w:hint="eastAsia"/>
        </w:rPr>
        <w:t>Q</w:t>
      </w:r>
      <w:r>
        <w:rPr>
          <w:vertAlign w:val="subscript"/>
        </w:rPr>
        <w:t xml:space="preserve">s </w:t>
      </w:r>
      <w:r>
        <w:t>mg·kg-1</w:t>
      </w:r>
      <w:r>
        <w:rPr>
          <w:rFonts w:hint="eastAsia"/>
        </w:rPr>
        <w:t>)</w:t>
      </w:r>
      <w:r>
        <w:t xml:space="preserve">. The value of </w:t>
      </w:r>
      <w:r>
        <w:rPr>
          <w:rFonts w:hint="eastAsia"/>
        </w:rPr>
        <w:t>Q</w:t>
      </w:r>
      <w:r>
        <w:rPr>
          <w:vertAlign w:val="subscript"/>
        </w:rPr>
        <w:t>s</w:t>
      </w:r>
      <w:r>
        <w:t xml:space="preserve"> </w:t>
      </w:r>
      <w:r>
        <w:rPr>
          <w:rFonts w:hint="eastAsia"/>
        </w:rPr>
        <w:t>(</w:t>
      </w:r>
      <w:r>
        <w:t>mg·kg-1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is as follows:</w:t>
      </w:r>
      <w:r>
        <w:t xml:space="preserve"> </w:t>
      </w:r>
    </w:p>
    <w:p w14:paraId="5BD16F1C" w14:textId="77777777" w:rsidR="005A715A" w:rsidRDefault="000D6C3A" w:rsidP="00171F5A">
      <w:r>
        <w:rPr>
          <w:rFonts w:hint="eastAsia"/>
        </w:rPr>
        <w:t xml:space="preserve"> </w:t>
      </w:r>
      <w:r>
        <w:t xml:space="preserve">                </w:t>
      </w:r>
      <w:r>
        <w:rPr>
          <w:rFonts w:hint="eastAsia"/>
        </w:rPr>
        <w:t xml:space="preserve">    </w:t>
      </w:r>
      <w:r>
        <w:t xml:space="preserve"> </w:t>
      </w:r>
      <w:r w:rsidR="00564FC1">
        <w:rPr>
          <w:rFonts w:eastAsia="宋体"/>
          <w:noProof/>
          <w:position w:val="-24"/>
        </w:rPr>
        <w:object w:dxaOrig="1074" w:dyaOrig="543" w14:anchorId="62512E19">
          <v:shape id="_x0000_i1061" type="#_x0000_t75" alt="" style="width:53.55pt;height:26.75pt;mso-width-percent:0;mso-height-percent:0;mso-width-percent:0;mso-height-percent:0" o:ole="">
            <v:imagedata r:id="rId11" o:title=""/>
          </v:shape>
          <o:OLEObject Type="Embed" ProgID="Equation.3" ShapeID="_x0000_i1061" DrawAspect="Content" ObjectID="_1774030768" r:id="rId12"/>
        </w:object>
      </w:r>
      <w:r>
        <w:t xml:space="preserve">           </w:t>
      </w:r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 xml:space="preserve">   </w:t>
      </w:r>
      <w:r>
        <w:t xml:space="preserve">    (S2)   </w:t>
      </w:r>
    </w:p>
    <w:p w14:paraId="0CA07784" w14:textId="77777777" w:rsidR="005A715A" w:rsidRDefault="000D6C3A" w:rsidP="00171F5A">
      <w:r>
        <w:t xml:space="preserve">where </w:t>
      </w:r>
      <w:r>
        <w:rPr>
          <w:i/>
          <w:iCs/>
        </w:rPr>
        <w:t>C</w:t>
      </w:r>
      <w:r>
        <w:rPr>
          <w:i/>
          <w:iCs/>
          <w:vertAlign w:val="subscript"/>
        </w:rPr>
        <w:t>s</w:t>
      </w:r>
      <w:r>
        <w:t xml:space="preserve"> represents the atrazine concentration (mg·L-1) after 6 h of methanol desorption, </w:t>
      </w:r>
      <w:r>
        <w:rPr>
          <w:i/>
          <w:iCs/>
        </w:rPr>
        <w:t xml:space="preserve">V </w:t>
      </w:r>
      <w:r>
        <w:rPr>
          <w:iCs/>
        </w:rPr>
        <w:t>denotes the volume (L) of the</w:t>
      </w:r>
      <w:r>
        <w:t xml:space="preserve"> mixture solution, and m stands for the mass (kg) of biochar or Fe</w:t>
      </w:r>
      <w:r>
        <w:rPr>
          <w:rFonts w:hint="eastAsia"/>
        </w:rPr>
        <w:t>/</w:t>
      </w:r>
      <w:r>
        <w:t>Mn loaded biochar.</w:t>
      </w:r>
    </w:p>
    <w:p w14:paraId="0315BD7A" w14:textId="77777777" w:rsidR="005A715A" w:rsidRDefault="000D6C3A" w:rsidP="00171F5A">
      <w:r>
        <w:t>The amount of atrazine degraded, Q</w:t>
      </w:r>
      <w:r>
        <w:rPr>
          <w:vertAlign w:val="subscript"/>
        </w:rPr>
        <w:t xml:space="preserve">d </w:t>
      </w:r>
      <w:r>
        <w:t>(mg·kg-1), is calculated using the formula</w:t>
      </w:r>
      <w:r>
        <w:rPr>
          <w:rFonts w:hint="eastAsia"/>
        </w:rPr>
        <w:t>:</w:t>
      </w:r>
    </w:p>
    <w:p w14:paraId="74129F79" w14:textId="77777777" w:rsidR="005A715A" w:rsidRDefault="00171F5A" w:rsidP="00171F5A">
      <w:r>
        <w:t xml:space="preserve">                </w:t>
      </w:r>
      <w:r w:rsidR="000D6C3A">
        <w:rPr>
          <w:rFonts w:hint="eastAsia"/>
        </w:rPr>
        <w:t xml:space="preserve">   </w:t>
      </w:r>
      <w:r w:rsidR="00564FC1">
        <w:rPr>
          <w:rFonts w:eastAsia="宋体"/>
          <w:noProof/>
          <w:position w:val="-12"/>
        </w:rPr>
        <w:object w:dxaOrig="1263" w:dyaOrig="343" w14:anchorId="5F626672">
          <v:shape id="_x0000_i1062" type="#_x0000_t75" alt="" style="width:63.45pt;height:17.65pt;mso-width-percent:0;mso-height-percent:0;mso-width-percent:0;mso-height-percent:0" o:ole="">
            <v:imagedata r:id="rId13" o:title=""/>
          </v:shape>
          <o:OLEObject Type="Embed" ProgID="Equation.3" ShapeID="_x0000_i1062" DrawAspect="Content" ObjectID="_1774030769" r:id="rId14"/>
        </w:object>
      </w:r>
      <w:r w:rsidR="000D6C3A">
        <w:t xml:space="preserve">                   </w:t>
      </w:r>
      <w:r w:rsidR="000D6C3A">
        <w:rPr>
          <w:rFonts w:hint="eastAsia"/>
        </w:rPr>
        <w:t xml:space="preserve">   </w:t>
      </w:r>
      <w:r w:rsidR="000D6C3A">
        <w:t xml:space="preserve">   </w:t>
      </w:r>
      <w:r w:rsidR="000D6C3A">
        <w:rPr>
          <w:rFonts w:hint="eastAsia"/>
        </w:rPr>
        <w:t>(S</w:t>
      </w:r>
      <w:r w:rsidR="000D6C3A">
        <w:t>3</w:t>
      </w:r>
      <w:r w:rsidR="000D6C3A">
        <w:rPr>
          <w:rFonts w:hint="eastAsia"/>
        </w:rPr>
        <w:t>)</w:t>
      </w:r>
    </w:p>
    <w:p w14:paraId="097CE0F8" w14:textId="77777777" w:rsidR="005A715A" w:rsidRDefault="000D6C3A" w:rsidP="00171F5A">
      <w:r>
        <w:t>The total efficiency of Fe and Mn for atrazine degradation is determined by the following formula</w:t>
      </w:r>
      <w:r>
        <w:rPr>
          <w:rFonts w:hint="eastAsia"/>
        </w:rPr>
        <w:t>：</w:t>
      </w:r>
      <w:r>
        <w:t xml:space="preserve"> </w:t>
      </w:r>
    </w:p>
    <w:p w14:paraId="16CF45D0" w14:textId="77777777" w:rsidR="005A715A" w:rsidRDefault="00564FC1" w:rsidP="00171F5A">
      <w:r>
        <w:rPr>
          <w:noProof/>
        </w:rPr>
        <w:object w:dxaOrig="7399" w:dyaOrig="820" w14:anchorId="5D011CCC">
          <v:shape id="_x0000_i1063" type="#_x0000_t75" alt="" style="width:370.95pt;height:40.4pt;mso-width-percent:0;mso-height-percent:0;mso-width-percent:0;mso-height-percent:0" o:ole="">
            <v:imagedata r:id="rId15" o:title=""/>
          </v:shape>
          <o:OLEObject Type="Embed" ProgID="Equation.3" ShapeID="_x0000_i1063" DrawAspect="Content" ObjectID="_1774030770" r:id="rId16"/>
        </w:object>
      </w:r>
      <w:r w:rsidR="000D6C3A">
        <w:rPr>
          <w:rFonts w:hint="eastAsia"/>
        </w:rPr>
        <w:t>(</w:t>
      </w:r>
      <w:r w:rsidR="000D6C3A">
        <w:t>S4)</w:t>
      </w:r>
    </w:p>
    <w:p w14:paraId="28B60D7D" w14:textId="77777777" w:rsidR="005A715A" w:rsidRDefault="000D6C3A" w:rsidP="00171F5A">
      <w:r>
        <w:t xml:space="preserve">where, </w:t>
      </w:r>
      <w:r>
        <w:rPr>
          <w:rFonts w:hint="eastAsia"/>
        </w:rPr>
        <w:t>t</w:t>
      </w:r>
      <w:r>
        <w:t>he atrazine degradation amount is the degradation amount by biochar or modified biochar after a 120 min reaction in mol, and Fe+Mn added represents the total amount of Fe and Mn in biochar or Fe</w:t>
      </w:r>
      <w:r>
        <w:rPr>
          <w:rFonts w:hint="eastAsia"/>
        </w:rPr>
        <w:t>/</w:t>
      </w:r>
      <w:r>
        <w:t>Mn loaded biochar in mol.</w:t>
      </w:r>
    </w:p>
    <w:p w14:paraId="6B302E7A" w14:textId="77777777" w:rsidR="005A715A" w:rsidRDefault="005A715A" w:rsidP="00171F5A"/>
    <w:p w14:paraId="3273F5C2" w14:textId="77777777" w:rsidR="005A715A" w:rsidRDefault="000D6C3A" w:rsidP="00171F5A">
      <w:r>
        <w:t>S.2</w:t>
      </w:r>
      <w:r>
        <w:rPr>
          <w:rFonts w:hint="eastAsia"/>
        </w:rPr>
        <w:t xml:space="preserve"> </w:t>
      </w:r>
      <w:r>
        <w:t xml:space="preserve">The calculation of </w:t>
      </w:r>
      <w:r>
        <w:rPr>
          <w:rFonts w:hint="eastAsia"/>
        </w:rPr>
        <w:t>k</w:t>
      </w:r>
      <w:r>
        <w:rPr>
          <w:vertAlign w:val="subscript"/>
        </w:rPr>
        <w:t>obs</w:t>
      </w:r>
      <w:r>
        <w:t xml:space="preserve"> </w:t>
      </w:r>
    </w:p>
    <w:p w14:paraId="25A7DBA2" w14:textId="77777777" w:rsidR="005A715A" w:rsidRDefault="000D6C3A" w:rsidP="00171F5A">
      <w:r>
        <w:rPr>
          <w:rFonts w:hint="eastAsia"/>
        </w:rPr>
        <w:t>C/C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was used to describe the </w:t>
      </w:r>
      <w:r>
        <w:t>removal</w:t>
      </w:r>
      <w:r>
        <w:rPr>
          <w:rFonts w:hint="eastAsia"/>
        </w:rPr>
        <w:t xml:space="preserve"> efficiency of </w:t>
      </w:r>
      <w:r>
        <w:t>atrazine</w:t>
      </w:r>
      <w:r>
        <w:rPr>
          <w:rFonts w:hint="eastAsia"/>
        </w:rPr>
        <w:t xml:space="preserve">, and the quasi-first-order kinetic model was </w:t>
      </w:r>
      <w:r>
        <w:t>applied</w:t>
      </w:r>
      <w:r>
        <w:rPr>
          <w:rFonts w:hint="eastAsia"/>
        </w:rPr>
        <w:t xml:space="preserve"> to evaluate the degradation process (</w:t>
      </w:r>
      <w:r>
        <w:rPr>
          <w:rFonts w:hint="eastAsia"/>
          <w:lang w:bidi="ar"/>
        </w:rPr>
        <w:t>Hu</w:t>
      </w:r>
      <w:r>
        <w:rPr>
          <w:rFonts w:hint="eastAsia"/>
        </w:rPr>
        <w:t xml:space="preserve"> </w:t>
      </w:r>
      <w:r>
        <w:rPr>
          <w:rFonts w:hint="eastAsia"/>
          <w:lang w:bidi="ar"/>
        </w:rPr>
        <w:t>et al., 2021</w:t>
      </w:r>
      <w:r>
        <w:rPr>
          <w:rFonts w:hint="eastAsia"/>
        </w:rPr>
        <w:t>). The formula is as follows:</w:t>
      </w:r>
    </w:p>
    <w:p w14:paraId="33A1AC9F" w14:textId="77777777" w:rsidR="005A715A" w:rsidRDefault="000D6C3A" w:rsidP="00171F5A">
      <w:r>
        <w:rPr>
          <w:rFonts w:hint="eastAsia"/>
        </w:rPr>
        <w:tab/>
      </w:r>
      <w:r w:rsidR="00564FC1">
        <w:rPr>
          <w:noProof/>
        </w:rPr>
        <w:object w:dxaOrig="1484" w:dyaOrig="687" w14:anchorId="0EBAA1D8">
          <v:shape id="_x0000_i1064" type="#_x0000_t75" alt="" style="width:74.15pt;height:33.7pt;mso-width-percent:0;mso-height-percent:0;mso-width-percent:0;mso-height-percent:0" o:ole="">
            <v:imagedata r:id="rId17" o:title=""/>
          </v:shape>
          <o:OLEObject Type="Embed" ProgID="Equation.3" ShapeID="_x0000_i1064" DrawAspect="Content" ObjectID="_1774030771" r:id="rId18"/>
        </w:object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S</w:t>
      </w:r>
      <w:r>
        <w:t>5</w:t>
      </w:r>
      <w:r>
        <w:rPr>
          <w:rFonts w:hint="eastAsia"/>
        </w:rPr>
        <w:t>）</w:t>
      </w:r>
    </w:p>
    <w:p w14:paraId="5C681046" w14:textId="77777777" w:rsidR="005A715A" w:rsidRDefault="000D6C3A" w:rsidP="00171F5A">
      <w:r>
        <w:t xml:space="preserve">where </w:t>
      </w:r>
      <w:r>
        <w:rPr>
          <w:i/>
          <w:iCs/>
        </w:rPr>
        <w:t>C</w:t>
      </w:r>
      <w:r>
        <w:rPr>
          <w:i/>
          <w:iCs/>
          <w:vertAlign w:val="subscript"/>
        </w:rPr>
        <w:t>0</w:t>
      </w:r>
      <w:r>
        <w:t xml:space="preserve"> is the atrazine concentration (mg·L-1) in the initial solution, </w:t>
      </w:r>
      <w:r>
        <w:rPr>
          <w:i/>
          <w:iCs/>
        </w:rPr>
        <w:t>C</w:t>
      </w:r>
      <w:r>
        <w:rPr>
          <w:i/>
          <w:iCs/>
          <w:vertAlign w:val="subscript"/>
        </w:rPr>
        <w:t>t</w:t>
      </w:r>
      <w:r>
        <w:t xml:space="preserve"> is the atrazine concentration (mg·L-1) in solution at time T, </w:t>
      </w:r>
      <w:r>
        <w:rPr>
          <w:rFonts w:hint="eastAsia"/>
          <w:i/>
          <w:iCs/>
        </w:rPr>
        <w:t>k</w:t>
      </w:r>
      <w:r>
        <w:rPr>
          <w:i/>
          <w:iCs/>
          <w:vertAlign w:val="subscript"/>
        </w:rPr>
        <w:t>obs</w:t>
      </w:r>
      <w:r>
        <w:t xml:space="preserve"> is the quasi-first order kinetic rate constant (min-1), and t is the reaction time (min).</w:t>
      </w:r>
    </w:p>
    <w:p w14:paraId="1F453655" w14:textId="77777777" w:rsidR="005A715A" w:rsidRDefault="005A715A" w:rsidP="00171F5A"/>
    <w:p w14:paraId="3D4219BF" w14:textId="77777777" w:rsidR="005A715A" w:rsidRDefault="005A715A" w:rsidP="00171F5A"/>
    <w:p w14:paraId="2BE27713" w14:textId="77777777" w:rsidR="005A715A" w:rsidRDefault="005A715A" w:rsidP="00171F5A"/>
    <w:p w14:paraId="29FEE0B5" w14:textId="77777777" w:rsidR="005A715A" w:rsidRDefault="005A715A" w:rsidP="00171F5A"/>
    <w:p w14:paraId="31FF3A33" w14:textId="77777777" w:rsidR="005A715A" w:rsidRDefault="005A715A" w:rsidP="00171F5A"/>
    <w:p w14:paraId="27688414" w14:textId="77777777" w:rsidR="005A715A" w:rsidRDefault="005A715A" w:rsidP="00171F5A"/>
    <w:p w14:paraId="6F9FCD07" w14:textId="77777777" w:rsidR="005A715A" w:rsidRDefault="005A715A" w:rsidP="00171F5A"/>
    <w:p w14:paraId="6089769C" w14:textId="77777777" w:rsidR="005A715A" w:rsidRDefault="005A715A" w:rsidP="00171F5A"/>
    <w:p w14:paraId="14981C43" w14:textId="77777777" w:rsidR="005A715A" w:rsidRDefault="005A715A" w:rsidP="00171F5A"/>
    <w:p w14:paraId="2A80E4CC" w14:textId="77753E65" w:rsidR="005A715A" w:rsidRDefault="005A715A" w:rsidP="00171F5A"/>
    <w:p w14:paraId="78D5E5E7" w14:textId="77777777" w:rsidR="00E020A5" w:rsidRDefault="00E020A5" w:rsidP="00E020A5">
      <w:pPr>
        <w:pStyle w:val="HTML"/>
        <w:widowControl/>
        <w:spacing w:line="360" w:lineRule="auto"/>
        <w:jc w:val="center"/>
        <w:rPr>
          <w:rFonts w:ascii="Times New Roman" w:hAnsi="Times New Roman" w:hint="default"/>
          <w:color w:val="0000FF"/>
        </w:rPr>
      </w:pPr>
      <w:bookmarkStart w:id="7" w:name="_Hlk161260119"/>
      <w:r>
        <w:rPr>
          <w:rFonts w:ascii="Times New Roman" w:hAnsi="Times New Roman"/>
          <w:color w:val="0000FF"/>
        </w:rPr>
        <w:lastRenderedPageBreak/>
        <w:t>T</w:t>
      </w:r>
      <w:r>
        <w:rPr>
          <w:rFonts w:ascii="Times New Roman" w:hAnsi="Times New Roman" w:hint="default"/>
          <w:color w:val="0000FF"/>
        </w:rPr>
        <w:t>able S1 the metal loaded biochar and its degradation of pollutants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443"/>
        <w:gridCol w:w="1068"/>
        <w:gridCol w:w="2508"/>
        <w:gridCol w:w="1171"/>
      </w:tblGrid>
      <w:tr w:rsidR="00E020A5" w:rsidRPr="002F5858" w14:paraId="47392CF2" w14:textId="77777777" w:rsidTr="00850AB8"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40E1CD9F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Loaded metals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</w:tcPr>
          <w:p w14:paraId="319A2C9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Metals amount loaded on biochar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02ADA946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H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</w:tcPr>
          <w:p w14:paraId="5B43A50A" w14:textId="77777777" w:rsidR="00E020A5" w:rsidRPr="002F5858" w:rsidRDefault="00E020A5" w:rsidP="00850AB8">
            <w:pPr>
              <w:pStyle w:val="HTML"/>
              <w:widowControl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Pollutant removal effect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4D1F5CD5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Reference</w:t>
            </w:r>
          </w:p>
        </w:tc>
      </w:tr>
      <w:tr w:rsidR="00E020A5" w:rsidRPr="002F5858" w14:paraId="7252CE2A" w14:textId="77777777" w:rsidTr="00850AB8">
        <w:tc>
          <w:tcPr>
            <w:tcW w:w="1122" w:type="dxa"/>
            <w:tcBorders>
              <w:top w:val="single" w:sz="4" w:space="0" w:color="auto"/>
            </w:tcBorders>
          </w:tcPr>
          <w:p w14:paraId="777E2A6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e</w:t>
            </w:r>
          </w:p>
          <w:p w14:paraId="3E2CF61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Fe-Zn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14:paraId="5DE9162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e ration in </w:t>
            </w:r>
            <w:proofErr w:type="spell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Fe@BC</w:t>
            </w:r>
            <w:proofErr w:type="spell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was 10%, 20%, 30%, 40%</w:t>
            </w:r>
          </w:p>
          <w:p w14:paraId="5203116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e and Zn ration in </w:t>
            </w:r>
            <w:proofErr w:type="spell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Fe-Zn@BC</w:t>
            </w:r>
            <w:proofErr w:type="spell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was 20% and 20%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5ABEC02E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3, 5, 7, 9, 11</w:t>
            </w:r>
          </w:p>
        </w:tc>
        <w:tc>
          <w:tcPr>
            <w:tcW w:w="2508" w:type="dxa"/>
            <w:tcBorders>
              <w:top w:val="single" w:sz="4" w:space="0" w:color="auto"/>
            </w:tcBorders>
          </w:tcPr>
          <w:p w14:paraId="62DF8DE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proofErr w:type="spell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Fe-Zn@BC</w:t>
            </w:r>
            <w:proofErr w:type="spellEnd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degrade tetracycline with a removal efficiency of 90% in 120 min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3553FE6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&lt;EndNote&gt;&lt;Cite&gt;&lt;Author&gt;Pan&lt;/Author&gt;&lt;Year&gt;2022&lt;/Year&gt;&lt;RecNum&gt;257&lt;/RecNum&gt;&lt;DisplayText&gt;(Pan et al. 2022)&lt;/DisplayText&gt;&lt;record&gt;&lt;rec-number&gt;257&lt;/rec-number&gt;&lt;foreign-keys&gt;&lt;key app="EN" db-id="evzf2z509zdp0re0e5evtazjsp2tr90dttss" timestamp="1693975391"&gt;257&lt;/key&gt;&lt;/foreign-keys&gt;&lt;ref-type name="Journal Article"&gt;17&lt;/ref-type&gt;&lt;contributors&gt;&lt;authors&gt;&lt;author&gt;Pan, Yuan&lt;/author&gt;&lt;author&gt;Peng, Zan&lt;/author&gt;&lt;author&gt;Liu, Zhifeng&lt;/author&gt;&lt;author&gt;Shao, Binbin&lt;/author&gt;&lt;author&gt;Liang, Qinghua&lt;/author&gt;&lt;author&gt;He, Qingyun&lt;/author&gt;&lt;author&gt;Wu, Ting&lt;/author&gt;&lt;author&gt;Zhang, Xiansheng&lt;/author&gt;&lt;author&gt;Zhao, Chenhui&lt;/author&gt;&lt;author&gt;Liu, Yang&lt;/author&gt;&lt;author&gt;Ge, Lin&lt;/author&gt;&lt;author&gt;He, Miao&lt;/author&gt;&lt;/authors&gt;&lt;/contributors&gt;&lt;titles&gt;&lt;title&gt;Activation of peroxydisulfate by bimetal modified peanut hull-derived porous biochar for the degradation of tetracycline in aqueous solution&lt;/title&gt;&lt;secondary-title&gt;Journal of Environmental Chemical Engineering&lt;/secondary-title&gt;&lt;/titles&gt;&lt;periodical&gt;&lt;full-title&gt;Journal of Environmental Chemical Engineering&lt;/full-title&gt;&lt;/periodical&gt;&lt;volume&gt;10&lt;/volume&gt;&lt;number&gt;2&lt;/number&gt;&lt;section&gt;107366&lt;/section&gt;&lt;dates&gt;&lt;year&gt;2022&lt;/year&gt;&lt;/dates&gt;&lt;isbn&gt;22133437&lt;/isbn&gt;&lt;urls&gt;&lt;/urls&gt;&lt;electronic-resource-num&gt;10.1016/j.jece.2022.107366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(Pan et al. 2022)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4DB67F3A" w14:textId="77777777" w:rsidTr="00850AB8">
        <w:tc>
          <w:tcPr>
            <w:tcW w:w="1122" w:type="dxa"/>
          </w:tcPr>
          <w:p w14:paraId="6DBC15EB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</w:t>
            </w:r>
          </w:p>
        </w:tc>
        <w:tc>
          <w:tcPr>
            <w:tcW w:w="2443" w:type="dxa"/>
          </w:tcPr>
          <w:p w14:paraId="63A1D187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Fe ration in ferric-activated SBA was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0%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，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6.5%, 9.3%, 12.4%, 14%</w:t>
            </w:r>
          </w:p>
        </w:tc>
        <w:tc>
          <w:tcPr>
            <w:tcW w:w="1068" w:type="dxa"/>
          </w:tcPr>
          <w:p w14:paraId="51F01D4E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6</w:t>
            </w:r>
          </w:p>
        </w:tc>
        <w:tc>
          <w:tcPr>
            <w:tcW w:w="2508" w:type="dxa"/>
          </w:tcPr>
          <w:p w14:paraId="03A11D7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Ferric-activated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biochar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degrade tetracycline with a removal efficiency of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81.6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% in 120 min</w:t>
            </w:r>
          </w:p>
        </w:tc>
        <w:tc>
          <w:tcPr>
            <w:tcW w:w="1171" w:type="dxa"/>
          </w:tcPr>
          <w:p w14:paraId="56F3454D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begin">
                <w:fldData xml:space="preserve">PEVuZE5vdGU+PENpdGU+PEF1dGhvcj5ZYW5nPC9BdXRob3I+PFllYXI+MjAxNjwvWWVhcj48UmVj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begin">
                <w:fldData xml:space="preserve">PEVuZE5vdGU+PENpdGU+PEF1dGhvcj5ZYW5nPC9BdXRob3I+PFllYXI+MjAxNjwvWWVhcj48UmVj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EN.CITE.DATA </w:instrText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end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(Yang et al. 2016)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45E1C607" w14:textId="77777777" w:rsidTr="00850AB8">
        <w:tc>
          <w:tcPr>
            <w:tcW w:w="1122" w:type="dxa"/>
          </w:tcPr>
          <w:p w14:paraId="6D3BAF41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Cu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443" w:type="dxa"/>
          </w:tcPr>
          <w:p w14:paraId="25BF52FE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Cu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  <w:vertAlign w:val="superscript"/>
              </w:rPr>
              <w:t xml:space="preserve">2+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ration in </w:t>
            </w:r>
            <w:proofErr w:type="spellStart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CuO</w:t>
            </w:r>
            <w:proofErr w:type="spellEnd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/</w:t>
            </w:r>
            <w:proofErr w:type="spellStart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rGO</w:t>
            </w:r>
            <w:proofErr w:type="spell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was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22.4%</w:t>
            </w:r>
          </w:p>
        </w:tc>
        <w:tc>
          <w:tcPr>
            <w:tcW w:w="1068" w:type="dxa"/>
          </w:tcPr>
          <w:p w14:paraId="37DF8FD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6, 9, 11</w:t>
            </w:r>
          </w:p>
        </w:tc>
        <w:tc>
          <w:tcPr>
            <w:tcW w:w="2508" w:type="dxa"/>
          </w:tcPr>
          <w:p w14:paraId="169E4CCE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The removal of </w:t>
            </w:r>
            <w:proofErr w:type="spell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chloraniline</w:t>
            </w:r>
            <w:proofErr w:type="spell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in </w:t>
            </w:r>
            <w:proofErr w:type="spell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CuO</w:t>
            </w:r>
            <w:proofErr w:type="spell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/ PS system could reach 71.5% within 5 hours</w:t>
            </w:r>
          </w:p>
        </w:tc>
        <w:tc>
          <w:tcPr>
            <w:tcW w:w="1171" w:type="dxa"/>
          </w:tcPr>
          <w:p w14:paraId="51F52D90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&lt;EndNote&gt;&lt;Cite&gt;&lt;Author&gt;Du&lt;/Author&gt;&lt;Year&gt;2019&lt;/Year&gt;&lt;RecNum&gt;346&lt;/RecNum&gt;&lt;DisplayText&gt;(Du et al. 2019)&lt;/DisplayText&gt;&lt;record&gt;&lt;rec-number&gt;346&lt;/rec-number&gt;&lt;foreign-keys&gt;&lt;key app="EN" db-id="evzf2z509zdp0re0e5evtazjsp2tr90dttss" timestamp="1709816099"&gt;346&lt;/key&gt;&lt;/foreign-keys&gt;&lt;ref-type name="Journal Article"&gt;17&lt;/ref-type&gt;&lt;contributors&gt;&lt;authors&gt;&lt;author&gt;Du, Xiaodong&lt;/author&gt;&lt;author&gt;Zhang, Yongqing&lt;/author&gt;&lt;author&gt;Si, Fan&lt;/author&gt;&lt;author&gt;Yao, Chenhui&lt;/author&gt;&lt;author&gt;Du, Meimei&lt;/author&gt;&lt;author&gt;Hussain, Imtyaz&lt;/author&gt;&lt;author&gt;Kim, Hyunook&lt;/author&gt;&lt;author&gt;Huang, Shaobin&lt;/author&gt;&lt;author&gt;Lin, Zhang&lt;/author&gt;&lt;author&gt;Hayat, Waseem&lt;/author&gt;&lt;/authors&gt;&lt;/contributors&gt;&lt;titles&gt;&lt;title&gt;Persulfate non-radical activation by nano-CuO for efficient removal of chlorinated organic compounds: Reduced graphene oxide-assisted and CuO (0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> 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>0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> 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>1) facet-dependent&lt;/title&gt;&lt;secondary-title&gt;Chemical Engineering Journal&lt;/secondary-title&gt;&lt;/titles&gt;&lt;periodical&gt;&lt;full-title&gt;Chemical Engineering Journal&lt;/full-title&gt;&lt;/periodical&gt;&lt;pages&gt;178-189&lt;/pages&gt;&lt;volume&gt;356&lt;/volume&gt;&lt;section&gt;178&lt;/section&gt;&lt;dates&gt;&lt;year&gt;2019&lt;/year&gt;&lt;/dates&gt;&lt;isbn&gt;13858947&lt;/isbn&gt;&lt;urls&gt;&lt;/urls&gt;&lt;electronic-resource-num&gt;10.1016/j.cej.2018.08.216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(Du et al. 2019)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2DD03203" w14:textId="77777777" w:rsidTr="00850AB8">
        <w:tc>
          <w:tcPr>
            <w:tcW w:w="1122" w:type="dxa"/>
          </w:tcPr>
          <w:p w14:paraId="0176D6C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</w:p>
        </w:tc>
        <w:tc>
          <w:tcPr>
            <w:tcW w:w="2443" w:type="dxa"/>
          </w:tcPr>
          <w:p w14:paraId="471A812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 ration in MBC was 8%, 10%, 14%, 25%</w:t>
            </w:r>
          </w:p>
        </w:tc>
        <w:tc>
          <w:tcPr>
            <w:tcW w:w="1068" w:type="dxa"/>
          </w:tcPr>
          <w:p w14:paraId="5ED8E45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3, 5, 7, 9, 11</w:t>
            </w:r>
          </w:p>
        </w:tc>
        <w:tc>
          <w:tcPr>
            <w:tcW w:w="2508" w:type="dxa"/>
          </w:tcPr>
          <w:p w14:paraId="41BC0378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T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he removal efficiency of oxytetracycline reached 75% in Mn-modified biochar system</w:t>
            </w:r>
          </w:p>
        </w:tc>
        <w:tc>
          <w:tcPr>
            <w:tcW w:w="1171" w:type="dxa"/>
          </w:tcPr>
          <w:p w14:paraId="64DDD8BA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&lt;EndNote&gt;&lt;Cite&gt;&lt;Author&gt;Fang&lt;/Author&gt;&lt;Year&gt;2022&lt;/Year&gt;&lt;RecNum&gt;329&lt;/RecNum&gt;&lt;DisplayText&gt;(Fang et al. 2022)&lt;/DisplayText&gt;&lt;record&gt;&lt;rec-number&gt;329&lt;/rec-number&gt;&lt;foreign-keys&gt;&lt;key app="EN" db-id="evzf2z509zdp0re0e5evtazjsp2tr90dttss" timestamp="1701654285"&gt;329&lt;/key&gt;&lt;/foreign-keys&gt;&lt;ref-type name="Journal Article"&gt;17&lt;/ref-type&gt;&lt;contributors&gt;&lt;authors&gt;&lt;author&gt;Fang, GG; &lt;/author&gt;&lt;author&gt;Li, JL; &lt;/author&gt;&lt;author&gt;Zhang,C; &lt;/author&gt;&lt;author&gt;Qin, FZ ; &lt;/author&gt;&lt;author&gt;Luo, HZ ; &lt;/author&gt;&lt;author&gt;Huang, C; &lt;/author&gt;&lt;author&gt;Qin, DY; &lt;/author&gt;&lt;author&gt;Ouyang, ZL&lt;/author&gt;&lt;/authors&gt;&lt;/contributors&gt;&lt;titles&gt;&lt;title&gt;Periodate activated by manganese oxide/biochar composites for antibiotic degradation in aqueous system: Combined effects of active manganese species and biochar&lt;/title&gt;&lt;secondary-title&gt;Environmental Pollution&lt;/secondary-title&gt;&lt;/titles&gt;&lt;periodical&gt;&lt;full-title&gt;ENVIRONMENTAL POLLUTION&lt;/full-title&gt;&lt;/periodical&gt;&lt;pages&gt;&amp;#xD;118939&lt;/pages&gt;&lt;volume&gt;300&lt;/volume&gt;&lt;dates&gt;&lt;year&gt;2022&lt;/year&gt;&lt;/dates&gt;&lt;urls&gt;&lt;/urls&gt;&lt;electronic-resource-num&gt;10.1016/j.envpol.2022.118939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(Fang et al. 2022)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0F129DD8" w14:textId="77777777" w:rsidTr="00850AB8">
        <w:tc>
          <w:tcPr>
            <w:tcW w:w="1122" w:type="dxa"/>
          </w:tcPr>
          <w:p w14:paraId="271B59C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Fe-S</w:t>
            </w:r>
          </w:p>
          <w:p w14:paraId="5F502C70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Mn-S</w:t>
            </w:r>
          </w:p>
          <w:p w14:paraId="21C5BC46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Fe-Mn-S</w:t>
            </w:r>
          </w:p>
        </w:tc>
        <w:tc>
          <w:tcPr>
            <w:tcW w:w="2443" w:type="dxa"/>
          </w:tcPr>
          <w:p w14:paraId="39D49F60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 and Mn ration in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Fe-Mn-S @HCS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were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5.3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5% and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1</w:t>
            </w:r>
            <w:proofErr w:type="gram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% ,</w:t>
            </w:r>
            <w:proofErr w:type="gramEnd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respectively.</w:t>
            </w:r>
          </w:p>
        </w:tc>
        <w:tc>
          <w:tcPr>
            <w:tcW w:w="1068" w:type="dxa"/>
          </w:tcPr>
          <w:p w14:paraId="2CF2E677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2-7</w:t>
            </w:r>
          </w:p>
        </w:tc>
        <w:tc>
          <w:tcPr>
            <w:tcW w:w="2508" w:type="dxa"/>
          </w:tcPr>
          <w:p w14:paraId="7D802CBB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The adsorption capacity of Fe-Mn-S@HCS and Mn-S@HCS composites for Pb was comparable (181.5-184.5 mg g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  <w:vertAlign w:val="superscript"/>
              </w:rPr>
              <w:t>-1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)</w:t>
            </w:r>
          </w:p>
        </w:tc>
        <w:tc>
          <w:tcPr>
            <w:tcW w:w="1171" w:type="dxa"/>
          </w:tcPr>
          <w:p w14:paraId="39410968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&lt;EndNote&gt;&lt;Cite&gt;&lt;Author&gt;Yang&lt;/Author&gt;&lt;Year&gt;2019&lt;/Year&gt;&lt;RecNum&gt;286&lt;/RecNum&gt;&lt;DisplayText&gt;(Yang et al. 2019)&lt;/DisplayText&gt;&lt;record&gt;&lt;rec-number&gt;286&lt;/rec-number&gt;&lt;foreign-keys&gt;&lt;key app="EN" db-id="evzf2z509zdp0re0e5evtazjsp2tr90dttss" timestamp="1697553775"&gt;286&lt;/key&gt;&lt;/foreign-keys&gt;&lt;ref-type name="Journal Article"&gt;17&lt;/ref-type&gt;&lt;contributors&gt;&lt;authors&gt;&lt;author&gt;Yang, F.;&lt;/author&gt;&lt;author&gt;Zhang, SH;&lt;/author&gt;&lt;author&gt; Cho, DW;&lt;/author&gt;&lt;author&gt;Du, Q&lt;/author&gt;&lt;author&gt;Songa, JP&lt;/author&gt;&lt;author&gt;Tsang,DCW. &lt;/author&gt;&lt;/authors&gt;&lt;/contributors&gt;&lt;titles&gt;&lt;title&gt;Porous biochar composite assembled with ternary needle-like ironmanganese-sulphur hybrids for high-efficiency lead removal&lt;/title&gt;&lt;secondary-title&gt;Bioresource Technology&lt;/secondary-title&gt;&lt;/titles&gt;&lt;periodical&gt;&lt;full-title&gt;Bioresource Technology&lt;/full-title&gt;&lt;/periodical&gt;&lt;pages&gt;415-420&lt;/pages&gt;&lt;volume&gt;272&lt;/volume&gt;&lt;dates&gt;&lt;year&gt;2019&lt;/year&gt;&lt;/dates&gt;&lt;urls&gt;&lt;/urls&gt;&lt;electronic-resource-num&gt;10.1016/j.biortech.2018.10.068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(Yang et al. 2019)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4F2AA1E1" w14:textId="77777777" w:rsidTr="00850AB8">
        <w:tc>
          <w:tcPr>
            <w:tcW w:w="1122" w:type="dxa"/>
          </w:tcPr>
          <w:p w14:paraId="583E30BF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</w:t>
            </w:r>
          </w:p>
          <w:p w14:paraId="64E101F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</w:p>
          <w:p w14:paraId="2714BD11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Fe-Mn</w:t>
            </w:r>
          </w:p>
        </w:tc>
        <w:tc>
          <w:tcPr>
            <w:tcW w:w="2443" w:type="dxa"/>
          </w:tcPr>
          <w:p w14:paraId="61A5FD54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 r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ation in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 biochar was 2%, Mn r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ation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in Mn biochar was 0.5%-8%,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Fe and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ration in Fe-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Mn biochar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was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both 4%.</w:t>
            </w:r>
          </w:p>
        </w:tc>
        <w:tc>
          <w:tcPr>
            <w:tcW w:w="1068" w:type="dxa"/>
          </w:tcPr>
          <w:p w14:paraId="37F47CA6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=6.5</w:t>
            </w:r>
          </w:p>
        </w:tc>
        <w:tc>
          <w:tcPr>
            <w:tcW w:w="2508" w:type="dxa"/>
          </w:tcPr>
          <w:p w14:paraId="395EACD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Approximately 74.3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−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86.2% of Cr(VI) was removed by the Fe-Mn biochar after the 24h reaction.</w:t>
            </w:r>
          </w:p>
        </w:tc>
        <w:tc>
          <w:tcPr>
            <w:tcW w:w="1171" w:type="dxa"/>
          </w:tcPr>
          <w:p w14:paraId="0018B6D4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&lt;EndNote&gt;&lt;Cite&gt;&lt;Author&gt;Xu&lt;/Author&gt;&lt;Year&gt;2023&lt;/Year&gt;&lt;RecNum&gt;280&lt;/RecNum&gt;&lt;DisplayText&gt;(Xu et al. 2023)&lt;/DisplayText&gt;&lt;record&gt;&lt;rec-number&gt;280&lt;/rec-number&gt;&lt;foreign-keys&gt;&lt;key app="EN" db-id="evzf2z509zdp0re0e5evtazjsp2tr90dttss" timestamp="1697552826"&gt;280&lt;/key&gt;&lt;/foreign-keys&gt;&lt;ref-type name="Journal Article"&gt;17&lt;/ref-type&gt;&lt;contributors&gt;&lt;authors&gt;&lt;author&gt;Xu, ZB; &lt;/author&gt;&lt;author&gt;Sun, MZ; &lt;/author&gt;&lt;author&gt;Xu, XY; &lt;/author&gt;&lt;author&gt;Cao, XD; &lt;/author&gt;&lt;author&gt;Ippolito, JA; &lt;/author&gt;&lt;author&gt;Mohanty, SK; &lt;/author&gt;&lt;author&gt;Ni, BJ; &lt;/author&gt;&lt;author&gt;Xu, SG ; &lt;/author&gt;&lt;author&gt;Tsang, DCW&lt;/author&gt;&lt;/authors&gt;&lt;/contributors&gt;&lt;titles&gt;&lt;title&gt;Electron donation of Fe-Mn biochar for chromium(VI) immobilization: Key roles of embedded zero-valent iron clusters within iron-manganese oxide&lt;/title&gt;&lt;secondary-title&gt;JOURNAL OF HAZARDOUS MATERIALS&lt;/secondary-title&gt;&lt;/titles&gt;&lt;periodical&gt;&lt;full-title&gt;Journal of Hazardous Materials&lt;/full-title&gt;&lt;/periodical&gt;&lt;pages&gt;131632&lt;/pages&gt;&lt;volume&gt;456&lt;/volume&gt;&lt;dates&gt;&lt;year&gt;2023&lt;/year&gt;&lt;/dates&gt;&lt;urls&gt;&lt;/urls&gt;&lt;electronic-resource-num&gt;10.1016/j.jhazmat.2023.131632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(Xu et al. 2023)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63634F2F" w14:textId="77777777" w:rsidTr="00850AB8">
        <w:tc>
          <w:tcPr>
            <w:tcW w:w="1122" w:type="dxa"/>
          </w:tcPr>
          <w:p w14:paraId="31911DCA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 -Mn</w:t>
            </w:r>
          </w:p>
        </w:tc>
        <w:tc>
          <w:tcPr>
            <w:tcW w:w="2443" w:type="dxa"/>
          </w:tcPr>
          <w:p w14:paraId="2730A8D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The concentration of Fe accounts for 75% of the total concentration, while the concentration of Mn accounts for 25%</w:t>
            </w:r>
          </w:p>
        </w:tc>
        <w:tc>
          <w:tcPr>
            <w:tcW w:w="1068" w:type="dxa"/>
          </w:tcPr>
          <w:p w14:paraId="10C96359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2, 3, 5, 7, 9, 11, 12</w:t>
            </w:r>
          </w:p>
        </w:tc>
        <w:tc>
          <w:tcPr>
            <w:tcW w:w="2508" w:type="dxa"/>
          </w:tcPr>
          <w:p w14:paraId="18F505C1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proofErr w:type="spellStart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FeMn</w:t>
            </w:r>
            <w:proofErr w:type="spellEnd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-BC degrade tetracycline with a removal efficiency of 70%</w:t>
            </w:r>
          </w:p>
        </w:tc>
        <w:tc>
          <w:tcPr>
            <w:tcW w:w="1171" w:type="dxa"/>
          </w:tcPr>
          <w:p w14:paraId="0AEA8E57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>
                <w:fldData xml:space="preserve">PEVuZE5vdGU+PENpdGU+PEF1dGhvcj5aaGFuZzwvQXV0aG9yPjxZZWFyPjIwMjE8L1llYXI+PFJl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begin">
                <w:fldData xml:space="preserve">PEVuZE5vdGU+PENpdGU+PEF1dGhvcj5aaGFuZzwvQXV0aG9yPjxZZWFyPjIwMjE8L1llYXI+PFJl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EN.CITE.DATA </w:instrText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end"/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(Zhang et al. 2021)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00705221" w14:textId="77777777" w:rsidTr="00850AB8">
        <w:tc>
          <w:tcPr>
            <w:tcW w:w="1122" w:type="dxa"/>
          </w:tcPr>
          <w:p w14:paraId="73E1A506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</w:t>
            </w:r>
          </w:p>
          <w:p w14:paraId="3284C70C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</w:p>
          <w:p w14:paraId="2AD4F88B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Fe-Mn</w:t>
            </w:r>
          </w:p>
        </w:tc>
        <w:tc>
          <w:tcPr>
            <w:tcW w:w="2443" w:type="dxa"/>
          </w:tcPr>
          <w:p w14:paraId="474FB686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e and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ration in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Fe/Mn -SBC were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23.5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%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~26.5%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and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6.5</w:t>
            </w:r>
            <w:proofErr w:type="gramStart"/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%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,</w:t>
            </w:r>
            <w:proofErr w:type="gramEnd"/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respectively.</w:t>
            </w:r>
          </w:p>
        </w:tc>
        <w:tc>
          <w:tcPr>
            <w:tcW w:w="1068" w:type="dxa"/>
          </w:tcPr>
          <w:p w14:paraId="581A1E3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3-11</w:t>
            </w:r>
          </w:p>
        </w:tc>
        <w:tc>
          <w:tcPr>
            <w:tcW w:w="2508" w:type="dxa"/>
          </w:tcPr>
          <w:p w14:paraId="7D057D77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Fe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/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Mn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-SBC degrade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thiacloprid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with a removal efficiency of 94.1%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>in PS activation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after 90 min reaction </w:t>
            </w:r>
          </w:p>
        </w:tc>
        <w:tc>
          <w:tcPr>
            <w:tcW w:w="1171" w:type="dxa"/>
          </w:tcPr>
          <w:p w14:paraId="56AB307F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>
                <w:fldData xml:space="preserve">PEVuZE5vdGU+PENpdGU+PEF1dGhvcj5IZTwvQXV0aG9yPjxZZWFyPjIwMjI8L1llYXI+PFJlY051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</w:instrTex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begin">
                <w:fldData xml:space="preserve">PEVuZE5vdGU+PENpdGU+PEF1dGhvcj5IZTwvQXV0aG9yPjxZZWFyPjIwMjI8L1llYXI+PFJlY051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</w:fldData>
              </w:fldChar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EN.CITE.DATA </w:instrText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</w:r>
            <w:r w:rsidR="000F4EC7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fldChar w:fldCharType="end"/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(He et al. 2022)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  <w:tr w:rsidR="00E020A5" w:rsidRPr="002F5858" w14:paraId="3AEBBEFF" w14:textId="77777777" w:rsidTr="00850AB8">
        <w:trPr>
          <w:trHeight w:val="916"/>
        </w:trPr>
        <w:tc>
          <w:tcPr>
            <w:tcW w:w="1122" w:type="dxa"/>
            <w:tcBorders>
              <w:bottom w:val="single" w:sz="4" w:space="0" w:color="auto"/>
            </w:tcBorders>
          </w:tcPr>
          <w:p w14:paraId="700B753B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lastRenderedPageBreak/>
              <w:t>Fe</w:t>
            </w:r>
          </w:p>
          <w:p w14:paraId="029D4FF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</w:p>
          <w:p w14:paraId="6810D180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Fe-Mn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68420C7E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Fe and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Mn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 ration in s F/M-SDBC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 xml:space="preserve"> 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t xml:space="preserve">was </w:t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both 6%.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48E62B5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pH = 3, 5, 7, 9, 11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4118B1B2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The degradation efficiency of Orange G by PS activated with Fe-Mn bimetallic biochar (75.2%) was also higher than monometallic Fe-loaded biochar (45.6%) and Mn-loaded biochar (32.8%)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6B65C963" w14:textId="77777777" w:rsidR="00E020A5" w:rsidRPr="002F5858" w:rsidRDefault="00E020A5" w:rsidP="00850AB8">
            <w:pPr>
              <w:pStyle w:val="HTML"/>
              <w:widowControl/>
              <w:spacing w:line="360" w:lineRule="exact"/>
              <w:rPr>
                <w:rFonts w:ascii="Times New Roman" w:hAnsi="Times New Roman" w:hint="default"/>
                <w:color w:val="0000FF"/>
                <w:sz w:val="18"/>
                <w:szCs w:val="18"/>
              </w:rPr>
            </w:pP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begin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instrText xml:space="preserve"> ADDIN EN.CITE &lt;EndNote&gt;&lt;Cite&gt;&lt;Author&gt;Hao&lt;/Author&gt;&lt;Year&gt;2020&lt;/Year&gt;&lt;RecNum&gt;284&lt;/RecNum&gt;&lt;DisplayText&gt;(Hao et al. 2020)&lt;/DisplayText&gt;&lt;record&gt;&lt;rec-number&gt;284&lt;/rec-number&gt;&lt;foreign-keys&gt;&lt;key app="EN" db-id="evzf2z509zdp0re0e5evtazjsp2tr90dttss" timestamp="1697553357"&gt;284&lt;/key&gt;&lt;/foreign-keys&gt;&lt;ref-type name="Journal Article"&gt;17&lt;/ref-type&gt;&lt;contributors&gt;&lt;authors&gt;&lt;author&gt;Hao, Huiru&lt;/author&gt;&lt;author&gt;Zhang, Qian&lt;/author&gt;&lt;author&gt;Qiu, Yue&lt;/author&gt;&lt;author&gt;Meng, Li&lt;/author&gt;&lt;author&gt;Wei, Xiaonan&lt;/author&gt;&lt;author&gt;Sang, Wenjiao&lt;/author&gt;&lt;author&gt;Tao, Jiawei&lt;/author&gt;&lt;/authors&gt;&lt;/contributors&gt;&lt;titles&gt;&lt;title&gt;Insight into the degradation of Orange G by persulfate activated with biochar modified by iron and manganese oxides: Synergism between Fe and Mn&lt;/title&gt;&lt;secondary-title&gt;Journal of Water Process Engineering&lt;/secondary-title&gt;&lt;/titles&gt;&lt;periodical&gt;&lt;full-title&gt;Journal of Water Process Engineering&lt;/full-title&gt;&lt;/periodical&gt;&lt;volume&gt;37&lt;/volume&gt;&lt;section&gt;101470&lt;/section&gt;&lt;dates&gt;&lt;year&gt;2020&lt;/year&gt;&lt;/dates&gt;&lt;isbn&gt;22147144&lt;/isbn&gt;&lt;urls&gt;&lt;/urls&gt;&lt;electronic-resource-num&gt;10.1016/j.jwpe.2020.101470&lt;/electronic-resource-num&gt;&lt;/record&gt;&lt;/Cite&gt;&lt;/EndNote&gt;</w:instrTex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separate"/>
            </w:r>
            <w:r w:rsidRPr="002F5858">
              <w:rPr>
                <w:rFonts w:ascii="Times New Roman" w:hAnsi="Times New Roman"/>
                <w:color w:val="0000FF"/>
                <w:sz w:val="18"/>
                <w:szCs w:val="18"/>
              </w:rPr>
              <w:t>(Hao et al. 2020)</w:t>
            </w:r>
            <w:r w:rsidRPr="002F5858">
              <w:rPr>
                <w:rFonts w:ascii="Times New Roman" w:hAnsi="Times New Roman" w:hint="default"/>
                <w:color w:val="0000FF"/>
                <w:sz w:val="18"/>
                <w:szCs w:val="18"/>
              </w:rPr>
              <w:fldChar w:fldCharType="end"/>
            </w:r>
          </w:p>
        </w:tc>
      </w:tr>
    </w:tbl>
    <w:p w14:paraId="010B0300" w14:textId="77777777" w:rsidR="00E020A5" w:rsidRDefault="00E020A5" w:rsidP="00E020A5">
      <w:pPr>
        <w:pStyle w:val="HTML"/>
        <w:widowControl/>
        <w:spacing w:line="360" w:lineRule="auto"/>
        <w:rPr>
          <w:rFonts w:ascii="Times New Roman" w:hAnsi="Times New Roman" w:hint="default"/>
          <w:color w:val="0000FF"/>
        </w:rPr>
      </w:pPr>
    </w:p>
    <w:bookmarkEnd w:id="7"/>
    <w:p w14:paraId="67E79F87" w14:textId="2799337D" w:rsidR="00485C15" w:rsidRDefault="00485C15">
      <w:pPr>
        <w:widowControl/>
        <w:snapToGrid/>
        <w:spacing w:line="240" w:lineRule="auto"/>
        <w:jc w:val="left"/>
      </w:pPr>
      <w:r>
        <w:br w:type="page"/>
      </w:r>
    </w:p>
    <w:p w14:paraId="3B591941" w14:textId="4763511B" w:rsidR="00E020A5" w:rsidRPr="00485C15" w:rsidRDefault="00485C15" w:rsidP="00171F5A">
      <w:pPr>
        <w:rPr>
          <w:color w:val="0000FF"/>
        </w:rPr>
      </w:pPr>
      <w:r w:rsidRPr="00485C15">
        <w:rPr>
          <w:color w:val="0000FF"/>
        </w:rPr>
        <w:lastRenderedPageBreak/>
        <w:t>Table S2 Abbreviations &amp;Symbols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485C15" w:rsidRPr="00485C15" w14:paraId="65601295" w14:textId="77777777" w:rsidTr="00C81583">
        <w:tc>
          <w:tcPr>
            <w:tcW w:w="8296" w:type="dxa"/>
            <w:gridSpan w:val="2"/>
            <w:tcBorders>
              <w:bottom w:val="single" w:sz="4" w:space="0" w:color="auto"/>
            </w:tcBorders>
          </w:tcPr>
          <w:p w14:paraId="4C334161" w14:textId="77777777" w:rsidR="00485C15" w:rsidRPr="00485C15" w:rsidRDefault="00485C15" w:rsidP="00C81583">
            <w:pPr>
              <w:pStyle w:val="HTML"/>
              <w:widowControl/>
              <w:spacing w:line="360" w:lineRule="auto"/>
              <w:jc w:val="center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A</w:t>
            </w:r>
            <w:r w:rsidRPr="00485C15">
              <w:rPr>
                <w:rFonts w:ascii="Times New Roman" w:hAnsi="Times New Roman" w:hint="default"/>
                <w:color w:val="0000FF"/>
              </w:rPr>
              <w:t>bbreviations &amp;Symbols</w:t>
            </w:r>
          </w:p>
        </w:tc>
      </w:tr>
      <w:tr w:rsidR="00485C15" w:rsidRPr="00485C15" w14:paraId="003A3E14" w14:textId="77777777" w:rsidTr="00C8158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B5D0FF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F</w:t>
            </w:r>
            <w:r w:rsidRPr="00485C15">
              <w:rPr>
                <w:rFonts w:ascii="Times New Roman" w:hAnsi="Times New Roman" w:hint="default"/>
                <w:color w:val="0000FF"/>
              </w:rPr>
              <w:t>e-MBC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1F8B93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 w:hint="default"/>
                <w:color w:val="0000FF"/>
              </w:rPr>
              <w:t>The Fe monometallic biochar</w:t>
            </w:r>
          </w:p>
        </w:tc>
      </w:tr>
      <w:tr w:rsidR="00485C15" w:rsidRPr="00485C15" w14:paraId="4DACBEBC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6C372B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F</w:t>
            </w:r>
            <w:r w:rsidRPr="00485C15">
              <w:rPr>
                <w:rFonts w:ascii="Times New Roman" w:hAnsi="Times New Roman" w:hint="default"/>
                <w:color w:val="0000FF"/>
              </w:rPr>
              <w:t>e-BBC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D456A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 w:hint="default"/>
                <w:color w:val="0000FF"/>
              </w:rPr>
              <w:t>The Fe rich biochar, the bimetallic biochar with more Fe and less Mn</w:t>
            </w:r>
          </w:p>
        </w:tc>
      </w:tr>
      <w:tr w:rsidR="00485C15" w:rsidRPr="00485C15" w14:paraId="4434AEF3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E1A38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M</w:t>
            </w:r>
            <w:r w:rsidRPr="00485C15">
              <w:rPr>
                <w:rFonts w:ascii="Times New Roman" w:hAnsi="Times New Roman" w:hint="default"/>
                <w:color w:val="0000FF"/>
              </w:rPr>
              <w:t>n-MBC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D41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 w:hint="default"/>
                <w:color w:val="0000FF"/>
              </w:rPr>
              <w:t>The Mn monometallic biochar</w:t>
            </w:r>
          </w:p>
        </w:tc>
      </w:tr>
      <w:tr w:rsidR="00485C15" w:rsidRPr="00485C15" w14:paraId="0992A83A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87625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M</w:t>
            </w:r>
            <w:r w:rsidRPr="00485C15">
              <w:rPr>
                <w:rFonts w:ascii="Times New Roman" w:hAnsi="Times New Roman" w:hint="default"/>
                <w:color w:val="0000FF"/>
              </w:rPr>
              <w:t>n-BBC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49496E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 w:hint="default"/>
                <w:color w:val="0000FF"/>
              </w:rPr>
              <w:t>The Mn rich biochar, the bimetallic biochar with more Mn and less Fe</w:t>
            </w:r>
          </w:p>
        </w:tc>
      </w:tr>
      <w:tr w:rsidR="00485C15" w:rsidRPr="00485C15" w14:paraId="01BB30BE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C7370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·</w:t>
            </w:r>
            <w:r w:rsidRPr="00485C15">
              <w:rPr>
                <w:rFonts w:ascii="Times New Roman" w:hAnsi="Times New Roman"/>
                <w:color w:val="0000FF"/>
              </w:rPr>
              <w:t>OH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57CA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hydroxyl radical</w:t>
            </w:r>
          </w:p>
        </w:tc>
      </w:tr>
      <w:tr w:rsidR="00485C15" w:rsidRPr="00485C15" w14:paraId="6DBB64FF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98CFE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SO</w:t>
            </w:r>
            <w:r w:rsidRPr="00485C15">
              <w:rPr>
                <w:rFonts w:ascii="Times New Roman" w:hAnsi="Times New Roman"/>
                <w:color w:val="0000FF"/>
                <w:vertAlign w:val="subscript"/>
              </w:rPr>
              <w:t>4</w:t>
            </w:r>
            <w:r w:rsidRPr="00485C15">
              <w:rPr>
                <w:rFonts w:ascii="Times New Roman" w:hAnsi="Times New Roman"/>
                <w:color w:val="0000FF"/>
                <w:vertAlign w:val="superscript"/>
              </w:rPr>
              <w:t>·</w:t>
            </w:r>
            <w:r w:rsidRPr="00485C15">
              <w:rPr>
                <w:rFonts w:ascii="Times New Roman" w:eastAsia="微软雅黑" w:hAnsi="Times New Roman"/>
                <w:color w:val="0000FF"/>
                <w:vertAlign w:val="superscript"/>
              </w:rPr>
              <w:t>−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2A6F1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sulfate radical</w:t>
            </w:r>
          </w:p>
        </w:tc>
      </w:tr>
      <w:tr w:rsidR="00485C15" w:rsidRPr="00485C15" w14:paraId="0EC94427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E8C7D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  <w:vertAlign w:val="superscript"/>
              </w:rPr>
              <w:t>1</w:t>
            </w:r>
            <w:r w:rsidRPr="00485C15">
              <w:rPr>
                <w:rFonts w:ascii="Times New Roman" w:hAnsi="Times New Roman"/>
                <w:color w:val="0000FF"/>
              </w:rPr>
              <w:t>O</w:t>
            </w:r>
            <w:r w:rsidRPr="00485C15">
              <w:rPr>
                <w:rFonts w:ascii="Times New Roman" w:hAnsi="Times New Roman"/>
                <w:color w:val="0000FF"/>
                <w:vertAlign w:val="subscript"/>
              </w:rPr>
              <w:t>2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0690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singlet oxygen</w:t>
            </w:r>
          </w:p>
        </w:tc>
      </w:tr>
      <w:tr w:rsidR="00485C15" w:rsidRPr="00485C15" w14:paraId="3124F95C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83826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T</w:t>
            </w:r>
            <w:r w:rsidRPr="00485C15">
              <w:rPr>
                <w:rFonts w:ascii="Times New Roman" w:hAnsi="Times New Roman" w:hint="default"/>
                <w:color w:val="0000FF"/>
              </w:rPr>
              <w:t>AB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EFB8C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tert-Butanol</w:t>
            </w:r>
          </w:p>
        </w:tc>
      </w:tr>
      <w:tr w:rsidR="00485C15" w:rsidRPr="00485C15" w14:paraId="602FEA30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F0D8B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M</w:t>
            </w:r>
            <w:r w:rsidRPr="00485C15">
              <w:rPr>
                <w:rFonts w:ascii="Times New Roman" w:hAnsi="Times New Roman" w:hint="default"/>
                <w:color w:val="0000FF"/>
              </w:rPr>
              <w:t>eOH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7868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Ethanol</w:t>
            </w:r>
          </w:p>
        </w:tc>
      </w:tr>
      <w:tr w:rsidR="00485C15" w:rsidRPr="00485C15" w14:paraId="458D8F9D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81FC9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FFA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82E85" w14:textId="77777777" w:rsidR="00485C15" w:rsidRPr="00485C15" w:rsidRDefault="00485C15" w:rsidP="00C81583">
            <w:pPr>
              <w:pStyle w:val="HTML"/>
              <w:widowControl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furfuryl alcohol</w:t>
            </w:r>
          </w:p>
        </w:tc>
      </w:tr>
      <w:tr w:rsidR="00485C15" w:rsidRPr="00485C15" w14:paraId="17ECF1A1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B581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proofErr w:type="spellStart"/>
            <w:r w:rsidRPr="00485C15">
              <w:rPr>
                <w:rFonts w:ascii="Times New Roman" w:hAnsi="Times New Roman"/>
                <w:color w:val="0000FF"/>
              </w:rPr>
              <w:t>NaF</w:t>
            </w:r>
            <w:proofErr w:type="spellEnd"/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E82CE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sodium fluoride</w:t>
            </w:r>
          </w:p>
        </w:tc>
      </w:tr>
      <w:tr w:rsidR="00485C15" w:rsidRPr="00485C15" w14:paraId="5DCFBE37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6A54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D</w:t>
            </w:r>
            <w:r w:rsidRPr="00485C15">
              <w:rPr>
                <w:rFonts w:ascii="Times New Roman" w:hAnsi="Times New Roman" w:hint="default"/>
                <w:color w:val="0000FF"/>
              </w:rPr>
              <w:t>FT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2053C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Density functional theory</w:t>
            </w:r>
          </w:p>
        </w:tc>
      </w:tr>
      <w:tr w:rsidR="00485C15" w:rsidRPr="00485C15" w14:paraId="2D748313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121B8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HOMO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74C3C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The highest occupied molecular orbital</w:t>
            </w:r>
          </w:p>
        </w:tc>
      </w:tr>
      <w:tr w:rsidR="00485C15" w:rsidRPr="00485C15" w14:paraId="4E8C5F8E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52B3E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LOMO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8E455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the lowest unoccupied molecular orbital</w:t>
            </w:r>
          </w:p>
        </w:tc>
      </w:tr>
      <w:tr w:rsidR="00485C15" w:rsidRPr="00485C15" w14:paraId="3C8862FB" w14:textId="77777777" w:rsidTr="00C81583"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3A99C8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SCRF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A8DA2" w14:textId="77777777" w:rsidR="00485C15" w:rsidRPr="00485C15" w:rsidRDefault="00485C15" w:rsidP="00C81583">
            <w:pPr>
              <w:pStyle w:val="HTML"/>
              <w:widowControl/>
              <w:spacing w:line="360" w:lineRule="auto"/>
              <w:rPr>
                <w:rFonts w:ascii="Times New Roman" w:hAnsi="Times New Roman" w:hint="default"/>
                <w:color w:val="0000FF"/>
              </w:rPr>
            </w:pPr>
            <w:r w:rsidRPr="00485C15">
              <w:rPr>
                <w:rFonts w:ascii="Times New Roman" w:hAnsi="Times New Roman"/>
                <w:color w:val="0000FF"/>
              </w:rPr>
              <w:t>the self-consistent reactive field</w:t>
            </w:r>
          </w:p>
        </w:tc>
      </w:tr>
    </w:tbl>
    <w:p w14:paraId="574A1CEF" w14:textId="77777777" w:rsidR="00485C15" w:rsidRPr="00485C15" w:rsidRDefault="00485C15" w:rsidP="00485C15">
      <w:pPr>
        <w:pStyle w:val="HTML"/>
        <w:widowControl/>
        <w:spacing w:line="360" w:lineRule="auto"/>
        <w:rPr>
          <w:rFonts w:ascii="Times New Roman" w:hAnsi="Times New Roman" w:hint="default"/>
          <w:color w:val="0000FF"/>
        </w:rPr>
      </w:pPr>
    </w:p>
    <w:p w14:paraId="47DA32B1" w14:textId="77777777" w:rsidR="00485C15" w:rsidRPr="00485C15" w:rsidRDefault="00485C15" w:rsidP="00171F5A"/>
    <w:p w14:paraId="6EA8F436" w14:textId="77777777" w:rsidR="00E020A5" w:rsidRDefault="00E020A5" w:rsidP="00171F5A">
      <w:pPr>
        <w:sectPr w:rsidR="00E020A5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26"/>
        </w:sectPr>
      </w:pPr>
    </w:p>
    <w:p w14:paraId="4A9A772F" w14:textId="3E7D7973" w:rsidR="00E020A5" w:rsidRPr="00E020A5" w:rsidRDefault="00E020A5" w:rsidP="00171F5A"/>
    <w:p w14:paraId="2DD63144" w14:textId="77777777" w:rsidR="00171F5A" w:rsidRDefault="00787DB7" w:rsidP="00171F5A">
      <w:r>
        <w:rPr>
          <w:rFonts w:hint="eastAsia"/>
          <w:noProof/>
        </w:rPr>
        <w:drawing>
          <wp:inline distT="0" distB="0" distL="114300" distR="114300" wp14:anchorId="28DF85E1" wp14:editId="221FDB3D">
            <wp:extent cx="4175125" cy="3827780"/>
            <wp:effectExtent l="0" t="0" r="635" b="12700"/>
            <wp:docPr id="4" name="图片 4" descr="Graph3 - 复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raph3 - 复制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75125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B84D" w14:textId="77777777" w:rsidR="00171F5A" w:rsidRDefault="00787DB7" w:rsidP="00171F5A">
      <w:r>
        <w:rPr>
          <w:rFonts w:hint="eastAsia"/>
          <w:noProof/>
        </w:rPr>
        <w:drawing>
          <wp:inline distT="0" distB="0" distL="114300" distR="114300" wp14:anchorId="3B2A661D" wp14:editId="649C2DCA">
            <wp:extent cx="4114165" cy="3799840"/>
            <wp:effectExtent l="0" t="0" r="635" b="10160"/>
            <wp:docPr id="1" name="图片 1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raph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171A" w14:textId="77777777" w:rsidR="005A715A" w:rsidRDefault="000D6C3A" w:rsidP="00171F5A">
      <w:r>
        <w:t>Fig.</w:t>
      </w:r>
      <w:r>
        <w:rPr>
          <w:rFonts w:hint="eastAsia"/>
        </w:rPr>
        <w:t>S1 FTIR</w:t>
      </w:r>
      <w:r>
        <w:t xml:space="preserve"> patterns (a) </w:t>
      </w:r>
      <w:r>
        <w:rPr>
          <w:rFonts w:hint="eastAsia"/>
        </w:rPr>
        <w:t xml:space="preserve">and XRD </w:t>
      </w:r>
      <w:r>
        <w:t xml:space="preserve">patterns (b) of pristine biochar (BC), </w:t>
      </w:r>
      <w:r>
        <w:lastRenderedPageBreak/>
        <w:t>monometallic (Fe-MBC, Mn-MBC) and bimetallic</w:t>
      </w:r>
      <w:bookmarkStart w:id="8" w:name="_Hlk148622918"/>
      <w:bookmarkStart w:id="9" w:name="OLE_LINK15"/>
      <w:r>
        <w:t xml:space="preserve"> biochar</w:t>
      </w:r>
      <w:bookmarkEnd w:id="8"/>
      <w:bookmarkEnd w:id="9"/>
      <w:r>
        <w:t xml:space="preserve"> (Fe-BBC, Mn-BBC)</w:t>
      </w:r>
    </w:p>
    <w:p w14:paraId="302DEB9B" w14:textId="77777777" w:rsidR="00171F5A" w:rsidRDefault="00787DB7" w:rsidP="00171F5A">
      <w:r>
        <w:rPr>
          <w:rFonts w:hint="eastAsia"/>
          <w:noProof/>
        </w:rPr>
        <w:drawing>
          <wp:inline distT="0" distB="0" distL="114300" distR="114300" wp14:anchorId="5695949E" wp14:editId="4373635D">
            <wp:extent cx="5082540" cy="4612005"/>
            <wp:effectExtent l="0" t="0" r="7620" b="5715"/>
            <wp:docPr id="2" name="图片 2" descr="D:/离子形态/实验图修改/图2 不同体系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离子形态/实验图修改/图2 不同体系/2.png2"/>
                    <pic:cNvPicPr>
                      <a:picLocks noChangeAspect="1"/>
                    </pic:cNvPicPr>
                  </pic:nvPicPr>
                  <pic:blipFill>
                    <a:blip r:embed="rId21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464C2" w14:textId="77777777" w:rsidR="00171F5A" w:rsidRDefault="00171F5A" w:rsidP="00171F5A">
      <w:pPr>
        <w:sectPr w:rsidR="00171F5A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26"/>
        </w:sectPr>
      </w:pPr>
      <w:r w:rsidRPr="00171F5A">
        <w:t>Fig.</w:t>
      </w:r>
      <w:r w:rsidRPr="00171F5A">
        <w:rPr>
          <w:rFonts w:hint="eastAsia"/>
        </w:rPr>
        <w:t xml:space="preserve">S2 </w:t>
      </w:r>
      <w:bookmarkStart w:id="10" w:name="_Hlk156506086"/>
      <w:r w:rsidRPr="00171F5A">
        <w:t xml:space="preserve">The </w:t>
      </w:r>
      <w:r>
        <w:t>atrazine concentration in the solution</w:t>
      </w:r>
      <w:bookmarkEnd w:id="10"/>
      <w:r>
        <w:t xml:space="preserve"> in BC, Fe-BBC, Mn-BBC, Fe-MBC, and Mn-MBC.</w:t>
      </w:r>
    </w:p>
    <w:p w14:paraId="5F8A634E" w14:textId="77777777" w:rsidR="005A715A" w:rsidRDefault="005A715A" w:rsidP="009531BE"/>
    <w:p w14:paraId="5B1098DA" w14:textId="77777777" w:rsidR="005A715A" w:rsidRDefault="00787DB7" w:rsidP="00171F5A">
      <w:r>
        <w:rPr>
          <w:rFonts w:hint="eastAsia"/>
          <w:noProof/>
        </w:rPr>
        <w:drawing>
          <wp:inline distT="0" distB="0" distL="114300" distR="114300" wp14:anchorId="3CB7CB31" wp14:editId="71FAD98F">
            <wp:extent cx="5121910" cy="4722495"/>
            <wp:effectExtent l="0" t="0" r="13970" b="1905"/>
            <wp:docPr id="8" name="图片 8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raph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4C428" w14:textId="77777777" w:rsidR="005A715A" w:rsidRDefault="000D6C3A" w:rsidP="00171F5A">
      <w:pPr>
        <w:sectPr w:rsidR="005A715A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26"/>
        </w:sectPr>
      </w:pPr>
      <w:r>
        <w:t>Fig.</w:t>
      </w:r>
      <w:r>
        <w:rPr>
          <w:rFonts w:hint="eastAsia"/>
        </w:rPr>
        <w:t>S</w:t>
      </w:r>
      <w:r w:rsidR="00534347">
        <w:t>3</w:t>
      </w:r>
      <w:r>
        <w:rPr>
          <w:rFonts w:hint="eastAsia"/>
        </w:rPr>
        <w:t xml:space="preserve"> </w:t>
      </w:r>
      <w:r>
        <w:t xml:space="preserve">The correlation between the adsorption of atrazine in biochar alone and the degradation of atrazine in biochar+PS system </w:t>
      </w:r>
    </w:p>
    <w:p w14:paraId="65A5E7A7" w14:textId="77777777" w:rsidR="009531BE" w:rsidRDefault="00787DB7" w:rsidP="00171F5A">
      <w:r>
        <w:rPr>
          <w:rFonts w:hint="eastAsia"/>
          <w:noProof/>
        </w:rPr>
        <w:lastRenderedPageBreak/>
        <w:drawing>
          <wp:inline distT="0" distB="0" distL="114300" distR="114300" wp14:anchorId="3F793D15" wp14:editId="29292B77">
            <wp:extent cx="8856345" cy="4252595"/>
            <wp:effectExtent l="0" t="0" r="13335" b="14605"/>
            <wp:docPr id="7" name="图片 7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raph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E98E" w14:textId="77777777" w:rsidR="005A715A" w:rsidRDefault="000D6C3A" w:rsidP="00171F5A">
      <w:r>
        <w:t>Fig.S</w:t>
      </w:r>
      <w:r w:rsidR="00574C92">
        <w:t>4</w:t>
      </w:r>
      <w:r>
        <w:t xml:space="preserve"> </w:t>
      </w:r>
      <w:r>
        <w:rPr>
          <w:rFonts w:hint="eastAsia"/>
        </w:rPr>
        <w:t>T</w:t>
      </w:r>
      <w:r>
        <w:t xml:space="preserve">he fine XPS </w:t>
      </w:r>
      <w:r>
        <w:rPr>
          <w:rFonts w:hint="eastAsia"/>
        </w:rPr>
        <w:t xml:space="preserve">O1s </w:t>
      </w:r>
      <w:r>
        <w:t xml:space="preserve">spectra of </w:t>
      </w:r>
      <w:r>
        <w:rPr>
          <w:rFonts w:hint="eastAsia"/>
        </w:rPr>
        <w:t>Mn-BBC</w:t>
      </w:r>
      <w:r>
        <w:t xml:space="preserve"> (a, b, c) and </w:t>
      </w:r>
      <w:r>
        <w:rPr>
          <w:rFonts w:hint="eastAsia"/>
        </w:rPr>
        <w:t>Fe-BBC</w:t>
      </w:r>
      <w:r>
        <w:t xml:space="preserve"> (d, e, f) at 0, </w:t>
      </w:r>
      <w:r>
        <w:rPr>
          <w:rFonts w:hint="eastAsia"/>
        </w:rPr>
        <w:t>3</w:t>
      </w:r>
      <w:r>
        <w:t>0, and 1</w:t>
      </w:r>
      <w:r>
        <w:rPr>
          <w:rFonts w:hint="eastAsia"/>
        </w:rPr>
        <w:t>2</w:t>
      </w:r>
      <w:r>
        <w:t>0 min</w:t>
      </w:r>
    </w:p>
    <w:sectPr w:rsidR="005A71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47B68" w14:textId="77777777" w:rsidR="000F4EC7" w:rsidRDefault="000F4EC7" w:rsidP="00171F5A">
      <w:r>
        <w:separator/>
      </w:r>
    </w:p>
  </w:endnote>
  <w:endnote w:type="continuationSeparator" w:id="0">
    <w:p w14:paraId="5C9BADB0" w14:textId="77777777" w:rsidR="000F4EC7" w:rsidRDefault="000F4EC7" w:rsidP="0017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CEDD" w14:textId="77777777" w:rsidR="00AA0F2B" w:rsidRDefault="00AA0F2B" w:rsidP="00171F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65BD" w14:textId="77777777" w:rsidR="00AA0F2B" w:rsidRDefault="00AA0F2B" w:rsidP="00171F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721F" w14:textId="77777777" w:rsidR="00AA0F2B" w:rsidRDefault="00AA0F2B" w:rsidP="00171F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858E" w14:textId="77777777" w:rsidR="000F4EC7" w:rsidRDefault="000F4EC7" w:rsidP="00171F5A">
      <w:r>
        <w:separator/>
      </w:r>
    </w:p>
  </w:footnote>
  <w:footnote w:type="continuationSeparator" w:id="0">
    <w:p w14:paraId="29D4DD19" w14:textId="77777777" w:rsidR="000F4EC7" w:rsidRDefault="000F4EC7" w:rsidP="00171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7CF3" w14:textId="77777777" w:rsidR="00AA0F2B" w:rsidRDefault="00AA0F2B" w:rsidP="00171F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EA76" w14:textId="77777777" w:rsidR="00AA0F2B" w:rsidRDefault="00AA0F2B" w:rsidP="00171F5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1325" w14:textId="77777777" w:rsidR="00AA0F2B" w:rsidRDefault="00AA0F2B" w:rsidP="00171F5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NLI0NDQyNja3MDVQ0lEKTi0uzszPAykwrAUAwN0LbCwAAAA="/>
    <w:docVar w:name="commondata" w:val="eyJoZGlkIjoiOGE5MjQ3NDA2ZTFlMmQ4YTQxMDY5ZGZlZjE2NGNjODMifQ=="/>
  </w:docVars>
  <w:rsids>
    <w:rsidRoot w:val="57D31DA6"/>
    <w:rsid w:val="0000593E"/>
    <w:rsid w:val="000D6C3A"/>
    <w:rsid w:val="000F4EC7"/>
    <w:rsid w:val="00171F5A"/>
    <w:rsid w:val="00174A6C"/>
    <w:rsid w:val="00176238"/>
    <w:rsid w:val="001A5B04"/>
    <w:rsid w:val="001F4A75"/>
    <w:rsid w:val="0021026D"/>
    <w:rsid w:val="00225C09"/>
    <w:rsid w:val="00295401"/>
    <w:rsid w:val="002E584E"/>
    <w:rsid w:val="00341934"/>
    <w:rsid w:val="003C2268"/>
    <w:rsid w:val="003D43AB"/>
    <w:rsid w:val="00485C15"/>
    <w:rsid w:val="00496643"/>
    <w:rsid w:val="004A2A3B"/>
    <w:rsid w:val="004A53E1"/>
    <w:rsid w:val="004C7FF4"/>
    <w:rsid w:val="00532A51"/>
    <w:rsid w:val="00534347"/>
    <w:rsid w:val="00564FC1"/>
    <w:rsid w:val="00574C92"/>
    <w:rsid w:val="005A715A"/>
    <w:rsid w:val="006E327C"/>
    <w:rsid w:val="00787DB7"/>
    <w:rsid w:val="00810A45"/>
    <w:rsid w:val="008114D5"/>
    <w:rsid w:val="00834705"/>
    <w:rsid w:val="00901A41"/>
    <w:rsid w:val="00944A54"/>
    <w:rsid w:val="009531BE"/>
    <w:rsid w:val="00981C62"/>
    <w:rsid w:val="009B5AD5"/>
    <w:rsid w:val="009D7934"/>
    <w:rsid w:val="00A14FE0"/>
    <w:rsid w:val="00A16E62"/>
    <w:rsid w:val="00A36EC4"/>
    <w:rsid w:val="00AA0F2B"/>
    <w:rsid w:val="00C1689F"/>
    <w:rsid w:val="00C25A3D"/>
    <w:rsid w:val="00C9506A"/>
    <w:rsid w:val="00CC421B"/>
    <w:rsid w:val="00CC43EF"/>
    <w:rsid w:val="00D2024B"/>
    <w:rsid w:val="00D32750"/>
    <w:rsid w:val="00D623A3"/>
    <w:rsid w:val="00D86A57"/>
    <w:rsid w:val="00D94001"/>
    <w:rsid w:val="00D944E7"/>
    <w:rsid w:val="00DB742B"/>
    <w:rsid w:val="00E020A5"/>
    <w:rsid w:val="00E3575A"/>
    <w:rsid w:val="00E400E0"/>
    <w:rsid w:val="00E737AE"/>
    <w:rsid w:val="00E77F26"/>
    <w:rsid w:val="00EA6834"/>
    <w:rsid w:val="00EE341F"/>
    <w:rsid w:val="00F27257"/>
    <w:rsid w:val="00F44CC9"/>
    <w:rsid w:val="03E06E67"/>
    <w:rsid w:val="047B14FB"/>
    <w:rsid w:val="04A3117E"/>
    <w:rsid w:val="083E2F6B"/>
    <w:rsid w:val="0E0655CB"/>
    <w:rsid w:val="1380268A"/>
    <w:rsid w:val="13AE7D5A"/>
    <w:rsid w:val="14F50E56"/>
    <w:rsid w:val="16A91EF8"/>
    <w:rsid w:val="16AE4F75"/>
    <w:rsid w:val="17D35373"/>
    <w:rsid w:val="2D145EC5"/>
    <w:rsid w:val="2D7A1184"/>
    <w:rsid w:val="2F913CD8"/>
    <w:rsid w:val="34086058"/>
    <w:rsid w:val="3ABF1172"/>
    <w:rsid w:val="3B977B51"/>
    <w:rsid w:val="3D110DC3"/>
    <w:rsid w:val="418807D8"/>
    <w:rsid w:val="44C164DB"/>
    <w:rsid w:val="47220AC2"/>
    <w:rsid w:val="4D9F4600"/>
    <w:rsid w:val="4DC60016"/>
    <w:rsid w:val="4E0D453F"/>
    <w:rsid w:val="548811A0"/>
    <w:rsid w:val="57D150F2"/>
    <w:rsid w:val="57D31DA6"/>
    <w:rsid w:val="580746F5"/>
    <w:rsid w:val="5826261F"/>
    <w:rsid w:val="5B1C32AC"/>
    <w:rsid w:val="5C983D06"/>
    <w:rsid w:val="5D2F12B3"/>
    <w:rsid w:val="60BE791B"/>
    <w:rsid w:val="62F12229"/>
    <w:rsid w:val="63352C17"/>
    <w:rsid w:val="654F4FE5"/>
    <w:rsid w:val="689E42BA"/>
    <w:rsid w:val="698F00A6"/>
    <w:rsid w:val="69E10092"/>
    <w:rsid w:val="6B26249A"/>
    <w:rsid w:val="72CC5EC7"/>
    <w:rsid w:val="7C6B1F8D"/>
    <w:rsid w:val="7FD1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E74BF2C"/>
  <w15:docId w15:val="{0EB1DB9B-2673-4311-A8AF-1A72B200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171F5A"/>
    <w:pPr>
      <w:widowControl w:val="0"/>
      <w:snapToGrid w:val="0"/>
      <w:spacing w:line="480" w:lineRule="auto"/>
      <w:jc w:val="center"/>
    </w:pPr>
    <w:rPr>
      <w:rFonts w:ascii="Times New Roman" w:eastAsia="等线" w:hAnsi="Times New Roman" w:cs="Times New Roman"/>
      <w:bCs/>
      <w:color w:val="000000"/>
      <w:kern w:val="2"/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spacing w:beforeLines="100" w:before="100" w:afterLines="100" w:after="100"/>
      <w:outlineLvl w:val="0"/>
    </w:pPr>
    <w:rPr>
      <w:rFonts w:eastAsia="黑体"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spacing w:beforeLines="100" w:before="100" w:afterLines="100" w:after="100"/>
      <w:outlineLvl w:val="1"/>
    </w:pPr>
    <w:rPr>
      <w:rFonts w:eastAsia="黑体"/>
      <w:sz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Lines="100" w:before="100" w:afterLines="100" w:after="100"/>
      <w:outlineLvl w:val="2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spacing w:line="240" w:lineRule="auto"/>
    </w:pPr>
    <w:rPr>
      <w:rFonts w:asciiTheme="minorHAnsi" w:eastAsiaTheme="minorEastAsia" w:hAnsiTheme="minorHAnsi"/>
      <w:sz w:val="21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styleId="a9">
    <w:name w:val="line number"/>
    <w:basedOn w:val="a0"/>
    <w:qFormat/>
  </w:style>
  <w:style w:type="character" w:styleId="aa">
    <w:name w:val="annotation reference"/>
    <w:basedOn w:val="a0"/>
    <w:autoRedefine/>
    <w:uiPriority w:val="99"/>
    <w:unhideWhenUsed/>
    <w:qFormat/>
    <w:rPr>
      <w:sz w:val="21"/>
      <w:szCs w:val="21"/>
    </w:rPr>
  </w:style>
  <w:style w:type="character" w:customStyle="1" w:styleId="30">
    <w:name w:val="标题 3 字符"/>
    <w:link w:val="3"/>
    <w:autoRedefine/>
    <w:qFormat/>
    <w:rPr>
      <w:rFonts w:eastAsia="黑体"/>
    </w:rPr>
  </w:style>
  <w:style w:type="character" w:customStyle="1" w:styleId="a8">
    <w:name w:val="页眉 字符"/>
    <w:basedOn w:val="a0"/>
    <w:link w:val="a7"/>
    <w:autoRedefine/>
    <w:qFormat/>
    <w:rPr>
      <w:rFonts w:ascii="Times New Roman" w:eastAsia="宋体" w:hAnsi="Times New Roman"/>
      <w:kern w:val="2"/>
      <w:sz w:val="18"/>
      <w:szCs w:val="18"/>
      <w:vertAlign w:val="superscript"/>
    </w:rPr>
  </w:style>
  <w:style w:type="character" w:customStyle="1" w:styleId="a6">
    <w:name w:val="页脚 字符"/>
    <w:basedOn w:val="a0"/>
    <w:link w:val="a5"/>
    <w:autoRedefine/>
    <w:qFormat/>
    <w:rPr>
      <w:rFonts w:ascii="Times New Roman" w:eastAsia="宋体" w:hAnsi="Times New Roman"/>
      <w:kern w:val="2"/>
      <w:sz w:val="18"/>
      <w:szCs w:val="18"/>
      <w:vertAlign w:val="superscript"/>
    </w:rPr>
  </w:style>
  <w:style w:type="character" w:customStyle="1" w:styleId="a4">
    <w:name w:val="批注文字 字符"/>
    <w:basedOn w:val="a0"/>
    <w:link w:val="a3"/>
    <w:autoRedefine/>
    <w:qFormat/>
    <w:rPr>
      <w:kern w:val="2"/>
      <w:sz w:val="21"/>
      <w:szCs w:val="24"/>
    </w:rPr>
  </w:style>
  <w:style w:type="character" w:styleId="ab">
    <w:name w:val="Hyperlink"/>
    <w:basedOn w:val="a0"/>
    <w:autoRedefine/>
    <w:uiPriority w:val="99"/>
    <w:unhideWhenUsed/>
    <w:qFormat/>
    <w:rsid w:val="00D2024B"/>
    <w:rPr>
      <w:color w:val="0000FF"/>
      <w:u w:val="single"/>
    </w:rPr>
  </w:style>
  <w:style w:type="paragraph" w:styleId="ac">
    <w:name w:val="List Paragraph"/>
    <w:basedOn w:val="a"/>
    <w:autoRedefine/>
    <w:uiPriority w:val="99"/>
    <w:rsid w:val="00D2024B"/>
    <w:pPr>
      <w:tabs>
        <w:tab w:val="left" w:pos="312"/>
      </w:tabs>
      <w:jc w:val="left"/>
    </w:pPr>
    <w:rPr>
      <w:rFonts w:asciiTheme="minorHAnsi" w:eastAsiaTheme="minorEastAsia" w:hAnsiTheme="minorHAnsi" w:cstheme="minorBidi"/>
      <w:bCs w:val="0"/>
      <w:color w:val="auto"/>
      <w:sz w:val="21"/>
    </w:rPr>
  </w:style>
  <w:style w:type="paragraph" w:styleId="HTML">
    <w:name w:val="HTML Preformatted"/>
    <w:basedOn w:val="a"/>
    <w:link w:val="HTML0"/>
    <w:qFormat/>
    <w:rsid w:val="00E02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line="240" w:lineRule="auto"/>
      <w:jc w:val="left"/>
    </w:pPr>
    <w:rPr>
      <w:rFonts w:ascii="宋体" w:eastAsia="宋体" w:hAnsi="宋体" w:hint="eastAsia"/>
      <w:bCs w:val="0"/>
      <w:color w:val="auto"/>
      <w:kern w:val="0"/>
    </w:rPr>
  </w:style>
  <w:style w:type="character" w:customStyle="1" w:styleId="HTML0">
    <w:name w:val="HTML 预设格式 字符"/>
    <w:basedOn w:val="a0"/>
    <w:link w:val="HTML"/>
    <w:qFormat/>
    <w:rsid w:val="00E020A5"/>
    <w:rPr>
      <w:rFonts w:ascii="宋体" w:eastAsia="宋体" w:hAnsi="宋体" w:cs="Times New Roman"/>
      <w:sz w:val="24"/>
      <w:szCs w:val="24"/>
    </w:rPr>
  </w:style>
  <w:style w:type="table" w:styleId="ad">
    <w:name w:val="Table Grid"/>
    <w:basedOn w:val="a1"/>
    <w:uiPriority w:val="39"/>
    <w:qFormat/>
    <w:rsid w:val="00E020A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glz@sari.ac.cn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liangyuan@usts.edu.cn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png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8EC9-022E-4A18-B924-2DEE1870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2000</Words>
  <Characters>11404</Characters>
  <Application>Microsoft Office Word</Application>
  <DocSecurity>0</DocSecurity>
  <Lines>95</Lines>
  <Paragraphs>26</Paragraphs>
  <ScaleCrop>false</ScaleCrop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Da酱</dc:creator>
  <cp:lastModifiedBy>yuan liang</cp:lastModifiedBy>
  <cp:revision>26</cp:revision>
  <dcterms:created xsi:type="dcterms:W3CDTF">2023-11-09T07:50:00Z</dcterms:created>
  <dcterms:modified xsi:type="dcterms:W3CDTF">2024-04-07T13:33:00Z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B1F69CDCC9B044BA83D7E331C49FB5D0_13</vt:lpwstr>
  </property>
</Properties>
</file>