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hint="default" w:ascii="Times New Roman" w:hAnsi="Times New Roman" w:cs="Times New Roman"/>
          <w:b/>
          <w:i/>
          <w:color w:val="auto"/>
          <w:sz w:val="28"/>
        </w:rPr>
      </w:pPr>
      <w:r>
        <w:rPr>
          <w:rFonts w:hint="default" w:ascii="Times New Roman" w:hAnsi="Times New Roman" w:cs="Times New Roman"/>
          <w:b/>
          <w:i/>
          <w:color w:val="auto"/>
          <w:sz w:val="28"/>
        </w:rPr>
        <w:t>Supplementary Material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color w:val="auto"/>
          <w:kern w:val="44"/>
          <w:sz w:val="44"/>
        </w:rPr>
      </w:pPr>
      <w:r>
        <w:rPr>
          <w:rFonts w:hint="default" w:ascii="Times New Roman" w:hAnsi="Times New Roman" w:cs="Times New Roman"/>
          <w:b/>
          <w:color w:val="auto"/>
          <w:kern w:val="44"/>
          <w:sz w:val="44"/>
        </w:rPr>
        <w:t>High–efficiency remediation of Hg and Cd co–contaminated paddy soils by Fe–Mn oxide biochar and its microbial community responses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bookmarkStart w:id="0" w:name="OLE_LINK98"/>
      <w:bookmarkStart w:id="1" w:name="OLE_LINK18"/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Tong Sun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pt-BR"/>
        </w:rPr>
        <w:t>a,b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</w:rPr>
        <w:t>,c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Ge Gao</w:t>
      </w:r>
      <w:bookmarkStart w:id="2" w:name="OLE_LINK5"/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pt-BR"/>
        </w:rPr>
        <w:t>a,b</w:t>
      </w:r>
      <w:bookmarkStart w:id="3" w:name="OLE_LINK161"/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,</w:t>
      </w:r>
      <w:bookmarkEnd w:id="2"/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bookmarkEnd w:id="3"/>
      <w:r>
        <w:rPr>
          <w:rFonts w:hint="default" w:ascii="Times New Roman" w:hAnsi="Times New Roman" w:cs="Times New Roman"/>
          <w:color w:val="auto"/>
          <w:sz w:val="24"/>
          <w:szCs w:val="24"/>
        </w:rPr>
        <w:t>Wenhao Yang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pt-BR"/>
        </w:rPr>
        <w:t>a,b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,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Yuebing Sun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pt-BR"/>
        </w:rPr>
        <w:t>a,b,*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Qingqing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Huang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pt-BR"/>
        </w:rPr>
        <w:t>a,b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, Xuefeng Liang</w:t>
      </w:r>
      <w:bookmarkEnd w:id="0"/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pt-BR"/>
        </w:rPr>
        <w:t>a,b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, Lin Wang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perscript"/>
          <w:lang w:val="pt-BR"/>
        </w:rPr>
        <w:t>a,b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bookmarkEnd w:id="1"/>
    </w:p>
    <w:p>
      <w:pPr>
        <w:spacing w:line="480" w:lineRule="auto"/>
        <w:rPr>
          <w:rFonts w:hint="default" w:ascii="Times New Roman" w:hAnsi="Times New Roman" w:cs="Times New Roman"/>
          <w:iCs/>
          <w:color w:val="auto"/>
          <w:sz w:val="24"/>
          <w:szCs w:val="24"/>
          <w:lang w:bidi="ar"/>
        </w:rPr>
      </w:pPr>
      <w:r>
        <w:rPr>
          <w:rFonts w:hint="default" w:ascii="Times New Roman" w:hAnsi="Times New Roman" w:cs="Times New Roman"/>
          <w:iCs/>
          <w:color w:val="auto"/>
          <w:sz w:val="24"/>
          <w:szCs w:val="24"/>
          <w:vertAlign w:val="superscript"/>
          <w:lang w:bidi="ar"/>
        </w:rPr>
        <w:t>a</w:t>
      </w:r>
      <w:r>
        <w:rPr>
          <w:rFonts w:hint="default" w:ascii="Times New Roman" w:hAnsi="Times New Roman" w:cs="Times New Roman"/>
          <w:iCs/>
          <w:color w:val="auto"/>
          <w:sz w:val="24"/>
          <w:szCs w:val="24"/>
          <w:lang w:bidi="ar"/>
        </w:rPr>
        <w:t>Key Laboratory of Original Agro</w:t>
      </w:r>
      <w:bookmarkStart w:id="4" w:name="OLE_LINK20"/>
      <w:r>
        <w:rPr>
          <w:rFonts w:hint="default" w:ascii="Times New Roman" w:hAnsi="Times New Roman" w:cs="Times New Roman"/>
          <w:iCs/>
          <w:color w:val="auto"/>
          <w:sz w:val="24"/>
          <w:szCs w:val="24"/>
          <w:lang w:bidi="ar"/>
        </w:rPr>
        <w:t>–</w:t>
      </w:r>
      <w:bookmarkEnd w:id="4"/>
      <w:r>
        <w:rPr>
          <w:rFonts w:hint="default" w:ascii="Times New Roman" w:hAnsi="Times New Roman" w:cs="Times New Roman"/>
          <w:iCs/>
          <w:color w:val="auto"/>
          <w:sz w:val="24"/>
          <w:szCs w:val="24"/>
          <w:lang w:bidi="ar"/>
        </w:rPr>
        <w:t>Environmental Pollution Prevention and Control, Ministry of Agriculture and Rural Affairs (MARA), Agro</w:t>
      </w:r>
      <w:r>
        <w:rPr>
          <w:rFonts w:hint="default" w:ascii="Times New Roman" w:hAnsi="Times New Roman" w:cs="Times New Roman"/>
          <w:iCs/>
          <w:color w:val="auto"/>
          <w:sz w:val="24"/>
          <w:szCs w:val="24"/>
          <w:lang w:eastAsia="zh-CN" w:bidi="ar"/>
        </w:rPr>
        <w:t>–</w:t>
      </w:r>
      <w:r>
        <w:rPr>
          <w:rFonts w:hint="default" w:ascii="Times New Roman" w:hAnsi="Times New Roman" w:cs="Times New Roman"/>
          <w:iCs/>
          <w:color w:val="auto"/>
          <w:sz w:val="24"/>
          <w:szCs w:val="24"/>
          <w:lang w:bidi="ar"/>
        </w:rPr>
        <w:t>Environmental Protection Institute, MARA, Tianjin 300191, China;</w:t>
      </w:r>
    </w:p>
    <w:p>
      <w:pPr>
        <w:spacing w:line="480" w:lineRule="auto"/>
        <w:rPr>
          <w:rFonts w:hint="default" w:ascii="Times New Roman" w:hAnsi="Times New Roman" w:cs="Times New Roman"/>
          <w:iCs/>
          <w:color w:val="auto"/>
          <w:sz w:val="24"/>
          <w:szCs w:val="24"/>
          <w:lang w:bidi="ar"/>
        </w:rPr>
      </w:pPr>
      <w:r>
        <w:rPr>
          <w:rFonts w:hint="default" w:ascii="Times New Roman" w:hAnsi="Times New Roman" w:cs="Times New Roman"/>
          <w:iCs/>
          <w:color w:val="auto"/>
          <w:sz w:val="24"/>
          <w:szCs w:val="24"/>
          <w:vertAlign w:val="superscript"/>
          <w:lang w:bidi="ar"/>
        </w:rPr>
        <w:t>b</w:t>
      </w:r>
      <w:r>
        <w:rPr>
          <w:rFonts w:hint="default" w:ascii="Times New Roman" w:hAnsi="Times New Roman" w:cs="Times New Roman"/>
          <w:iCs/>
          <w:color w:val="auto"/>
          <w:sz w:val="24"/>
          <w:szCs w:val="24"/>
          <w:lang w:bidi="ar"/>
        </w:rPr>
        <w:t>Tianjin Key Laboratory of Agro–Environment and Agro–Product Safety, Agro–Environmental Protection Institute, MARA, Tianjin 300191, China;</w:t>
      </w:r>
    </w:p>
    <w:p>
      <w:pPr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iCs/>
          <w:color w:val="auto"/>
          <w:sz w:val="24"/>
          <w:szCs w:val="24"/>
          <w:vertAlign w:val="superscript"/>
          <w:lang w:bidi="ar"/>
        </w:rPr>
        <w:t>c</w:t>
      </w:r>
      <w:r>
        <w:rPr>
          <w:rFonts w:hint="default" w:ascii="Times New Roman" w:hAnsi="Times New Roman" w:cs="Times New Roman"/>
          <w:iCs/>
          <w:color w:val="auto"/>
          <w:sz w:val="24"/>
          <w:szCs w:val="24"/>
          <w:lang w:bidi="ar"/>
        </w:rPr>
        <w:t>Key Laboratory of Agro–Ecological Processes in Subtropical Region, Institute of Subtropical Agriculture, Chinese Academy of Sciences, Changsha 410125, China.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</w:t>
      </w:r>
    </w:p>
    <w:p>
      <w:pPr>
        <w:spacing w:line="480" w:lineRule="auto"/>
        <w:rPr>
          <w:rFonts w:hint="default" w:ascii="Times New Roman" w:hAnsi="Times New Roman" w:cs="Times New Roman"/>
          <w:color w:val="auto"/>
          <w:sz w:val="24"/>
        </w:rPr>
      </w:pPr>
    </w:p>
    <w:p>
      <w:pPr>
        <w:spacing w:line="480" w:lineRule="auto"/>
        <w:rPr>
          <w:rFonts w:hint="default" w:ascii="Times New Roman" w:hAnsi="Times New Roman" w:cs="Times New Roman"/>
          <w:color w:val="auto"/>
          <w:sz w:val="24"/>
        </w:rPr>
      </w:pPr>
    </w:p>
    <w:p>
      <w:pPr>
        <w:spacing w:line="480" w:lineRule="auto"/>
        <w:rPr>
          <w:rFonts w:hint="default" w:ascii="Times New Roman" w:hAnsi="Times New Roman" w:cs="Times New Roman"/>
          <w:color w:val="auto"/>
          <w:sz w:val="24"/>
        </w:rPr>
      </w:pPr>
    </w:p>
    <w:p>
      <w:pPr>
        <w:autoSpaceDE w:val="0"/>
        <w:autoSpaceDN w:val="0"/>
        <w:adjustRightInd w:val="0"/>
        <w:spacing w:line="480" w:lineRule="auto"/>
        <w:ind w:left="120" w:hanging="120" w:hangingChars="50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sz w:val="24"/>
          <w:vertAlign w:val="superscript"/>
        </w:rPr>
        <w:sym w:font="Symbol" w:char="F02A"/>
      </w:r>
      <w:r>
        <w:rPr>
          <w:rFonts w:hint="default" w:ascii="Times New Roman" w:hAnsi="Times New Roman" w:cs="Times New Roman"/>
          <w:color w:val="auto"/>
          <w:sz w:val="24"/>
          <w:vertAlign w:val="superscript"/>
        </w:rPr>
        <w:t xml:space="preserve"> </w:t>
      </w:r>
      <w:r>
        <w:rPr>
          <w:rFonts w:hint="default" w:ascii="Times New Roman" w:hAnsi="Times New Roman" w:cs="Times New Roman"/>
          <w:i/>
          <w:color w:val="auto"/>
          <w:sz w:val="24"/>
        </w:rPr>
        <w:t>Corresponding author</w:t>
      </w:r>
      <w:r>
        <w:rPr>
          <w:rFonts w:hint="default" w:ascii="Times New Roman" w:hAnsi="Times New Roman" w:cs="Times New Roman"/>
          <w:color w:val="auto"/>
          <w:sz w:val="24"/>
        </w:rPr>
        <w:t xml:space="preserve">. Tel: +86–22–23618061; Fax: +86–22–23618060 </w:t>
      </w:r>
    </w:p>
    <w:p>
      <w:pPr>
        <w:spacing w:line="480" w:lineRule="auto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i/>
          <w:color w:val="auto"/>
          <w:sz w:val="24"/>
        </w:rPr>
        <w:t>E–mail address</w:t>
      </w:r>
      <w:r>
        <w:rPr>
          <w:rFonts w:hint="default" w:ascii="Times New Roman" w:hAnsi="Times New Roman" w:cs="Times New Roman"/>
          <w:color w:val="auto"/>
          <w:sz w:val="24"/>
        </w:rPr>
        <w:t xml:space="preserve">: </w:t>
      </w:r>
      <w:r>
        <w:rPr>
          <w:rFonts w:hint="default" w:ascii="Times New Roman" w:hAnsi="Times New Roman" w:cs="Times New Roman"/>
          <w:color w:val="auto"/>
        </w:rPr>
        <w:fldChar w:fldCharType="begin"/>
      </w:r>
      <w:r>
        <w:rPr>
          <w:rFonts w:hint="default" w:ascii="Times New Roman" w:hAnsi="Times New Roman" w:cs="Times New Roman"/>
          <w:color w:val="auto"/>
        </w:rPr>
        <w:instrText xml:space="preserve"> HYPERLINK "mailto:sunyuebing2008@126.com" </w:instrText>
      </w:r>
      <w:r>
        <w:rPr>
          <w:rFonts w:hint="default" w:ascii="Times New Roman" w:hAnsi="Times New Roman" w:cs="Times New Roman"/>
          <w:color w:val="auto"/>
        </w:rPr>
        <w:fldChar w:fldCharType="separate"/>
      </w:r>
      <w:r>
        <w:rPr>
          <w:rStyle w:val="8"/>
          <w:rFonts w:hint="default" w:ascii="Times New Roman" w:hAnsi="Times New Roman" w:cs="Times New Roman"/>
          <w:color w:val="auto"/>
          <w:sz w:val="24"/>
        </w:rPr>
        <w:t>sunyuebing2008@126.com</w:t>
      </w:r>
      <w:r>
        <w:rPr>
          <w:rStyle w:val="8"/>
          <w:rFonts w:hint="default" w:ascii="Times New Roman" w:hAnsi="Times New Roman" w:cs="Times New Roman"/>
          <w:color w:val="auto"/>
          <w:sz w:val="24"/>
        </w:rPr>
        <w:fldChar w:fldCharType="end"/>
      </w:r>
      <w:r>
        <w:rPr>
          <w:rFonts w:hint="default" w:ascii="Times New Roman" w:hAnsi="Times New Roman" w:cs="Times New Roman"/>
          <w:color w:val="auto"/>
          <w:sz w:val="24"/>
        </w:rPr>
        <w:t xml:space="preserve"> (Y. –B. Sun)</w:t>
      </w: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  <w:sz w:val="28"/>
          <w:szCs w:val="32"/>
        </w:rPr>
      </w:pPr>
    </w:p>
    <w:p>
      <w:pPr>
        <w:spacing w:line="480" w:lineRule="auto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OLE_LINK3"/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Text S1. The details of soil Hg and Cd fraction analysis</w:t>
      </w:r>
    </w:p>
    <w:p>
      <w:pPr>
        <w:spacing w:line="480" w:lineRule="auto"/>
        <w:ind w:firstLine="480" w:firstLineChars="20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Hg </w:t>
      </w:r>
      <w:bookmarkStart w:id="6" w:name="OLE_LINK14"/>
      <w:r>
        <w:rPr>
          <w:rFonts w:hint="default" w:ascii="Times New Roman" w:hAnsi="Times New Roman" w:cs="Times New Roman"/>
          <w:color w:val="auto"/>
          <w:sz w:val="24"/>
          <w:szCs w:val="24"/>
        </w:rPr>
        <w:t>and Cd fractions in soil were determined by sequential extraction procedures of Tessier et al. (1979). Five fractions were extracted as follows: (1) The exchangeable fraction (EXC)</w:t>
      </w:r>
      <w:bookmarkStart w:id="7" w:name="OLE_LINK10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was </w:t>
      </w:r>
      <w:bookmarkStart w:id="8" w:name="OLE_LINK12"/>
      <w:r>
        <w:rPr>
          <w:rFonts w:hint="default" w:ascii="Times New Roman" w:hAnsi="Times New Roman" w:cs="Times New Roman"/>
          <w:color w:val="auto"/>
          <w:sz w:val="24"/>
          <w:szCs w:val="24"/>
        </w:rPr>
        <w:t>extracted</w:t>
      </w:r>
      <w:bookmarkEnd w:id="8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with 8 mL 1.0 M MgCl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·6H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O (pH=7) for 1 h at 25 ℃. (2) The carbonate bound fraction (CAR) were </w:t>
      </w:r>
      <w:bookmarkStart w:id="9" w:name="OLE_LINK13"/>
      <w:r>
        <w:rPr>
          <w:rFonts w:hint="default" w:ascii="Times New Roman" w:hAnsi="Times New Roman" w:cs="Times New Roman"/>
          <w:color w:val="auto"/>
          <w:sz w:val="24"/>
          <w:szCs w:val="24"/>
        </w:rPr>
        <w:t>extracted</w:t>
      </w:r>
      <w:bookmarkEnd w:id="9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with 8 mL 1.0 M NaOAc</w:t>
      </w:r>
      <w:r>
        <w:rPr>
          <w:rFonts w:hint="default" w:ascii="Times New Roman" w:hAnsi="Times New Roman" w:cs="Times New Roman"/>
          <w:iCs/>
          <w:color w:val="auto"/>
          <w:sz w:val="24"/>
          <w:szCs w:val="24"/>
          <w:lang w:bidi="ar"/>
        </w:rPr>
        <w:t>–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HOAc (pH=5.0) for 5 h at 25 ℃. (3) The Fe/Mn oxide bound fraction (OX) were extracted with 20 mL NH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bscript"/>
        </w:rPr>
        <w:t>4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OH·HCl in 25% acetic acid for 4 h at 96 ℃. (4) The organic matter bound fraction (OM) were </w:t>
      </w:r>
      <w:bookmarkStart w:id="10" w:name="OLE_LINK11"/>
      <w:r>
        <w:rPr>
          <w:rFonts w:hint="default" w:ascii="Times New Roman" w:hAnsi="Times New Roman" w:cs="Times New Roman"/>
          <w:color w:val="auto"/>
          <w:sz w:val="24"/>
          <w:szCs w:val="24"/>
        </w:rPr>
        <w:t>extracted</w:t>
      </w:r>
      <w:bookmarkEnd w:id="10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first with 3 mL 0.02 M HNO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bscript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and 5 mL of 30% H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O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, and pH was adjusted to 2 with HNO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bscript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 Then samples were shaken for 3 h at 85 ℃. After cooling, 5 mL 3.2 M NH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bscript"/>
        </w:rPr>
        <w:t>4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OAc in 20% HNO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bscript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>was added and agitated for 30 min. (5) The residual fraction (RES)</w:t>
      </w:r>
      <w:bookmarkStart w:id="11" w:name="OLE_LINK567"/>
      <w:r>
        <w:rPr>
          <w:rFonts w:hint="default" w:ascii="Times New Roman" w:hAnsi="Times New Roman" w:cs="Times New Roman"/>
          <w:color w:val="auto"/>
          <w:kern w:val="0"/>
          <w:sz w:val="24"/>
          <w:szCs w:val="24"/>
        </w:rPr>
        <w:t xml:space="preserve"> was calculated by subtracting the sum of the first four steps from the difference of the total extraction amount.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bookmarkEnd w:id="11"/>
      <w:bookmarkStart w:id="12" w:name="OLE_LINK19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After each step, the mixtures were centrifuged at 4000 g for 15 min, the supernatants were separated and the residual material underwent extracted with each of the other extraction solutions in the indicated order. </w:t>
      </w:r>
      <w:bookmarkEnd w:id="12"/>
      <w:r>
        <w:rPr>
          <w:rFonts w:hint="default" w:ascii="Times New Roman" w:hAnsi="Times New Roman" w:cs="Times New Roman"/>
          <w:color w:val="auto"/>
          <w:sz w:val="24"/>
          <w:szCs w:val="24"/>
        </w:rPr>
        <w:t>The resulting supernatants were diluted to a constant volume of 50 mL using deionized water and filtered through a 0.45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–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μm filter membrane for subsequent analysis.The contents of Hg and Cd were measured by </w:t>
      </w:r>
      <w:bookmarkStart w:id="13" w:name="OLE_LINK260"/>
      <w:r>
        <w:rPr>
          <w:rFonts w:hint="default" w:ascii="Times New Roman" w:hAnsi="Times New Roman" w:cs="Times New Roman"/>
          <w:color w:val="auto"/>
          <w:sz w:val="24"/>
          <w:szCs w:val="24"/>
        </w:rPr>
        <w:t>Atomic Fluorescence Spectrometer (AFS 8520)</w:t>
      </w:r>
      <w:bookmarkEnd w:id="13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and inductively coupled plasma mass spectrometer (ICP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–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MS, Ultimate 3000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–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i CAP QC).</w:t>
      </w:r>
    </w:p>
    <w:p>
      <w:pPr>
        <w:spacing w:line="480" w:lineRule="auto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Text S2. The details of extraction of iron</w:t>
      </w:r>
      <w:bookmarkStart w:id="14" w:name="OLE_LINK274"/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eastAsia="zh-CN"/>
        </w:rPr>
        <w:t>–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manganese</w:t>
      </w:r>
      <w:bookmarkEnd w:id="14"/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plaques from roots</w:t>
      </w:r>
    </w:p>
    <w:bookmarkEnd w:id="5"/>
    <w:p>
      <w:pPr>
        <w:spacing w:line="480" w:lineRule="auto"/>
        <w:ind w:firstLine="480" w:firstLineChars="200"/>
        <w:rPr>
          <w:rFonts w:hint="default" w:ascii="Times New Roman" w:hAnsi="Times New Roman" w:cs="Times New Roman"/>
          <w:color w:val="auto"/>
          <w:sz w:val="24"/>
          <w:szCs w:val="24"/>
        </w:rPr>
      </w:pPr>
      <w:bookmarkStart w:id="15" w:name="OLE_LINK7"/>
      <w:r>
        <w:rPr>
          <w:rFonts w:hint="default" w:ascii="Times New Roman" w:hAnsi="Times New Roman" w:cs="Times New Roman"/>
          <w:color w:val="auto"/>
          <w:sz w:val="24"/>
          <w:szCs w:val="24"/>
        </w:rPr>
        <w:t>The specific method is as follows:</w:t>
      </w:r>
      <w:bookmarkEnd w:id="15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the whole roots were rinsed with deionized </w:t>
      </w:r>
      <w:bookmarkEnd w:id="7"/>
      <w:r>
        <w:rPr>
          <w:rFonts w:hint="default" w:ascii="Times New Roman" w:hAnsi="Times New Roman" w:cs="Times New Roman"/>
          <w:color w:val="auto"/>
          <w:sz w:val="24"/>
          <w:szCs w:val="24"/>
        </w:rPr>
        <w:t>water, followed by immersing in 60 mL mixed solution containing 0.03 M sodium citrate (Na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bscript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C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bscript"/>
        </w:rPr>
        <w:t>6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H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bscript"/>
        </w:rPr>
        <w:t>5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O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bscript"/>
        </w:rPr>
        <w:t>7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) and 0.125 M sodium bicarbonate (NaHCO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bscript"/>
        </w:rPr>
        <w:t>3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) and 1.2 g sodium hydrosulfite (Na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S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O</w:t>
      </w:r>
      <w:r>
        <w:rPr>
          <w:rFonts w:hint="default" w:ascii="Times New Roman" w:hAnsi="Times New Roman" w:cs="Times New Roman"/>
          <w:color w:val="auto"/>
          <w:sz w:val="24"/>
          <w:szCs w:val="24"/>
          <w:vertAlign w:val="subscript"/>
        </w:rPr>
        <w:t>4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) at room temperature for 1 h. </w:t>
      </w:r>
      <w:bookmarkStart w:id="16" w:name="OLE_LINK285"/>
      <w:bookmarkStart w:id="17" w:name="OLE_LINK286"/>
      <w:r>
        <w:rPr>
          <w:rFonts w:hint="default" w:ascii="Times New Roman" w:hAnsi="Times New Roman" w:cs="Times New Roman"/>
          <w:color w:val="auto"/>
          <w:sz w:val="24"/>
          <w:szCs w:val="24"/>
        </w:rPr>
        <w:t>After DCB extraction, the roots were rinsed three times with deionized water and poured into the DCB extract solution, and made up to 100 mL with deionized water.</w:t>
      </w:r>
      <w:bookmarkEnd w:id="16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The Fe, Mn and Cd concentrations in the DCB extraction solution were determined by inductively coupled plasma mass spectrometry (iCAP Q, Thermo Scientific, USA). However, the Hg concentration in iron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–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manganese plaques was not detected by Atomic Fluorescence Spectrometer (AFS 8520), therefore not listed. </w:t>
      </w:r>
      <w:bookmarkEnd w:id="17"/>
    </w:p>
    <w:p>
      <w:pPr>
        <w:spacing w:line="480" w:lineRule="auto"/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Text S3. The details of high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eastAsia="zh-CN"/>
        </w:rPr>
        <w:t>–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throughput sequencing analysis</w:t>
      </w:r>
    </w:p>
    <w:p>
      <w:pPr>
        <w:snapToGrid w:val="0"/>
        <w:spacing w:line="480" w:lineRule="auto"/>
        <w:ind w:firstLine="480" w:firstLineChars="200"/>
        <w:textAlignment w:val="baseline"/>
        <w:rPr>
          <w:rFonts w:hint="default" w:ascii="Times New Roman" w:hAnsi="Times New Roman" w:cs="Times New Roman"/>
          <w:color w:val="auto"/>
          <w:sz w:val="24"/>
          <w:szCs w:val="24"/>
        </w:rPr>
      </w:pPr>
      <w:bookmarkStart w:id="18" w:name="OLE_LINK4"/>
      <w:r>
        <w:rPr>
          <w:rFonts w:hint="default" w:ascii="Times New Roman" w:hAnsi="Times New Roman" w:cs="Times New Roman"/>
          <w:color w:val="auto"/>
          <w:sz w:val="24"/>
          <w:szCs w:val="24"/>
        </w:rPr>
        <w:t>Microbial DNA was extracted from soil samples using the E.Z.N.A.® soil DNA Kit (Omega Bio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–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tek, Norcross, GA, U.S.) according to manufacturer’s protocols. The final DNA concentration and purification were determined by NanoDrop 2000 UV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–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vis spectrophotometer (Thermo Scientific, Wilmington, USA), and DNA quality was checked by 1% agarose gel electrophoresis. The V3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–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V4 hypervariable regions of the bacteria 16S rRNA gene were amplified with primers 338F (5’</w:t>
      </w:r>
      <w:r>
        <w:rPr>
          <w:rFonts w:hint="default" w:ascii="Times New Roman" w:hAnsi="Times New Roman" w:cs="Times New Roman"/>
          <w:iCs/>
          <w:color w:val="auto"/>
          <w:sz w:val="24"/>
          <w:szCs w:val="24"/>
          <w:lang w:bidi="ar"/>
        </w:rPr>
        <w:t>–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ACTCCTACGGGAGGCAGCAG</w:t>
      </w:r>
      <w:r>
        <w:rPr>
          <w:rFonts w:hint="default" w:ascii="Times New Roman" w:hAnsi="Times New Roman" w:cs="Times New Roman"/>
          <w:iCs/>
          <w:color w:val="auto"/>
          <w:sz w:val="24"/>
          <w:szCs w:val="24"/>
          <w:lang w:bidi="ar"/>
        </w:rPr>
        <w:t>–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3’) and 806R (5’</w:t>
      </w:r>
      <w:r>
        <w:rPr>
          <w:rFonts w:hint="default" w:ascii="Times New Roman" w:hAnsi="Times New Roman" w:cs="Times New Roman"/>
          <w:iCs/>
          <w:color w:val="auto"/>
          <w:sz w:val="24"/>
          <w:szCs w:val="24"/>
          <w:lang w:bidi="ar"/>
        </w:rPr>
        <w:t>–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GGACTACHVGGGTWTCTAAT</w:t>
      </w:r>
      <w:r>
        <w:rPr>
          <w:rFonts w:hint="default" w:ascii="Times New Roman" w:hAnsi="Times New Roman" w:cs="Times New Roman"/>
          <w:iCs/>
          <w:color w:val="auto"/>
          <w:sz w:val="24"/>
          <w:szCs w:val="24"/>
          <w:lang w:bidi="ar"/>
        </w:rPr>
        <w:t>–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3’) by thermocycler PCR system (GeneAmp 9700, ABI, USA). </w:t>
      </w:r>
      <w:bookmarkStart w:id="19" w:name="OLE_LINK49"/>
      <w:bookmarkStart w:id="20" w:name="OLE_LINK48"/>
      <w:r>
        <w:rPr>
          <w:rFonts w:hint="default" w:ascii="Times New Roman" w:hAnsi="Times New Roman" w:cs="Times New Roman"/>
          <w:color w:val="auto"/>
          <w:sz w:val="24"/>
          <w:szCs w:val="24"/>
        </w:rPr>
        <w:t>Purified amplicons were pooled in equimolar and paired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–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end sequenced (2 × 300) on an Illumina MiSeq platform</w:t>
      </w:r>
      <w:bookmarkEnd w:id="19"/>
      <w:bookmarkEnd w:id="20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(Illumina, San Diego,USA) according to the standard protocols by Majorbio Bio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–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Pharm Technology Co. Ltd. (Shanghai, China). In addition, the raw fastq files were quality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–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filtered by Trimmomatic and merged by FLASH. Operational taxonomic units (OTUs) were clustered with 97% similarity cutoff using UPARSE (version 7.1 </w:t>
      </w:r>
      <w:r>
        <w:rPr>
          <w:rFonts w:hint="default" w:ascii="Times New Roman" w:hAnsi="Times New Roman" w:cs="Times New Roman"/>
          <w:color w:val="auto"/>
        </w:rPr>
        <w:fldChar w:fldCharType="begin"/>
      </w:r>
      <w:r>
        <w:rPr>
          <w:rFonts w:hint="default" w:ascii="Times New Roman" w:hAnsi="Times New Roman" w:cs="Times New Roman"/>
          <w:color w:val="auto"/>
        </w:rPr>
        <w:instrText xml:space="preserve"> HYPERLINK "http://drive5.com/uparse/" </w:instrText>
      </w:r>
      <w:r>
        <w:rPr>
          <w:rFonts w:hint="default" w:ascii="Times New Roman" w:hAnsi="Times New Roman" w:cs="Times New Roman"/>
          <w:color w:val="auto"/>
        </w:rPr>
        <w:fldChar w:fldCharType="separate"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http://drive5.com/uparse/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) with a novel ‘greedy’ algorithm that performs chimera filtering and OTU clustering simultaneously. The taxonomy of each 16S rRNA gene sequence was analyzed by RDP Classifier algorithm (http://rdp.cme.msu.edu/) against the Silva (SSU123) 16S rRNA database using confidence threshold of 70%. </w:t>
      </w:r>
      <w:bookmarkEnd w:id="18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The Kyoto Encyclopedia of Genes and Genomes (KEGG) was used to predict the functional and </w:t>
      </w:r>
      <w:r>
        <w:rPr>
          <w:rFonts w:hint="default" w:ascii="Times New Roman" w:hAnsi="Times New Roman" w:eastAsia="Georgia" w:cs="Times New Roman"/>
          <w:color w:val="auto"/>
          <w:sz w:val="24"/>
          <w:szCs w:val="24"/>
        </w:rPr>
        <w:t>metabolic potentials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using PICRUSt2.</w:t>
      </w:r>
    </w:p>
    <w:p>
      <w:pPr>
        <w:snapToGrid w:val="0"/>
        <w:spacing w:line="480" w:lineRule="auto"/>
        <w:ind w:firstLine="480" w:firstLineChars="200"/>
        <w:textAlignment w:val="baseline"/>
        <w:rPr>
          <w:rFonts w:hint="default" w:ascii="Times New Roman" w:hAnsi="Times New Roman" w:cs="Times New Roman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bookmarkEnd w:id="6"/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drawing>
          <wp:inline distT="0" distB="0" distL="114300" distR="114300">
            <wp:extent cx="8859520" cy="3465195"/>
            <wp:effectExtent l="0" t="0" r="0" b="0"/>
            <wp:docPr id="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9520" cy="346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bookmarkStart w:id="21" w:name="_Hlk154075121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Fig. S1 </w:t>
      </w:r>
      <w:bookmarkStart w:id="22" w:name="OLE_LINK17"/>
      <w:bookmarkStart w:id="23" w:name="OLE_LINK6"/>
      <w:r>
        <w:rPr>
          <w:rFonts w:hint="default" w:ascii="Times New Roman" w:hAnsi="Times New Roman" w:cs="Times New Roman"/>
          <w:color w:val="auto"/>
          <w:sz w:val="24"/>
          <w:szCs w:val="24"/>
        </w:rPr>
        <w:t>Procedure for the preparation</w:t>
      </w:r>
      <w:bookmarkEnd w:id="22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of BC and FMBC</w:t>
      </w:r>
      <w:bookmarkEnd w:id="23"/>
      <w:bookmarkStart w:id="34" w:name="_GoBack"/>
      <w:bookmarkEnd w:id="34"/>
    </w:p>
    <w:bookmarkEnd w:id="21"/>
    <w:p>
      <w:pPr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object>
          <v:shape id="_x0000_i1032" o:spt="75" alt="" type="#_x0000_t75" style="height:134.6pt;width:192.15pt;" o:ole="t" filled="f" o:preferrelative="t" stroked="f" coordsize="21600,21600">
            <v:path/>
            <v:fill on="f" focussize="0,0"/>
            <v:stroke on="f"/>
            <v:imagedata r:id="rId6" o:title=""/>
            <o:lock v:ext="edit" aspectratio="f"/>
            <w10:wrap type="none"/>
            <w10:anchorlock/>
          </v:shape>
          <o:OLEObject Type="Embed" ProgID="Origin95.Graph" ShapeID="_x0000_i1032" DrawAspect="Content" ObjectID="_1468075725" r:id="rId5">
            <o:LockedField>false</o:LockedField>
          </o:OLEObject>
        </w:objec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object>
          <v:shape id="_x0000_i1026" o:spt="75" alt="" type="#_x0000_t75" style="height:135.55pt;width:201.75pt;" o:ole="t" filled="f" o:preferrelative="t" stroked="f" coordsize="21600,21600">
            <v:path/>
            <v:fill on="f" focussize="0,0"/>
            <v:stroke on="f"/>
            <v:imagedata r:id="rId8" o:title=""/>
            <o:lock v:ext="edit" aspectratio="f"/>
            <w10:wrap type="none"/>
            <w10:anchorlock/>
          </v:shape>
          <o:OLEObject Type="Embed" ProgID="Origin95.Graph" ShapeID="_x0000_i1026" DrawAspect="Content" ObjectID="_1468075726" r:id="rId7">
            <o:LockedField>false</o:LockedField>
          </o:OLEObject>
        </w:object>
      </w: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Fig. S2 Effect of BC and FMBC on soil pH and EC </w:t>
      </w:r>
    </w:p>
    <w:p>
      <w:pPr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Notes: </w:t>
      </w:r>
      <w:bookmarkStart w:id="24" w:name="OLE_LINK65"/>
      <w:bookmarkStart w:id="25" w:name="OLE_LINK64"/>
      <w:r>
        <w:rPr>
          <w:rFonts w:hint="default" w:ascii="Times New Roman" w:hAnsi="Times New Roman" w:cs="Times New Roman"/>
          <w:color w:val="auto"/>
          <w:sz w:val="24"/>
          <w:szCs w:val="24"/>
        </w:rPr>
        <w:t>The lowercase letters indicate the difference in pH under different treatments</w:t>
      </w:r>
      <w:bookmarkEnd w:id="24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  <w:t>P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&lt; 0.05), </w:t>
      </w:r>
      <w:bookmarkEnd w:id="25"/>
      <w:r>
        <w:rPr>
          <w:rFonts w:hint="default" w:ascii="Times New Roman" w:hAnsi="Times New Roman" w:cs="Times New Roman"/>
          <w:color w:val="auto"/>
          <w:sz w:val="24"/>
          <w:szCs w:val="24"/>
        </w:rPr>
        <w:t>the capital letters indicate the difference in EC under different treatments</w:t>
      </w:r>
      <w:bookmarkStart w:id="26" w:name="OLE_LINK66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i/>
          <w:iCs/>
          <w:color w:val="auto"/>
          <w:sz w:val="24"/>
          <w:szCs w:val="24"/>
        </w:rPr>
        <w:t>P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&lt; 0.05)</w:t>
      </w:r>
      <w:bookmarkEnd w:id="26"/>
      <w:r>
        <w:rPr>
          <w:rFonts w:hint="default" w:ascii="Times New Roman" w:hAnsi="Times New Roman" w:cs="Times New Roman"/>
          <w:color w:val="auto"/>
          <w:sz w:val="24"/>
          <w:szCs w:val="24"/>
        </w:rPr>
        <w:t>.</w:t>
      </w:r>
    </w:p>
    <w:p>
      <w:pPr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object>
          <v:shape id="_x0000_i1027" o:spt="75" alt="" type="#_x0000_t75" style="height:168pt;width:205.05pt;" o:ole="t" filled="f" o:preferrelative="t" stroked="f" coordsize="21600,21600">
            <v:path/>
            <v:fill on="f" focussize="0,0"/>
            <v:stroke on="f"/>
            <v:imagedata r:id="rId10" o:title=""/>
            <o:lock v:ext="edit" aspectratio="f"/>
            <w10:wrap type="none"/>
            <w10:anchorlock/>
          </v:shape>
          <o:OLEObject Type="Embed" ProgID="Origin95.Graph" ShapeID="_x0000_i1027" DrawAspect="Content" ObjectID="_1468075727" r:id="rId9">
            <o:LockedField>false</o:LockedField>
          </o:OLEObject>
        </w:objec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object>
          <v:shape id="_x0000_i1028" o:spt="75" alt="" type="#_x0000_t75" style="height:169.95pt;width:206.95pt;" o:ole="t" filled="f" o:preferrelative="t" stroked="f" coordsize="21600,21600">
            <v:path/>
            <v:fill on="f" focussize="0,0"/>
            <v:stroke on="f"/>
            <v:imagedata r:id="rId12" o:title=""/>
            <o:lock v:ext="edit" aspectratio="f"/>
            <w10:wrap type="none"/>
            <w10:anchorlock/>
          </v:shape>
          <o:OLEObject Type="Embed" ProgID="Origin95.Graph" ShapeID="_x0000_i1028" DrawAspect="Content" ObjectID="_1468075728" r:id="rId11">
            <o:LockedField>false</o:LockedField>
          </o:OLEObject>
        </w:objec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object>
          <v:shape id="_x0000_i1029" o:spt="75" alt="" type="#_x0000_t75" style="height:196.55pt;width:240.95pt;" o:ole="t" filled="f" o:preferrelative="t" stroked="f" coordsize="21600,21600">
            <v:path/>
            <v:fill on="f" focussize="0,0"/>
            <v:stroke on="f"/>
            <v:imagedata r:id="rId14" o:title=""/>
            <o:lock v:ext="edit" aspectratio="f"/>
            <w10:wrap type="none"/>
            <w10:anchorlock/>
          </v:shape>
          <o:OLEObject Type="Embed" ProgID="Origin95.Graph" ShapeID="_x0000_i1029" DrawAspect="Content" ObjectID="_1468075729" r:id="rId13">
            <o:LockedField>false</o:LockedField>
          </o:OLEObject>
        </w:object>
      </w:r>
    </w:p>
    <w:p>
      <w:pPr>
        <w:spacing w:line="48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bookmarkStart w:id="27" w:name="OLE_LINK259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Fig. S3 The concentrations of Fe (a), Mn (b) and Cd (c) in the </w:t>
      </w:r>
      <w:bookmarkEnd w:id="27"/>
      <w:r>
        <w:rPr>
          <w:rFonts w:hint="default" w:ascii="Times New Roman" w:hAnsi="Times New Roman" w:cs="Times New Roman"/>
          <w:color w:val="auto"/>
          <w:sz w:val="24"/>
          <w:szCs w:val="24"/>
        </w:rPr>
        <w:t>iron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–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manganese plaques of rice roots</w:t>
      </w: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object>
          <v:shape id="_x0000_i1034" o:spt="75" alt="" type="#_x0000_t75" style="height:167.75pt;width:200.9pt;" o:ole="t" filled="f" o:preferrelative="t" stroked="f" coordsize="21600,21600">
            <v:path/>
            <v:fill on="f" focussize="0,0"/>
            <v:stroke on="f"/>
            <v:imagedata r:id="rId16" o:title=""/>
            <o:lock v:ext="edit" aspectratio="f"/>
            <w10:wrap type="none"/>
            <w10:anchorlock/>
          </v:shape>
          <o:OLEObject Type="Embed" ProgID="Origin95.Graph" ShapeID="_x0000_i1034" DrawAspect="Content" ObjectID="_1468075730" r:id="rId15">
            <o:LockedField>false</o:LockedField>
          </o:OLEObject>
        </w:object>
      </w:r>
      <w:r>
        <w:rPr>
          <w:rFonts w:hint="default" w:ascii="Times New Roman" w:hAnsi="Times New Roman" w:cs="Times New Roman"/>
          <w:color w:val="auto"/>
        </w:rPr>
        <w:object>
          <v:shape id="_x0000_i1031" o:spt="75" alt="" type="#_x0000_t75" style="height:168.7pt;width:206.6pt;" o:ole="t" filled="f" o:preferrelative="t" stroked="f" coordsize="21600,21600">
            <v:path/>
            <v:fill on="f" focussize="0,0"/>
            <v:stroke on="f"/>
            <v:imagedata r:id="rId18" o:title=""/>
            <o:lock v:ext="edit" aspectratio="f"/>
            <w10:wrap type="none"/>
            <w10:anchorlock/>
          </v:shape>
          <o:OLEObject Type="Embed" ProgID="Origin95.Graph" ShapeID="_x0000_i1031" DrawAspect="Content" ObjectID="_1468075731" r:id="rId17">
            <o:LockedField>false</o:LockedField>
          </o:OLEObject>
        </w:object>
      </w:r>
    </w:p>
    <w:p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Fig. S4 The correlations between Cd concentrations and Fe (a), Mn (b) concentrations in the </w:t>
      </w:r>
      <w:bookmarkStart w:id="28" w:name="OLE_LINK2"/>
      <w:r>
        <w:rPr>
          <w:rFonts w:hint="default" w:ascii="Times New Roman" w:hAnsi="Times New Roman" w:cs="Times New Roman"/>
          <w:color w:val="auto"/>
          <w:sz w:val="24"/>
          <w:szCs w:val="24"/>
        </w:rPr>
        <w:t>iron</w:t>
      </w:r>
      <w:r>
        <w:rPr>
          <w:rFonts w:hint="default" w:ascii="Times New Roman" w:hAnsi="Times New Roman" w:cs="Times New Roman"/>
          <w:color w:val="auto"/>
          <w:sz w:val="24"/>
          <w:szCs w:val="24"/>
          <w:lang w:eastAsia="zh-CN"/>
        </w:rPr>
        <w:t>–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manganese </w:t>
      </w:r>
      <w:bookmarkStart w:id="29" w:name="OLE_LINK1"/>
      <w:r>
        <w:rPr>
          <w:rFonts w:hint="default" w:ascii="Times New Roman" w:hAnsi="Times New Roman" w:cs="Times New Roman"/>
          <w:color w:val="auto"/>
          <w:sz w:val="24"/>
          <w:szCs w:val="24"/>
        </w:rPr>
        <w:t>plaques</w:t>
      </w:r>
      <w:bookmarkEnd w:id="28"/>
      <w:bookmarkEnd w:id="29"/>
    </w:p>
    <w:p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rPr>
          <w:rFonts w:hint="default" w:ascii="Times New Roman" w:hAnsi="Times New Roman" w:cs="Times New Roman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tbl>
      <w:tblPr>
        <w:tblStyle w:val="5"/>
        <w:tblpPr w:leftFromText="180" w:rightFromText="180" w:vertAnchor="text" w:horzAnchor="page" w:tblpXSpec="center" w:tblpY="555"/>
        <w:tblOverlap w:val="never"/>
        <w:tblW w:w="6394" w:type="pct"/>
        <w:jc w:val="center"/>
        <w:tblCellSpacing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0"/>
        <w:gridCol w:w="1317"/>
        <w:gridCol w:w="1012"/>
        <w:gridCol w:w="1169"/>
        <w:gridCol w:w="1588"/>
        <w:gridCol w:w="1053"/>
        <w:gridCol w:w="903"/>
        <w:gridCol w:w="810"/>
        <w:gridCol w:w="887"/>
        <w:gridCol w:w="72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tblCellSpacing w:w="0" w:type="dxa"/>
          <w:jc w:val="center"/>
        </w:trPr>
        <w:tc>
          <w:tcPr>
            <w:tcW w:w="566" w:type="pct"/>
            <w:vMerge w:val="restart"/>
            <w:tcBorders>
              <w:top w:val="single" w:color="auto" w:sz="8" w:space="0"/>
              <w:bottom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Adsorbents</w:t>
            </w:r>
          </w:p>
        </w:tc>
        <w:tc>
          <w:tcPr>
            <w:tcW w:w="616" w:type="pct"/>
            <w:vMerge w:val="restart"/>
            <w:tcBorders>
              <w:top w:val="single" w:color="auto" w:sz="8" w:space="0"/>
              <w:bottom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pH</w:t>
            </w:r>
          </w:p>
        </w:tc>
        <w:tc>
          <w:tcPr>
            <w:tcW w:w="474" w:type="pct"/>
            <w:vMerge w:val="restart"/>
            <w:tcBorders>
              <w:top w:val="single" w:color="auto" w:sz="8" w:space="0"/>
              <w:bottom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ABET (m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vertAlign w:val="superscript"/>
              </w:rPr>
              <w:t>2</w:t>
            </w:r>
            <w:r>
              <w:rPr>
                <w:rFonts w:hint="eastAsia" w:cs="Times New Roman"/>
                <w:color w:val="auto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g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vertAlign w:val="superscript"/>
              </w:rPr>
              <w:t>−1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)</w:t>
            </w:r>
          </w:p>
        </w:tc>
        <w:tc>
          <w:tcPr>
            <w:tcW w:w="547" w:type="pct"/>
            <w:vMerge w:val="restart"/>
            <w:tcBorders>
              <w:top w:val="single" w:color="auto" w:sz="8" w:space="0"/>
              <w:bottom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Vtot</w:t>
            </w:r>
            <w:r>
              <w:rPr>
                <w:rFonts w:hint="eastAsia" w:cs="Times New Roman"/>
                <w:color w:val="auto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（cm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vertAlign w:val="superscript"/>
              </w:rPr>
              <w:t>3</w:t>
            </w:r>
            <w:r>
              <w:rPr>
                <w:rFonts w:hint="eastAsia" w:cs="Times New Roman"/>
                <w:color w:val="auto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g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vertAlign w:val="superscript"/>
              </w:rPr>
              <w:t>−1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)</w:t>
            </w:r>
          </w:p>
        </w:tc>
        <w:tc>
          <w:tcPr>
            <w:tcW w:w="743" w:type="pct"/>
            <w:vMerge w:val="restart"/>
            <w:tcBorders>
              <w:top w:val="single" w:color="auto" w:sz="8" w:space="0"/>
              <w:bottom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Average pore diameter (nm）</w:t>
            </w:r>
          </w:p>
        </w:tc>
        <w:tc>
          <w:tcPr>
            <w:tcW w:w="1711" w:type="pct"/>
            <w:gridSpan w:val="4"/>
            <w:tcBorders>
              <w:top w:val="single" w:color="auto" w:sz="8" w:space="0"/>
              <w:bottom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Bulk elemental composition (wt%)</w:t>
            </w:r>
          </w:p>
        </w:tc>
        <w:tc>
          <w:tcPr>
            <w:tcW w:w="339" w:type="pct"/>
            <w:vMerge w:val="restart"/>
            <w:tcBorders>
              <w:top w:val="single" w:color="auto" w:sz="8" w:space="0"/>
              <w:bottom w:val="single" w:color="auto" w:sz="4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Ash（%）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6" w:hRule="atLeast"/>
          <w:tblCellSpacing w:w="0" w:type="dxa"/>
          <w:jc w:val="center"/>
        </w:trPr>
        <w:tc>
          <w:tcPr>
            <w:tcW w:w="566" w:type="pct"/>
            <w:vMerge w:val="continue"/>
            <w:tcBorders>
              <w:top w:val="nil"/>
              <w:bottom w:val="single" w:color="auto" w:sz="4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16" w:type="pct"/>
            <w:vMerge w:val="continue"/>
            <w:tcBorders>
              <w:top w:val="nil"/>
              <w:bottom w:val="single" w:color="auto" w:sz="4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74" w:type="pct"/>
            <w:vMerge w:val="continue"/>
            <w:tcBorders>
              <w:top w:val="nil"/>
              <w:bottom w:val="single" w:color="auto" w:sz="4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47" w:type="pct"/>
            <w:vMerge w:val="continue"/>
            <w:tcBorders>
              <w:top w:val="nil"/>
              <w:bottom w:val="single" w:color="auto" w:sz="4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43" w:type="pct"/>
            <w:vMerge w:val="continue"/>
            <w:tcBorders>
              <w:top w:val="nil"/>
              <w:bottom w:val="single" w:color="auto" w:sz="4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nil"/>
              <w:bottom w:val="single" w:color="auto" w:sz="4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C</w:t>
            </w:r>
          </w:p>
        </w:tc>
        <w:tc>
          <w:tcPr>
            <w:tcW w:w="422" w:type="pct"/>
            <w:tcBorders>
              <w:top w:val="nil"/>
              <w:bottom w:val="single" w:color="auto" w:sz="4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H</w:t>
            </w:r>
          </w:p>
        </w:tc>
        <w:tc>
          <w:tcPr>
            <w:tcW w:w="379" w:type="pct"/>
            <w:tcBorders>
              <w:top w:val="nil"/>
              <w:bottom w:val="single" w:color="auto" w:sz="4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N</w:t>
            </w:r>
          </w:p>
        </w:tc>
        <w:tc>
          <w:tcPr>
            <w:tcW w:w="415" w:type="pct"/>
            <w:tcBorders>
              <w:top w:val="nil"/>
              <w:bottom w:val="single" w:color="auto" w:sz="4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S</w:t>
            </w:r>
          </w:p>
        </w:tc>
        <w:tc>
          <w:tcPr>
            <w:tcW w:w="339" w:type="pct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tblCellSpacing w:w="0" w:type="dxa"/>
          <w:jc w:val="center"/>
        </w:trPr>
        <w:tc>
          <w:tcPr>
            <w:tcW w:w="566" w:type="pct"/>
            <w:tcBorders>
              <w:top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BC</w:t>
            </w:r>
          </w:p>
        </w:tc>
        <w:tc>
          <w:tcPr>
            <w:tcW w:w="616" w:type="pct"/>
            <w:tcBorders>
              <w:top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10.06</w:t>
            </w:r>
            <w:r>
              <w:rPr>
                <w:rFonts w:hint="eastAsia" w:cs="Times New Roman"/>
                <w:color w:val="auto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±</w:t>
            </w:r>
            <w:r>
              <w:rPr>
                <w:rFonts w:hint="eastAsia" w:cs="Times New Roman"/>
                <w:color w:val="auto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0.01</w:t>
            </w:r>
          </w:p>
        </w:tc>
        <w:tc>
          <w:tcPr>
            <w:tcW w:w="474" w:type="pct"/>
            <w:tcBorders>
              <w:top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6.17</w:t>
            </w:r>
          </w:p>
        </w:tc>
        <w:tc>
          <w:tcPr>
            <w:tcW w:w="547" w:type="pct"/>
            <w:tcBorders>
              <w:top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0.0356</w:t>
            </w:r>
          </w:p>
        </w:tc>
        <w:tc>
          <w:tcPr>
            <w:tcW w:w="743" w:type="pct"/>
            <w:tcBorders>
              <w:top w:val="nil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23.07</w:t>
            </w:r>
          </w:p>
        </w:tc>
        <w:tc>
          <w:tcPr>
            <w:tcW w:w="493" w:type="pct"/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70.66</w:t>
            </w:r>
          </w:p>
        </w:tc>
        <w:tc>
          <w:tcPr>
            <w:tcW w:w="422" w:type="pct"/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2.18</w:t>
            </w:r>
          </w:p>
        </w:tc>
        <w:tc>
          <w:tcPr>
            <w:tcW w:w="379" w:type="pct"/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0.96</w:t>
            </w:r>
          </w:p>
        </w:tc>
        <w:tc>
          <w:tcPr>
            <w:tcW w:w="415" w:type="pct"/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0.47</w:t>
            </w:r>
          </w:p>
        </w:tc>
        <w:tc>
          <w:tcPr>
            <w:tcW w:w="339" w:type="pct"/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17%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tblCellSpacing w:w="0" w:type="dxa"/>
          <w:jc w:val="center"/>
        </w:trPr>
        <w:tc>
          <w:tcPr>
            <w:tcW w:w="566" w:type="pct"/>
            <w:tcBorders>
              <w:bottom w:val="single" w:color="auto" w:sz="8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FMBC</w:t>
            </w:r>
          </w:p>
        </w:tc>
        <w:tc>
          <w:tcPr>
            <w:tcW w:w="616" w:type="pct"/>
            <w:tcBorders>
              <w:bottom w:val="single" w:color="auto" w:sz="8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10.24</w:t>
            </w:r>
            <w:r>
              <w:rPr>
                <w:rFonts w:hint="eastAsia" w:cs="Times New Roman"/>
                <w:color w:val="auto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±</w:t>
            </w:r>
            <w:r>
              <w:rPr>
                <w:rFonts w:hint="eastAsia" w:cs="Times New Roman"/>
                <w:color w:val="auto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0.01</w:t>
            </w:r>
          </w:p>
        </w:tc>
        <w:tc>
          <w:tcPr>
            <w:tcW w:w="474" w:type="pct"/>
            <w:tcBorders>
              <w:bottom w:val="single" w:color="auto" w:sz="8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4.65</w:t>
            </w:r>
          </w:p>
        </w:tc>
        <w:tc>
          <w:tcPr>
            <w:tcW w:w="547" w:type="pct"/>
            <w:tcBorders>
              <w:bottom w:val="single" w:color="auto" w:sz="8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0.0430</w:t>
            </w:r>
          </w:p>
        </w:tc>
        <w:tc>
          <w:tcPr>
            <w:tcW w:w="743" w:type="pct"/>
            <w:tcBorders>
              <w:bottom w:val="single" w:color="auto" w:sz="8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37.03</w:t>
            </w:r>
          </w:p>
        </w:tc>
        <w:tc>
          <w:tcPr>
            <w:tcW w:w="493" w:type="pct"/>
            <w:tcBorders>
              <w:bottom w:val="single" w:color="auto" w:sz="8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47.38</w:t>
            </w:r>
          </w:p>
        </w:tc>
        <w:tc>
          <w:tcPr>
            <w:tcW w:w="422" w:type="pct"/>
            <w:tcBorders>
              <w:bottom w:val="single" w:color="auto" w:sz="8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1.53</w:t>
            </w:r>
          </w:p>
        </w:tc>
        <w:tc>
          <w:tcPr>
            <w:tcW w:w="379" w:type="pct"/>
            <w:tcBorders>
              <w:bottom w:val="single" w:color="auto" w:sz="8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0.81</w:t>
            </w:r>
          </w:p>
        </w:tc>
        <w:tc>
          <w:tcPr>
            <w:tcW w:w="415" w:type="pct"/>
            <w:tcBorders>
              <w:bottom w:val="single" w:color="auto" w:sz="8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0.13</w:t>
            </w:r>
          </w:p>
        </w:tc>
        <w:tc>
          <w:tcPr>
            <w:tcW w:w="339" w:type="pct"/>
            <w:tcBorders>
              <w:bottom w:val="single" w:color="auto" w:sz="8" w:space="0"/>
            </w:tcBorders>
            <w:shd w:val="clear" w:color="auto" w:fill="FFFFFF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4"/>
              <w:widowControl/>
              <w:jc w:val="center"/>
              <w:rPr>
                <w:rFonts w:hint="default" w:ascii="Times New Roman" w:hAnsi="Times New Roman" w:cs="Times New Roman"/>
                <w:color w:val="auto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4"/>
              </w:rPr>
              <w:t>39%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Table S1 </w:t>
      </w:r>
      <w:bookmarkStart w:id="30" w:name="OLE_LINK9"/>
      <w:r>
        <w:rPr>
          <w:rFonts w:hint="default" w:ascii="Times New Roman" w:hAnsi="Times New Roman" w:cs="Times New Roman"/>
          <w:color w:val="auto"/>
          <w:sz w:val="24"/>
          <w:szCs w:val="24"/>
        </w:rPr>
        <w:t>Physiochemical properties</w:t>
      </w:r>
      <w:bookmarkEnd w:id="30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of BC and FMBC</w:t>
      </w: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tbl>
      <w:tblPr>
        <w:tblStyle w:val="5"/>
        <w:tblpPr w:leftFromText="180" w:rightFromText="180" w:vertAnchor="text" w:horzAnchor="page" w:tblpXSpec="center" w:tblpY="3648"/>
        <w:tblOverlap w:val="never"/>
        <w:tblW w:w="1065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312"/>
        <w:gridCol w:w="1493"/>
        <w:gridCol w:w="986"/>
        <w:gridCol w:w="1089"/>
        <w:gridCol w:w="956"/>
        <w:gridCol w:w="1190"/>
        <w:gridCol w:w="1454"/>
        <w:gridCol w:w="148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696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pH</w:t>
            </w:r>
          </w:p>
        </w:tc>
        <w:tc>
          <w:tcPr>
            <w:tcW w:w="1312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EC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(µs</w:t>
            </w:r>
            <w:r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cm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vertAlign w:val="superscript"/>
                <w:lang w:eastAsia="zh-CN" w:bidi="ar"/>
              </w:rPr>
              <w:t>–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vertAlign w:val="superscript"/>
                <w:lang w:bidi="ar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493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CEC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(cmol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vertAlign w:val="superscript"/>
                <w:lang w:bidi="ar"/>
              </w:rPr>
              <w:t>+</w:t>
            </w:r>
            <w:r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kg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vertAlign w:val="superscript"/>
                <w:lang w:eastAsia="zh-CN" w:bidi="ar"/>
              </w:rPr>
              <w:t>–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vertAlign w:val="superscript"/>
                <w:lang w:bidi="ar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986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TOC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(g</w:t>
            </w:r>
            <w:r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kg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vertAlign w:val="superscript"/>
                <w:lang w:eastAsia="zh-CN" w:bidi="ar"/>
              </w:rPr>
              <w:t>–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vertAlign w:val="superscript"/>
                <w:lang w:bidi="ar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089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TN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(g</w:t>
            </w:r>
            <w:r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kg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vertAlign w:val="superscript"/>
                <w:lang w:eastAsia="zh-CN" w:bidi="ar"/>
              </w:rPr>
              <w:t>–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vertAlign w:val="superscript"/>
                <w:lang w:bidi="ar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956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TP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(g</w:t>
            </w:r>
            <w:r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kg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vertAlign w:val="superscript"/>
                <w:lang w:eastAsia="zh-CN" w:bidi="ar"/>
              </w:rPr>
              <w:t>–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vertAlign w:val="superscript"/>
                <w:lang w:bidi="ar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190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TK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(g</w:t>
            </w:r>
            <w:r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kg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vertAlign w:val="superscript"/>
                <w:lang w:eastAsia="zh-CN" w:bidi="ar"/>
              </w:rPr>
              <w:t>–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vertAlign w:val="superscript"/>
                <w:lang w:bidi="ar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2935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Heavy metal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69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2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9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8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89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5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Hg 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(mg</w:t>
            </w:r>
            <w:r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kg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vertAlign w:val="superscript"/>
                <w:lang w:eastAsia="zh-CN" w:bidi="ar"/>
              </w:rPr>
              <w:t>–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vertAlign w:val="superscript"/>
                <w:lang w:bidi="ar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480" w:firstLineChars="200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Cd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(mg</w:t>
            </w:r>
            <w:r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kg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vertAlign w:val="superscript"/>
                <w:lang w:eastAsia="zh-CN" w:bidi="ar"/>
              </w:rPr>
              <w:t>–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vertAlign w:val="superscript"/>
                <w:lang w:bidi="ar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9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6.19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13.64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12.13 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31.63</w:t>
            </w:r>
          </w:p>
        </w:tc>
        <w:tc>
          <w:tcPr>
            <w:tcW w:w="1089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1.42 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>1.00</w:t>
            </w: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bidi="ar"/>
              </w:rPr>
              <w:t xml:space="preserve">16.67 </w:t>
            </w:r>
          </w:p>
        </w:tc>
        <w:tc>
          <w:tcPr>
            <w:tcW w:w="1454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bookmarkStart w:id="31" w:name="OLE_LINK15"/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5.40</w:t>
            </w:r>
            <w:bookmarkEnd w:id="31"/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bookmarkStart w:id="32" w:name="OLE_LINK16"/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0.76</w:t>
            </w:r>
            <w:bookmarkEnd w:id="32"/>
          </w:p>
        </w:tc>
      </w:tr>
    </w:tbl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</w:p>
    <w:p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Table S2 </w:t>
      </w:r>
      <w:bookmarkStart w:id="33" w:name="OLE_LINK8"/>
      <w:r>
        <w:rPr>
          <w:rFonts w:hint="default" w:ascii="Times New Roman" w:hAnsi="Times New Roman" w:cs="Times New Roman"/>
          <w:color w:val="auto"/>
          <w:sz w:val="24"/>
          <w:szCs w:val="24"/>
        </w:rPr>
        <w:t>The basic physicochemical properties of paddy soil</w:t>
      </w:r>
      <w:bookmarkEnd w:id="33"/>
    </w:p>
    <w:p>
      <w:pPr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xOTA1YzcyZWFjYWEzZTEyNzc5ZTBkOWNkNWMxNjQifQ=="/>
  </w:docVars>
  <w:rsids>
    <w:rsidRoot w:val="42D25C4C"/>
    <w:rsid w:val="00076CCA"/>
    <w:rsid w:val="0010127B"/>
    <w:rsid w:val="003C70FC"/>
    <w:rsid w:val="004420B9"/>
    <w:rsid w:val="004A4D87"/>
    <w:rsid w:val="0053228E"/>
    <w:rsid w:val="006C7758"/>
    <w:rsid w:val="009E2387"/>
    <w:rsid w:val="00AE6FC3"/>
    <w:rsid w:val="00B32DC2"/>
    <w:rsid w:val="00DB151C"/>
    <w:rsid w:val="00E21DF5"/>
    <w:rsid w:val="00F62CC2"/>
    <w:rsid w:val="00F87EF1"/>
    <w:rsid w:val="00F97805"/>
    <w:rsid w:val="00FC5A76"/>
    <w:rsid w:val="063257BF"/>
    <w:rsid w:val="06420522"/>
    <w:rsid w:val="0666565A"/>
    <w:rsid w:val="07A254CA"/>
    <w:rsid w:val="08BD0334"/>
    <w:rsid w:val="0F072309"/>
    <w:rsid w:val="12415A2B"/>
    <w:rsid w:val="12AB42E7"/>
    <w:rsid w:val="13227F2E"/>
    <w:rsid w:val="152A0AFF"/>
    <w:rsid w:val="154C1139"/>
    <w:rsid w:val="166B3ED7"/>
    <w:rsid w:val="1AE7616A"/>
    <w:rsid w:val="1DBF59E9"/>
    <w:rsid w:val="20CD4FB6"/>
    <w:rsid w:val="26B47FFC"/>
    <w:rsid w:val="281819F8"/>
    <w:rsid w:val="2A1A0130"/>
    <w:rsid w:val="2AD6166C"/>
    <w:rsid w:val="2B165956"/>
    <w:rsid w:val="2C8608B9"/>
    <w:rsid w:val="2D495E8E"/>
    <w:rsid w:val="30EA6424"/>
    <w:rsid w:val="332664A5"/>
    <w:rsid w:val="3402367C"/>
    <w:rsid w:val="34BF0C4E"/>
    <w:rsid w:val="374A4A5B"/>
    <w:rsid w:val="378105FB"/>
    <w:rsid w:val="3E691DE9"/>
    <w:rsid w:val="40F54C34"/>
    <w:rsid w:val="42D25C4C"/>
    <w:rsid w:val="43D30B6C"/>
    <w:rsid w:val="44013556"/>
    <w:rsid w:val="45623013"/>
    <w:rsid w:val="477644A6"/>
    <w:rsid w:val="47B440D5"/>
    <w:rsid w:val="4AAD63EA"/>
    <w:rsid w:val="4FF9766F"/>
    <w:rsid w:val="531A1344"/>
    <w:rsid w:val="55DB3175"/>
    <w:rsid w:val="583E0801"/>
    <w:rsid w:val="5AB67EBA"/>
    <w:rsid w:val="5C7B402E"/>
    <w:rsid w:val="5D6E61D2"/>
    <w:rsid w:val="5D744186"/>
    <w:rsid w:val="64AB3765"/>
    <w:rsid w:val="65442849"/>
    <w:rsid w:val="655B1BDC"/>
    <w:rsid w:val="65C40F97"/>
    <w:rsid w:val="6AAE795F"/>
    <w:rsid w:val="6EF90950"/>
    <w:rsid w:val="71325EE7"/>
    <w:rsid w:val="720D24B0"/>
    <w:rsid w:val="757143B0"/>
    <w:rsid w:val="777E3227"/>
    <w:rsid w:val="779015FC"/>
    <w:rsid w:val="7F87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Emphasis"/>
    <w:basedOn w:val="6"/>
    <w:autoRedefine/>
    <w:qFormat/>
    <w:uiPriority w:val="0"/>
    <w:rPr>
      <w:i/>
    </w:rPr>
  </w:style>
  <w:style w:type="character" w:styleId="8">
    <w:name w:val="Hyperlink"/>
    <w:basedOn w:val="6"/>
    <w:autoRedefine/>
    <w:qFormat/>
    <w:uiPriority w:val="0"/>
    <w:rPr>
      <w:color w:val="0000FF"/>
      <w:u w:val="single"/>
    </w:rPr>
  </w:style>
  <w:style w:type="character" w:customStyle="1" w:styleId="9">
    <w:name w:val="页眉 字符"/>
    <w:basedOn w:val="6"/>
    <w:link w:val="3"/>
    <w:autoRedefine/>
    <w:qFormat/>
    <w:uiPriority w:val="0"/>
    <w:rPr>
      <w:rFonts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autoRedefine/>
    <w:qFormat/>
    <w:uiPriority w:val="0"/>
    <w:rPr>
      <w:rFonts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3.emf"/><Relationship Id="rId7" Type="http://schemas.openxmlformats.org/officeDocument/2006/relationships/oleObject" Target="embeddings/oleObject2.bin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8.emf"/><Relationship Id="rId17" Type="http://schemas.openxmlformats.org/officeDocument/2006/relationships/oleObject" Target="embeddings/oleObject7.bin"/><Relationship Id="rId16" Type="http://schemas.openxmlformats.org/officeDocument/2006/relationships/image" Target="media/image7.emf"/><Relationship Id="rId15" Type="http://schemas.openxmlformats.org/officeDocument/2006/relationships/oleObject" Target="embeddings/oleObject6.bin"/><Relationship Id="rId14" Type="http://schemas.openxmlformats.org/officeDocument/2006/relationships/image" Target="media/image6.emf"/><Relationship Id="rId13" Type="http://schemas.openxmlformats.org/officeDocument/2006/relationships/oleObject" Target="embeddings/oleObject5.bin"/><Relationship Id="rId12" Type="http://schemas.openxmlformats.org/officeDocument/2006/relationships/image" Target="media/image5.emf"/><Relationship Id="rId11" Type="http://schemas.openxmlformats.org/officeDocument/2006/relationships/oleObject" Target="embeddings/oleObject4.bin"/><Relationship Id="rId10" Type="http://schemas.openxmlformats.org/officeDocument/2006/relationships/image" Target="media/image4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842</Words>
  <Characters>4806</Characters>
  <Lines>40</Lines>
  <Paragraphs>11</Paragraphs>
  <TotalTime>71</TotalTime>
  <ScaleCrop>false</ScaleCrop>
  <LinksUpToDate>false</LinksUpToDate>
  <CharactersWithSpaces>5637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2022-06-06T13:21:00Z</dcterms:created>
  <dc:creator>Sparrow</dc:creator>
  <cp:lastModifiedBy>Sunflower </cp:lastModifiedBy>
  <dcterms:modified xsi:type="dcterms:W3CDTF">2024-04-29T04:02:33Z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1C9543FDC983429B9A6D582AE2EBADB9</vt:lpwstr>
  </property>
</Properties>
</file>