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2CBA2">
      <w:pPr>
        <w:spacing w:line="360" w:lineRule="auto"/>
        <w:ind w:firstLine="320"/>
        <w:jc w:val="center"/>
        <w:rPr>
          <w:rFonts w:ascii="Times New Roman" w:hAnsi="Times New Roman" w:cs="Times New Roman"/>
          <w:b/>
          <w:sz w:val="32"/>
          <w:szCs w:val="32"/>
        </w:rPr>
      </w:pPr>
      <w:r>
        <w:rPr>
          <w:rFonts w:ascii="Times New Roman" w:hAnsi="Times New Roman" w:cs="Times New Roman"/>
          <w:b/>
          <w:sz w:val="32"/>
          <w:szCs w:val="32"/>
        </w:rPr>
        <w:t>Supporting information (SI)</w:t>
      </w:r>
    </w:p>
    <w:p w14:paraId="118AC0F5">
      <w:pPr>
        <w:spacing w:line="360" w:lineRule="auto"/>
        <w:ind w:firstLine="320"/>
        <w:jc w:val="center"/>
        <w:rPr>
          <w:rFonts w:ascii="Times New Roman" w:hAnsi="Times New Roman" w:cs="Times New Roman"/>
          <w:b/>
          <w:sz w:val="32"/>
          <w:szCs w:val="32"/>
        </w:rPr>
      </w:pPr>
      <w:r>
        <w:rPr>
          <w:rFonts w:ascii="Times New Roman" w:hAnsi="Times New Roman" w:cs="Times New Roman"/>
          <w:b/>
          <w:sz w:val="32"/>
          <w:szCs w:val="32"/>
        </w:rPr>
        <w:t>For</w:t>
      </w:r>
    </w:p>
    <w:p w14:paraId="02D1306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Synergistic Enhancement of Biochar in TiO</w:t>
      </w:r>
      <w:r>
        <w:rPr>
          <w:rFonts w:ascii="Times New Roman" w:hAnsi="Times New Roman" w:cs="Times New Roman"/>
          <w:b/>
          <w:sz w:val="28"/>
          <w:szCs w:val="28"/>
          <w:vertAlign w:val="subscript"/>
        </w:rPr>
        <w:t>2</w:t>
      </w:r>
      <w:r>
        <w:rPr>
          <w:rFonts w:ascii="Times New Roman" w:hAnsi="Times New Roman" w:cs="Times New Roman"/>
          <w:b/>
          <w:sz w:val="28"/>
          <w:szCs w:val="28"/>
        </w:rPr>
        <w:t>/g-C</w:t>
      </w:r>
      <w:r>
        <w:rPr>
          <w:rFonts w:ascii="Times New Roman" w:hAnsi="Times New Roman" w:cs="Times New Roman"/>
          <w:b/>
          <w:sz w:val="28"/>
          <w:szCs w:val="28"/>
          <w:vertAlign w:val="subscript"/>
        </w:rPr>
        <w:t>3</w:t>
      </w:r>
      <w:r>
        <w:rPr>
          <w:rFonts w:ascii="Times New Roman" w:hAnsi="Times New Roman" w:cs="Times New Roman"/>
          <w:b/>
          <w:sz w:val="28"/>
          <w:szCs w:val="28"/>
        </w:rPr>
        <w:t>N</w:t>
      </w:r>
      <w:r>
        <w:rPr>
          <w:rFonts w:ascii="Times New Roman" w:hAnsi="Times New Roman" w:cs="Times New Roman"/>
          <w:b/>
          <w:sz w:val="28"/>
          <w:szCs w:val="28"/>
          <w:vertAlign w:val="subscript"/>
        </w:rPr>
        <w:t>4</w:t>
      </w:r>
      <w:r>
        <w:rPr>
          <w:rFonts w:ascii="Times New Roman" w:hAnsi="Times New Roman" w:cs="Times New Roman"/>
          <w:b/>
          <w:sz w:val="28"/>
          <w:szCs w:val="28"/>
        </w:rPr>
        <w:t xml:space="preserve"> Z-Scheme Heterojunction Photocatalysts: Mechanistic Insights into the Degradation Pathways of Sulfonamide Antibiotics</w:t>
      </w:r>
    </w:p>
    <w:p w14:paraId="3556F886">
      <w:pPr>
        <w:spacing w:line="360" w:lineRule="auto"/>
        <w:rPr>
          <w:rFonts w:ascii="Times New Roman" w:hAnsi="Times New Roman" w:cs="Times New Roman"/>
          <w:bCs/>
          <w:sz w:val="24"/>
          <w:szCs w:val="24"/>
        </w:rPr>
      </w:pPr>
      <w:r>
        <w:rPr>
          <w:rFonts w:ascii="Times New Roman" w:hAnsi="Times New Roman" w:cs="Times New Roman"/>
          <w:bCs/>
          <w:sz w:val="24"/>
          <w:szCs w:val="24"/>
        </w:rPr>
        <w:t>The Supporting Information includes:</w:t>
      </w:r>
    </w:p>
    <w:p w14:paraId="70A3A6B2">
      <w:pPr>
        <w:spacing w:line="360" w:lineRule="auto"/>
        <w:rPr>
          <w:rFonts w:ascii="Times New Roman" w:hAnsi="Times New Roman" w:cs="Times New Roman"/>
          <w:bCs/>
          <w:sz w:val="24"/>
          <w:szCs w:val="24"/>
        </w:rPr>
      </w:pPr>
      <w:bookmarkStart w:id="0" w:name="_Hlk209620212"/>
      <w:r>
        <w:rPr>
          <w:rFonts w:ascii="Times New Roman" w:hAnsi="Times New Roman" w:cs="Times New Roman"/>
          <w:bCs/>
          <w:sz w:val="24"/>
          <w:szCs w:val="24"/>
        </w:rPr>
        <w:t>Supplementary</w:t>
      </w:r>
      <w:bookmarkEnd w:id="0"/>
      <w:r>
        <w:rPr>
          <w:rFonts w:ascii="Times New Roman" w:hAnsi="Times New Roman" w:cs="Times New Roman"/>
          <w:bCs/>
          <w:sz w:val="24"/>
          <w:szCs w:val="24"/>
        </w:rPr>
        <w:t xml:space="preserve"> Text S1.Material preparation</w:t>
      </w:r>
    </w:p>
    <w:p w14:paraId="5A19B074">
      <w:pPr>
        <w:spacing w:line="360" w:lineRule="auto"/>
        <w:rPr>
          <w:rFonts w:ascii="Times New Roman" w:hAnsi="Times New Roman" w:cs="Times New Roman"/>
          <w:bCs/>
          <w:sz w:val="24"/>
          <w:szCs w:val="24"/>
        </w:rPr>
      </w:pPr>
      <w:r>
        <w:rPr>
          <w:rFonts w:ascii="Times New Roman" w:hAnsi="Times New Roman" w:cs="Times New Roman"/>
          <w:bCs/>
          <w:sz w:val="24"/>
          <w:szCs w:val="24"/>
        </w:rPr>
        <w:t>Supplementary Text S2. Uniform experimental parameters for photocatalytic degradation</w:t>
      </w:r>
    </w:p>
    <w:p w14:paraId="77CE0544">
      <w:pPr>
        <w:spacing w:line="360" w:lineRule="auto"/>
        <w:rPr>
          <w:rFonts w:ascii="Times New Roman" w:hAnsi="Times New Roman" w:cs="Times New Roman"/>
          <w:bCs/>
          <w:sz w:val="24"/>
          <w:szCs w:val="24"/>
        </w:rPr>
      </w:pPr>
      <w:r>
        <w:rPr>
          <w:rFonts w:ascii="Times New Roman" w:hAnsi="Times New Roman" w:cs="Times New Roman"/>
          <w:bCs/>
          <w:sz w:val="24"/>
          <w:szCs w:val="24"/>
        </w:rPr>
        <w:t>Supplementary Text S3.Analysis methods</w:t>
      </w:r>
    </w:p>
    <w:p w14:paraId="3B4D24A1">
      <w:pPr>
        <w:spacing w:line="360" w:lineRule="auto"/>
        <w:rPr>
          <w:rFonts w:ascii="Times New Roman" w:hAnsi="Times New Roman" w:cs="Times New Roman"/>
          <w:bCs/>
          <w:sz w:val="24"/>
          <w:szCs w:val="24"/>
        </w:rPr>
      </w:pPr>
      <w:r>
        <w:rPr>
          <w:rFonts w:ascii="Times New Roman" w:hAnsi="Times New Roman" w:cs="Times New Roman"/>
          <w:bCs/>
          <w:sz w:val="24"/>
          <w:szCs w:val="24"/>
        </w:rPr>
        <w:t>Supplementary Text S4.Details for quantum chemistry calculations</w:t>
      </w:r>
    </w:p>
    <w:p w14:paraId="0F66C9D1">
      <w:pPr>
        <w:spacing w:line="360" w:lineRule="auto"/>
        <w:rPr>
          <w:rFonts w:ascii="Times New Roman" w:hAnsi="Times New Roman" w:cs="Times New Roman"/>
          <w:bCs/>
          <w:sz w:val="24"/>
          <w:szCs w:val="24"/>
        </w:rPr>
      </w:pPr>
      <w:r>
        <w:rPr>
          <w:rFonts w:ascii="Times New Roman" w:hAnsi="Times New Roman" w:cs="Times New Roman"/>
          <w:bCs/>
          <w:sz w:val="24"/>
          <w:szCs w:val="24"/>
        </w:rPr>
        <w:t>Supplementary Text S5.Details for Density Functional Theory (DFT) calculations</w:t>
      </w:r>
    </w:p>
    <w:p w14:paraId="14CF4F89">
      <w:pPr>
        <w:spacing w:line="360" w:lineRule="auto"/>
        <w:rPr>
          <w:rFonts w:ascii="Times New Roman" w:hAnsi="Times New Roman" w:cs="Times New Roman"/>
          <w:sz w:val="24"/>
          <w:szCs w:val="24"/>
          <w:lang w:bidi="ar"/>
        </w:rPr>
      </w:pPr>
      <w:r>
        <w:rPr>
          <w:rFonts w:ascii="Times New Roman" w:hAnsi="Times New Roman" w:cs="Times New Roman"/>
          <w:sz w:val="24"/>
          <w:szCs w:val="24"/>
          <w:lang w:bidi="ar"/>
        </w:rPr>
        <w:t>Fig. S1. (a)(b) SEM and TEM image of TiO</w:t>
      </w:r>
      <w:r>
        <w:rPr>
          <w:rFonts w:ascii="Times New Roman" w:hAnsi="Times New Roman" w:cs="Times New Roman"/>
          <w:sz w:val="24"/>
          <w:szCs w:val="24"/>
          <w:vertAlign w:val="subscript"/>
          <w:lang w:bidi="ar"/>
        </w:rPr>
        <w:t>2</w:t>
      </w:r>
      <w:r>
        <w:rPr>
          <w:rFonts w:ascii="Times New Roman" w:hAnsi="Times New Roman" w:cs="Times New Roman"/>
          <w:sz w:val="24"/>
          <w:szCs w:val="24"/>
          <w:lang w:bidi="ar"/>
        </w:rPr>
        <w:t>; (c)(d) SEM and TEM image of g-C</w:t>
      </w:r>
      <w:r>
        <w:rPr>
          <w:rFonts w:ascii="Times New Roman" w:hAnsi="Times New Roman" w:cs="Times New Roman"/>
          <w:sz w:val="24"/>
          <w:szCs w:val="24"/>
          <w:vertAlign w:val="subscript"/>
          <w:lang w:bidi="ar"/>
        </w:rPr>
        <w:t>3</w:t>
      </w:r>
      <w:r>
        <w:rPr>
          <w:rFonts w:ascii="Times New Roman" w:hAnsi="Times New Roman" w:cs="Times New Roman"/>
          <w:sz w:val="24"/>
          <w:szCs w:val="24"/>
          <w:lang w:bidi="ar"/>
        </w:rPr>
        <w:t>N</w:t>
      </w:r>
      <w:r>
        <w:rPr>
          <w:rFonts w:ascii="Times New Roman" w:hAnsi="Times New Roman" w:cs="Times New Roman"/>
          <w:sz w:val="24"/>
          <w:szCs w:val="24"/>
          <w:vertAlign w:val="subscript"/>
          <w:lang w:bidi="ar"/>
        </w:rPr>
        <w:t>4</w:t>
      </w:r>
      <w:r>
        <w:rPr>
          <w:rFonts w:ascii="Times New Roman" w:hAnsi="Times New Roman" w:cs="Times New Roman"/>
          <w:sz w:val="24"/>
          <w:szCs w:val="24"/>
          <w:lang w:bidi="ar"/>
        </w:rPr>
        <w:t>; (e) (f) SEM and TEM image of TiO</w:t>
      </w:r>
      <w:r>
        <w:rPr>
          <w:rFonts w:ascii="Times New Roman" w:hAnsi="Times New Roman" w:cs="Times New Roman"/>
          <w:sz w:val="24"/>
          <w:szCs w:val="24"/>
          <w:vertAlign w:val="subscript"/>
          <w:lang w:bidi="ar"/>
        </w:rPr>
        <w:t>2</w:t>
      </w:r>
      <w:r>
        <w:rPr>
          <w:rFonts w:ascii="Times New Roman" w:hAnsi="Times New Roman" w:cs="Times New Roman"/>
          <w:sz w:val="24"/>
          <w:szCs w:val="24"/>
          <w:lang w:bidi="ar"/>
        </w:rPr>
        <w:t>/g-C</w:t>
      </w:r>
      <w:r>
        <w:rPr>
          <w:rFonts w:ascii="Times New Roman" w:hAnsi="Times New Roman" w:cs="Times New Roman"/>
          <w:sz w:val="24"/>
          <w:szCs w:val="24"/>
          <w:vertAlign w:val="subscript"/>
          <w:lang w:bidi="ar"/>
        </w:rPr>
        <w:t>3</w:t>
      </w:r>
      <w:r>
        <w:rPr>
          <w:rFonts w:ascii="Times New Roman" w:hAnsi="Times New Roman" w:cs="Times New Roman"/>
          <w:sz w:val="24"/>
          <w:szCs w:val="24"/>
          <w:lang w:bidi="ar"/>
        </w:rPr>
        <w:t>N</w:t>
      </w:r>
      <w:r>
        <w:rPr>
          <w:rFonts w:ascii="Times New Roman" w:hAnsi="Times New Roman" w:cs="Times New Roman"/>
          <w:sz w:val="24"/>
          <w:szCs w:val="24"/>
          <w:vertAlign w:val="subscript"/>
          <w:lang w:bidi="ar"/>
        </w:rPr>
        <w:t>4</w:t>
      </w:r>
    </w:p>
    <w:p w14:paraId="75D0D416">
      <w:pPr>
        <w:spacing w:line="360" w:lineRule="auto"/>
        <w:rPr>
          <w:rFonts w:ascii="Times New Roman" w:hAnsi="Times New Roman" w:cs="Times New Roman"/>
          <w:sz w:val="24"/>
          <w:szCs w:val="24"/>
          <w:lang w:bidi="ar"/>
        </w:rPr>
      </w:pPr>
      <w:r>
        <w:rPr>
          <w:rFonts w:ascii="Times New Roman" w:hAnsi="Times New Roman" w:cs="Times New Roman"/>
          <w:sz w:val="24"/>
          <w:szCs w:val="24"/>
          <w:lang w:bidi="ar"/>
        </w:rPr>
        <w:t>Fig. S2 EDS mapping of MBC-500</w:t>
      </w:r>
    </w:p>
    <w:p w14:paraId="4D131872">
      <w:pPr>
        <w:spacing w:line="360" w:lineRule="auto"/>
        <w:rPr>
          <w:rFonts w:ascii="Times New Roman" w:hAnsi="Times New Roman" w:cs="Times New Roman"/>
          <w:bCs/>
          <w:sz w:val="24"/>
          <w:szCs w:val="24"/>
          <w:vertAlign w:val="superscript"/>
        </w:rPr>
      </w:pPr>
      <w:bookmarkStart w:id="1" w:name="_Hlk209513772"/>
      <w:r>
        <w:rPr>
          <w:rFonts w:ascii="Times New Roman" w:hAnsi="Times New Roman" w:cs="Times New Roman"/>
          <w:bCs/>
          <w:sz w:val="24"/>
          <w:szCs w:val="24"/>
        </w:rPr>
        <w:t>Fig. S3 TGA plot</w:t>
      </w:r>
    </w:p>
    <w:bookmarkEnd w:id="1"/>
    <w:p w14:paraId="10DB715A">
      <w:pPr>
        <w:spacing w:line="360" w:lineRule="auto"/>
        <w:rPr>
          <w:rFonts w:ascii="Times New Roman" w:hAnsi="Times New Roman" w:cs="Times New Roman"/>
          <w:bCs/>
          <w:sz w:val="24"/>
          <w:szCs w:val="24"/>
        </w:rPr>
      </w:pPr>
      <w:bookmarkStart w:id="2" w:name="_Hlk209536810"/>
      <w:r>
        <w:rPr>
          <w:rFonts w:ascii="Times New Roman" w:hAnsi="Times New Roman" w:cs="Times New Roman"/>
          <w:bCs/>
          <w:sz w:val="24"/>
          <w:szCs w:val="24"/>
        </w:rPr>
        <w:t>Fig. S4 Mott–Schottky plots</w:t>
      </w:r>
    </w:p>
    <w:bookmarkEnd w:id="2"/>
    <w:p w14:paraId="68380E08">
      <w:pPr>
        <w:spacing w:line="360" w:lineRule="auto"/>
        <w:rPr>
          <w:rFonts w:ascii="Times New Roman" w:hAnsi="Times New Roman" w:cs="Times New Roman"/>
          <w:bCs/>
          <w:sz w:val="24"/>
          <w:szCs w:val="24"/>
        </w:rPr>
      </w:pPr>
      <w:bookmarkStart w:id="3" w:name="_Hlk209514029"/>
      <w:r>
        <w:rPr>
          <w:rFonts w:ascii="Times New Roman" w:hAnsi="Times New Roman" w:cs="Times New Roman"/>
          <w:bCs/>
          <w:sz w:val="24"/>
          <w:szCs w:val="24"/>
        </w:rPr>
        <w:t>Fig. S5</w:t>
      </w:r>
      <w:bookmarkEnd w:id="3"/>
      <w:r>
        <w:rPr>
          <w:rFonts w:ascii="Times New Roman" w:hAnsi="Times New Roman" w:cs="Times New Roman"/>
          <w:bCs/>
          <w:sz w:val="24"/>
          <w:szCs w:val="24"/>
        </w:rPr>
        <w:t xml:space="preserve"> (a) Transient photocurrent results of Material;(b) EIS Nyquist plots</w:t>
      </w:r>
    </w:p>
    <w:p w14:paraId="1ADD84AE">
      <w:pPr>
        <w:spacing w:line="360" w:lineRule="auto"/>
        <w:rPr>
          <w:rFonts w:ascii="Times New Roman" w:hAnsi="Times New Roman" w:cs="Times New Roman"/>
          <w:bCs/>
          <w:sz w:val="24"/>
          <w:szCs w:val="24"/>
        </w:rPr>
      </w:pPr>
      <w:r>
        <w:rPr>
          <w:rFonts w:ascii="Times New Roman" w:hAnsi="Times New Roman" w:cs="Times New Roman"/>
          <w:bCs/>
          <w:sz w:val="24"/>
          <w:szCs w:val="24"/>
        </w:rPr>
        <w:t>Fig. S6 A Study of SDZ Adsorption Equilibrium on MBC-500</w:t>
      </w:r>
    </w:p>
    <w:p w14:paraId="73746E2F">
      <w:pPr>
        <w:spacing w:line="360" w:lineRule="auto"/>
        <w:rPr>
          <w:rFonts w:ascii="Times New Roman" w:hAnsi="Times New Roman" w:cs="Times New Roman"/>
          <w:bCs/>
          <w:sz w:val="24"/>
          <w:szCs w:val="24"/>
        </w:rPr>
      </w:pPr>
      <w:r>
        <w:rPr>
          <w:rFonts w:ascii="Times New Roman" w:hAnsi="Times New Roman" w:cs="Times New Roman"/>
          <w:bCs/>
          <w:sz w:val="24"/>
          <w:szCs w:val="24"/>
        </w:rPr>
        <w:t>Fig S7. ICP-MS standard curve of Ti ions</w:t>
      </w:r>
    </w:p>
    <w:p w14:paraId="564C9D8F">
      <w:pPr>
        <w:spacing w:line="360" w:lineRule="auto"/>
        <w:rPr>
          <w:rFonts w:ascii="Times New Roman" w:hAnsi="Times New Roman" w:cs="Times New Roman"/>
          <w:bCs/>
          <w:sz w:val="24"/>
          <w:szCs w:val="24"/>
          <w:vertAlign w:val="superscript"/>
        </w:rPr>
      </w:pPr>
      <w:r>
        <w:rPr>
          <w:rFonts w:ascii="Times New Roman" w:hAnsi="Times New Roman" w:cs="Times New Roman"/>
          <w:bCs/>
          <w:sz w:val="24"/>
          <w:szCs w:val="24"/>
        </w:rPr>
        <w:t>Fig. S8 EPR spectra of DMPO-h</w:t>
      </w:r>
      <w:r>
        <w:rPr>
          <w:rFonts w:ascii="Times New Roman" w:hAnsi="Times New Roman" w:cs="Times New Roman"/>
          <w:bCs/>
          <w:sz w:val="24"/>
          <w:szCs w:val="24"/>
          <w:vertAlign w:val="superscript"/>
        </w:rPr>
        <w:t>+</w:t>
      </w:r>
    </w:p>
    <w:p w14:paraId="02AD62AC">
      <w:pPr>
        <w:spacing w:line="360" w:lineRule="auto"/>
        <w:rPr>
          <w:rFonts w:ascii="Times New Roman" w:hAnsi="Times New Roman" w:cs="Times New Roman"/>
          <w:bCs/>
          <w:sz w:val="24"/>
          <w:szCs w:val="24"/>
        </w:rPr>
      </w:pPr>
      <w:r>
        <w:rPr>
          <w:rFonts w:ascii="Times New Roman" w:hAnsi="Times New Roman" w:cs="Times New Roman"/>
          <w:bCs/>
          <w:sz w:val="24"/>
          <w:szCs w:val="24"/>
        </w:rPr>
        <w:t>Fig. S9-S16 Degradation pathways of SDZ</w:t>
      </w:r>
    </w:p>
    <w:p w14:paraId="31262566">
      <w:pPr>
        <w:spacing w:line="360" w:lineRule="auto"/>
        <w:rPr>
          <w:rFonts w:ascii="Times New Roman" w:hAnsi="Times New Roman" w:cs="Times New Roman"/>
          <w:bCs/>
          <w:sz w:val="24"/>
          <w:szCs w:val="24"/>
        </w:rPr>
      </w:pPr>
      <w:r>
        <w:rPr>
          <w:rFonts w:ascii="Times New Roman" w:hAnsi="Times New Roman" w:cs="Times New Roman"/>
          <w:bCs/>
          <w:sz w:val="24"/>
          <w:szCs w:val="24"/>
        </w:rPr>
        <w:t>Fig. S17 The total density of MBC-500 and TiO</w:t>
      </w:r>
      <w:r>
        <w:rPr>
          <w:rFonts w:ascii="Times New Roman" w:hAnsi="Times New Roman" w:cs="Times New Roman"/>
          <w:bCs/>
          <w:sz w:val="24"/>
          <w:szCs w:val="24"/>
          <w:vertAlign w:val="subscript"/>
        </w:rPr>
        <w:t>2</w:t>
      </w:r>
      <w:r>
        <w:rPr>
          <w:rFonts w:ascii="Times New Roman" w:hAnsi="Times New Roman" w:cs="Times New Roman"/>
          <w:bCs/>
          <w:sz w:val="24"/>
          <w:szCs w:val="24"/>
        </w:rPr>
        <w:t>/g-C</w:t>
      </w:r>
      <w:r>
        <w:rPr>
          <w:rFonts w:ascii="Times New Roman" w:hAnsi="Times New Roman" w:cs="Times New Roman"/>
          <w:bCs/>
          <w:sz w:val="24"/>
          <w:szCs w:val="24"/>
          <w:vertAlign w:val="subscript"/>
        </w:rPr>
        <w:t>3</w:t>
      </w:r>
      <w:r>
        <w:rPr>
          <w:rFonts w:ascii="Times New Roman" w:hAnsi="Times New Roman" w:cs="Times New Roman"/>
          <w:bCs/>
          <w:sz w:val="24"/>
          <w:szCs w:val="24"/>
        </w:rPr>
        <w:t>N</w:t>
      </w:r>
      <w:r>
        <w:rPr>
          <w:rFonts w:ascii="Times New Roman" w:hAnsi="Times New Roman" w:cs="Times New Roman"/>
          <w:bCs/>
          <w:sz w:val="24"/>
          <w:szCs w:val="24"/>
          <w:vertAlign w:val="subscript"/>
        </w:rPr>
        <w:t>4</w:t>
      </w:r>
      <w:r>
        <w:rPr>
          <w:rFonts w:ascii="Times New Roman" w:hAnsi="Times New Roman" w:cs="Times New Roman"/>
          <w:bCs/>
          <w:sz w:val="24"/>
          <w:szCs w:val="24"/>
        </w:rPr>
        <w:t xml:space="preserve"> </w:t>
      </w:r>
    </w:p>
    <w:p w14:paraId="3B748639">
      <w:pPr>
        <w:spacing w:line="360" w:lineRule="auto"/>
        <w:rPr>
          <w:rFonts w:ascii="Times New Roman" w:hAnsi="Times New Roman" w:cs="Times New Roman"/>
          <w:bCs/>
          <w:sz w:val="24"/>
          <w:szCs w:val="24"/>
          <w:vertAlign w:val="subscript"/>
        </w:rPr>
      </w:pPr>
      <w:r>
        <w:rPr>
          <w:rFonts w:ascii="Times New Roman" w:hAnsi="Times New Roman" w:cs="Times New Roman"/>
          <w:bCs/>
          <w:sz w:val="24"/>
          <w:szCs w:val="24"/>
        </w:rPr>
        <w:t>Fig S18. (a) Fermi levels of TiO</w:t>
      </w:r>
      <w:r>
        <w:rPr>
          <w:rFonts w:ascii="Times New Roman" w:hAnsi="Times New Roman" w:cs="Times New Roman"/>
          <w:bCs/>
          <w:sz w:val="24"/>
          <w:szCs w:val="24"/>
          <w:vertAlign w:val="subscript"/>
        </w:rPr>
        <w:t>2</w:t>
      </w:r>
      <w:r>
        <w:rPr>
          <w:rFonts w:ascii="Times New Roman" w:hAnsi="Times New Roman" w:cs="Times New Roman"/>
          <w:bCs/>
          <w:sz w:val="24"/>
          <w:szCs w:val="24"/>
        </w:rPr>
        <w:t xml:space="preserve"> and (b) g-C</w:t>
      </w:r>
      <w:r>
        <w:rPr>
          <w:rFonts w:ascii="Times New Roman" w:hAnsi="Times New Roman" w:cs="Times New Roman"/>
          <w:bCs/>
          <w:sz w:val="24"/>
          <w:szCs w:val="24"/>
          <w:vertAlign w:val="subscript"/>
        </w:rPr>
        <w:t>3</w:t>
      </w:r>
      <w:r>
        <w:rPr>
          <w:rFonts w:ascii="Times New Roman" w:hAnsi="Times New Roman" w:cs="Times New Roman"/>
          <w:bCs/>
          <w:sz w:val="24"/>
          <w:szCs w:val="24"/>
        </w:rPr>
        <w:t>N</w:t>
      </w:r>
      <w:r>
        <w:rPr>
          <w:rFonts w:ascii="Times New Roman" w:hAnsi="Times New Roman" w:cs="Times New Roman"/>
          <w:bCs/>
          <w:sz w:val="24"/>
          <w:szCs w:val="24"/>
          <w:vertAlign w:val="subscript"/>
        </w:rPr>
        <w:t>4</w:t>
      </w:r>
    </w:p>
    <w:p w14:paraId="43E67594">
      <w:pPr>
        <w:spacing w:line="360" w:lineRule="auto"/>
        <w:rPr>
          <w:rFonts w:ascii="Times New Roman" w:hAnsi="Times New Roman" w:cs="Times New Roman"/>
          <w:bCs/>
          <w:sz w:val="24"/>
          <w:szCs w:val="24"/>
        </w:rPr>
      </w:pPr>
      <w:r>
        <w:rPr>
          <w:rFonts w:ascii="Times New Roman" w:hAnsi="Times New Roman" w:cs="Times New Roman"/>
          <w:bCs/>
          <w:sz w:val="24"/>
          <w:szCs w:val="24"/>
        </w:rPr>
        <w:t>Fig S19. SDZ degradation pathway Ⅰ-Ⅳ free energy step diagram</w:t>
      </w:r>
    </w:p>
    <w:p w14:paraId="66183004">
      <w:pPr>
        <w:spacing w:line="360" w:lineRule="auto"/>
        <w:rPr>
          <w:rFonts w:ascii="Times New Roman" w:hAnsi="Times New Roman" w:cs="Times New Roman"/>
          <w:bCs/>
          <w:sz w:val="24"/>
          <w:szCs w:val="24"/>
        </w:rPr>
      </w:pPr>
      <w:r>
        <w:rPr>
          <w:rFonts w:ascii="Times New Roman" w:hAnsi="Times New Roman" w:cs="Times New Roman"/>
          <w:bCs/>
          <w:sz w:val="24"/>
          <w:szCs w:val="24"/>
        </w:rPr>
        <w:t>Table S1. Determination of titanium (Ti) content in the sample by ICP-MS</w:t>
      </w:r>
    </w:p>
    <w:p w14:paraId="5BD03D51">
      <w:pPr>
        <w:spacing w:line="360" w:lineRule="auto"/>
        <w:rPr>
          <w:rFonts w:ascii="Times New Roman" w:hAnsi="Times New Roman" w:cs="Times New Roman"/>
          <w:bCs/>
          <w:sz w:val="24"/>
          <w:szCs w:val="24"/>
        </w:rPr>
      </w:pPr>
      <w:r>
        <w:rPr>
          <w:rFonts w:ascii="Times New Roman" w:hAnsi="Times New Roman" w:cs="Times New Roman"/>
          <w:bCs/>
          <w:sz w:val="24"/>
          <w:szCs w:val="24"/>
        </w:rPr>
        <w:t>Table S2 Accurate mass of the intermediates for SDZ in MBC-500 photocatalytic system by HPLC mass spectrometry analysis.</w:t>
      </w:r>
    </w:p>
    <w:p w14:paraId="30BD5913">
      <w:pPr>
        <w:spacing w:line="360" w:lineRule="auto"/>
        <w:rPr>
          <w:rFonts w:ascii="Times New Roman" w:hAnsi="Times New Roman" w:cs="Times New Roman"/>
          <w:bCs/>
          <w:sz w:val="24"/>
          <w:szCs w:val="24"/>
        </w:rPr>
      </w:pPr>
      <w:r>
        <w:rPr>
          <w:rFonts w:ascii="Times New Roman" w:hAnsi="Times New Roman" w:cs="Times New Roman"/>
          <w:bCs/>
          <w:sz w:val="24"/>
          <w:szCs w:val="24"/>
        </w:rPr>
        <w:t>Table S3. SDZ degradation pathway Ⅰ-Ⅳ free energy</w:t>
      </w:r>
    </w:p>
    <w:p w14:paraId="41CD362E">
      <w:pPr>
        <w:spacing w:line="360" w:lineRule="auto"/>
        <w:rPr>
          <w:rFonts w:ascii="Times New Roman" w:hAnsi="Times New Roman" w:cs="Times New Roman"/>
          <w:bCs/>
          <w:sz w:val="24"/>
          <w:szCs w:val="24"/>
        </w:rPr>
      </w:pPr>
      <w:r>
        <w:rPr>
          <w:rFonts w:ascii="Times New Roman" w:hAnsi="Times New Roman" w:cs="Times New Roman"/>
          <w:bCs/>
          <w:sz w:val="24"/>
          <w:szCs w:val="24"/>
        </w:rPr>
        <w:t>Table S4. The atomic natural charge and Fukui function values of atoms in SDZ molecules.</w:t>
      </w:r>
    </w:p>
    <w:p w14:paraId="51910002">
      <w:pPr>
        <w:spacing w:line="360" w:lineRule="auto"/>
        <w:rPr>
          <w:rFonts w:ascii="Times New Roman" w:hAnsi="Times New Roman" w:cs="Times New Roman"/>
          <w:bCs/>
          <w:sz w:val="24"/>
          <w:szCs w:val="24"/>
        </w:rPr>
      </w:pPr>
      <w:r>
        <w:rPr>
          <w:rFonts w:ascii="Times New Roman" w:hAnsi="Times New Roman" w:cs="Times New Roman"/>
          <w:bCs/>
          <w:sz w:val="24"/>
          <w:szCs w:val="24"/>
        </w:rPr>
        <w:t>Table S5. Mulliken charge of SDZ atom</w:t>
      </w:r>
    </w:p>
    <w:p w14:paraId="4C556854">
      <w:pPr>
        <w:spacing w:line="360" w:lineRule="auto"/>
        <w:rPr>
          <w:rFonts w:ascii="Times New Roman" w:hAnsi="Times New Roman" w:cs="Times New Roman"/>
          <w:bCs/>
          <w:sz w:val="24"/>
          <w:szCs w:val="24"/>
        </w:rPr>
      </w:pPr>
      <w:r>
        <w:rPr>
          <w:rFonts w:ascii="Times New Roman" w:hAnsi="Times New Roman" w:cs="Times New Roman"/>
          <w:bCs/>
          <w:sz w:val="24"/>
          <w:szCs w:val="24"/>
        </w:rPr>
        <w:br w:type="page"/>
      </w:r>
    </w:p>
    <w:p w14:paraId="67A9C950">
      <w:pPr>
        <w:spacing w:line="480" w:lineRule="auto"/>
        <w:rPr>
          <w:rFonts w:ascii="Times New Roman" w:hAnsi="Times New Roman" w:cs="Times New Roman"/>
          <w:b/>
          <w:sz w:val="24"/>
          <w:szCs w:val="24"/>
        </w:rPr>
      </w:pPr>
      <w:r>
        <w:rPr>
          <w:rFonts w:ascii="Times New Roman" w:hAnsi="Times New Roman" w:cs="Times New Roman"/>
          <w:b/>
          <w:bCs/>
          <w:szCs w:val="24"/>
        </w:rPr>
        <w:t xml:space="preserve">Text S1. </w:t>
      </w:r>
      <w:r>
        <w:rPr>
          <w:rFonts w:ascii="Times New Roman" w:hAnsi="Times New Roman" w:eastAsia="Times New Roman" w:cs="Times New Roman"/>
          <w:b/>
          <w:sz w:val="24"/>
          <w:szCs w:val="24"/>
        </w:rPr>
        <w:t>Material preparation</w:t>
      </w:r>
    </w:p>
    <w:p w14:paraId="316A2693">
      <w:pPr>
        <w:spacing w:line="48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The corn cobs were thoroughly washed three to four times with distilled water and subsequently dried in an oven at a controlled temperature of 80 ℃. The dried corn cob material was then ground, and particles were sieved to obtain an 80-mesh size. The corn cob powder, after sieving, was placed in a crucible and underwent calcination in a muffle furnace with restricted oxygen availability.</w:t>
      </w:r>
    </w:p>
    <w:p w14:paraId="7474F2A2">
      <w:pPr>
        <w:spacing w:line="48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Preparation of TiO</w:t>
      </w:r>
      <w:r>
        <w:rPr>
          <w:rFonts w:ascii="Times New Roman" w:hAnsi="Times New Roman" w:eastAsia="宋体" w:cs="Times New Roman"/>
          <w:color w:val="000000"/>
          <w:kern w:val="0"/>
          <w:sz w:val="24"/>
          <w:szCs w:val="24"/>
          <w:vertAlign w:val="subscript"/>
        </w:rPr>
        <w:t>2</w:t>
      </w:r>
      <w:r>
        <w:rPr>
          <w:rFonts w:ascii="Times New Roman" w:hAnsi="Times New Roman" w:eastAsia="宋体" w:cs="Times New Roman"/>
          <w:color w:val="000000"/>
          <w:kern w:val="0"/>
          <w:sz w:val="24"/>
          <w:szCs w:val="24"/>
        </w:rPr>
        <w:t>: The sol-gel method was used, tetrabutyl titanate was utilized as the source of titanium, and glacial acetic acid functioned as the chelating agent, and ethanol as the solvent. Preparation of Solution A: Measure 17 mL of tetrabutyl titanate and place it in 55 mL of ethanol solution, then add 4.5 mL of glacial acetic acid. Stir the solution using a six-position magnetic stirrer until fully mixed, and label it as Solution A. Preparation of Solution B: Measure 27.6 mL of ethanol, add 0.9 mL of distilled water, and adjust the pH to 4 using nitric acid. Mix thoroughly and label as Solution B. After stirring Solutions A and B separately for 30 minutes, pour Solution B into a burette and add it to Solution A at a rate of 10 drops per minute. The resulting mixture is the titanium dioxide precursor. Once the sol dries to form a gel, dry it completely, then calcine it at 500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under oxygen-deficient conditions, followed by grinding to finally form TiO</w:t>
      </w:r>
      <w:r>
        <w:rPr>
          <w:rFonts w:ascii="Times New Roman" w:hAnsi="Times New Roman" w:eastAsia="宋体" w:cs="Times New Roman"/>
          <w:color w:val="000000"/>
          <w:kern w:val="0"/>
          <w:sz w:val="24"/>
          <w:szCs w:val="24"/>
          <w:vertAlign w:val="subscript"/>
        </w:rPr>
        <w:t>2</w:t>
      </w:r>
      <w:r>
        <w:rPr>
          <w:rFonts w:ascii="Times New Roman" w:hAnsi="Times New Roman" w:eastAsia="宋体" w:cs="Times New Roman"/>
          <w:color w:val="000000"/>
          <w:kern w:val="0"/>
          <w:sz w:val="24"/>
          <w:szCs w:val="24"/>
        </w:rPr>
        <w:t>.</w:t>
      </w:r>
    </w:p>
    <w:p w14:paraId="16620E9F">
      <w:pPr>
        <w:spacing w:line="48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Preparation of TiO</w:t>
      </w:r>
      <w:r>
        <w:rPr>
          <w:rFonts w:ascii="Times New Roman" w:hAnsi="Times New Roman" w:eastAsia="宋体" w:cs="Times New Roman"/>
          <w:color w:val="000000"/>
          <w:kern w:val="0"/>
          <w:sz w:val="24"/>
          <w:szCs w:val="24"/>
          <w:vertAlign w:val="subscript"/>
        </w:rPr>
        <w:t>2</w:t>
      </w:r>
      <w:r>
        <w:rPr>
          <w:rFonts w:ascii="Times New Roman" w:hAnsi="Times New Roman" w:eastAsia="宋体" w:cs="Times New Roman"/>
          <w:color w:val="000000"/>
          <w:kern w:val="0"/>
          <w:sz w:val="24"/>
          <w:szCs w:val="24"/>
        </w:rPr>
        <w:t>/g-C</w:t>
      </w:r>
      <w:r>
        <w:rPr>
          <w:rFonts w:ascii="Times New Roman" w:hAnsi="Times New Roman" w:eastAsia="宋体" w:cs="Times New Roman"/>
          <w:color w:val="000000"/>
          <w:kern w:val="0"/>
          <w:sz w:val="24"/>
          <w:szCs w:val="24"/>
          <w:vertAlign w:val="subscript"/>
        </w:rPr>
        <w:t>3</w:t>
      </w:r>
      <w:r>
        <w:rPr>
          <w:rFonts w:ascii="Times New Roman" w:hAnsi="Times New Roman" w:eastAsia="宋体" w:cs="Times New Roman"/>
          <w:color w:val="000000"/>
          <w:kern w:val="0"/>
          <w:sz w:val="24"/>
          <w:szCs w:val="24"/>
        </w:rPr>
        <w:t>N</w:t>
      </w:r>
      <w:r>
        <w:rPr>
          <w:rFonts w:ascii="Times New Roman" w:hAnsi="Times New Roman" w:eastAsia="宋体" w:cs="Times New Roman"/>
          <w:color w:val="000000"/>
          <w:kern w:val="0"/>
          <w:sz w:val="24"/>
          <w:szCs w:val="24"/>
          <w:vertAlign w:val="subscript"/>
        </w:rPr>
        <w:t>4</w:t>
      </w:r>
      <w:r>
        <w:rPr>
          <w:rFonts w:ascii="Times New Roman" w:hAnsi="Times New Roman" w:eastAsia="宋体" w:cs="Times New Roman"/>
          <w:color w:val="000000"/>
          <w:kern w:val="0"/>
          <w:sz w:val="24"/>
          <w:szCs w:val="24"/>
        </w:rPr>
        <w:t xml:space="preserve"> composite material: Weigh 0.5</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g of urea material on an electronic balance, add 10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mL of titanium dioxide precursor to a beaker, then add 20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mL of anhydrous ethanol and stir. After stirring until dry, dry it in an oven at 80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Once cooled to room temperature, grind it and place it in a crucible. Heat the mixture in a muffle furnace by gradually increasing the temperature at a rate of 5</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per minute until reaching 500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and then maintain this temperature for a duration of two hours to complete the calcination process to produce the TiO</w:t>
      </w:r>
      <w:r>
        <w:rPr>
          <w:rFonts w:ascii="Times New Roman" w:hAnsi="Times New Roman" w:eastAsia="宋体" w:cs="Times New Roman"/>
          <w:color w:val="000000"/>
          <w:kern w:val="0"/>
          <w:sz w:val="24"/>
          <w:szCs w:val="24"/>
          <w:vertAlign w:val="subscript"/>
        </w:rPr>
        <w:t>2</w:t>
      </w:r>
      <w:r>
        <w:rPr>
          <w:rFonts w:ascii="Times New Roman" w:hAnsi="Times New Roman" w:eastAsia="宋体" w:cs="Times New Roman"/>
          <w:color w:val="000000"/>
          <w:kern w:val="0"/>
          <w:sz w:val="24"/>
          <w:szCs w:val="24"/>
        </w:rPr>
        <w:t>/g-C</w:t>
      </w:r>
      <w:r>
        <w:rPr>
          <w:rFonts w:ascii="Times New Roman" w:hAnsi="Times New Roman" w:eastAsia="宋体" w:cs="Times New Roman"/>
          <w:color w:val="000000"/>
          <w:kern w:val="0"/>
          <w:sz w:val="24"/>
          <w:szCs w:val="24"/>
          <w:vertAlign w:val="subscript"/>
        </w:rPr>
        <w:t>3</w:t>
      </w:r>
      <w:r>
        <w:rPr>
          <w:rFonts w:ascii="Times New Roman" w:hAnsi="Times New Roman" w:eastAsia="宋体" w:cs="Times New Roman"/>
          <w:color w:val="000000"/>
          <w:kern w:val="0"/>
          <w:sz w:val="24"/>
          <w:szCs w:val="24"/>
        </w:rPr>
        <w:t>N</w:t>
      </w:r>
      <w:r>
        <w:rPr>
          <w:rFonts w:ascii="Times New Roman" w:hAnsi="Times New Roman" w:eastAsia="宋体" w:cs="Times New Roman"/>
          <w:color w:val="000000"/>
          <w:kern w:val="0"/>
          <w:sz w:val="24"/>
          <w:szCs w:val="24"/>
          <w:vertAlign w:val="subscript"/>
        </w:rPr>
        <w:t>4</w:t>
      </w:r>
      <w:r>
        <w:rPr>
          <w:rFonts w:ascii="Times New Roman" w:hAnsi="Times New Roman" w:eastAsia="宋体" w:cs="Times New Roman"/>
          <w:color w:val="000000"/>
          <w:kern w:val="0"/>
          <w:sz w:val="24"/>
          <w:szCs w:val="24"/>
        </w:rPr>
        <w:t xml:space="preserve"> composite material.</w:t>
      </w:r>
    </w:p>
    <w:p w14:paraId="5F5F3CB3">
      <w:pPr>
        <w:spacing w:line="48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Preparation of BC/TiO</w:t>
      </w:r>
      <w:r>
        <w:rPr>
          <w:rFonts w:ascii="Times New Roman" w:hAnsi="Times New Roman" w:eastAsia="宋体" w:cs="Times New Roman"/>
          <w:color w:val="000000"/>
          <w:kern w:val="0"/>
          <w:sz w:val="24"/>
          <w:szCs w:val="24"/>
          <w:vertAlign w:val="subscript"/>
        </w:rPr>
        <w:t>2</w:t>
      </w:r>
      <w:r>
        <w:rPr>
          <w:rFonts w:ascii="Times New Roman" w:hAnsi="Times New Roman" w:eastAsia="宋体" w:cs="Times New Roman"/>
          <w:color w:val="000000"/>
          <w:kern w:val="0"/>
          <w:sz w:val="24"/>
          <w:szCs w:val="24"/>
        </w:rPr>
        <w:t>/g-C</w:t>
      </w:r>
      <w:r>
        <w:rPr>
          <w:rFonts w:ascii="Times New Roman" w:hAnsi="Times New Roman" w:eastAsia="宋体" w:cs="Times New Roman"/>
          <w:color w:val="000000"/>
          <w:kern w:val="0"/>
          <w:sz w:val="24"/>
          <w:szCs w:val="24"/>
          <w:vertAlign w:val="subscript"/>
        </w:rPr>
        <w:t>3</w:t>
      </w:r>
      <w:r>
        <w:rPr>
          <w:rFonts w:ascii="Times New Roman" w:hAnsi="Times New Roman" w:eastAsia="宋体" w:cs="Times New Roman"/>
          <w:color w:val="000000"/>
          <w:kern w:val="0"/>
          <w:sz w:val="24"/>
          <w:szCs w:val="24"/>
        </w:rPr>
        <w:t>N</w:t>
      </w:r>
      <w:r>
        <w:rPr>
          <w:rFonts w:ascii="Times New Roman" w:hAnsi="Times New Roman" w:eastAsia="宋体" w:cs="Times New Roman"/>
          <w:color w:val="000000"/>
          <w:kern w:val="0"/>
          <w:sz w:val="24"/>
          <w:szCs w:val="24"/>
          <w:vertAlign w:val="subscript"/>
        </w:rPr>
        <w:t>4</w:t>
      </w:r>
      <w:r>
        <w:rPr>
          <w:rFonts w:ascii="Times New Roman" w:hAnsi="Times New Roman" w:eastAsia="宋体" w:cs="Times New Roman"/>
          <w:color w:val="000000"/>
          <w:kern w:val="0"/>
          <w:sz w:val="24"/>
          <w:szCs w:val="24"/>
        </w:rPr>
        <w:t xml:space="preserve"> composite material: The composite, consisting of biochar, TiO</w:t>
      </w:r>
      <w:r>
        <w:rPr>
          <w:rFonts w:ascii="Times New Roman" w:hAnsi="Times New Roman" w:eastAsia="宋体" w:cs="Times New Roman"/>
          <w:color w:val="000000"/>
          <w:kern w:val="0"/>
          <w:sz w:val="24"/>
          <w:szCs w:val="24"/>
          <w:vertAlign w:val="subscript"/>
        </w:rPr>
        <w:t>2</w:t>
      </w:r>
      <w:r>
        <w:rPr>
          <w:rFonts w:ascii="Times New Roman" w:hAnsi="Times New Roman" w:eastAsia="宋体" w:cs="Times New Roman"/>
          <w:color w:val="000000"/>
          <w:kern w:val="0"/>
          <w:sz w:val="24"/>
          <w:szCs w:val="24"/>
        </w:rPr>
        <w:t>, and carbon nitride, was prepared by mixing and subjecting it to calcination at six distinct temperatures: 300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400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500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600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700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and 800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The preparation process is as follows: Weigh 1g of BC, 10mL of TiO</w:t>
      </w:r>
      <w:r>
        <w:rPr>
          <w:rFonts w:ascii="Times New Roman" w:hAnsi="Times New Roman" w:eastAsia="宋体" w:cs="Times New Roman"/>
          <w:color w:val="000000"/>
          <w:kern w:val="0"/>
          <w:sz w:val="24"/>
          <w:szCs w:val="24"/>
          <w:vertAlign w:val="subscript"/>
        </w:rPr>
        <w:t>2</w:t>
      </w:r>
      <w:r>
        <w:rPr>
          <w:rFonts w:ascii="Times New Roman" w:hAnsi="Times New Roman" w:eastAsia="宋体" w:cs="Times New Roman"/>
          <w:color w:val="000000"/>
          <w:kern w:val="0"/>
          <w:sz w:val="24"/>
          <w:szCs w:val="24"/>
        </w:rPr>
        <w:t xml:space="preserve"> precursor, and 0.5</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g of urea into a beaker. Afterwards, stir on a magnetic stirrer. After thorough mixing, dry in an electric blast drying oven at 80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Once cooled to room temperature, grind the mixture and place the powdered sample into a crucible for calcination in a muffle furnace. Once the material has cooled to ambient temperature, remove the crucible to obtain the 300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BC/TiO</w:t>
      </w:r>
      <w:r>
        <w:rPr>
          <w:rFonts w:ascii="Times New Roman" w:hAnsi="Times New Roman" w:eastAsia="宋体" w:cs="Times New Roman"/>
          <w:color w:val="000000"/>
          <w:kern w:val="0"/>
          <w:sz w:val="24"/>
          <w:szCs w:val="24"/>
          <w:vertAlign w:val="subscript"/>
        </w:rPr>
        <w:t>2</w:t>
      </w:r>
      <w:r>
        <w:rPr>
          <w:rFonts w:ascii="Times New Roman" w:hAnsi="Times New Roman" w:eastAsia="宋体" w:cs="Times New Roman"/>
          <w:color w:val="000000"/>
          <w:kern w:val="0"/>
          <w:sz w:val="24"/>
          <w:szCs w:val="24"/>
        </w:rPr>
        <w:t>/C</w:t>
      </w:r>
      <w:r>
        <w:rPr>
          <w:rFonts w:ascii="Times New Roman" w:hAnsi="Times New Roman" w:eastAsia="宋体" w:cs="Times New Roman"/>
          <w:color w:val="000000"/>
          <w:kern w:val="0"/>
          <w:sz w:val="24"/>
          <w:szCs w:val="24"/>
          <w:vertAlign w:val="subscript"/>
        </w:rPr>
        <w:t>3</w:t>
      </w:r>
      <w:r>
        <w:rPr>
          <w:rFonts w:ascii="Times New Roman" w:hAnsi="Times New Roman" w:eastAsia="宋体" w:cs="Times New Roman"/>
          <w:color w:val="000000"/>
          <w:kern w:val="0"/>
          <w:sz w:val="24"/>
          <w:szCs w:val="24"/>
        </w:rPr>
        <w:t>N</w:t>
      </w:r>
      <w:r>
        <w:rPr>
          <w:rFonts w:ascii="Times New Roman" w:hAnsi="Times New Roman" w:eastAsia="宋体" w:cs="Times New Roman"/>
          <w:color w:val="000000"/>
          <w:kern w:val="0"/>
          <w:sz w:val="24"/>
          <w:szCs w:val="24"/>
          <w:vertAlign w:val="subscript"/>
        </w:rPr>
        <w:t>4</w:t>
      </w:r>
      <w:r>
        <w:rPr>
          <w:rFonts w:ascii="Times New Roman" w:hAnsi="Times New Roman" w:eastAsia="宋体" w:cs="Times New Roman"/>
          <w:color w:val="000000"/>
          <w:kern w:val="0"/>
          <w:sz w:val="24"/>
          <w:szCs w:val="24"/>
        </w:rPr>
        <w:t xml:space="preserve"> composite, designated as MBC-300. Store in bags and label accordingly. Modify the temperature settings to 400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500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600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700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and 800</w:t>
      </w:r>
      <w:r>
        <w:rPr>
          <w:rFonts w:hint="eastAsia" w:ascii="Times New Roman" w:hAnsi="Times New Roman" w:eastAsia="宋体" w:cs="Times New Roman"/>
          <w:color w:val="000000"/>
          <w:kern w:val="0"/>
          <w:sz w:val="24"/>
          <w:szCs w:val="24"/>
        </w:rPr>
        <w:t xml:space="preserve"> </w:t>
      </w:r>
      <w:r>
        <w:rPr>
          <w:rFonts w:ascii="Times New Roman" w:hAnsi="Times New Roman" w:eastAsia="宋体" w:cs="Times New Roman"/>
          <w:color w:val="000000"/>
          <w:kern w:val="0"/>
          <w:sz w:val="24"/>
          <w:szCs w:val="24"/>
        </w:rPr>
        <w:t>℃ in sequence to respectively acquire MBC-400, MBC-500, MBC-600, MBC-700, and MBC-800.</w:t>
      </w:r>
    </w:p>
    <w:p w14:paraId="2218EFE2">
      <w:pP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br w:type="page"/>
      </w:r>
    </w:p>
    <w:p w14:paraId="1C203705">
      <w:pPr>
        <w:pStyle w:val="11"/>
        <w:spacing w:line="360" w:lineRule="auto"/>
        <w:rPr>
          <w:rFonts w:hint="default" w:ascii="Times New Roman" w:hAnsi="Times New Roman"/>
          <w:b/>
          <w:bCs/>
          <w:szCs w:val="24"/>
        </w:rPr>
      </w:pPr>
      <w:r>
        <w:rPr>
          <w:rFonts w:hint="default" w:ascii="Times New Roman" w:hAnsi="Times New Roman"/>
          <w:b/>
          <w:bCs/>
          <w:szCs w:val="24"/>
        </w:rPr>
        <w:t>Text S2. Uniform experimental parameters for photocatalytic degradation</w:t>
      </w:r>
    </w:p>
    <w:p w14:paraId="1EC6CA10">
      <w:pPr>
        <w:pStyle w:val="11"/>
        <w:spacing w:line="360" w:lineRule="auto"/>
        <w:ind w:firstLine="480" w:firstLineChars="200"/>
        <w:jc w:val="both"/>
        <w:rPr>
          <w:rFonts w:hint="default" w:ascii="Times New Roman" w:hAnsi="Times New Roman"/>
          <w:szCs w:val="24"/>
        </w:rPr>
      </w:pPr>
      <w:bookmarkStart w:id="4" w:name="_Hlk209378471"/>
      <w:r>
        <w:rPr>
          <w:rFonts w:hint="default" w:ascii="Times New Roman" w:hAnsi="Times New Roman"/>
          <w:szCs w:val="24"/>
        </w:rPr>
        <w:t>All degradation experiments (including BC, TiO</w:t>
      </w:r>
      <w:r>
        <w:rPr>
          <w:rFonts w:hint="default" w:ascii="Times New Roman" w:hAnsi="Times New Roman"/>
          <w:szCs w:val="24"/>
          <w:vertAlign w:val="subscript"/>
        </w:rPr>
        <w:t>2</w:t>
      </w:r>
      <w:r>
        <w:rPr>
          <w:rFonts w:hint="default" w:ascii="Times New Roman" w:hAnsi="Times New Roman"/>
          <w:szCs w:val="24"/>
        </w:rPr>
        <w:t>, g-C</w:t>
      </w:r>
      <w:r>
        <w:rPr>
          <w:rFonts w:hint="default" w:ascii="Times New Roman" w:hAnsi="Times New Roman"/>
          <w:szCs w:val="24"/>
          <w:vertAlign w:val="subscript"/>
        </w:rPr>
        <w:t>3</w:t>
      </w:r>
      <w:r>
        <w:rPr>
          <w:rFonts w:hint="default" w:ascii="Times New Roman" w:hAnsi="Times New Roman"/>
          <w:szCs w:val="24"/>
        </w:rPr>
        <w:t>N</w:t>
      </w:r>
      <w:r>
        <w:rPr>
          <w:rFonts w:hint="default" w:ascii="Times New Roman" w:hAnsi="Times New Roman"/>
          <w:szCs w:val="24"/>
          <w:vertAlign w:val="subscript"/>
        </w:rPr>
        <w:t>4</w:t>
      </w:r>
      <w:r>
        <w:rPr>
          <w:rFonts w:hint="default" w:ascii="Times New Roman" w:hAnsi="Times New Roman"/>
          <w:szCs w:val="24"/>
        </w:rPr>
        <w:t>, TiO</w:t>
      </w:r>
      <w:r>
        <w:rPr>
          <w:rFonts w:hint="default" w:ascii="Times New Roman" w:hAnsi="Times New Roman"/>
          <w:szCs w:val="24"/>
          <w:vertAlign w:val="subscript"/>
        </w:rPr>
        <w:t>2</w:t>
      </w:r>
      <w:r>
        <w:rPr>
          <w:rFonts w:hint="default" w:ascii="Times New Roman" w:hAnsi="Times New Roman"/>
          <w:szCs w:val="24"/>
        </w:rPr>
        <w:t>/g-C</w:t>
      </w:r>
      <w:r>
        <w:rPr>
          <w:rFonts w:hint="default" w:ascii="Times New Roman" w:hAnsi="Times New Roman"/>
          <w:szCs w:val="24"/>
          <w:vertAlign w:val="subscript"/>
        </w:rPr>
        <w:t>3</w:t>
      </w:r>
      <w:r>
        <w:rPr>
          <w:rFonts w:hint="default" w:ascii="Times New Roman" w:hAnsi="Times New Roman"/>
          <w:szCs w:val="24"/>
        </w:rPr>
        <w:t>N</w:t>
      </w:r>
      <w:r>
        <w:rPr>
          <w:rFonts w:hint="default" w:ascii="Times New Roman" w:hAnsi="Times New Roman"/>
          <w:szCs w:val="24"/>
          <w:vertAlign w:val="subscript"/>
        </w:rPr>
        <w:t>4</w:t>
      </w:r>
      <w:r>
        <w:rPr>
          <w:rFonts w:hint="default" w:ascii="Times New Roman" w:hAnsi="Times New Roman"/>
          <w:szCs w:val="24"/>
        </w:rPr>
        <w:t>, and MBC series samples) strictly maintained consistent core parameters: initial SDZ concentration (20 mg/L, prepared by precise pipetting of the stock solution), catalyst dosage (0.03 g, weighed using an electronic analytical balance with an accuracy of 0.0001 g), reaction solution volume (50 mL, adjusted to the mark of a volumetric flask), and initial pH (6.8, adjusted using 0.1 M HNO</w:t>
      </w:r>
      <w:r>
        <w:rPr>
          <w:rFonts w:hint="default" w:ascii="Times New Roman" w:hAnsi="Times New Roman"/>
          <w:szCs w:val="24"/>
          <w:vertAlign w:val="subscript"/>
        </w:rPr>
        <w:t>3</w:t>
      </w:r>
      <w:r>
        <w:rPr>
          <w:rFonts w:hint="default" w:ascii="Times New Roman" w:hAnsi="Times New Roman"/>
          <w:szCs w:val="24"/>
        </w:rPr>
        <w:t>/NaOH solutions and measured with a pH meter with an accuracy of ±0.01). Each set of experiments was conducted in triplicate, with all relative standard deviations (RSD) below 5%, effectively eliminating randomness caused by operational errors. In addition, the simulated visible light source (λ &gt; 420 nm) was calibrated with a standard radiometer before each experiment, and the distance between the light source and the reaction solution was fixed at 10 cm. The temperature was monitored throughout the reaction to maintain consistent conditions, thereby minimizing the influence of temperature fluctuations on both SDZ solubility and reaction kinetics.</w:t>
      </w:r>
      <w:bookmarkEnd w:id="4"/>
      <w:r>
        <w:rPr>
          <w:rFonts w:hint="default" w:ascii="Times New Roman" w:hAnsi="Times New Roman"/>
          <w:szCs w:val="24"/>
        </w:rPr>
        <w:t xml:space="preserve"> To enable a clear comparative analysis of photocatalytic performance across single-component, binary composite, and ternary MBC-series materials, the performance of BC, TiO</w:t>
      </w:r>
      <w:r>
        <w:rPr>
          <w:rFonts w:hint="default" w:ascii="Times New Roman" w:hAnsi="Times New Roman"/>
          <w:szCs w:val="24"/>
          <w:vertAlign w:val="subscript"/>
        </w:rPr>
        <w:t>2</w:t>
      </w:r>
      <w:r>
        <w:rPr>
          <w:rFonts w:hint="default" w:ascii="Times New Roman" w:hAnsi="Times New Roman"/>
          <w:szCs w:val="24"/>
        </w:rPr>
        <w:t>, g-C</w:t>
      </w:r>
      <w:r>
        <w:rPr>
          <w:rFonts w:hint="default" w:ascii="Times New Roman" w:hAnsi="Times New Roman"/>
          <w:szCs w:val="24"/>
          <w:vertAlign w:val="subscript"/>
        </w:rPr>
        <w:t>3</w:t>
      </w:r>
      <w:r>
        <w:rPr>
          <w:rFonts w:hint="default" w:ascii="Times New Roman" w:hAnsi="Times New Roman"/>
          <w:szCs w:val="24"/>
        </w:rPr>
        <w:t>N</w:t>
      </w:r>
      <w:r>
        <w:rPr>
          <w:rFonts w:hint="default" w:ascii="Times New Roman" w:hAnsi="Times New Roman"/>
          <w:szCs w:val="24"/>
          <w:vertAlign w:val="subscript"/>
        </w:rPr>
        <w:t>4</w:t>
      </w:r>
      <w:r>
        <w:rPr>
          <w:rFonts w:hint="default" w:ascii="Times New Roman" w:hAnsi="Times New Roman"/>
          <w:szCs w:val="24"/>
        </w:rPr>
        <w:t>, TiO</w:t>
      </w:r>
      <w:r>
        <w:rPr>
          <w:rFonts w:hint="default" w:ascii="Times New Roman" w:hAnsi="Times New Roman"/>
          <w:szCs w:val="24"/>
          <w:vertAlign w:val="subscript"/>
        </w:rPr>
        <w:t>2</w:t>
      </w:r>
      <w:r>
        <w:rPr>
          <w:rFonts w:hint="default" w:ascii="Times New Roman" w:hAnsi="Times New Roman"/>
          <w:szCs w:val="24"/>
        </w:rPr>
        <w:t>/g-C</w:t>
      </w:r>
      <w:r>
        <w:rPr>
          <w:rFonts w:hint="default" w:ascii="Times New Roman" w:hAnsi="Times New Roman"/>
          <w:szCs w:val="24"/>
          <w:vertAlign w:val="subscript"/>
        </w:rPr>
        <w:t>3</w:t>
      </w:r>
      <w:r>
        <w:rPr>
          <w:rFonts w:hint="default" w:ascii="Times New Roman" w:hAnsi="Times New Roman"/>
          <w:szCs w:val="24"/>
        </w:rPr>
        <w:t>N</w:t>
      </w:r>
      <w:r>
        <w:rPr>
          <w:rFonts w:hint="default" w:ascii="Times New Roman" w:hAnsi="Times New Roman"/>
          <w:szCs w:val="24"/>
          <w:vertAlign w:val="subscript"/>
        </w:rPr>
        <w:t>4</w:t>
      </w:r>
      <w:r>
        <w:rPr>
          <w:rFonts w:hint="default" w:ascii="Times New Roman" w:hAnsi="Times New Roman"/>
          <w:szCs w:val="24"/>
        </w:rPr>
        <w:t>, and MBC samples (MBC-300 to MBC-800) was also examined under the same experimental conditions.</w:t>
      </w:r>
    </w:p>
    <w:p w14:paraId="1F1811CA">
      <w:pPr>
        <w:rPr>
          <w:rFonts w:ascii="Times New Roman" w:hAnsi="Times New Roman" w:cs="Times New Roman"/>
          <w:szCs w:val="24"/>
        </w:rPr>
      </w:pPr>
      <w:r>
        <w:rPr>
          <w:rFonts w:ascii="Times New Roman" w:hAnsi="Times New Roman" w:cs="Times New Roman"/>
          <w:szCs w:val="24"/>
        </w:rPr>
        <w:br w:type="page"/>
      </w:r>
    </w:p>
    <w:p w14:paraId="6CAF6DCB">
      <w:pPr>
        <w:pStyle w:val="11"/>
        <w:spacing w:line="360" w:lineRule="auto"/>
        <w:rPr>
          <w:rFonts w:hint="default" w:ascii="Times New Roman" w:hAnsi="Times New Roman"/>
          <w:szCs w:val="24"/>
        </w:rPr>
      </w:pPr>
      <w:r>
        <w:rPr>
          <w:rFonts w:hint="default" w:ascii="Times New Roman" w:hAnsi="Times New Roman"/>
          <w:b/>
          <w:bCs/>
          <w:szCs w:val="24"/>
        </w:rPr>
        <w:t>Text S3. Analysis methods</w:t>
      </w:r>
    </w:p>
    <w:p w14:paraId="53CF78AC">
      <w:pPr>
        <w:pStyle w:val="11"/>
        <w:spacing w:line="360" w:lineRule="auto"/>
        <w:ind w:firstLine="480" w:firstLineChars="200"/>
        <w:jc w:val="both"/>
        <w:rPr>
          <w:rFonts w:hint="default" w:ascii="Times New Roman" w:hAnsi="Times New Roman"/>
          <w:szCs w:val="24"/>
        </w:rPr>
      </w:pPr>
      <w:r>
        <w:rPr>
          <w:rFonts w:hint="default" w:ascii="Times New Roman" w:hAnsi="Times New Roman"/>
          <w:szCs w:val="24"/>
        </w:rPr>
        <w:t>The SDZ were quantified using a high-performance liquid chromatography (HPLC) system (Thermo Scientific</w:t>
      </w:r>
      <w:r>
        <w:rPr>
          <w:rFonts w:hint="default" w:ascii="Times New Roman" w:hAnsi="Times New Roman"/>
          <w:szCs w:val="24"/>
          <w:vertAlign w:val="superscript"/>
        </w:rPr>
        <w:t>™</w:t>
      </w:r>
      <w:r>
        <w:rPr>
          <w:rFonts w:hint="default" w:ascii="Times New Roman" w:hAnsi="Times New Roman"/>
          <w:szCs w:val="24"/>
        </w:rPr>
        <w:t xml:space="preserve"> UltiMate</w:t>
      </w:r>
      <w:r>
        <w:rPr>
          <w:rFonts w:hint="default" w:ascii="Times New Roman" w:hAnsi="Times New Roman"/>
          <w:szCs w:val="24"/>
          <w:vertAlign w:val="superscript"/>
        </w:rPr>
        <w:t>™</w:t>
      </w:r>
      <w:r>
        <w:rPr>
          <w:rFonts w:hint="default" w:ascii="Times New Roman" w:hAnsi="Times New Roman"/>
          <w:szCs w:val="24"/>
        </w:rPr>
        <w:t xml:space="preserve"> 3000, USA) equipped with a Thermo Scientific</w:t>
      </w:r>
      <w:r>
        <w:rPr>
          <w:rFonts w:hint="default" w:ascii="Times New Roman" w:hAnsi="Times New Roman"/>
          <w:szCs w:val="24"/>
          <w:vertAlign w:val="superscript"/>
        </w:rPr>
        <w:t>™</w:t>
      </w:r>
      <w:r>
        <w:rPr>
          <w:rFonts w:hint="default" w:ascii="Times New Roman" w:hAnsi="Times New Roman"/>
          <w:szCs w:val="24"/>
        </w:rPr>
        <w:t xml:space="preserve"> Acclaim</w:t>
      </w:r>
      <w:r>
        <w:rPr>
          <w:rFonts w:hint="default" w:ascii="Times New Roman" w:hAnsi="Times New Roman"/>
          <w:szCs w:val="24"/>
          <w:vertAlign w:val="superscript"/>
        </w:rPr>
        <w:t>™</w:t>
      </w:r>
      <w:r>
        <w:rPr>
          <w:rFonts w:hint="default" w:ascii="Times New Roman" w:hAnsi="Times New Roman"/>
          <w:szCs w:val="24"/>
        </w:rPr>
        <w:t xml:space="preserve"> C18 column (150 mm × 4.6 mm, 5 μm) and a diode array detector (DAD). The mobile phase consisted of a mixture of acetonitrile and 0.1% formic acid (20:80, v/v) with a detection wavelength set at 256 nm. The column temperature was maintained at 35 ℃, and the flow rate was set to 1.0 mL/min.</w:t>
      </w:r>
    </w:p>
    <w:p w14:paraId="62856BFA">
      <w:pPr>
        <w:pStyle w:val="11"/>
        <w:spacing w:line="360" w:lineRule="auto"/>
        <w:ind w:firstLine="480" w:firstLineChars="200"/>
        <w:jc w:val="both"/>
        <w:rPr>
          <w:rFonts w:hint="default" w:ascii="Times New Roman" w:hAnsi="Times New Roman"/>
          <w:szCs w:val="24"/>
        </w:rPr>
      </w:pPr>
      <w:r>
        <w:rPr>
          <w:rFonts w:hint="default" w:ascii="Times New Roman" w:hAnsi="Times New Roman"/>
          <w:szCs w:val="24"/>
        </w:rPr>
        <w:t>The surface morphology and elemental distribution of the samples were evaluated and examined using a scanning electron microscope (SEM/EDS, Zeiss Sigma300, Germany). The morphology and lattice of the materials were examined using a high-resolution transmission electron microscope (HRTEM, JEOL JEM-2100, Japan). Surface roughness of the material was characterized using atomic force microscopy (AFM) (Shimadzu SPM-9700, Japan).The crystal structure of the photocatalyst was determined by X-ray diffraction (XRD, Rigaku-SmartLab SE, Japan) using Cu Kα radiation. The functional groups of the catalyst were analyzed using Fourier-transform infrared spectroscopy (FT-IR, Thermo Fisher-iS5, USA). The elemental composition of the samples was characterized using X-ray photoelectron spectroscopy (XPS, ThermoFisher Nexsa, USA). The specific surface area and pore volume of the catalyst were measured using a surface area and porosity analyzer (BET, Micromeritics ASAP 2460, USA). The thermal stability of the material was evaluated by measuring its mass loss using thermogravimetric analysis (TGA) (Hitachi, TG/DTA7300, Japan).UV-vis diffuse reflectance spectroscopy (UV-vis DRS) was recorded in the wavelength range of 200-800 nm using a UV-vis diffuse reflectance spectrophotometer (Agilent Cary7000, China). The surface charge of the solid samples was measured using a zeta potential meter (zeta, Nano-ZS90 Zetasizer). The photoluminescence (PL) lifetime of the material was measured using time-resolved fluorescence spectroscopy (Edinburgh FLS1000, UK).The dissolution of Ti ions in the solution after the reaction was measured using ICP-MS (Agilent 7900, USA).Electron spin resonance (ESR) signals were measured under simulated sunlight (λ&gt;420 nm) using an electron paramagnetic resonance spectrometer (Bruker-EmxPlus, Germany).Analyzing the degradation pathway of SDZ using LC-MS (Agilent 1290II-6460).</w:t>
      </w:r>
    </w:p>
    <w:p w14:paraId="7EC12907">
      <w:pPr>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177165</wp:posOffset>
                </wp:positionV>
                <wp:extent cx="914400" cy="419100"/>
                <wp:effectExtent l="0" t="0" r="0" b="0"/>
                <wp:wrapNone/>
                <wp:docPr id="19" name="文本框 19"/>
                <wp:cNvGraphicFramePr/>
                <a:graphic xmlns:a="http://schemas.openxmlformats.org/drawingml/2006/main">
                  <a:graphicData uri="http://schemas.microsoft.com/office/word/2010/wordprocessingShape">
                    <wps:wsp>
                      <wps:cNvSpPr txBox="1"/>
                      <wps:spPr>
                        <a:xfrm>
                          <a:off x="1303655" y="6517005"/>
                          <a:ext cx="914400" cy="4191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F5DD18">
                            <w:pPr>
                              <w:rPr>
                                <w:rFonts w:ascii="Times New Roman" w:hAnsi="Times New Roman" w:cs="Times New Roman"/>
                                <w:b/>
                                <w:bCs/>
                                <w:color w:val="FFFFFF" w:themeColor="background1"/>
                                <w14:textFill>
                                  <w14:solidFill>
                                    <w14:schemeClr w14:val="bg1"/>
                                  </w14:solidFill>
                                </w14:textFill>
                              </w:rPr>
                            </w:pPr>
                            <w:r>
                              <w:rPr>
                                <w:rFonts w:ascii="Times New Roman" w:hAnsi="Times New Roman" w:cs="Times New Roman"/>
                                <w:b/>
                                <w:bCs/>
                                <w:color w:val="FFFFFF" w:themeColor="background1"/>
                                <w14:textFill>
                                  <w14:solidFill>
                                    <w14:schemeClr w14:val="bg1"/>
                                  </w14:solidFill>
                                </w14:textFill>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5pt;margin-top:13.95pt;height:33pt;width:72pt;z-index:251659264;mso-width-relative:page;mso-height-relative:page;" filled="f" stroked="f" coordsize="21600,21600" o:gfxdata="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mJScnXAAAABwEAAA8AAAAAAAAAAQAgAAAA&#10;IgAAAGRycy9kb3ducmV2LnhtbFBLAQIUABQAAAAIAIdO4kAwXQ5IRQIAAHMEAAAOAAAAAAAAAAEA&#10;IAAAACYBAABkcnMvZTJvRG9jLnhtbFBLBQYAAAAABgAGAFkBAADdBQAAAAA=&#10;">
                <v:fill on="f" focussize="0,0"/>
                <v:stroke on="f" weight="0.5pt"/>
                <v:imagedata o:title=""/>
                <o:lock v:ext="edit" aspectratio="f"/>
                <v:textbox>
                  <w:txbxContent>
                    <w:p w14:paraId="1AF5DD18">
                      <w:pPr>
                        <w:rPr>
                          <w:rFonts w:ascii="Times New Roman" w:hAnsi="Times New Roman" w:cs="Times New Roman"/>
                          <w:b/>
                          <w:bCs/>
                          <w:color w:val="FFFFFF" w:themeColor="background1"/>
                          <w14:textFill>
                            <w14:solidFill>
                              <w14:schemeClr w14:val="bg1"/>
                            </w14:solidFill>
                          </w14:textFill>
                        </w:rPr>
                      </w:pPr>
                      <w:r>
                        <w:rPr>
                          <w:rFonts w:ascii="Times New Roman" w:hAnsi="Times New Roman" w:cs="Times New Roman"/>
                          <w:b/>
                          <w:bCs/>
                          <w:color w:val="FFFFFF" w:themeColor="background1"/>
                          <w14:textFill>
                            <w14:solidFill>
                              <w14:schemeClr w14:val="bg1"/>
                            </w14:solidFill>
                          </w14:textFill>
                        </w:rPr>
                        <w:t>(a)</w:t>
                      </w:r>
                    </w:p>
                  </w:txbxContent>
                </v:textbox>
              </v:shape>
            </w:pict>
          </mc:Fallback>
        </mc:AlternateContent>
      </w:r>
      <w:r>
        <w:rPr>
          <w:rFonts w:ascii="Times New Roman" w:hAnsi="Times New Roman" w:cs="Times New Roman"/>
        </w:rPr>
        <w:drawing>
          <wp:inline distT="0" distB="0" distL="114300" distR="114300">
            <wp:extent cx="2573655" cy="1822450"/>
            <wp:effectExtent l="0" t="0" r="4445"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2573655" cy="1822450"/>
                    </a:xfrm>
                    <a:prstGeom prst="rect">
                      <a:avLst/>
                    </a:prstGeom>
                    <a:noFill/>
                    <a:ln>
                      <a:noFill/>
                    </a:ln>
                  </pic:spPr>
                </pic:pic>
              </a:graphicData>
            </a:graphic>
          </wp:inline>
        </w:drawing>
      </w:r>
      <w:r>
        <w:rPr>
          <w:rFonts w:ascii="Times New Roman" w:hAnsi="Times New Roman" w:cs="Times New Roman"/>
        </w:rPr>
        <w:drawing>
          <wp:inline distT="0" distB="0" distL="114300" distR="114300">
            <wp:extent cx="2574290" cy="1812925"/>
            <wp:effectExtent l="0" t="0" r="381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2574290" cy="1812925"/>
                    </a:xfrm>
                    <a:prstGeom prst="rect">
                      <a:avLst/>
                    </a:prstGeom>
                    <a:noFill/>
                    <a:ln>
                      <a:noFill/>
                    </a:ln>
                  </pic:spPr>
                </pic:pic>
              </a:graphicData>
            </a:graphic>
          </wp:inline>
        </w:drawing>
      </w:r>
      <w:r>
        <w:rPr>
          <w:rFonts w:ascii="Times New Roman" w:hAnsi="Times New Roman" w:cs="Times New Roman"/>
        </w:rPr>
        <w:t xml:space="preserve">    </w:t>
      </w:r>
      <w:r>
        <w:rPr>
          <w:rFonts w:ascii="Times New Roman" w:hAnsi="Times New Roman" w:cs="Times New Roman"/>
        </w:rPr>
        <mc:AlternateContent>
          <mc:Choice Requires="wps">
            <w:drawing>
              <wp:anchor distT="0" distB="0" distL="114300" distR="114300" simplePos="0" relativeHeight="251661312" behindDoc="0" locked="0" layoutInCell="1" allowOverlap="1">
                <wp:simplePos x="0" y="0"/>
                <wp:positionH relativeFrom="column">
                  <wp:posOffset>2713355</wp:posOffset>
                </wp:positionH>
                <wp:positionV relativeFrom="paragraph">
                  <wp:posOffset>134620</wp:posOffset>
                </wp:positionV>
                <wp:extent cx="914400" cy="4191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914400" cy="4191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977E30">
                            <w:pPr>
                              <w:rPr>
                                <w:rFonts w:ascii="Times New Roman" w:hAnsi="Times New Roman" w:cs="Times New Roman"/>
                                <w:b/>
                                <w:bCs/>
                                <w:color w:val="FFFFFF" w:themeColor="background1"/>
                                <w14:textFill>
                                  <w14:solidFill>
                                    <w14:schemeClr w14:val="bg1"/>
                                  </w14:solidFill>
                                </w14:textFill>
                              </w:rPr>
                            </w:pPr>
                            <w:r>
                              <w:rPr>
                                <w:rFonts w:ascii="Times New Roman" w:hAnsi="Times New Roman" w:cs="Times New Roman"/>
                                <w:b/>
                                <w:bCs/>
                                <w:color w:val="FFFFFF" w:themeColor="background1"/>
                                <w14:textFill>
                                  <w14:solidFill>
                                    <w14:schemeClr w14:val="bg1"/>
                                  </w14:solidFill>
                                </w14:textFill>
                              </w:rPr>
                              <w:t>(</w:t>
                            </w:r>
                            <w:r>
                              <w:rPr>
                                <w:rFonts w:hint="eastAsia" w:ascii="Times New Roman" w:hAnsi="Times New Roman" w:cs="Times New Roman"/>
                                <w:b/>
                                <w:bCs/>
                                <w:color w:val="FFFFFF" w:themeColor="background1"/>
                                <w14:textFill>
                                  <w14:solidFill>
                                    <w14:schemeClr w14:val="bg1"/>
                                  </w14:solidFill>
                                </w14:textFill>
                              </w:rPr>
                              <w:t>d</w:t>
                            </w:r>
                            <w:r>
                              <w:rPr>
                                <w:rFonts w:ascii="Times New Roman" w:hAnsi="Times New Roman" w:cs="Times New Roman"/>
                                <w:b/>
                                <w:bCs/>
                                <w:color w:val="FFFFFF" w:themeColor="background1"/>
                                <w14:textFill>
                                  <w14:solidFill>
                                    <w14:schemeClr w14:val="bg1"/>
                                  </w14:solidFill>
                                </w14:textFill>
                              </w:rPr>
                              <w:t>)</w:t>
                            </w:r>
                          </w:p>
                          <w:p w14:paraId="7829C135">
                            <w:pPr>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3.65pt;margin-top:10.6pt;height:33pt;width:72pt;z-index:251661312;mso-width-relative:page;mso-height-relative:page;" filled="f" stroked="f" coordsize="21600,21600" o:gfxdata="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LeZtlfaAAAACQEAAA8AAAAAAAAAAQAgAAAAIgAAAGRycy9k&#10;b3ducmV2LnhtbFBLAQIUABQAAAAIAIdO4kBGgfpCOQIAAGcEAAAOAAAAAAAAAAEAIAAAACkBAABk&#10;cnMvZTJvRG9jLnhtbFBLBQYAAAAABgAGAFkBAADUBQAAAAA=&#10;">
                <v:fill on="f" focussize="0,0"/>
                <v:stroke on="f" weight="0.5pt"/>
                <v:imagedata o:title=""/>
                <o:lock v:ext="edit" aspectratio="f"/>
                <v:textbox>
                  <w:txbxContent>
                    <w:p w14:paraId="16977E30">
                      <w:pPr>
                        <w:rPr>
                          <w:rFonts w:ascii="Times New Roman" w:hAnsi="Times New Roman" w:cs="Times New Roman"/>
                          <w:b/>
                          <w:bCs/>
                          <w:color w:val="FFFFFF" w:themeColor="background1"/>
                          <w14:textFill>
                            <w14:solidFill>
                              <w14:schemeClr w14:val="bg1"/>
                            </w14:solidFill>
                          </w14:textFill>
                        </w:rPr>
                      </w:pPr>
                      <w:r>
                        <w:rPr>
                          <w:rFonts w:ascii="Times New Roman" w:hAnsi="Times New Roman" w:cs="Times New Roman"/>
                          <w:b/>
                          <w:bCs/>
                          <w:color w:val="FFFFFF" w:themeColor="background1"/>
                          <w14:textFill>
                            <w14:solidFill>
                              <w14:schemeClr w14:val="bg1"/>
                            </w14:solidFill>
                          </w14:textFill>
                        </w:rPr>
                        <w:t>(</w:t>
                      </w:r>
                      <w:r>
                        <w:rPr>
                          <w:rFonts w:hint="eastAsia" w:ascii="Times New Roman" w:hAnsi="Times New Roman" w:cs="Times New Roman"/>
                          <w:b/>
                          <w:bCs/>
                          <w:color w:val="FFFFFF" w:themeColor="background1"/>
                          <w14:textFill>
                            <w14:solidFill>
                              <w14:schemeClr w14:val="bg1"/>
                            </w14:solidFill>
                          </w14:textFill>
                        </w:rPr>
                        <w:t>d</w:t>
                      </w:r>
                      <w:r>
                        <w:rPr>
                          <w:rFonts w:ascii="Times New Roman" w:hAnsi="Times New Roman" w:cs="Times New Roman"/>
                          <w:b/>
                          <w:bCs/>
                          <w:color w:val="FFFFFF" w:themeColor="background1"/>
                          <w14:textFill>
                            <w14:solidFill>
                              <w14:schemeClr w14:val="bg1"/>
                            </w14:solidFill>
                          </w14:textFill>
                        </w:rPr>
                        <w:t>)</w:t>
                      </w:r>
                    </w:p>
                    <w:p w14:paraId="7829C135">
                      <w:pPr>
                        <w:rPr>
                          <w:rFonts w:hint="eastAsia"/>
                        </w:rPr>
                      </w:pPr>
                    </w:p>
                  </w:txbxContent>
                </v:textbox>
              </v:shape>
            </w:pict>
          </mc:Fallback>
        </mc:AlternateContent>
      </w:r>
      <w:r>
        <w:rPr>
          <w:rFonts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71755</wp:posOffset>
                </wp:positionH>
                <wp:positionV relativeFrom="paragraph">
                  <wp:posOffset>128270</wp:posOffset>
                </wp:positionV>
                <wp:extent cx="914400" cy="4191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914400" cy="4191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0A1BA6">
                            <w:pPr>
                              <w:rPr>
                                <w:rFonts w:ascii="Times New Roman" w:hAnsi="Times New Roman" w:cs="Times New Roman"/>
                                <w:b/>
                                <w:bCs/>
                                <w:color w:val="FFFFFF" w:themeColor="background1"/>
                                <w14:textFill>
                                  <w14:solidFill>
                                    <w14:schemeClr w14:val="bg1"/>
                                  </w14:solidFill>
                                </w14:textFill>
                              </w:rPr>
                            </w:pPr>
                            <w:r>
                              <w:rPr>
                                <w:rFonts w:ascii="Times New Roman" w:hAnsi="Times New Roman" w:cs="Times New Roman"/>
                                <w:b/>
                                <w:bCs/>
                                <w:color w:val="FFFFFF" w:themeColor="background1"/>
                                <w14:textFill>
                                  <w14:solidFill>
                                    <w14:schemeClr w14:val="bg1"/>
                                  </w14:solidFill>
                                </w14:textFill>
                              </w:rPr>
                              <w:t>(</w:t>
                            </w:r>
                            <w:r>
                              <w:rPr>
                                <w:rFonts w:hint="eastAsia" w:ascii="Times New Roman" w:hAnsi="Times New Roman" w:cs="Times New Roman"/>
                                <w:b/>
                                <w:bCs/>
                                <w:color w:val="FFFFFF" w:themeColor="background1"/>
                                <w14:textFill>
                                  <w14:solidFill>
                                    <w14:schemeClr w14:val="bg1"/>
                                  </w14:solidFill>
                                </w14:textFill>
                              </w:rPr>
                              <w:t>c</w:t>
                            </w:r>
                            <w:r>
                              <w:rPr>
                                <w:rFonts w:ascii="Times New Roman" w:hAnsi="Times New Roman" w:cs="Times New Roman"/>
                                <w:b/>
                                <w:bCs/>
                                <w:color w:val="FFFFFF" w:themeColor="background1"/>
                                <w14:textFill>
                                  <w14:solidFill>
                                    <w14:schemeClr w14:val="bg1"/>
                                  </w14:solidFill>
                                </w14:textFill>
                              </w:rPr>
                              <w:t>)</w:t>
                            </w:r>
                          </w:p>
                          <w:p w14:paraId="2E693599">
                            <w:pPr>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5pt;margin-top:10.1pt;height:33pt;width:72pt;z-index:251660288;mso-width-relative:page;mso-height-relative:page;" filled="f" stroked="f" coordsize="21600,21600" o:gfxdata="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39+hK2AAAAAgBAAAPAAAAAAAAAAEAIAAAACIAAABkcnMvZG93&#10;bnJldi54bWxQSwECFAAUAAAACACHTuJArHAVVzkCAABnBAAADgAAAAAAAAABACAAAAAnAQAAZHJz&#10;L2Uyb0RvYy54bWxQSwUGAAAAAAYABgBZAQAA0gUAAAAA&#10;">
                <v:fill on="f" focussize="0,0"/>
                <v:stroke on="f" weight="0.5pt"/>
                <v:imagedata o:title=""/>
                <o:lock v:ext="edit" aspectratio="f"/>
                <v:textbox>
                  <w:txbxContent>
                    <w:p w14:paraId="060A1BA6">
                      <w:pPr>
                        <w:rPr>
                          <w:rFonts w:ascii="Times New Roman" w:hAnsi="Times New Roman" w:cs="Times New Roman"/>
                          <w:b/>
                          <w:bCs/>
                          <w:color w:val="FFFFFF" w:themeColor="background1"/>
                          <w14:textFill>
                            <w14:solidFill>
                              <w14:schemeClr w14:val="bg1"/>
                            </w14:solidFill>
                          </w14:textFill>
                        </w:rPr>
                      </w:pPr>
                      <w:r>
                        <w:rPr>
                          <w:rFonts w:ascii="Times New Roman" w:hAnsi="Times New Roman" w:cs="Times New Roman"/>
                          <w:b/>
                          <w:bCs/>
                          <w:color w:val="FFFFFF" w:themeColor="background1"/>
                          <w14:textFill>
                            <w14:solidFill>
                              <w14:schemeClr w14:val="bg1"/>
                            </w14:solidFill>
                          </w14:textFill>
                        </w:rPr>
                        <w:t>(</w:t>
                      </w:r>
                      <w:r>
                        <w:rPr>
                          <w:rFonts w:hint="eastAsia" w:ascii="Times New Roman" w:hAnsi="Times New Roman" w:cs="Times New Roman"/>
                          <w:b/>
                          <w:bCs/>
                          <w:color w:val="FFFFFF" w:themeColor="background1"/>
                          <w14:textFill>
                            <w14:solidFill>
                              <w14:schemeClr w14:val="bg1"/>
                            </w14:solidFill>
                          </w14:textFill>
                        </w:rPr>
                        <w:t>c</w:t>
                      </w:r>
                      <w:r>
                        <w:rPr>
                          <w:rFonts w:ascii="Times New Roman" w:hAnsi="Times New Roman" w:cs="Times New Roman"/>
                          <w:b/>
                          <w:bCs/>
                          <w:color w:val="FFFFFF" w:themeColor="background1"/>
                          <w14:textFill>
                            <w14:solidFill>
                              <w14:schemeClr w14:val="bg1"/>
                            </w14:solidFill>
                          </w14:textFill>
                        </w:rPr>
                        <w:t>)</w:t>
                      </w:r>
                    </w:p>
                    <w:p w14:paraId="2E693599">
                      <w:pPr>
                        <w:rPr>
                          <w:rFonts w:hint="eastAsia"/>
                        </w:rPr>
                      </w:pPr>
                    </w:p>
                  </w:txbxContent>
                </v:textbox>
              </v:shape>
            </w:pict>
          </mc:Fallback>
        </mc:AlternateContent>
      </w:r>
      <w:r>
        <w:rPr>
          <w:rFonts w:ascii="Times New Roman" w:hAnsi="Times New Roman" w:cs="Times New Roman"/>
        </w:rPr>
        <w:drawing>
          <wp:inline distT="0" distB="0" distL="114300" distR="114300">
            <wp:extent cx="2550160" cy="1826895"/>
            <wp:effectExtent l="0" t="0" r="2540" b="1905"/>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8"/>
                    <a:stretch>
                      <a:fillRect/>
                    </a:stretch>
                  </pic:blipFill>
                  <pic:spPr>
                    <a:xfrm>
                      <a:off x="0" y="0"/>
                      <a:ext cx="2550160" cy="1826895"/>
                    </a:xfrm>
                    <a:prstGeom prst="rect">
                      <a:avLst/>
                    </a:prstGeom>
                    <a:noFill/>
                    <a:ln>
                      <a:noFill/>
                    </a:ln>
                  </pic:spPr>
                </pic:pic>
              </a:graphicData>
            </a:graphic>
          </wp:inline>
        </w:drawing>
      </w:r>
      <w:r>
        <w:rPr>
          <w:rFonts w:ascii="Times New Roman" w:hAnsi="Times New Roman" w:cs="Times New Roman"/>
        </w:rPr>
        <w:t xml:space="preserve">  </w:t>
      </w:r>
      <w:r>
        <w:drawing>
          <wp:inline distT="0" distB="0" distL="114300" distR="114300">
            <wp:extent cx="2574925" cy="1821180"/>
            <wp:effectExtent l="0" t="0" r="3175" b="762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9"/>
                    <a:stretch>
                      <a:fillRect/>
                    </a:stretch>
                  </pic:blipFill>
                  <pic:spPr>
                    <a:xfrm>
                      <a:off x="0" y="0"/>
                      <a:ext cx="2574925" cy="1821180"/>
                    </a:xfrm>
                    <a:prstGeom prst="rect">
                      <a:avLst/>
                    </a:prstGeom>
                    <a:noFill/>
                    <a:ln>
                      <a:noFill/>
                    </a:ln>
                  </pic:spPr>
                </pic:pic>
              </a:graphicData>
            </a:graphic>
          </wp:inline>
        </w:drawing>
      </w:r>
    </w:p>
    <w:p w14:paraId="35ED4DD9">
      <w:pPr>
        <w:pStyle w:val="4"/>
        <w:widowControl/>
        <w:rPr>
          <w:rFonts w:ascii="Times New Roman" w:hAnsi="Times New Roman"/>
        </w:rPr>
      </w:pPr>
      <w:r>
        <w:rPr>
          <w:rFonts w:ascii="Times New Roman" w:hAnsi="Times New Roman"/>
          <w:sz w:val="21"/>
        </w:rPr>
        <mc:AlternateContent>
          <mc:Choice Requires="wps">
            <w:drawing>
              <wp:anchor distT="0" distB="0" distL="114300" distR="114300" simplePos="0" relativeHeight="251663360" behindDoc="0" locked="0" layoutInCell="1" allowOverlap="1">
                <wp:simplePos x="0" y="0"/>
                <wp:positionH relativeFrom="column">
                  <wp:posOffset>2694305</wp:posOffset>
                </wp:positionH>
                <wp:positionV relativeFrom="paragraph">
                  <wp:posOffset>210820</wp:posOffset>
                </wp:positionV>
                <wp:extent cx="914400" cy="4191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914400" cy="4191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97C4A5">
                            <w:pPr>
                              <w:rPr>
                                <w:rFonts w:ascii="Times New Roman" w:hAnsi="Times New Roman" w:cs="Times New Roman"/>
                                <w:b/>
                                <w:bCs/>
                                <w:color w:val="FFFFFF" w:themeColor="background1"/>
                                <w14:textFill>
                                  <w14:solidFill>
                                    <w14:schemeClr w14:val="bg1"/>
                                  </w14:solidFill>
                                </w14:textFill>
                              </w:rPr>
                            </w:pPr>
                            <w:r>
                              <w:rPr>
                                <w:rFonts w:ascii="Times New Roman" w:hAnsi="Times New Roman" w:cs="Times New Roman"/>
                                <w:b/>
                                <w:bCs/>
                                <w:color w:val="FFFFFF" w:themeColor="background1"/>
                                <w14:textFill>
                                  <w14:solidFill>
                                    <w14:schemeClr w14:val="bg1"/>
                                  </w14:solidFill>
                                </w14:textFill>
                              </w:rPr>
                              <w:t>(</w:t>
                            </w:r>
                            <w:r>
                              <w:rPr>
                                <w:rFonts w:hint="eastAsia" w:ascii="Times New Roman" w:hAnsi="Times New Roman" w:cs="Times New Roman"/>
                                <w:b/>
                                <w:bCs/>
                                <w:color w:val="FFFFFF" w:themeColor="background1"/>
                                <w14:textFill>
                                  <w14:solidFill>
                                    <w14:schemeClr w14:val="bg1"/>
                                  </w14:solidFill>
                                </w14:textFill>
                              </w:rPr>
                              <w:t>f</w:t>
                            </w:r>
                            <w:r>
                              <w:rPr>
                                <w:rFonts w:ascii="Times New Roman" w:hAnsi="Times New Roman" w:cs="Times New Roman"/>
                                <w:b/>
                                <w:bCs/>
                                <w:color w:val="FFFFFF" w:themeColor="background1"/>
                                <w14:textFill>
                                  <w14:solidFill>
                                    <w14:schemeClr w14:val="bg1"/>
                                  </w14:solidFill>
                                </w14:textFill>
                              </w:rPr>
                              <w:t>)</w:t>
                            </w:r>
                          </w:p>
                          <w:p w14:paraId="06B34CC8">
                            <w:pPr>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2.15pt;margin-top:16.6pt;height:33pt;width:72pt;z-index:251663360;mso-width-relative:page;mso-height-relative:page;" filled="f" stroked="f" coordsize="21600,21600" o:gfxdata="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XNlvW2wAAAAkBAAAPAAAAAAAAAAEAIAAAACIAAABkcnMv&#10;ZG93bnJldi54bWxQSwECFAAUAAAACACHTuJAjWs9djkCAABnBAAADgAAAAAAAAABACAAAAAqAQAA&#10;ZHJzL2Uyb0RvYy54bWxQSwUGAAAAAAYABgBZAQAA1QUAAAAA&#10;">
                <v:fill on="f" focussize="0,0"/>
                <v:stroke on="f" weight="0.5pt"/>
                <v:imagedata o:title=""/>
                <o:lock v:ext="edit" aspectratio="f"/>
                <v:textbox>
                  <w:txbxContent>
                    <w:p w14:paraId="0097C4A5">
                      <w:pPr>
                        <w:rPr>
                          <w:rFonts w:ascii="Times New Roman" w:hAnsi="Times New Roman" w:cs="Times New Roman"/>
                          <w:b/>
                          <w:bCs/>
                          <w:color w:val="FFFFFF" w:themeColor="background1"/>
                          <w14:textFill>
                            <w14:solidFill>
                              <w14:schemeClr w14:val="bg1"/>
                            </w14:solidFill>
                          </w14:textFill>
                        </w:rPr>
                      </w:pPr>
                      <w:r>
                        <w:rPr>
                          <w:rFonts w:ascii="Times New Roman" w:hAnsi="Times New Roman" w:cs="Times New Roman"/>
                          <w:b/>
                          <w:bCs/>
                          <w:color w:val="FFFFFF" w:themeColor="background1"/>
                          <w14:textFill>
                            <w14:solidFill>
                              <w14:schemeClr w14:val="bg1"/>
                            </w14:solidFill>
                          </w14:textFill>
                        </w:rPr>
                        <w:t>(</w:t>
                      </w:r>
                      <w:r>
                        <w:rPr>
                          <w:rFonts w:hint="eastAsia" w:ascii="Times New Roman" w:hAnsi="Times New Roman" w:cs="Times New Roman"/>
                          <w:b/>
                          <w:bCs/>
                          <w:color w:val="FFFFFF" w:themeColor="background1"/>
                          <w14:textFill>
                            <w14:solidFill>
                              <w14:schemeClr w14:val="bg1"/>
                            </w14:solidFill>
                          </w14:textFill>
                        </w:rPr>
                        <w:t>f</w:t>
                      </w:r>
                      <w:r>
                        <w:rPr>
                          <w:rFonts w:ascii="Times New Roman" w:hAnsi="Times New Roman" w:cs="Times New Roman"/>
                          <w:b/>
                          <w:bCs/>
                          <w:color w:val="FFFFFF" w:themeColor="background1"/>
                          <w14:textFill>
                            <w14:solidFill>
                              <w14:schemeClr w14:val="bg1"/>
                            </w14:solidFill>
                          </w14:textFill>
                        </w:rPr>
                        <w:t>)</w:t>
                      </w:r>
                    </w:p>
                    <w:p w14:paraId="06B34CC8">
                      <w:pPr>
                        <w:rPr>
                          <w:rFonts w:hint="eastAsia"/>
                        </w:rPr>
                      </w:pPr>
                    </w:p>
                  </w:txbxContent>
                </v:textbox>
              </v:shape>
            </w:pict>
          </mc:Fallback>
        </mc:AlternateContent>
      </w:r>
      <w:r>
        <w:rPr>
          <w:rFonts w:ascii="Times New Roman" w:hAnsi="Times New Roman"/>
          <w:sz w:val="21"/>
        </w:rPr>
        <mc:AlternateContent>
          <mc:Choice Requires="wps">
            <w:drawing>
              <wp:anchor distT="0" distB="0" distL="114300" distR="114300" simplePos="0" relativeHeight="251662336" behindDoc="0" locked="0" layoutInCell="1" allowOverlap="1">
                <wp:simplePos x="0" y="0"/>
                <wp:positionH relativeFrom="column">
                  <wp:posOffset>40005</wp:posOffset>
                </wp:positionH>
                <wp:positionV relativeFrom="paragraph">
                  <wp:posOffset>160020</wp:posOffset>
                </wp:positionV>
                <wp:extent cx="914400" cy="4191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914400" cy="4191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9BB2DA">
                            <w:pPr>
                              <w:rPr>
                                <w:rFonts w:ascii="Times New Roman" w:hAnsi="Times New Roman" w:cs="Times New Roman"/>
                                <w:b/>
                                <w:bCs/>
                                <w:color w:val="FFFFFF" w:themeColor="background1"/>
                                <w14:textFill>
                                  <w14:solidFill>
                                    <w14:schemeClr w14:val="bg1"/>
                                  </w14:solidFill>
                                </w14:textFill>
                              </w:rPr>
                            </w:pPr>
                            <w:r>
                              <w:rPr>
                                <w:rFonts w:ascii="Times New Roman" w:hAnsi="Times New Roman" w:cs="Times New Roman"/>
                                <w:b/>
                                <w:bCs/>
                                <w:color w:val="FFFFFF" w:themeColor="background1"/>
                                <w14:textFill>
                                  <w14:solidFill>
                                    <w14:schemeClr w14:val="bg1"/>
                                  </w14:solidFill>
                                </w14:textFill>
                              </w:rPr>
                              <w:t>(</w:t>
                            </w:r>
                            <w:r>
                              <w:rPr>
                                <w:rFonts w:hint="eastAsia" w:ascii="Times New Roman" w:hAnsi="Times New Roman" w:cs="Times New Roman"/>
                                <w:b/>
                                <w:bCs/>
                                <w:color w:val="FFFFFF" w:themeColor="background1"/>
                                <w14:textFill>
                                  <w14:solidFill>
                                    <w14:schemeClr w14:val="bg1"/>
                                  </w14:solidFill>
                                </w14:textFill>
                              </w:rPr>
                              <w:t>e</w:t>
                            </w:r>
                            <w:r>
                              <w:rPr>
                                <w:rFonts w:ascii="Times New Roman" w:hAnsi="Times New Roman" w:cs="Times New Roman"/>
                                <w:b/>
                                <w:bCs/>
                                <w:color w:val="FFFFFF" w:themeColor="background1"/>
                                <w14:textFill>
                                  <w14:solidFill>
                                    <w14:schemeClr w14:val="bg1"/>
                                  </w14:solidFill>
                                </w14:textFill>
                              </w:rPr>
                              <w:t>)</w:t>
                            </w:r>
                          </w:p>
                          <w:p w14:paraId="6562CCB1">
                            <w:pPr>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12.6pt;height:33pt;width:72pt;z-index:251662336;mso-width-relative:page;mso-height-relative:page;" filled="f" stroked="f" coordsize="21600,21600" o:gfxdata="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YdC6B9YAAAAHAQAADwAAAAAAAAABACAAAAAiAAAAZHJzL2Rvd25y&#10;ZXYueG1sUEsBAhQAFAAAAAgAh07iQBz+Oao5AgAAZwQAAA4AAAAAAAAAAQAgAAAAJQEAAGRycy9l&#10;Mm9Eb2MueG1sUEsFBgAAAAAGAAYAWQEAANAFAAAAAA==&#10;">
                <v:fill on="f" focussize="0,0"/>
                <v:stroke on="f" weight="0.5pt"/>
                <v:imagedata o:title=""/>
                <o:lock v:ext="edit" aspectratio="f"/>
                <v:textbox>
                  <w:txbxContent>
                    <w:p w14:paraId="6B9BB2DA">
                      <w:pPr>
                        <w:rPr>
                          <w:rFonts w:ascii="Times New Roman" w:hAnsi="Times New Roman" w:cs="Times New Roman"/>
                          <w:b/>
                          <w:bCs/>
                          <w:color w:val="FFFFFF" w:themeColor="background1"/>
                          <w14:textFill>
                            <w14:solidFill>
                              <w14:schemeClr w14:val="bg1"/>
                            </w14:solidFill>
                          </w14:textFill>
                        </w:rPr>
                      </w:pPr>
                      <w:r>
                        <w:rPr>
                          <w:rFonts w:ascii="Times New Roman" w:hAnsi="Times New Roman" w:cs="Times New Roman"/>
                          <w:b/>
                          <w:bCs/>
                          <w:color w:val="FFFFFF" w:themeColor="background1"/>
                          <w14:textFill>
                            <w14:solidFill>
                              <w14:schemeClr w14:val="bg1"/>
                            </w14:solidFill>
                          </w14:textFill>
                        </w:rPr>
                        <w:t>(</w:t>
                      </w:r>
                      <w:r>
                        <w:rPr>
                          <w:rFonts w:hint="eastAsia" w:ascii="Times New Roman" w:hAnsi="Times New Roman" w:cs="Times New Roman"/>
                          <w:b/>
                          <w:bCs/>
                          <w:color w:val="FFFFFF" w:themeColor="background1"/>
                          <w14:textFill>
                            <w14:solidFill>
                              <w14:schemeClr w14:val="bg1"/>
                            </w14:solidFill>
                          </w14:textFill>
                        </w:rPr>
                        <w:t>e</w:t>
                      </w:r>
                      <w:r>
                        <w:rPr>
                          <w:rFonts w:ascii="Times New Roman" w:hAnsi="Times New Roman" w:cs="Times New Roman"/>
                          <w:b/>
                          <w:bCs/>
                          <w:color w:val="FFFFFF" w:themeColor="background1"/>
                          <w14:textFill>
                            <w14:solidFill>
                              <w14:schemeClr w14:val="bg1"/>
                            </w14:solidFill>
                          </w14:textFill>
                        </w:rPr>
                        <w:t>)</w:t>
                      </w:r>
                    </w:p>
                    <w:p w14:paraId="6562CCB1">
                      <w:pPr>
                        <w:rPr>
                          <w:rFonts w:hint="eastAsia"/>
                        </w:rPr>
                      </w:pPr>
                    </w:p>
                  </w:txbxContent>
                </v:textbox>
              </v:shape>
            </w:pict>
          </mc:Fallback>
        </mc:AlternateContent>
      </w:r>
      <w:r>
        <w:rPr>
          <w:rFonts w:ascii="Times New Roman" w:hAnsi="Times New Roman"/>
        </w:rPr>
        <w:drawing>
          <wp:inline distT="0" distB="0" distL="114300" distR="114300">
            <wp:extent cx="2522220" cy="1774825"/>
            <wp:effectExtent l="0" t="0" r="5080" b="3175"/>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10"/>
                    <a:stretch>
                      <a:fillRect/>
                    </a:stretch>
                  </pic:blipFill>
                  <pic:spPr>
                    <a:xfrm>
                      <a:off x="0" y="0"/>
                      <a:ext cx="2522220" cy="1774825"/>
                    </a:xfrm>
                    <a:prstGeom prst="rect">
                      <a:avLst/>
                    </a:prstGeom>
                    <a:noFill/>
                    <a:ln>
                      <a:noFill/>
                    </a:ln>
                  </pic:spPr>
                </pic:pic>
              </a:graphicData>
            </a:graphic>
          </wp:inline>
        </w:drawing>
      </w:r>
      <w:r>
        <w:rPr>
          <w:rFonts w:ascii="Times New Roman" w:hAnsi="Times New Roman"/>
        </w:rPr>
        <w:t xml:space="preserve">  </w:t>
      </w:r>
      <w:r>
        <w:rPr>
          <w:rFonts w:ascii="Times New Roman" w:hAnsi="Times New Roman"/>
        </w:rPr>
        <w:drawing>
          <wp:inline distT="0" distB="0" distL="114300" distR="114300">
            <wp:extent cx="2550160" cy="1765300"/>
            <wp:effectExtent l="0" t="0" r="2540" b="0"/>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11"/>
                    <a:stretch>
                      <a:fillRect/>
                    </a:stretch>
                  </pic:blipFill>
                  <pic:spPr>
                    <a:xfrm>
                      <a:off x="0" y="0"/>
                      <a:ext cx="2550160" cy="1765300"/>
                    </a:xfrm>
                    <a:prstGeom prst="rect">
                      <a:avLst/>
                    </a:prstGeom>
                    <a:noFill/>
                    <a:ln>
                      <a:noFill/>
                    </a:ln>
                  </pic:spPr>
                </pic:pic>
              </a:graphicData>
            </a:graphic>
          </wp:inline>
        </w:drawing>
      </w:r>
      <w:r>
        <w:rPr>
          <w:rFonts w:ascii="Times New Roman" w:hAnsi="Times New Roman"/>
        </w:rPr>
        <w:t xml:space="preserve"> </w:t>
      </w:r>
    </w:p>
    <w:p w14:paraId="4C1C50AE">
      <w:pPr>
        <w:pStyle w:val="4"/>
        <w:widowControl/>
        <w:jc w:val="center"/>
        <w:rPr>
          <w:rFonts w:ascii="Times New Roman" w:hAnsi="Times New Roman" w:eastAsia="宋体"/>
          <w:color w:val="000000" w:themeColor="text1"/>
          <w:kern w:val="2"/>
          <w:szCs w:val="24"/>
          <w:vertAlign w:val="subscript"/>
          <w14:textFill>
            <w14:solidFill>
              <w14:schemeClr w14:val="tx1"/>
            </w14:solidFill>
          </w14:textFill>
        </w:rPr>
      </w:pPr>
      <w:r>
        <w:rPr>
          <w:rFonts w:ascii="Times New Roman" w:hAnsi="Times New Roman" w:eastAsia="宋体"/>
          <w:color w:val="000000" w:themeColor="text1"/>
          <w:kern w:val="2"/>
          <w:szCs w:val="24"/>
          <w14:textFill>
            <w14:solidFill>
              <w14:schemeClr w14:val="tx1"/>
            </w14:solidFill>
          </w14:textFill>
        </w:rPr>
        <w:t>Fig. S1</w:t>
      </w:r>
      <w:r>
        <w:rPr>
          <w:rFonts w:ascii="Times New Roman" w:hAnsi="Times New Roman" w:eastAsia="宋体"/>
          <w:b/>
          <w:bCs/>
          <w:color w:val="000000" w:themeColor="text1"/>
          <w:kern w:val="2"/>
          <w:szCs w:val="24"/>
          <w14:textFill>
            <w14:solidFill>
              <w14:schemeClr w14:val="tx1"/>
            </w14:solidFill>
          </w14:textFill>
        </w:rPr>
        <w:t>.</w:t>
      </w:r>
      <w:r>
        <w:rPr>
          <w:rFonts w:ascii="Times New Roman" w:hAnsi="Times New Roman" w:eastAsia="宋体"/>
          <w:color w:val="000000" w:themeColor="text1"/>
          <w:kern w:val="2"/>
          <w:szCs w:val="24"/>
          <w14:textFill>
            <w14:solidFill>
              <w14:schemeClr w14:val="tx1"/>
            </w14:solidFill>
          </w14:textFill>
        </w:rPr>
        <w:t xml:space="preserve"> (a)(b) SEM and TEM image of TiO</w:t>
      </w:r>
      <w:r>
        <w:rPr>
          <w:rFonts w:ascii="Times New Roman" w:hAnsi="Times New Roman" w:eastAsia="宋体"/>
          <w:color w:val="000000" w:themeColor="text1"/>
          <w:kern w:val="2"/>
          <w:szCs w:val="24"/>
          <w:vertAlign w:val="subscript"/>
          <w14:textFill>
            <w14:solidFill>
              <w14:schemeClr w14:val="tx1"/>
            </w14:solidFill>
          </w14:textFill>
        </w:rPr>
        <w:t>2</w:t>
      </w:r>
      <w:r>
        <w:rPr>
          <w:rFonts w:ascii="Times New Roman" w:hAnsi="Times New Roman" w:eastAsia="宋体"/>
          <w:color w:val="000000" w:themeColor="text1"/>
          <w:kern w:val="2"/>
          <w:szCs w:val="24"/>
          <w14:textFill>
            <w14:solidFill>
              <w14:schemeClr w14:val="tx1"/>
            </w14:solidFill>
          </w14:textFill>
        </w:rPr>
        <w:t>; (c)(d) SEM and TEM image of g-C</w:t>
      </w:r>
      <w:r>
        <w:rPr>
          <w:rFonts w:ascii="Times New Roman" w:hAnsi="Times New Roman" w:eastAsia="宋体"/>
          <w:color w:val="000000" w:themeColor="text1"/>
          <w:kern w:val="2"/>
          <w:szCs w:val="24"/>
          <w:vertAlign w:val="subscript"/>
          <w14:textFill>
            <w14:solidFill>
              <w14:schemeClr w14:val="tx1"/>
            </w14:solidFill>
          </w14:textFill>
        </w:rPr>
        <w:t>3</w:t>
      </w:r>
      <w:r>
        <w:rPr>
          <w:rFonts w:ascii="Times New Roman" w:hAnsi="Times New Roman" w:eastAsia="宋体"/>
          <w:color w:val="000000" w:themeColor="text1"/>
          <w:kern w:val="2"/>
          <w:szCs w:val="24"/>
          <w14:textFill>
            <w14:solidFill>
              <w14:schemeClr w14:val="tx1"/>
            </w14:solidFill>
          </w14:textFill>
        </w:rPr>
        <w:t>N</w:t>
      </w:r>
      <w:r>
        <w:rPr>
          <w:rFonts w:ascii="Times New Roman" w:hAnsi="Times New Roman" w:eastAsia="宋体"/>
          <w:color w:val="000000" w:themeColor="text1"/>
          <w:kern w:val="2"/>
          <w:szCs w:val="24"/>
          <w:vertAlign w:val="subscript"/>
          <w14:textFill>
            <w14:solidFill>
              <w14:schemeClr w14:val="tx1"/>
            </w14:solidFill>
          </w14:textFill>
        </w:rPr>
        <w:t>4</w:t>
      </w:r>
      <w:r>
        <w:rPr>
          <w:rFonts w:ascii="Times New Roman" w:hAnsi="Times New Roman" w:eastAsia="宋体"/>
          <w:color w:val="000000" w:themeColor="text1"/>
          <w:kern w:val="2"/>
          <w:szCs w:val="24"/>
          <w14:textFill>
            <w14:solidFill>
              <w14:schemeClr w14:val="tx1"/>
            </w14:solidFill>
          </w14:textFill>
        </w:rPr>
        <w:t>; (e) (f) SEM and TEM image of TiO</w:t>
      </w:r>
      <w:r>
        <w:rPr>
          <w:rFonts w:ascii="Times New Roman" w:hAnsi="Times New Roman" w:eastAsia="宋体"/>
          <w:color w:val="000000" w:themeColor="text1"/>
          <w:kern w:val="2"/>
          <w:szCs w:val="24"/>
          <w:vertAlign w:val="subscript"/>
          <w14:textFill>
            <w14:solidFill>
              <w14:schemeClr w14:val="tx1"/>
            </w14:solidFill>
          </w14:textFill>
        </w:rPr>
        <w:t>2</w:t>
      </w:r>
      <w:r>
        <w:rPr>
          <w:rFonts w:ascii="Times New Roman" w:hAnsi="Times New Roman" w:eastAsia="宋体"/>
          <w:color w:val="000000" w:themeColor="text1"/>
          <w:kern w:val="2"/>
          <w:szCs w:val="24"/>
          <w14:textFill>
            <w14:solidFill>
              <w14:schemeClr w14:val="tx1"/>
            </w14:solidFill>
          </w14:textFill>
        </w:rPr>
        <w:t>/g-C</w:t>
      </w:r>
      <w:r>
        <w:rPr>
          <w:rFonts w:ascii="Times New Roman" w:hAnsi="Times New Roman" w:eastAsia="宋体"/>
          <w:color w:val="000000" w:themeColor="text1"/>
          <w:kern w:val="2"/>
          <w:szCs w:val="24"/>
          <w:vertAlign w:val="subscript"/>
          <w14:textFill>
            <w14:solidFill>
              <w14:schemeClr w14:val="tx1"/>
            </w14:solidFill>
          </w14:textFill>
        </w:rPr>
        <w:t>3</w:t>
      </w:r>
      <w:r>
        <w:rPr>
          <w:rFonts w:ascii="Times New Roman" w:hAnsi="Times New Roman" w:eastAsia="宋体"/>
          <w:color w:val="000000" w:themeColor="text1"/>
          <w:kern w:val="2"/>
          <w:szCs w:val="24"/>
          <w14:textFill>
            <w14:solidFill>
              <w14:schemeClr w14:val="tx1"/>
            </w14:solidFill>
          </w14:textFill>
        </w:rPr>
        <w:t>N</w:t>
      </w:r>
      <w:r>
        <w:rPr>
          <w:rFonts w:ascii="Times New Roman" w:hAnsi="Times New Roman" w:eastAsia="宋体"/>
          <w:color w:val="000000" w:themeColor="text1"/>
          <w:kern w:val="2"/>
          <w:szCs w:val="24"/>
          <w:vertAlign w:val="subscript"/>
          <w14:textFill>
            <w14:solidFill>
              <w14:schemeClr w14:val="tx1"/>
            </w14:solidFill>
          </w14:textFill>
        </w:rPr>
        <w:t>4</w:t>
      </w:r>
    </w:p>
    <w:p w14:paraId="2A498299">
      <w:pPr>
        <w:rPr>
          <w:rFonts w:ascii="Times New Roman" w:hAnsi="Times New Roman" w:eastAsia="宋体" w:cs="Times New Roman"/>
          <w:color w:val="000000" w:themeColor="text1"/>
          <w:szCs w:val="24"/>
          <w:vertAlign w:val="subscript"/>
          <w14:textFill>
            <w14:solidFill>
              <w14:schemeClr w14:val="tx1"/>
            </w14:solidFill>
          </w14:textFill>
        </w:rPr>
      </w:pPr>
      <w:r>
        <w:rPr>
          <w:rFonts w:ascii="Times New Roman" w:hAnsi="Times New Roman" w:eastAsia="宋体" w:cs="Times New Roman"/>
          <w:color w:val="000000" w:themeColor="text1"/>
          <w:szCs w:val="24"/>
          <w:vertAlign w:val="subscript"/>
          <w14:textFill>
            <w14:solidFill>
              <w14:schemeClr w14:val="tx1"/>
            </w14:solidFill>
          </w14:textFill>
        </w:rPr>
        <w:br w:type="page"/>
      </w:r>
    </w:p>
    <w:p w14:paraId="430B5352">
      <w:pPr>
        <w:spacing w:line="480" w:lineRule="auto"/>
        <w:rPr>
          <w:rFonts w:ascii="Times New Roman" w:hAnsi="Times New Roman" w:cs="Times New Roman"/>
          <w:b/>
          <w:sz w:val="24"/>
          <w:szCs w:val="24"/>
        </w:rPr>
      </w:pPr>
      <w:r>
        <w:rPr>
          <w:rFonts w:ascii="Times New Roman" w:hAnsi="Times New Roman" w:cs="Times New Roman"/>
          <w:b/>
          <w:bCs/>
          <w:szCs w:val="24"/>
        </w:rPr>
        <w:t xml:space="preserve">Text S4. </w:t>
      </w:r>
      <w:r>
        <w:rPr>
          <w:rFonts w:ascii="Times New Roman" w:hAnsi="Times New Roman" w:eastAsia="Times New Roman" w:cs="Times New Roman"/>
          <w:b/>
          <w:sz w:val="24"/>
          <w:szCs w:val="24"/>
        </w:rPr>
        <w:t xml:space="preserve">Details for </w:t>
      </w:r>
      <w:r>
        <w:rPr>
          <w:rFonts w:ascii="Times New Roman" w:hAnsi="Times New Roman" w:cs="Times New Roman"/>
          <w:b/>
          <w:sz w:val="24"/>
          <w:szCs w:val="24"/>
        </w:rPr>
        <w:t>quantum chemistry calculations</w:t>
      </w:r>
    </w:p>
    <w:p w14:paraId="6DA44665">
      <w:pPr>
        <w:spacing w:line="480" w:lineRule="auto"/>
        <w:rPr>
          <w:rFonts w:ascii="Times New Roman" w:hAnsi="Times New Roman" w:eastAsia="宋体" w:cs="Times New Roman"/>
          <w:color w:val="000000"/>
          <w:kern w:val="0"/>
          <w:sz w:val="24"/>
          <w:szCs w:val="24"/>
        </w:rPr>
      </w:pPr>
      <w:r>
        <w:rPr>
          <w:rFonts w:ascii="Times New Roman" w:hAnsi="Times New Roman" w:cs="Times New Roman"/>
          <w:b/>
          <w:bCs/>
          <w:szCs w:val="24"/>
        </w:rPr>
        <w:t xml:space="preserve">     </w:t>
      </w:r>
      <w:r>
        <w:rPr>
          <w:rFonts w:ascii="Times New Roman" w:hAnsi="Times New Roman" w:eastAsia="宋体" w:cs="Times New Roman"/>
          <w:color w:val="000000"/>
          <w:kern w:val="0"/>
          <w:sz w:val="24"/>
          <w:szCs w:val="24"/>
        </w:rPr>
        <w:t>The Gaussian 09 pro</w:t>
      </w:r>
      <w:r>
        <w:rPr>
          <w:rFonts w:ascii="Times New Roman" w:hAnsi="Times New Roman" w:eastAsia="宋体" w:cs="Times New Roman"/>
          <w:color w:val="000000"/>
          <w:kern w:val="0"/>
          <w:sz w:val="24"/>
          <w:szCs w:val="24"/>
        </w:rPr>
        <w:softHyphen/>
      </w:r>
      <w:r>
        <w:rPr>
          <w:rFonts w:ascii="Times New Roman" w:hAnsi="Times New Roman" w:eastAsia="宋体" w:cs="Times New Roman"/>
          <w:color w:val="000000"/>
          <w:kern w:val="0"/>
          <w:sz w:val="24"/>
          <w:szCs w:val="24"/>
        </w:rPr>
        <w:t>gram with B3LYP/6-311+G** level with minimum energy was applied for calculating the molecular orbital of SDZ. Electron populations of the HOMO and LUMO were obtained from the Gaussian output files, where the HOMO is the highest occupied molecular orbital and the LUMO is the lowest unoccupied molecular orbital.</w:t>
      </w:r>
    </w:p>
    <w:p w14:paraId="04EB66DD">
      <w:pPr>
        <w:spacing w:line="480" w:lineRule="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Fukui functions were used to predict the reactive sites of nucleophilic, electrophilic, and radical attack. When the value of the Fukui function was larger, reactivity of the corresponding position was higher; the Fukui function is defined as:Nucleophilic attack: </w:t>
      </w:r>
      <w:r>
        <w:rPr>
          <w:rFonts w:ascii="Times New Roman" w:hAnsi="Times New Roman" w:eastAsia="宋体" w:cs="Times New Roman"/>
          <w:i/>
          <w:iCs/>
          <w:color w:val="000000"/>
          <w:kern w:val="0"/>
          <w:sz w:val="24"/>
          <w:szCs w:val="24"/>
        </w:rPr>
        <w:t>f</w:t>
      </w:r>
      <w:r>
        <w:rPr>
          <w:rFonts w:ascii="Times New Roman" w:hAnsi="Times New Roman" w:eastAsia="宋体" w:cs="Times New Roman"/>
          <w:color w:val="000000"/>
          <w:kern w:val="0"/>
          <w:sz w:val="24"/>
          <w:szCs w:val="24"/>
          <w:vertAlign w:val="subscript"/>
        </w:rPr>
        <w:t>A</w:t>
      </w:r>
      <w:r>
        <w:rPr>
          <w:rFonts w:ascii="Times New Roman" w:hAnsi="Times New Roman" w:eastAsia="宋体" w:cs="Times New Roman"/>
          <w:color w:val="000000"/>
          <w:kern w:val="0"/>
          <w:sz w:val="24"/>
          <w:szCs w:val="24"/>
          <w:vertAlign w:val="superscript"/>
        </w:rPr>
        <w:t>+</w:t>
      </w:r>
      <w:r>
        <w:rPr>
          <w:rFonts w:ascii="Times New Roman" w:hAnsi="Times New Roman" w:eastAsia="宋体" w:cs="Times New Roman"/>
          <w:color w:val="000000"/>
          <w:kern w:val="0"/>
          <w:sz w:val="24"/>
          <w:szCs w:val="24"/>
        </w:rPr>
        <w:t xml:space="preserve"> = q</w:t>
      </w:r>
      <w:r>
        <w:rPr>
          <w:rFonts w:ascii="Times New Roman" w:hAnsi="Times New Roman" w:eastAsia="宋体" w:cs="Times New Roman"/>
          <w:color w:val="000000"/>
          <w:kern w:val="0"/>
          <w:sz w:val="24"/>
          <w:szCs w:val="24"/>
          <w:vertAlign w:val="subscript"/>
        </w:rPr>
        <w:t>A</w:t>
      </w:r>
      <w:r>
        <w:rPr>
          <w:rFonts w:ascii="Times New Roman" w:hAnsi="Times New Roman" w:eastAsia="宋体" w:cs="Times New Roman"/>
          <w:color w:val="000000"/>
          <w:kern w:val="0"/>
          <w:sz w:val="24"/>
          <w:szCs w:val="24"/>
          <w:vertAlign w:val="superscript"/>
        </w:rPr>
        <w:t>N</w:t>
      </w:r>
      <w:r>
        <w:rPr>
          <w:rFonts w:ascii="Times New Roman" w:hAnsi="Times New Roman" w:eastAsia="宋体" w:cs="Times New Roman"/>
          <w:color w:val="000000"/>
          <w:kern w:val="0"/>
          <w:sz w:val="24"/>
          <w:szCs w:val="24"/>
        </w:rPr>
        <w:t xml:space="preserve"> − q</w:t>
      </w:r>
      <w:r>
        <w:rPr>
          <w:rFonts w:ascii="Times New Roman" w:hAnsi="Times New Roman" w:eastAsia="宋体" w:cs="Times New Roman"/>
          <w:color w:val="000000"/>
          <w:kern w:val="0"/>
          <w:sz w:val="24"/>
          <w:szCs w:val="24"/>
          <w:vertAlign w:val="subscript"/>
        </w:rPr>
        <w:t>A</w:t>
      </w:r>
      <w:r>
        <w:rPr>
          <w:rFonts w:ascii="Times New Roman" w:hAnsi="Times New Roman" w:eastAsia="宋体" w:cs="Times New Roman"/>
          <w:color w:val="000000"/>
          <w:kern w:val="0"/>
          <w:sz w:val="24"/>
          <w:szCs w:val="24"/>
          <w:vertAlign w:val="superscript"/>
        </w:rPr>
        <w:t>N+1</w:t>
      </w:r>
      <w:r>
        <w:rPr>
          <w:rFonts w:ascii="Times New Roman" w:hAnsi="Times New Roman" w:eastAsia="宋体" w:cs="Times New Roman"/>
          <w:color w:val="000000"/>
          <w:kern w:val="0"/>
          <w:sz w:val="24"/>
          <w:szCs w:val="24"/>
        </w:rPr>
        <w:t xml:space="preserve"> ；Electrophilic attack: </w:t>
      </w:r>
      <w:r>
        <w:rPr>
          <w:rFonts w:ascii="Times New Roman" w:hAnsi="Times New Roman" w:eastAsia="宋体" w:cs="Times New Roman"/>
          <w:i/>
          <w:iCs/>
          <w:color w:val="000000"/>
          <w:kern w:val="0"/>
          <w:sz w:val="24"/>
          <w:szCs w:val="24"/>
        </w:rPr>
        <w:t>f</w:t>
      </w:r>
      <w:r>
        <w:rPr>
          <w:rFonts w:ascii="Times New Roman" w:hAnsi="Times New Roman" w:eastAsia="宋体" w:cs="Times New Roman"/>
          <w:color w:val="000000"/>
          <w:kern w:val="0"/>
          <w:sz w:val="24"/>
          <w:szCs w:val="24"/>
          <w:vertAlign w:val="subscript"/>
        </w:rPr>
        <w:t>A</w:t>
      </w:r>
      <w:r>
        <w:rPr>
          <w:rFonts w:ascii="Times New Roman" w:hAnsi="Times New Roman" w:eastAsia="宋体" w:cs="Times New Roman"/>
          <w:color w:val="000000"/>
          <w:kern w:val="0"/>
          <w:sz w:val="24"/>
          <w:szCs w:val="24"/>
          <w:vertAlign w:val="superscript"/>
        </w:rPr>
        <w:t>−</w:t>
      </w:r>
      <w:r>
        <w:rPr>
          <w:rFonts w:ascii="Times New Roman" w:hAnsi="Times New Roman" w:eastAsia="宋体" w:cs="Times New Roman"/>
          <w:color w:val="000000"/>
          <w:kern w:val="0"/>
          <w:sz w:val="24"/>
          <w:szCs w:val="24"/>
        </w:rPr>
        <w:t xml:space="preserve"> = q</w:t>
      </w:r>
      <w:r>
        <w:rPr>
          <w:rFonts w:ascii="Times New Roman" w:hAnsi="Times New Roman" w:eastAsia="宋体" w:cs="Times New Roman"/>
          <w:color w:val="000000"/>
          <w:kern w:val="0"/>
          <w:sz w:val="24"/>
          <w:szCs w:val="24"/>
          <w:vertAlign w:val="subscript"/>
        </w:rPr>
        <w:t>A</w:t>
      </w:r>
      <w:r>
        <w:rPr>
          <w:rFonts w:ascii="Times New Roman" w:hAnsi="Times New Roman" w:eastAsia="宋体" w:cs="Times New Roman"/>
          <w:color w:val="000000"/>
          <w:kern w:val="0"/>
          <w:sz w:val="24"/>
          <w:szCs w:val="24"/>
          <w:vertAlign w:val="superscript"/>
        </w:rPr>
        <w:t>N-1</w:t>
      </w:r>
      <w:r>
        <w:rPr>
          <w:rFonts w:ascii="Times New Roman" w:hAnsi="Times New Roman" w:eastAsia="宋体" w:cs="Times New Roman"/>
          <w:color w:val="000000"/>
          <w:kern w:val="0"/>
          <w:sz w:val="24"/>
          <w:szCs w:val="24"/>
        </w:rPr>
        <w:t xml:space="preserve"> − q</w:t>
      </w:r>
      <w:r>
        <w:rPr>
          <w:rFonts w:ascii="Times New Roman" w:hAnsi="Times New Roman" w:eastAsia="宋体" w:cs="Times New Roman"/>
          <w:color w:val="000000"/>
          <w:kern w:val="0"/>
          <w:sz w:val="24"/>
          <w:szCs w:val="24"/>
          <w:vertAlign w:val="subscript"/>
        </w:rPr>
        <w:t>A</w:t>
      </w:r>
      <w:r>
        <w:rPr>
          <w:rFonts w:ascii="Times New Roman" w:hAnsi="Times New Roman" w:eastAsia="宋体" w:cs="Times New Roman"/>
          <w:color w:val="000000"/>
          <w:kern w:val="0"/>
          <w:sz w:val="24"/>
          <w:szCs w:val="24"/>
          <w:vertAlign w:val="superscript"/>
        </w:rPr>
        <w:t>N</w:t>
      </w:r>
      <w:r>
        <w:rPr>
          <w:rFonts w:ascii="Times New Roman" w:hAnsi="Times New Roman" w:eastAsia="宋体" w:cs="Times New Roman"/>
          <w:color w:val="000000"/>
          <w:kern w:val="0"/>
          <w:sz w:val="24"/>
          <w:szCs w:val="24"/>
        </w:rPr>
        <w:t xml:space="preserve"> ；</w:t>
      </w:r>
    </w:p>
    <w:p w14:paraId="7A5FBB04">
      <w:pPr>
        <w:spacing w:line="480" w:lineRule="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Radical attack: </w:t>
      </w:r>
      <w:r>
        <w:rPr>
          <w:rFonts w:ascii="Times New Roman" w:hAnsi="Times New Roman" w:eastAsia="宋体" w:cs="Times New Roman"/>
          <w:i/>
          <w:iCs/>
          <w:color w:val="000000"/>
          <w:kern w:val="0"/>
          <w:sz w:val="24"/>
          <w:szCs w:val="24"/>
        </w:rPr>
        <w:t>f</w:t>
      </w:r>
      <w:r>
        <w:rPr>
          <w:rFonts w:ascii="Times New Roman" w:hAnsi="Times New Roman" w:eastAsia="宋体" w:cs="Times New Roman"/>
          <w:color w:val="000000"/>
          <w:kern w:val="0"/>
          <w:sz w:val="24"/>
          <w:szCs w:val="24"/>
          <w:vertAlign w:val="subscript"/>
        </w:rPr>
        <w:t>A</w:t>
      </w:r>
      <w:r>
        <w:rPr>
          <w:rFonts w:ascii="Times New Roman" w:hAnsi="Times New Roman" w:eastAsia="宋体" w:cs="Times New Roman"/>
          <w:color w:val="000000"/>
          <w:kern w:val="0"/>
          <w:sz w:val="24"/>
          <w:szCs w:val="24"/>
          <w:vertAlign w:val="superscript"/>
        </w:rPr>
        <w:t>0</w:t>
      </w:r>
      <w:r>
        <w:rPr>
          <w:rFonts w:ascii="Times New Roman" w:hAnsi="Times New Roman" w:eastAsia="宋体" w:cs="Times New Roman"/>
          <w:color w:val="000000"/>
          <w:kern w:val="0"/>
          <w:sz w:val="24"/>
          <w:szCs w:val="24"/>
        </w:rPr>
        <w:t xml:space="preserve"> = (q</w:t>
      </w:r>
      <w:r>
        <w:rPr>
          <w:rFonts w:ascii="Times New Roman" w:hAnsi="Times New Roman" w:eastAsia="宋体" w:cs="Times New Roman"/>
          <w:color w:val="000000"/>
          <w:kern w:val="0"/>
          <w:sz w:val="24"/>
          <w:szCs w:val="24"/>
          <w:vertAlign w:val="subscript"/>
        </w:rPr>
        <w:t>A</w:t>
      </w:r>
      <w:r>
        <w:rPr>
          <w:rFonts w:ascii="Times New Roman" w:hAnsi="Times New Roman" w:eastAsia="宋体" w:cs="Times New Roman"/>
          <w:color w:val="000000"/>
          <w:kern w:val="0"/>
          <w:sz w:val="24"/>
          <w:szCs w:val="24"/>
          <w:vertAlign w:val="superscript"/>
        </w:rPr>
        <w:t>N-1</w:t>
      </w:r>
      <w:r>
        <w:rPr>
          <w:rFonts w:ascii="Times New Roman" w:hAnsi="Times New Roman" w:eastAsia="宋体" w:cs="Times New Roman"/>
          <w:color w:val="000000"/>
          <w:kern w:val="0"/>
          <w:sz w:val="24"/>
          <w:szCs w:val="24"/>
        </w:rPr>
        <w:t xml:space="preserve"> − q</w:t>
      </w:r>
      <w:r>
        <w:rPr>
          <w:rFonts w:ascii="Times New Roman" w:hAnsi="Times New Roman" w:eastAsia="宋体" w:cs="Times New Roman"/>
          <w:color w:val="000000"/>
          <w:kern w:val="0"/>
          <w:sz w:val="24"/>
          <w:szCs w:val="24"/>
          <w:vertAlign w:val="subscript"/>
        </w:rPr>
        <w:t>AN+1</w:t>
      </w:r>
      <w:r>
        <w:rPr>
          <w:rFonts w:ascii="Times New Roman" w:hAnsi="Times New Roman" w:eastAsia="宋体" w:cs="Times New Roman"/>
          <w:color w:val="000000"/>
          <w:kern w:val="0"/>
          <w:sz w:val="24"/>
          <w:szCs w:val="24"/>
        </w:rPr>
        <w:t>)/2 .where A, q, N, and f represent an atom A, the charge of atom A, and the number of electrons in the SDZ molecule. f</w:t>
      </w:r>
      <w:r>
        <w:rPr>
          <w:rFonts w:ascii="Times New Roman" w:hAnsi="Times New Roman" w:eastAsia="宋体" w:cs="Times New Roman"/>
          <w:color w:val="000000"/>
          <w:kern w:val="0"/>
          <w:sz w:val="24"/>
          <w:szCs w:val="24"/>
          <w:vertAlign w:val="subscript"/>
        </w:rPr>
        <w:t>A</w:t>
      </w:r>
      <w:r>
        <w:rPr>
          <w:rFonts w:ascii="Times New Roman" w:hAnsi="Times New Roman" w:eastAsia="宋体" w:cs="Times New Roman"/>
          <w:color w:val="000000"/>
          <w:kern w:val="0"/>
          <w:sz w:val="24"/>
          <w:szCs w:val="24"/>
          <w:vertAlign w:val="superscript"/>
        </w:rPr>
        <w:t>+</w:t>
      </w:r>
      <w:r>
        <w:rPr>
          <w:rFonts w:ascii="Times New Roman" w:hAnsi="Times New Roman" w:eastAsia="宋体" w:cs="Times New Roman"/>
          <w:color w:val="000000"/>
          <w:kern w:val="0"/>
          <w:sz w:val="24"/>
          <w:szCs w:val="24"/>
        </w:rPr>
        <w:t>, f</w:t>
      </w:r>
      <w:r>
        <w:rPr>
          <w:rFonts w:ascii="Times New Roman" w:hAnsi="Times New Roman" w:eastAsia="宋体" w:cs="Times New Roman"/>
          <w:color w:val="000000"/>
          <w:kern w:val="0"/>
          <w:sz w:val="24"/>
          <w:szCs w:val="24"/>
          <w:vertAlign w:val="subscript"/>
        </w:rPr>
        <w:t>A</w:t>
      </w:r>
      <w:r>
        <w:rPr>
          <w:rFonts w:ascii="Times New Roman" w:hAnsi="Times New Roman" w:eastAsia="宋体" w:cs="Times New Roman"/>
          <w:color w:val="000000"/>
          <w:kern w:val="0"/>
          <w:sz w:val="24"/>
          <w:szCs w:val="24"/>
          <w:vertAlign w:val="superscript"/>
        </w:rPr>
        <w:t>−</w:t>
      </w:r>
      <w:r>
        <w:rPr>
          <w:rFonts w:ascii="Times New Roman" w:hAnsi="Times New Roman" w:eastAsia="宋体" w:cs="Times New Roman"/>
          <w:color w:val="000000"/>
          <w:kern w:val="0"/>
          <w:sz w:val="24"/>
          <w:szCs w:val="24"/>
        </w:rPr>
        <w:t>, and f</w:t>
      </w:r>
      <w:r>
        <w:rPr>
          <w:rFonts w:ascii="Times New Roman" w:hAnsi="Times New Roman" w:eastAsia="宋体" w:cs="Times New Roman"/>
          <w:color w:val="000000"/>
          <w:kern w:val="0"/>
          <w:sz w:val="24"/>
          <w:szCs w:val="24"/>
          <w:vertAlign w:val="subscript"/>
        </w:rPr>
        <w:t>A</w:t>
      </w:r>
      <w:r>
        <w:rPr>
          <w:rFonts w:ascii="Times New Roman" w:hAnsi="Times New Roman" w:eastAsia="宋体" w:cs="Times New Roman"/>
          <w:color w:val="000000"/>
          <w:kern w:val="0"/>
          <w:sz w:val="24"/>
          <w:szCs w:val="24"/>
          <w:vertAlign w:val="superscript"/>
        </w:rPr>
        <w:t xml:space="preserve">0 </w:t>
      </w:r>
      <w:r>
        <w:rPr>
          <w:rFonts w:ascii="Times New Roman" w:hAnsi="Times New Roman" w:eastAsia="宋体" w:cs="Times New Roman"/>
          <w:color w:val="000000"/>
          <w:kern w:val="0"/>
          <w:sz w:val="24"/>
          <w:szCs w:val="24"/>
        </w:rPr>
        <w:t>are the Fukui function values of atom A; these are susceptible to reduction by a nucleophilic reagent, oxidation by an electrophilic agent, and addition by radicals, respectively.</w:t>
      </w:r>
    </w:p>
    <w:p w14:paraId="0A61F837">
      <w:pP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br w:type="page"/>
      </w:r>
    </w:p>
    <w:p w14:paraId="6EEFBFC3">
      <w:pPr>
        <w:spacing w:line="480" w:lineRule="auto"/>
        <w:rPr>
          <w:rFonts w:ascii="Times New Roman" w:hAnsi="Times New Roman" w:cs="Times New Roman"/>
          <w:szCs w:val="24"/>
        </w:rPr>
      </w:pPr>
      <w:r>
        <w:rPr>
          <w:rFonts w:ascii="Times New Roman" w:hAnsi="Times New Roman" w:cs="Times New Roman"/>
          <w:b/>
          <w:bCs/>
          <w:szCs w:val="24"/>
        </w:rPr>
        <w:t xml:space="preserve">Text S5. </w:t>
      </w:r>
      <w:r>
        <w:rPr>
          <w:rFonts w:ascii="Times New Roman" w:hAnsi="Times New Roman" w:eastAsia="Times New Roman" w:cs="Times New Roman"/>
          <w:b/>
          <w:sz w:val="24"/>
          <w:szCs w:val="24"/>
        </w:rPr>
        <w:t xml:space="preserve">Details for </w:t>
      </w:r>
      <w:r>
        <w:rPr>
          <w:rFonts w:ascii="Times New Roman" w:hAnsi="Times New Roman" w:cs="Times New Roman"/>
          <w:b/>
          <w:sz w:val="24"/>
          <w:szCs w:val="24"/>
        </w:rPr>
        <w:t>Density Functional Theory (DFT) calculations</w:t>
      </w:r>
    </w:p>
    <w:p w14:paraId="536C844A">
      <w:pPr>
        <w:pStyle w:val="11"/>
        <w:spacing w:line="360" w:lineRule="auto"/>
        <w:ind w:firstLine="480" w:firstLineChars="200"/>
        <w:jc w:val="both"/>
        <w:rPr>
          <w:rFonts w:hint="default" w:ascii="Times New Roman" w:hAnsi="Times New Roman"/>
          <w:szCs w:val="24"/>
        </w:rPr>
      </w:pPr>
      <w:r>
        <w:rPr>
          <w:rFonts w:hint="default" w:ascii="Times New Roman" w:hAnsi="Times New Roman"/>
          <w:szCs w:val="24"/>
        </w:rPr>
        <w:t xml:space="preserve">We performed density functional theory (DFT) calculations </w:t>
      </w:r>
      <w:r>
        <w:rPr>
          <w:rFonts w:hint="default" w:ascii="Times New Roman" w:hAnsi="Times New Roman"/>
          <w:szCs w:val="24"/>
        </w:rPr>
        <w:fldChar w:fldCharType="begin"/>
      </w:r>
      <w:r>
        <w:rPr>
          <w:rFonts w:hint="default" w:ascii="Times New Roman" w:hAnsi="Times New Roman"/>
          <w:szCs w:val="24"/>
        </w:rPr>
        <w:instrText xml:space="preserve"> ADDIN NE.Ref.{B9A19CBF-F431-4540-8130-0C52E8C58C6B}</w:instrText>
      </w:r>
      <w:r>
        <w:rPr>
          <w:rFonts w:hint="default" w:ascii="Times New Roman" w:hAnsi="Times New Roman"/>
          <w:szCs w:val="24"/>
        </w:rPr>
        <w:fldChar w:fldCharType="separate"/>
      </w:r>
      <w:r>
        <w:rPr>
          <w:rFonts w:ascii="Times New Roman" w:hAnsi="Times New Roman"/>
          <w:szCs w:val="24"/>
        </w:rPr>
        <w:t>(Kohn &amp; Sham, 1965)</w:t>
      </w:r>
      <w:r>
        <w:rPr>
          <w:rFonts w:hint="default" w:ascii="Times New Roman" w:hAnsi="Times New Roman"/>
          <w:szCs w:val="24"/>
        </w:rPr>
        <w:fldChar w:fldCharType="end"/>
      </w:r>
      <w:r>
        <w:rPr>
          <w:rFonts w:ascii="Times New Roman" w:hAnsi="Times New Roman"/>
          <w:szCs w:val="24"/>
        </w:rPr>
        <w:t xml:space="preserve"> </w:t>
      </w:r>
      <w:r>
        <w:rPr>
          <w:rFonts w:hint="default" w:ascii="Times New Roman" w:hAnsi="Times New Roman"/>
          <w:szCs w:val="24"/>
        </w:rPr>
        <w:t xml:space="preserve">using the Vienna Ab initio Simulation Package (VASP) </w:t>
      </w:r>
      <w:r>
        <w:rPr>
          <w:rFonts w:hint="default" w:ascii="Times New Roman" w:hAnsi="Times New Roman"/>
          <w:szCs w:val="24"/>
        </w:rPr>
        <w:fldChar w:fldCharType="begin"/>
      </w:r>
      <w:r>
        <w:rPr>
          <w:rFonts w:hint="default" w:ascii="Times New Roman" w:hAnsi="Times New Roman"/>
          <w:szCs w:val="24"/>
        </w:rPr>
        <w:instrText xml:space="preserve"> ADDIN NE.Ref.{349D72A7-D3A2-4AF3-BF8F-DEB594B27554}</w:instrText>
      </w:r>
      <w:r>
        <w:rPr>
          <w:rFonts w:hint="default" w:ascii="Times New Roman" w:hAnsi="Times New Roman"/>
          <w:szCs w:val="24"/>
        </w:rPr>
        <w:fldChar w:fldCharType="separate"/>
      </w:r>
      <w:r>
        <w:rPr>
          <w:rFonts w:ascii="Times New Roman" w:hAnsi="Times New Roman"/>
          <w:szCs w:val="24"/>
        </w:rPr>
        <w:t>(Hafner, 2008; Kresse &amp; Furthmüller, 1996)</w:t>
      </w:r>
      <w:r>
        <w:rPr>
          <w:rFonts w:hint="default" w:ascii="Times New Roman" w:hAnsi="Times New Roman"/>
          <w:szCs w:val="24"/>
        </w:rPr>
        <w:fldChar w:fldCharType="end"/>
      </w:r>
      <w:r>
        <w:rPr>
          <w:rFonts w:ascii="Times New Roman" w:hAnsi="Times New Roman"/>
          <w:szCs w:val="24"/>
        </w:rPr>
        <w:t xml:space="preserve"> </w:t>
      </w:r>
      <w:r>
        <w:rPr>
          <w:rFonts w:hint="default" w:ascii="Times New Roman" w:hAnsi="Times New Roman"/>
          <w:szCs w:val="24"/>
        </w:rPr>
        <w:t xml:space="preserve">to obtain relaxed geometries and total energies. The projector augmented wave (PAW) method </w:t>
      </w:r>
      <w:r>
        <w:rPr>
          <w:rFonts w:hint="default" w:ascii="Times New Roman" w:hAnsi="Times New Roman"/>
          <w:szCs w:val="24"/>
        </w:rPr>
        <w:fldChar w:fldCharType="begin"/>
      </w:r>
      <w:r>
        <w:rPr>
          <w:rFonts w:hint="default" w:ascii="Times New Roman" w:hAnsi="Times New Roman"/>
          <w:szCs w:val="24"/>
        </w:rPr>
        <w:instrText xml:space="preserve"> ADDIN NE.Ref.{CA74D32F-AF6F-4F42-9703-19D5B795E85A}</w:instrText>
      </w:r>
      <w:r>
        <w:rPr>
          <w:rFonts w:hint="default" w:ascii="Times New Roman" w:hAnsi="Times New Roman"/>
          <w:szCs w:val="24"/>
        </w:rPr>
        <w:fldChar w:fldCharType="separate"/>
      </w:r>
      <w:r>
        <w:rPr>
          <w:rFonts w:ascii="Times New Roman" w:hAnsi="Times New Roman"/>
          <w:szCs w:val="24"/>
        </w:rPr>
        <w:t>(Blochl et al., 1994; Blöchl, 1994)</w:t>
      </w:r>
      <w:r>
        <w:rPr>
          <w:rFonts w:hint="default" w:ascii="Times New Roman" w:hAnsi="Times New Roman"/>
          <w:szCs w:val="24"/>
        </w:rPr>
        <w:fldChar w:fldCharType="end"/>
      </w:r>
      <w:r>
        <w:rPr>
          <w:rFonts w:ascii="Times New Roman" w:hAnsi="Times New Roman"/>
          <w:szCs w:val="24"/>
        </w:rPr>
        <w:t xml:space="preserve"> </w:t>
      </w:r>
      <w:r>
        <w:rPr>
          <w:rFonts w:hint="default" w:ascii="Times New Roman" w:hAnsi="Times New Roman"/>
          <w:szCs w:val="24"/>
        </w:rPr>
        <w:t>was employed to describe electron–ion interactions. The exchange–correlation energy was treated within the generalized gradient approximation (GGA) using the Perdew–Burke–Ernzerhof (PBE) functional</w:t>
      </w:r>
      <w:r>
        <w:rPr>
          <w:rFonts w:ascii="Times New Roman" w:hAnsi="Times New Roman"/>
          <w:szCs w:val="24"/>
          <w:vertAlign w:val="superscript"/>
        </w:rPr>
        <w:t xml:space="preserve"> </w:t>
      </w:r>
      <w:r>
        <w:rPr>
          <w:rFonts w:hint="default" w:ascii="Times New Roman" w:hAnsi="Times New Roman"/>
          <w:szCs w:val="24"/>
          <w:vertAlign w:val="superscript"/>
        </w:rPr>
        <w:fldChar w:fldCharType="begin"/>
      </w:r>
      <w:r>
        <w:rPr>
          <w:rFonts w:hint="default" w:ascii="Times New Roman" w:hAnsi="Times New Roman"/>
          <w:szCs w:val="24"/>
          <w:vertAlign w:val="superscript"/>
        </w:rPr>
        <w:instrText xml:space="preserve"> ADDIN NE.Ref.{C3C7A78B-9269-4676-8C55-D7F847EE8BB4}</w:instrText>
      </w:r>
      <w:r>
        <w:rPr>
          <w:rFonts w:hint="default" w:ascii="Times New Roman" w:hAnsi="Times New Roman"/>
          <w:szCs w:val="24"/>
          <w:vertAlign w:val="superscript"/>
        </w:rPr>
        <w:fldChar w:fldCharType="separate"/>
      </w:r>
      <w:r>
        <w:rPr>
          <w:rFonts w:ascii="Times New Roman" w:hAnsi="Times New Roman"/>
          <w:szCs w:val="24"/>
        </w:rPr>
        <w:t>(Perdew et al., 1992; Perdew et al., 1996; Perdew &amp; Wang, 1992)</w:t>
      </w:r>
      <w:r>
        <w:rPr>
          <w:rFonts w:hint="default" w:ascii="Times New Roman" w:hAnsi="Times New Roman"/>
          <w:szCs w:val="24"/>
          <w:vertAlign w:val="superscript"/>
        </w:rPr>
        <w:fldChar w:fldCharType="end"/>
      </w:r>
      <w:r>
        <w:rPr>
          <w:rFonts w:hint="default" w:ascii="Times New Roman" w:hAnsi="Times New Roman"/>
          <w:szCs w:val="24"/>
        </w:rPr>
        <w:t>. A plane-wave kinetic energy cutoff of 420 eV was used. The electronic self-consistent field (SCF) iteration was converged to a threshold of 1×10</w:t>
      </w:r>
      <w:r>
        <w:rPr>
          <w:rFonts w:hint="default" w:ascii="Times New Roman" w:hAnsi="Times New Roman"/>
          <w:szCs w:val="24"/>
          <w:vertAlign w:val="superscript"/>
        </w:rPr>
        <w:t>-5</w:t>
      </w:r>
      <w:r>
        <w:rPr>
          <w:rFonts w:hint="default" w:ascii="Times New Roman" w:hAnsi="Times New Roman"/>
          <w:szCs w:val="24"/>
        </w:rPr>
        <w:t xml:space="preserve"> eV per atom. Atomic structures were optimized until the maximum residual force on each atom was less than 0.04 eV/Å. Difference charge density analysis was performed using the VESTA software.</w:t>
      </w:r>
    </w:p>
    <w:p w14:paraId="28245B04">
      <w:pPr>
        <w:pStyle w:val="11"/>
        <w:spacing w:line="360" w:lineRule="auto"/>
        <w:ind w:firstLine="480" w:firstLineChars="200"/>
        <w:jc w:val="both"/>
        <w:rPr>
          <w:rFonts w:hint="default" w:ascii="Times New Roman" w:hAnsi="Times New Roman"/>
          <w:szCs w:val="24"/>
        </w:rPr>
      </w:pPr>
      <w:r>
        <w:rPr>
          <w:rFonts w:hint="default" w:ascii="Times New Roman" w:hAnsi="Times New Roman"/>
          <w:szCs w:val="24"/>
        </w:rPr>
        <w:t>All geometric and energy calculations were carried out within the DFT framework as implemented in VASP</w:t>
      </w:r>
      <w:r>
        <w:rPr>
          <w:rFonts w:ascii="Times New Roman" w:hAnsi="Times New Roman"/>
          <w:szCs w:val="24"/>
          <w:vertAlign w:val="superscript"/>
        </w:rPr>
        <w:t xml:space="preserve"> </w:t>
      </w:r>
      <w:r>
        <w:rPr>
          <w:rFonts w:hint="default" w:ascii="Times New Roman" w:hAnsi="Times New Roman"/>
          <w:szCs w:val="24"/>
          <w:vertAlign w:val="superscript"/>
        </w:rPr>
        <w:fldChar w:fldCharType="begin"/>
      </w:r>
      <w:r>
        <w:rPr>
          <w:rFonts w:hint="default" w:ascii="Times New Roman" w:hAnsi="Times New Roman"/>
          <w:szCs w:val="24"/>
          <w:vertAlign w:val="superscript"/>
        </w:rPr>
        <w:instrText xml:space="preserve"> ADDIN NE.Ref.{ED056D15-2183-45AD-A7EA-C3373CD65E47}</w:instrText>
      </w:r>
      <w:r>
        <w:rPr>
          <w:rFonts w:hint="default" w:ascii="Times New Roman" w:hAnsi="Times New Roman"/>
          <w:szCs w:val="24"/>
          <w:vertAlign w:val="superscript"/>
        </w:rPr>
        <w:fldChar w:fldCharType="separate"/>
      </w:r>
      <w:r>
        <w:rPr>
          <w:rFonts w:ascii="Times New Roman" w:hAnsi="Times New Roman"/>
          <w:szCs w:val="24"/>
        </w:rPr>
        <w:t>(Hafner, 2007)</w:t>
      </w:r>
      <w:r>
        <w:rPr>
          <w:rFonts w:hint="default" w:ascii="Times New Roman" w:hAnsi="Times New Roman"/>
          <w:szCs w:val="24"/>
          <w:vertAlign w:val="superscript"/>
        </w:rPr>
        <w:fldChar w:fldCharType="end"/>
      </w:r>
      <w:r>
        <w:rPr>
          <w:rFonts w:hint="default" w:ascii="Times New Roman" w:hAnsi="Times New Roman"/>
          <w:szCs w:val="24"/>
        </w:rPr>
        <w:t>. The exchange–correlation potential was approximated by the GGA-PBE functional</w:t>
      </w:r>
      <w:r>
        <w:rPr>
          <w:rFonts w:ascii="Times New Roman" w:hAnsi="Times New Roman"/>
          <w:szCs w:val="24"/>
          <w:vertAlign w:val="superscript"/>
        </w:rPr>
        <w:t xml:space="preserve"> </w:t>
      </w:r>
      <w:r>
        <w:rPr>
          <w:rFonts w:hint="default" w:ascii="Times New Roman" w:hAnsi="Times New Roman"/>
          <w:szCs w:val="24"/>
          <w:vertAlign w:val="superscript"/>
        </w:rPr>
        <w:fldChar w:fldCharType="begin"/>
      </w:r>
      <w:r>
        <w:rPr>
          <w:rFonts w:hint="default" w:ascii="Times New Roman" w:hAnsi="Times New Roman"/>
          <w:szCs w:val="24"/>
          <w:vertAlign w:val="superscript"/>
        </w:rPr>
        <w:instrText xml:space="preserve"> ADDIN NE.Ref.{62C569E1-0AD2-4EF9-8F19-07F7C93C20A9}</w:instrText>
      </w:r>
      <w:r>
        <w:rPr>
          <w:rFonts w:hint="default" w:ascii="Times New Roman" w:hAnsi="Times New Roman"/>
          <w:szCs w:val="24"/>
          <w:vertAlign w:val="superscript"/>
        </w:rPr>
        <w:fldChar w:fldCharType="separate"/>
      </w:r>
      <w:r>
        <w:rPr>
          <w:rFonts w:ascii="Times New Roman" w:hAnsi="Times New Roman"/>
          <w:szCs w:val="24"/>
        </w:rPr>
        <w:t>(Kresse &amp; Furthmüller, 1996)</w:t>
      </w:r>
      <w:r>
        <w:rPr>
          <w:rFonts w:hint="default" w:ascii="Times New Roman" w:hAnsi="Times New Roman"/>
          <w:szCs w:val="24"/>
          <w:vertAlign w:val="superscript"/>
        </w:rPr>
        <w:fldChar w:fldCharType="end"/>
      </w:r>
      <w:r>
        <w:rPr>
          <w:rFonts w:hint="default" w:ascii="Times New Roman" w:hAnsi="Times New Roman"/>
          <w:szCs w:val="24"/>
        </w:rPr>
        <w:t>. Core–valence electron interactions were described using the PAW method</w:t>
      </w:r>
      <w:r>
        <w:rPr>
          <w:rFonts w:ascii="Times New Roman" w:hAnsi="Times New Roman"/>
          <w:szCs w:val="24"/>
          <w:vertAlign w:val="superscript"/>
        </w:rPr>
        <w:t xml:space="preserve"> </w:t>
      </w:r>
      <w:r>
        <w:rPr>
          <w:rFonts w:hint="default" w:ascii="Times New Roman" w:hAnsi="Times New Roman"/>
          <w:szCs w:val="24"/>
        </w:rPr>
        <w:fldChar w:fldCharType="begin"/>
      </w:r>
      <w:r>
        <w:rPr>
          <w:rFonts w:hint="default" w:ascii="Times New Roman" w:hAnsi="Times New Roman"/>
          <w:szCs w:val="24"/>
        </w:rPr>
        <w:instrText xml:space="preserve"> ADDIN NE.Ref.{967F9147-F660-4339-BCF5-42B66EE27B0D}</w:instrText>
      </w:r>
      <w:r>
        <w:rPr>
          <w:rFonts w:hint="default" w:ascii="Times New Roman" w:hAnsi="Times New Roman"/>
          <w:szCs w:val="24"/>
        </w:rPr>
        <w:fldChar w:fldCharType="separate"/>
      </w:r>
      <w:r>
        <w:rPr>
          <w:rFonts w:ascii="Times New Roman" w:hAnsi="Times New Roman"/>
          <w:szCs w:val="24"/>
        </w:rPr>
        <w:t>(Perdew et al., 1992)</w:t>
      </w:r>
      <w:r>
        <w:rPr>
          <w:rFonts w:hint="default" w:ascii="Times New Roman" w:hAnsi="Times New Roman"/>
          <w:szCs w:val="24"/>
        </w:rPr>
        <w:fldChar w:fldCharType="end"/>
      </w:r>
      <w:r>
        <w:rPr>
          <w:rFonts w:hint="default" w:ascii="Times New Roman" w:hAnsi="Times New Roman"/>
          <w:szCs w:val="24"/>
        </w:rPr>
        <w:t>. A kinetic energy cutoff of 450 eV was adopted for the plane-wave basis set. The DFT-D3 dispersion correction and dipole corrections were included in all computations</w:t>
      </w:r>
      <w:r>
        <w:rPr>
          <w:rFonts w:ascii="Times New Roman" w:hAnsi="Times New Roman"/>
          <w:szCs w:val="24"/>
          <w:vertAlign w:val="superscript"/>
        </w:rPr>
        <w:t xml:space="preserve"> </w:t>
      </w:r>
      <w:r>
        <w:rPr>
          <w:rFonts w:hint="default" w:ascii="Times New Roman" w:hAnsi="Times New Roman"/>
          <w:szCs w:val="24"/>
          <w:vertAlign w:val="superscript"/>
        </w:rPr>
        <w:fldChar w:fldCharType="begin"/>
      </w:r>
      <w:r>
        <w:rPr>
          <w:rFonts w:hint="default" w:ascii="Times New Roman" w:hAnsi="Times New Roman"/>
          <w:szCs w:val="24"/>
          <w:vertAlign w:val="superscript"/>
        </w:rPr>
        <w:instrText xml:space="preserve"> ADDIN NE.Ref.{119CAFBE-89A9-4850-BE82-FF0FF5418E3A}</w:instrText>
      </w:r>
      <w:r>
        <w:rPr>
          <w:rFonts w:hint="default" w:ascii="Times New Roman" w:hAnsi="Times New Roman"/>
          <w:szCs w:val="24"/>
          <w:vertAlign w:val="superscript"/>
        </w:rPr>
        <w:fldChar w:fldCharType="separate"/>
      </w:r>
      <w:r>
        <w:rPr>
          <w:rFonts w:ascii="Times New Roman" w:hAnsi="Times New Roman"/>
          <w:szCs w:val="24"/>
        </w:rPr>
        <w:t>(Huang et al., 2019; Neugebauer &amp; Scheffler, 1992)</w:t>
      </w:r>
      <w:r>
        <w:rPr>
          <w:rFonts w:hint="default" w:ascii="Times New Roman" w:hAnsi="Times New Roman"/>
          <w:szCs w:val="24"/>
          <w:vertAlign w:val="superscript"/>
        </w:rPr>
        <w:fldChar w:fldCharType="end"/>
      </w:r>
      <w:r>
        <w:rPr>
          <w:rFonts w:hint="default" w:ascii="Times New Roman" w:hAnsi="Times New Roman"/>
          <w:szCs w:val="24"/>
        </w:rPr>
        <w:t>. The energy convergence criterion for solving the Kohn–Sham equations was set to 10⁻⁶ eV. All atomic configurations were fully relaxed until the forces on all atoms were below 0.02 eV/Å. Brillouin zone sampling was performed using a 4×4×1 Monkhorst–Pack k-point mesh. A vacuum layer of 15 Å was applied along the perpendicular direction to avoid spurious interactions between periodic images.</w:t>
      </w:r>
    </w:p>
    <w:p w14:paraId="10B577C5">
      <w:pPr>
        <w:pStyle w:val="11"/>
        <w:spacing w:line="360" w:lineRule="auto"/>
        <w:ind w:firstLine="480" w:firstLineChars="200"/>
        <w:jc w:val="both"/>
        <w:rPr>
          <w:rFonts w:hint="default" w:ascii="Times New Roman" w:hAnsi="Times New Roman"/>
          <w:szCs w:val="24"/>
        </w:rPr>
      </w:pPr>
      <w:r>
        <w:rPr>
          <w:rFonts w:hint="default" w:ascii="Times New Roman" w:hAnsi="Times New Roman"/>
          <w:szCs w:val="24"/>
        </w:rPr>
        <w:t>Within this model, the change in Gibbs free energy (ΔG) for each reaction step was defined as:</w:t>
      </w:r>
    </w:p>
    <w:p w14:paraId="707ACB52">
      <w:pPr>
        <w:pStyle w:val="11"/>
        <w:spacing w:line="360" w:lineRule="auto"/>
        <w:ind w:firstLine="480" w:firstLineChars="200"/>
        <w:jc w:val="both"/>
        <w:rPr>
          <w:rFonts w:hint="default" w:ascii="Times New Roman" w:hAnsi="Times New Roman"/>
          <w:szCs w:val="24"/>
        </w:rPr>
      </w:pPr>
      <w:r>
        <w:rPr>
          <w:rFonts w:hint="default" w:ascii="Times New Roman" w:hAnsi="Times New Roman"/>
          <w:szCs w:val="24"/>
        </w:rPr>
        <w:t>ΔG = ΔE + ΔEZPE − TΔS</w:t>
      </w:r>
    </w:p>
    <w:p w14:paraId="11F1F89A">
      <w:pPr>
        <w:pStyle w:val="11"/>
        <w:spacing w:line="360" w:lineRule="auto"/>
        <w:ind w:firstLine="480" w:firstLineChars="200"/>
        <w:jc w:val="both"/>
        <w:rPr>
          <w:rFonts w:hint="default" w:ascii="Times New Roman" w:hAnsi="Times New Roman"/>
          <w:szCs w:val="24"/>
        </w:rPr>
      </w:pPr>
      <w:r>
        <w:rPr>
          <w:rFonts w:hint="default" w:ascii="Times New Roman" w:hAnsi="Times New Roman"/>
          <w:szCs w:val="24"/>
        </w:rPr>
        <w:t>where ΔE is the reaction energy obtained directly from DFT total energy differences. The zero-point energy correction (ΔEZPE) was derived from vibrational frequency calculations. ΔS denotes the entropy change between products and reactants at room temperature (T = 298.15 K).</w:t>
      </w:r>
    </w:p>
    <w:p w14:paraId="7EC0FBAB">
      <w:pPr>
        <w:spacing w:line="360" w:lineRule="auto"/>
        <w:jc w:val="center"/>
        <w:rPr>
          <w:rFonts w:ascii="Times New Roman" w:hAnsi="Times New Roman" w:cs="Times New Roman"/>
          <w:sz w:val="24"/>
          <w:szCs w:val="24"/>
        </w:rPr>
      </w:pPr>
      <w:r>
        <w:rPr>
          <w:rFonts w:ascii="Times New Roman" w:hAnsi="Times New Roman" w:cs="Times New Roman"/>
        </w:rPr>
        <w:drawing>
          <wp:inline distT="0" distB="0" distL="114300" distR="114300">
            <wp:extent cx="3615055" cy="2061210"/>
            <wp:effectExtent l="0" t="0" r="4445" b="889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2"/>
                    <a:stretch>
                      <a:fillRect/>
                    </a:stretch>
                  </pic:blipFill>
                  <pic:spPr>
                    <a:xfrm>
                      <a:off x="0" y="0"/>
                      <a:ext cx="3615055" cy="2061210"/>
                    </a:xfrm>
                    <a:prstGeom prst="rect">
                      <a:avLst/>
                    </a:prstGeom>
                    <a:noFill/>
                    <a:ln>
                      <a:noFill/>
                    </a:ln>
                  </pic:spPr>
                </pic:pic>
              </a:graphicData>
            </a:graphic>
          </wp:inline>
        </w:drawing>
      </w:r>
      <w:bookmarkStart w:id="23" w:name="_GoBack"/>
      <w:bookmarkEnd w:id="23"/>
    </w:p>
    <w:p w14:paraId="6788F30D">
      <w:pPr>
        <w:spacing w:line="360" w:lineRule="auto"/>
        <w:jc w:val="center"/>
        <w:rPr>
          <w:rFonts w:ascii="Times New Roman" w:hAnsi="Times New Roman" w:cs="Times New Roman"/>
          <w:sz w:val="24"/>
          <w:szCs w:val="24"/>
          <w:lang w:bidi="ar"/>
        </w:rPr>
      </w:pPr>
      <w:r>
        <w:rPr>
          <w:rFonts w:ascii="Times New Roman" w:hAnsi="Times New Roman" w:eastAsia="宋体" w:cs="Times New Roman"/>
          <w:color w:val="000000" w:themeColor="text1"/>
          <w:sz w:val="24"/>
          <w:szCs w:val="24"/>
          <w14:textFill>
            <w14:solidFill>
              <w14:schemeClr w14:val="tx1"/>
            </w14:solidFill>
          </w14:textFill>
        </w:rPr>
        <w:t>Fig. S2</w:t>
      </w:r>
      <w:r>
        <w:rPr>
          <w:rFonts w:ascii="Times New Roman" w:hAnsi="Times New Roman" w:eastAsia="宋体" w:cs="Times New Roman"/>
          <w:b/>
          <w:bCs/>
          <w:color w:val="000000" w:themeColor="text1"/>
          <w:sz w:val="24"/>
          <w:szCs w:val="24"/>
          <w14:textFill>
            <w14:solidFill>
              <w14:schemeClr w14:val="tx1"/>
            </w14:solidFill>
          </w14:textFill>
        </w:rPr>
        <w:t xml:space="preserve">. </w:t>
      </w:r>
      <w:r>
        <w:rPr>
          <w:rFonts w:ascii="Times New Roman" w:hAnsi="Times New Roman" w:cs="Times New Roman"/>
          <w:sz w:val="24"/>
          <w:szCs w:val="24"/>
          <w:lang w:bidi="ar"/>
        </w:rPr>
        <w:t>EDS mapping of MBC-500.</w:t>
      </w:r>
    </w:p>
    <w:p w14:paraId="75FC983E">
      <w:pPr>
        <w:spacing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2674620" cy="2178050"/>
            <wp:effectExtent l="0" t="0" r="0" b="0"/>
            <wp:docPr id="99332118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21184" name="图片 1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677773" cy="2180739"/>
                    </a:xfrm>
                    <a:prstGeom prst="rect">
                      <a:avLst/>
                    </a:prstGeom>
                  </pic:spPr>
                </pic:pic>
              </a:graphicData>
            </a:graphic>
          </wp:inline>
        </w:drawing>
      </w:r>
    </w:p>
    <w:p w14:paraId="781922A0">
      <w:pPr>
        <w:spacing w:line="360" w:lineRule="auto"/>
        <w:jc w:val="center"/>
        <w:rPr>
          <w:rFonts w:ascii="Times New Roman" w:hAnsi="Times New Roman" w:cs="Times New Roman"/>
          <w:color w:val="000000" w:themeColor="text1"/>
          <w:sz w:val="24"/>
          <w:szCs w:val="24"/>
          <w14:textFill>
            <w14:solidFill>
              <w14:schemeClr w14:val="tx1"/>
            </w14:solidFill>
          </w14:textFill>
        </w:rPr>
      </w:pPr>
      <w:bookmarkStart w:id="5" w:name="_Hlk209515810"/>
      <w:r>
        <w:rPr>
          <w:rFonts w:ascii="Times New Roman" w:hAnsi="Times New Roman" w:cs="Times New Roman"/>
          <w:color w:val="000000" w:themeColor="text1"/>
          <w:sz w:val="24"/>
          <w:szCs w:val="24"/>
          <w14:textFill>
            <w14:solidFill>
              <w14:schemeClr w14:val="tx1"/>
            </w14:solidFill>
          </w14:textFill>
        </w:rPr>
        <w:t>Fig. S3</w:t>
      </w:r>
      <w:bookmarkEnd w:id="5"/>
      <w:r>
        <w:rPr>
          <w:rFonts w:ascii="Times New Roman" w:hAnsi="Times New Roman" w:cs="Times New Roman"/>
          <w:color w:val="000000" w:themeColor="text1"/>
          <w:sz w:val="24"/>
          <w:szCs w:val="24"/>
          <w14:textFill>
            <w14:solidFill>
              <w14:schemeClr w14:val="tx1"/>
            </w14:solidFill>
          </w14:textFill>
        </w:rPr>
        <w:t xml:space="preserve"> TGA plot</w:t>
      </w:r>
    </w:p>
    <w:p w14:paraId="24551D7F">
      <w:pPr>
        <w:spacing w:line="360" w:lineRule="auto"/>
        <w:jc w:val="center"/>
        <w:rPr>
          <w:rFonts w:ascii="Times New Roman" w:hAnsi="Times New Roman" w:cs="Times New Roman"/>
          <w:color w:val="000000" w:themeColor="text1"/>
          <w:sz w:val="24"/>
          <w:szCs w:val="24"/>
          <w14:textFill>
            <w14:solidFill>
              <w14:schemeClr w14:val="tx1"/>
            </w14:solidFill>
          </w14:textFill>
        </w:rPr>
      </w:pPr>
    </w:p>
    <w:p w14:paraId="3379DDD7">
      <w:pPr>
        <w:spacing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2811780" cy="2278380"/>
            <wp:effectExtent l="0" t="0" r="7620" b="7620"/>
            <wp:docPr id="61352968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529685" name="图片 1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812024" cy="2278577"/>
                    </a:xfrm>
                    <a:prstGeom prst="rect">
                      <a:avLst/>
                    </a:prstGeom>
                  </pic:spPr>
                </pic:pic>
              </a:graphicData>
            </a:graphic>
          </wp:inline>
        </w:drawing>
      </w:r>
    </w:p>
    <w:p w14:paraId="224D2043">
      <w:pPr>
        <w:spacing w:line="360" w:lineRule="auto"/>
        <w:jc w:val="center"/>
        <w:rPr>
          <w:rFonts w:ascii="Times New Roman" w:hAnsi="Times New Roman" w:cs="Times New Roman"/>
          <w:color w:val="000000" w:themeColor="text1"/>
          <w:sz w:val="24"/>
          <w:szCs w:val="24"/>
          <w14:textFill>
            <w14:solidFill>
              <w14:schemeClr w14:val="tx1"/>
            </w14:solidFill>
          </w14:textFill>
        </w:rPr>
      </w:pPr>
      <w:bookmarkStart w:id="6" w:name="_Hlk209554966"/>
      <w:r>
        <w:rPr>
          <w:rFonts w:ascii="Times New Roman" w:hAnsi="Times New Roman" w:cs="Times New Roman"/>
          <w:color w:val="000000" w:themeColor="text1"/>
          <w:sz w:val="24"/>
          <w:szCs w:val="24"/>
          <w14:textFill>
            <w14:solidFill>
              <w14:schemeClr w14:val="tx1"/>
            </w14:solidFill>
          </w14:textFill>
        </w:rPr>
        <w:t>Fig. S4 Mott–Schottky plots</w:t>
      </w:r>
      <w:bookmarkEnd w:id="6"/>
    </w:p>
    <w:p w14:paraId="33D53A31">
      <w:pPr>
        <w:spacing w:line="360" w:lineRule="auto"/>
        <w:jc w:val="center"/>
        <w:rPr>
          <w:rFonts w:ascii="Times New Roman" w:hAnsi="Times New Roman" w:cs="Times New Roman"/>
          <w:color w:val="000000" w:themeColor="text1"/>
          <w:sz w:val="24"/>
          <w:szCs w:val="24"/>
          <w14:textFill>
            <w14:solidFill>
              <w14:schemeClr w14:val="tx1"/>
            </w14:solidFill>
          </w14:textFill>
        </w:rPr>
      </w:pPr>
    </w:p>
    <w:p w14:paraId="042A2DF6">
      <w:pPr>
        <w:spacing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5567680" cy="2369820"/>
            <wp:effectExtent l="0" t="0" r="0" b="0"/>
            <wp:docPr id="28906252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62526" name="图片 16"/>
                    <pic:cNvPicPr>
                      <a:picLocks noChangeAspect="1"/>
                    </pic:cNvPicPr>
                  </pic:nvPicPr>
                  <pic:blipFill>
                    <a:blip r:embed="rId15" cstate="print">
                      <a:extLst>
                        <a:ext uri="{28A0092B-C50C-407E-A947-70E740481C1C}">
                          <a14:useLocalDpi xmlns:a14="http://schemas.microsoft.com/office/drawing/2010/main" val="0"/>
                        </a:ext>
                      </a:extLst>
                    </a:blip>
                    <a:srcRect l="17770"/>
                    <a:stretch>
                      <a:fillRect/>
                    </a:stretch>
                  </pic:blipFill>
                  <pic:spPr>
                    <a:xfrm>
                      <a:off x="0" y="0"/>
                      <a:ext cx="5569705" cy="2370590"/>
                    </a:xfrm>
                    <a:prstGeom prst="rect">
                      <a:avLst/>
                    </a:prstGeom>
                    <a:ln>
                      <a:noFill/>
                    </a:ln>
                  </pic:spPr>
                </pic:pic>
              </a:graphicData>
            </a:graphic>
          </wp:inline>
        </w:drawing>
      </w:r>
    </w:p>
    <w:p w14:paraId="1F6B9F5E">
      <w:pPr>
        <w:spacing w:line="360" w:lineRule="auto"/>
        <w:jc w:val="center"/>
        <w:rPr>
          <w:rFonts w:ascii="Times New Roman" w:hAnsi="Times New Roman" w:cs="Times New Roman"/>
          <w:color w:val="000000" w:themeColor="text1"/>
          <w:sz w:val="24"/>
          <w:szCs w:val="24"/>
          <w14:textFill>
            <w14:solidFill>
              <w14:schemeClr w14:val="tx1"/>
            </w14:solidFill>
          </w14:textFill>
        </w:rPr>
      </w:pPr>
      <w:bookmarkStart w:id="7" w:name="_Hlk209555036"/>
      <w:r>
        <w:rPr>
          <w:rFonts w:ascii="Times New Roman" w:hAnsi="Times New Roman" w:cs="Times New Roman"/>
          <w:color w:val="000000" w:themeColor="text1"/>
          <w:sz w:val="24"/>
          <w:szCs w:val="24"/>
          <w14:textFill>
            <w14:solidFill>
              <w14:schemeClr w14:val="tx1"/>
            </w14:solidFill>
          </w14:textFill>
        </w:rPr>
        <w:t>Fig. S5 (a) Transient photocurrent results of Material;(b) EIS Nyquist plots</w:t>
      </w:r>
    </w:p>
    <w:p w14:paraId="2E33F649">
      <w:pPr>
        <w:spacing w:line="360" w:lineRule="auto"/>
        <w:jc w:val="center"/>
        <w:rPr>
          <w:rFonts w:ascii="Times New Roman" w:hAnsi="Times New Roman" w:cs="Times New Roman"/>
          <w:color w:val="000000" w:themeColor="text1"/>
          <w:sz w:val="24"/>
          <w:szCs w:val="24"/>
          <w14:textFill>
            <w14:solidFill>
              <w14:schemeClr w14:val="tx1"/>
            </w14:solidFill>
          </w14:textFill>
        </w:rPr>
      </w:pPr>
    </w:p>
    <w:bookmarkEnd w:id="7"/>
    <w:p w14:paraId="075EA4E7">
      <w:pPr>
        <w:spacing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2991485" cy="2430780"/>
            <wp:effectExtent l="0" t="0" r="0" b="7620"/>
            <wp:docPr id="9656434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643415" name="图片 1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002322" cy="2439386"/>
                    </a:xfrm>
                    <a:prstGeom prst="rect">
                      <a:avLst/>
                    </a:prstGeom>
                  </pic:spPr>
                </pic:pic>
              </a:graphicData>
            </a:graphic>
          </wp:inline>
        </w:drawing>
      </w:r>
    </w:p>
    <w:p w14:paraId="28E5CAC2">
      <w:pPr>
        <w:spacing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Fig. S6 A Study of SDZ Adsorption Equilibrium on MBC-500</w:t>
      </w:r>
    </w:p>
    <w:p w14:paraId="1AF255F4">
      <w:pPr>
        <w:spacing w:line="360" w:lineRule="auto"/>
        <w:jc w:val="center"/>
        <w:rPr>
          <w:rFonts w:ascii="Times New Roman" w:hAnsi="Times New Roman" w:cs="Times New Roman"/>
          <w:color w:val="000000" w:themeColor="text1"/>
          <w:sz w:val="24"/>
          <w:szCs w:val="24"/>
          <w14:textFill>
            <w14:solidFill>
              <w14:schemeClr w14:val="tx1"/>
            </w14:solidFill>
          </w14:textFill>
        </w:rPr>
      </w:pPr>
    </w:p>
    <w:p w14:paraId="056F7E6C">
      <w:pPr>
        <w:spacing w:line="480" w:lineRule="auto"/>
        <w:rPr>
          <w:rFonts w:ascii="Times New Roman" w:hAnsi="Times New Roman" w:cs="Times New Roman"/>
          <w:sz w:val="24"/>
          <w:szCs w:val="24"/>
        </w:rPr>
      </w:pPr>
      <w:bookmarkStart w:id="8" w:name="_Hlk209175665"/>
      <w:r>
        <w:rPr>
          <w:rFonts w:ascii="Times New Roman" w:hAnsi="Times New Roman" w:cs="Times New Roman"/>
          <w:b/>
          <w:bCs/>
          <w:sz w:val="24"/>
          <w:szCs w:val="24"/>
        </w:rPr>
        <w:t xml:space="preserve">Table S1. </w:t>
      </w:r>
      <w:r>
        <w:rPr>
          <w:rFonts w:ascii="Times New Roman" w:hAnsi="Times New Roman" w:cs="Times New Roman"/>
          <w:sz w:val="24"/>
          <w:szCs w:val="24"/>
        </w:rPr>
        <w:t>Determination of titanium (Ti) content in the sample by ICP-MS</w:t>
      </w:r>
    </w:p>
    <w:bookmarkEnd w:id="8"/>
    <w:tbl>
      <w:tblPr>
        <w:tblStyle w:val="5"/>
        <w:tblW w:w="5540" w:type="dxa"/>
        <w:jc w:val="center"/>
        <w:tblLayout w:type="autofit"/>
        <w:tblCellMar>
          <w:top w:w="0" w:type="dxa"/>
          <w:left w:w="0" w:type="dxa"/>
          <w:bottom w:w="0" w:type="dxa"/>
          <w:right w:w="0" w:type="dxa"/>
        </w:tblCellMar>
      </w:tblPr>
      <w:tblGrid>
        <w:gridCol w:w="963"/>
        <w:gridCol w:w="2549"/>
        <w:gridCol w:w="2028"/>
      </w:tblGrid>
      <w:tr w14:paraId="668121D0">
        <w:tblPrEx>
          <w:tblCellMar>
            <w:top w:w="0" w:type="dxa"/>
            <w:left w:w="0" w:type="dxa"/>
            <w:bottom w:w="0" w:type="dxa"/>
            <w:right w:w="0" w:type="dxa"/>
          </w:tblCellMar>
        </w:tblPrEx>
        <w:trPr>
          <w:trHeight w:val="280" w:hRule="atLeast"/>
          <w:jc w:val="center"/>
        </w:trPr>
        <w:tc>
          <w:tcPr>
            <w:tcW w:w="960" w:type="dxa"/>
            <w:tcBorders>
              <w:top w:val="single" w:color="000008" w:sz="6" w:space="0"/>
              <w:bottom w:val="single" w:color="000000" w:sz="6" w:space="0"/>
            </w:tcBorders>
            <w:tcMar>
              <w:top w:w="12" w:type="dxa"/>
              <w:left w:w="12" w:type="dxa"/>
              <w:bottom w:w="0" w:type="dxa"/>
              <w:right w:w="12" w:type="dxa"/>
            </w:tcMar>
            <w:vAlign w:val="bottom"/>
          </w:tcPr>
          <w:p w14:paraId="368092F9">
            <w:pPr>
              <w:widowControl/>
              <w:spacing w:before="100" w:beforeAutospacing="1" w:after="100" w:afterAutospacing="1"/>
              <w:jc w:val="center"/>
              <w:rPr>
                <w:rFonts w:ascii="Times New Roman" w:hAnsi="Times New Roman" w:eastAsia="宋体" w:cs="Times New Roman"/>
                <w:kern w:val="0"/>
                <w:sz w:val="24"/>
                <w:szCs w:val="24"/>
              </w:rPr>
            </w:pPr>
          </w:p>
        </w:tc>
        <w:tc>
          <w:tcPr>
            <w:tcW w:w="2540" w:type="dxa"/>
            <w:tcBorders>
              <w:top w:val="single" w:color="000008" w:sz="6" w:space="0"/>
              <w:bottom w:val="single" w:color="000000" w:sz="6" w:space="0"/>
            </w:tcBorders>
            <w:tcMar>
              <w:top w:w="12" w:type="dxa"/>
              <w:left w:w="12" w:type="dxa"/>
              <w:bottom w:w="0" w:type="dxa"/>
              <w:right w:w="12" w:type="dxa"/>
            </w:tcMar>
            <w:vAlign w:val="bottom"/>
          </w:tcPr>
          <w:p w14:paraId="5096C667">
            <w:pPr>
              <w:widowControl/>
              <w:spacing w:before="100" w:beforeAutospacing="1" w:after="100" w:afterAutospacing="1"/>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2"/>
              </w:rPr>
              <w:t>Concentration</w:t>
            </w:r>
            <w:r>
              <w:rPr>
                <w:rFonts w:hint="eastAsia" w:ascii="Times New Roman" w:hAnsi="Times New Roman" w:eastAsia="宋体" w:cs="Times New Roman"/>
                <w:color w:val="000000"/>
                <w:kern w:val="0"/>
                <w:sz w:val="22"/>
              </w:rPr>
              <w:t xml:space="preserve"> </w:t>
            </w:r>
            <w:r>
              <w:rPr>
                <w:rFonts w:ascii="Times New Roman" w:hAnsi="Times New Roman" w:eastAsia="宋体" w:cs="Times New Roman"/>
                <w:color w:val="000000"/>
                <w:kern w:val="0"/>
                <w:sz w:val="22"/>
              </w:rPr>
              <w:t>(PPB )</w:t>
            </w:r>
          </w:p>
        </w:tc>
        <w:tc>
          <w:tcPr>
            <w:tcW w:w="2020" w:type="dxa"/>
            <w:tcBorders>
              <w:top w:val="single" w:color="000008" w:sz="6" w:space="0"/>
              <w:bottom w:val="single" w:color="000000" w:sz="6" w:space="0"/>
            </w:tcBorders>
            <w:tcMar>
              <w:top w:w="12" w:type="dxa"/>
              <w:left w:w="12" w:type="dxa"/>
              <w:bottom w:w="0" w:type="dxa"/>
              <w:right w:w="12" w:type="dxa"/>
            </w:tcMar>
            <w:vAlign w:val="bottom"/>
          </w:tcPr>
          <w:p w14:paraId="797046AE">
            <w:pPr>
              <w:widowControl/>
              <w:spacing w:before="100" w:beforeAutospacing="1" w:after="100" w:afterAutospacing="1"/>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2"/>
              </w:rPr>
              <w:t>Concentration</w:t>
            </w:r>
            <w:r>
              <w:rPr>
                <w:rFonts w:hint="eastAsia" w:ascii="Times New Roman" w:hAnsi="Times New Roman" w:eastAsia="宋体" w:cs="Times New Roman"/>
                <w:color w:val="000000"/>
                <w:kern w:val="0"/>
                <w:sz w:val="22"/>
              </w:rPr>
              <w:t xml:space="preserve"> </w:t>
            </w:r>
            <w:r>
              <w:rPr>
                <w:rFonts w:ascii="Times New Roman" w:hAnsi="Times New Roman" w:eastAsia="宋体" w:cs="Times New Roman"/>
                <w:color w:val="000000"/>
                <w:kern w:val="0"/>
                <w:sz w:val="22"/>
              </w:rPr>
              <w:t>(RSD)</w:t>
            </w:r>
          </w:p>
        </w:tc>
      </w:tr>
      <w:tr w14:paraId="76B01603">
        <w:tblPrEx>
          <w:tblCellMar>
            <w:top w:w="0" w:type="dxa"/>
            <w:left w:w="0" w:type="dxa"/>
            <w:bottom w:w="0" w:type="dxa"/>
            <w:right w:w="0" w:type="dxa"/>
          </w:tblCellMar>
        </w:tblPrEx>
        <w:trPr>
          <w:trHeight w:val="280" w:hRule="atLeast"/>
          <w:jc w:val="center"/>
        </w:trPr>
        <w:tc>
          <w:tcPr>
            <w:tcW w:w="960" w:type="dxa"/>
            <w:tcBorders>
              <w:top w:val="single" w:color="000008" w:sz="6" w:space="0"/>
              <w:bottom w:val="single" w:color="000000" w:sz="6" w:space="0"/>
            </w:tcBorders>
            <w:tcMar>
              <w:top w:w="12" w:type="dxa"/>
              <w:left w:w="12" w:type="dxa"/>
              <w:bottom w:w="0" w:type="dxa"/>
              <w:right w:w="12" w:type="dxa"/>
            </w:tcMar>
            <w:vAlign w:val="bottom"/>
          </w:tcPr>
          <w:p w14:paraId="0B7647C8">
            <w:pPr>
              <w:widowControl/>
              <w:spacing w:before="100" w:beforeAutospacing="1" w:after="100" w:afterAutospacing="1"/>
              <w:jc w:val="center"/>
              <w:rPr>
                <w:rFonts w:ascii="Times New Roman" w:hAnsi="Times New Roman" w:eastAsia="宋体" w:cs="Times New Roman"/>
                <w:kern w:val="0"/>
                <w:sz w:val="24"/>
                <w:szCs w:val="24"/>
              </w:rPr>
            </w:pPr>
            <w:r>
              <w:rPr>
                <w:rFonts w:hint="eastAsia" w:ascii="Times New Roman" w:hAnsi="Times New Roman" w:eastAsia="宋体" w:cs="Times New Roman"/>
                <w:color w:val="000000"/>
                <w:kern w:val="0"/>
                <w:sz w:val="22"/>
              </w:rPr>
              <w:t>B</w:t>
            </w:r>
            <w:r>
              <w:rPr>
                <w:rFonts w:ascii="Times New Roman" w:hAnsi="Times New Roman" w:eastAsia="宋体" w:cs="Times New Roman"/>
                <w:color w:val="000000"/>
                <w:kern w:val="0"/>
                <w:sz w:val="22"/>
              </w:rPr>
              <w:t>lank</w:t>
            </w:r>
          </w:p>
        </w:tc>
        <w:tc>
          <w:tcPr>
            <w:tcW w:w="2540" w:type="dxa"/>
            <w:tcBorders>
              <w:top w:val="single" w:color="000008" w:sz="6" w:space="0"/>
              <w:bottom w:val="single" w:color="000000" w:sz="6" w:space="0"/>
            </w:tcBorders>
            <w:tcMar>
              <w:top w:w="12" w:type="dxa"/>
              <w:left w:w="12" w:type="dxa"/>
              <w:bottom w:w="0" w:type="dxa"/>
              <w:right w:w="12" w:type="dxa"/>
            </w:tcMar>
            <w:vAlign w:val="bottom"/>
          </w:tcPr>
          <w:p w14:paraId="78E3942A">
            <w:pPr>
              <w:widowControl/>
              <w:spacing w:before="100" w:beforeAutospacing="1" w:after="100" w:afterAutospacing="1"/>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2"/>
              </w:rPr>
              <w:t>0.161770769</w:t>
            </w:r>
          </w:p>
        </w:tc>
        <w:tc>
          <w:tcPr>
            <w:tcW w:w="2020" w:type="dxa"/>
            <w:tcBorders>
              <w:top w:val="single" w:color="000008" w:sz="6" w:space="0"/>
              <w:bottom w:val="single" w:color="000000" w:sz="6" w:space="0"/>
            </w:tcBorders>
            <w:tcMar>
              <w:top w:w="12" w:type="dxa"/>
              <w:left w:w="12" w:type="dxa"/>
              <w:bottom w:w="0" w:type="dxa"/>
              <w:right w:w="12" w:type="dxa"/>
            </w:tcMar>
            <w:vAlign w:val="bottom"/>
          </w:tcPr>
          <w:p w14:paraId="4B2EC631">
            <w:pPr>
              <w:widowControl/>
              <w:spacing w:before="100" w:beforeAutospacing="1" w:after="100" w:afterAutospacing="1"/>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2"/>
              </w:rPr>
              <w:t>13.05327599</w:t>
            </w:r>
          </w:p>
        </w:tc>
      </w:tr>
      <w:tr w14:paraId="46D4E4FD">
        <w:tblPrEx>
          <w:tblCellMar>
            <w:top w:w="0" w:type="dxa"/>
            <w:left w:w="0" w:type="dxa"/>
            <w:bottom w:w="0" w:type="dxa"/>
            <w:right w:w="0" w:type="dxa"/>
          </w:tblCellMar>
        </w:tblPrEx>
        <w:trPr>
          <w:trHeight w:val="280" w:hRule="atLeast"/>
          <w:jc w:val="center"/>
        </w:trPr>
        <w:tc>
          <w:tcPr>
            <w:tcW w:w="960" w:type="dxa"/>
            <w:tcBorders>
              <w:top w:val="single" w:color="000008" w:sz="6" w:space="0"/>
              <w:bottom w:val="single" w:color="000000" w:sz="6" w:space="0"/>
            </w:tcBorders>
            <w:tcMar>
              <w:top w:w="12" w:type="dxa"/>
              <w:left w:w="12" w:type="dxa"/>
              <w:bottom w:w="0" w:type="dxa"/>
              <w:right w:w="12" w:type="dxa"/>
            </w:tcMar>
            <w:vAlign w:val="bottom"/>
          </w:tcPr>
          <w:p w14:paraId="2376FBFC">
            <w:pPr>
              <w:widowControl/>
              <w:spacing w:before="100" w:beforeAutospacing="1" w:after="100" w:afterAutospacing="1"/>
              <w:jc w:val="center"/>
              <w:rPr>
                <w:rFonts w:ascii="Times New Roman" w:hAnsi="Times New Roman" w:eastAsia="宋体" w:cs="Times New Roman"/>
                <w:kern w:val="0"/>
                <w:sz w:val="24"/>
                <w:szCs w:val="24"/>
              </w:rPr>
            </w:pPr>
            <w:r>
              <w:rPr>
                <w:rFonts w:hint="eastAsia" w:ascii="Times New Roman" w:hAnsi="Times New Roman" w:eastAsia="宋体" w:cs="Times New Roman"/>
                <w:color w:val="000000"/>
                <w:kern w:val="0"/>
                <w:sz w:val="22"/>
              </w:rPr>
              <w:t>S</w:t>
            </w:r>
            <w:r>
              <w:rPr>
                <w:rFonts w:ascii="Times New Roman" w:hAnsi="Times New Roman" w:eastAsia="宋体" w:cs="Times New Roman"/>
                <w:color w:val="000000"/>
                <w:kern w:val="0"/>
                <w:sz w:val="22"/>
              </w:rPr>
              <w:t>ample</w:t>
            </w:r>
          </w:p>
        </w:tc>
        <w:tc>
          <w:tcPr>
            <w:tcW w:w="2540" w:type="dxa"/>
            <w:tcBorders>
              <w:top w:val="single" w:color="000008" w:sz="6" w:space="0"/>
              <w:bottom w:val="single" w:color="000000" w:sz="6" w:space="0"/>
            </w:tcBorders>
            <w:tcMar>
              <w:top w:w="12" w:type="dxa"/>
              <w:left w:w="12" w:type="dxa"/>
              <w:bottom w:w="0" w:type="dxa"/>
              <w:right w:w="12" w:type="dxa"/>
            </w:tcMar>
            <w:vAlign w:val="bottom"/>
          </w:tcPr>
          <w:p w14:paraId="211253F5">
            <w:pPr>
              <w:widowControl/>
              <w:spacing w:before="100" w:beforeAutospacing="1" w:after="100" w:afterAutospacing="1"/>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2"/>
              </w:rPr>
              <w:t>77.25640227</w:t>
            </w:r>
          </w:p>
        </w:tc>
        <w:tc>
          <w:tcPr>
            <w:tcW w:w="2020" w:type="dxa"/>
            <w:tcBorders>
              <w:top w:val="single" w:color="000008" w:sz="6" w:space="0"/>
              <w:bottom w:val="single" w:color="000000" w:sz="6" w:space="0"/>
            </w:tcBorders>
            <w:tcMar>
              <w:top w:w="12" w:type="dxa"/>
              <w:left w:w="12" w:type="dxa"/>
              <w:bottom w:w="0" w:type="dxa"/>
              <w:right w:w="12" w:type="dxa"/>
            </w:tcMar>
            <w:vAlign w:val="bottom"/>
          </w:tcPr>
          <w:p w14:paraId="09DBCC7C">
            <w:pPr>
              <w:widowControl/>
              <w:spacing w:before="100" w:beforeAutospacing="1" w:after="100" w:afterAutospacing="1"/>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2"/>
              </w:rPr>
              <w:t>3.386224568</w:t>
            </w:r>
          </w:p>
        </w:tc>
      </w:tr>
    </w:tbl>
    <w:p w14:paraId="182E8463">
      <w:pPr>
        <w:spacing w:line="480" w:lineRule="auto"/>
        <w:rPr>
          <w:rFonts w:ascii="Times New Roman" w:hAnsi="Times New Roman" w:cs="Times New Roman"/>
          <w:b/>
          <w:bCs/>
          <w:sz w:val="24"/>
          <w:szCs w:val="24"/>
        </w:rPr>
      </w:pPr>
    </w:p>
    <w:p w14:paraId="451BB71F">
      <w:pPr>
        <w:spacing w:line="480" w:lineRule="auto"/>
        <w:jc w:val="center"/>
        <w:rPr>
          <w:rFonts w:ascii="Times New Roman" w:hAnsi="Times New Roman" w:cs="Times New Roman"/>
          <w:b/>
          <w:bCs/>
          <w:sz w:val="24"/>
          <w:szCs w:val="24"/>
        </w:rPr>
      </w:pPr>
      <w:r>
        <w:rPr>
          <w:rFonts w:ascii="Times New Roman" w:hAnsi="Times New Roman" w:cs="Times New Roman"/>
        </w:rPr>
        <w:drawing>
          <wp:inline distT="0" distB="0" distL="0" distR="0">
            <wp:extent cx="3222625" cy="2179320"/>
            <wp:effectExtent l="0" t="0" r="0" b="0"/>
            <wp:docPr id="2" name="图片 1" descr="图片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片1_副本"/>
                    <pic:cNvPicPr>
                      <a:picLocks noChangeAspect="1"/>
                    </pic:cNvPicPr>
                  </pic:nvPicPr>
                  <pic:blipFill>
                    <a:blip r:embed="rId17"/>
                    <a:stretch>
                      <a:fillRect/>
                    </a:stretch>
                  </pic:blipFill>
                  <pic:spPr>
                    <a:xfrm>
                      <a:off x="0" y="0"/>
                      <a:ext cx="3238995" cy="2190007"/>
                    </a:xfrm>
                    <a:prstGeom prst="rect">
                      <a:avLst/>
                    </a:prstGeom>
                  </pic:spPr>
                </pic:pic>
              </a:graphicData>
            </a:graphic>
          </wp:inline>
        </w:drawing>
      </w:r>
    </w:p>
    <w:p w14:paraId="36873516">
      <w:pPr>
        <w:spacing w:line="360" w:lineRule="auto"/>
        <w:jc w:val="center"/>
        <w:rPr>
          <w:rFonts w:ascii="Times New Roman" w:hAnsi="Times New Roman" w:cs="Times New Roman"/>
          <w:sz w:val="24"/>
          <w:szCs w:val="24"/>
        </w:rPr>
      </w:pPr>
      <w:r>
        <w:rPr>
          <w:rFonts w:ascii="Times New Roman" w:hAnsi="Times New Roman" w:cs="Times New Roman"/>
          <w:sz w:val="24"/>
          <w:szCs w:val="24"/>
        </w:rPr>
        <w:t>Fig S7</w:t>
      </w:r>
      <w:r>
        <w:rPr>
          <w:rFonts w:ascii="Times New Roman" w:hAnsi="Times New Roman" w:cs="Times New Roman"/>
          <w:b/>
          <w:bCs/>
          <w:sz w:val="24"/>
          <w:szCs w:val="24"/>
        </w:rPr>
        <w:t xml:space="preserve">. </w:t>
      </w:r>
      <w:r>
        <w:rPr>
          <w:rFonts w:ascii="Times New Roman" w:hAnsi="Times New Roman" w:cs="Times New Roman"/>
          <w:sz w:val="24"/>
          <w:szCs w:val="24"/>
        </w:rPr>
        <w:t>ICP-MS standard curve of Ti ions</w:t>
      </w:r>
    </w:p>
    <w:p w14:paraId="030396F0">
      <w:pPr>
        <w:spacing w:line="360" w:lineRule="auto"/>
        <w:rPr>
          <w:rFonts w:ascii="Times New Roman" w:hAnsi="Times New Roman" w:cs="Times New Roman"/>
          <w:color w:val="000000" w:themeColor="text1"/>
          <w:sz w:val="24"/>
          <w:szCs w:val="24"/>
          <w14:textFill>
            <w14:solidFill>
              <w14:schemeClr w14:val="tx1"/>
            </w14:solidFill>
          </w14:textFill>
        </w:rPr>
      </w:pPr>
    </w:p>
    <w:p w14:paraId="323F105D">
      <w:pPr>
        <w:spacing w:line="36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3116580" cy="2674620"/>
            <wp:effectExtent l="0" t="0" r="7620" b="0"/>
            <wp:docPr id="127712969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129698" name="图片 10"/>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116850" cy="2674852"/>
                    </a:xfrm>
                    <a:prstGeom prst="rect">
                      <a:avLst/>
                    </a:prstGeom>
                  </pic:spPr>
                </pic:pic>
              </a:graphicData>
            </a:graphic>
          </wp:inline>
        </w:drawing>
      </w:r>
    </w:p>
    <w:p w14:paraId="21CF2FD8">
      <w:pPr>
        <w:spacing w:line="360" w:lineRule="auto"/>
        <w:jc w:val="center"/>
        <w:rPr>
          <w:rFonts w:ascii="Times New Roman" w:hAnsi="Times New Roman" w:cs="Times New Roman"/>
          <w:sz w:val="24"/>
          <w:szCs w:val="24"/>
          <w:vertAlign w:val="superscript"/>
        </w:rPr>
      </w:pPr>
      <w:r>
        <w:rPr>
          <w:rFonts w:ascii="Times New Roman" w:hAnsi="Times New Roman" w:cs="Times New Roman"/>
          <w:sz w:val="24"/>
          <w:szCs w:val="24"/>
        </w:rPr>
        <w:t>Fig. S8. EPR spectra of DMPO-h</w:t>
      </w:r>
      <w:r>
        <w:rPr>
          <w:rFonts w:ascii="Times New Roman" w:hAnsi="Times New Roman" w:cs="Times New Roman"/>
          <w:sz w:val="24"/>
          <w:szCs w:val="24"/>
          <w:vertAlign w:val="superscript"/>
        </w:rPr>
        <w:t>+</w:t>
      </w:r>
    </w:p>
    <w:p w14:paraId="64A5CE39">
      <w:pPr>
        <w:spacing w:line="360" w:lineRule="auto"/>
        <w:jc w:val="center"/>
        <w:rPr>
          <w:rFonts w:ascii="Times New Roman" w:hAnsi="Times New Roman" w:cs="Times New Roman"/>
        </w:rPr>
      </w:pPr>
      <w:r>
        <w:rPr>
          <w:rFonts w:ascii="Times New Roman" w:hAnsi="Times New Roman" w:cs="Times New Roman"/>
        </w:rPr>
        <w:drawing>
          <wp:inline distT="0" distB="0" distL="114300" distR="114300">
            <wp:extent cx="4577080" cy="2839720"/>
            <wp:effectExtent l="0" t="0" r="10160" b="10160"/>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9"/>
                    <a:stretch>
                      <a:fillRect/>
                    </a:stretch>
                  </pic:blipFill>
                  <pic:spPr>
                    <a:xfrm>
                      <a:off x="0" y="0"/>
                      <a:ext cx="4577080" cy="2839720"/>
                    </a:xfrm>
                    <a:prstGeom prst="rect">
                      <a:avLst/>
                    </a:prstGeom>
                    <a:noFill/>
                    <a:ln>
                      <a:noFill/>
                    </a:ln>
                  </pic:spPr>
                </pic:pic>
              </a:graphicData>
            </a:graphic>
          </wp:inline>
        </w:drawing>
      </w:r>
    </w:p>
    <w:p w14:paraId="5F5487BE">
      <w:pPr>
        <w:spacing w:line="360" w:lineRule="auto"/>
        <w:jc w:val="center"/>
        <w:rPr>
          <w:rFonts w:ascii="Times New Roman" w:hAnsi="Times New Roman" w:cs="Times New Roman"/>
          <w:sz w:val="24"/>
          <w:szCs w:val="24"/>
        </w:rPr>
      </w:pPr>
      <w:r>
        <w:rPr>
          <w:rFonts w:ascii="Times New Roman" w:hAnsi="Times New Roman" w:cs="Times New Roman"/>
          <w:sz w:val="24"/>
          <w:szCs w:val="24"/>
        </w:rPr>
        <w:t>Fig. S9</w:t>
      </w:r>
      <w:r>
        <w:rPr>
          <w:rFonts w:ascii="Times New Roman" w:hAnsi="Times New Roman" w:cs="Times New Roman"/>
          <w:b/>
          <w:bCs/>
          <w:sz w:val="24"/>
          <w:szCs w:val="24"/>
        </w:rPr>
        <w:t>.</w:t>
      </w:r>
      <w:r>
        <w:rPr>
          <w:rFonts w:ascii="Times New Roman" w:hAnsi="Times New Roman" w:cs="Times New Roman"/>
          <w:sz w:val="24"/>
          <w:szCs w:val="24"/>
        </w:rPr>
        <w:t xml:space="preserve"> Identification of parent SDZ (m/z 251.06)</w:t>
      </w:r>
    </w:p>
    <w:p w14:paraId="7B776586">
      <w:pPr>
        <w:spacing w:line="360" w:lineRule="auto"/>
        <w:jc w:val="center"/>
        <w:rPr>
          <w:rFonts w:ascii="Times New Roman" w:hAnsi="Times New Roman" w:cs="Times New Roman"/>
        </w:rPr>
      </w:pPr>
      <w:r>
        <w:rPr>
          <w:rFonts w:ascii="Times New Roman" w:hAnsi="Times New Roman" w:cs="Times New Roman"/>
        </w:rPr>
        <w:drawing>
          <wp:inline distT="0" distB="0" distL="114300" distR="114300">
            <wp:extent cx="4645660" cy="2840355"/>
            <wp:effectExtent l="0" t="0" r="254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0"/>
                    <a:stretch>
                      <a:fillRect/>
                    </a:stretch>
                  </pic:blipFill>
                  <pic:spPr>
                    <a:xfrm>
                      <a:off x="0" y="0"/>
                      <a:ext cx="4645660" cy="2840355"/>
                    </a:xfrm>
                    <a:prstGeom prst="rect">
                      <a:avLst/>
                    </a:prstGeom>
                    <a:noFill/>
                    <a:ln>
                      <a:noFill/>
                    </a:ln>
                  </pic:spPr>
                </pic:pic>
              </a:graphicData>
            </a:graphic>
          </wp:inline>
        </w:drawing>
      </w:r>
    </w:p>
    <w:p w14:paraId="1DF367F3">
      <w:pPr>
        <w:spacing w:line="360" w:lineRule="auto"/>
        <w:jc w:val="center"/>
        <w:rPr>
          <w:rFonts w:ascii="Times New Roman" w:hAnsi="Times New Roman" w:cs="Times New Roman"/>
        </w:rPr>
      </w:pPr>
      <w:r>
        <w:rPr>
          <w:rFonts w:ascii="Times New Roman" w:hAnsi="Times New Roman" w:cs="Times New Roman"/>
          <w:sz w:val="24"/>
          <w:szCs w:val="24"/>
        </w:rPr>
        <w:t>Fig. S10</w:t>
      </w:r>
      <w:r>
        <w:rPr>
          <w:rFonts w:ascii="Times New Roman" w:hAnsi="Times New Roman" w:cs="Times New Roman"/>
          <w:b/>
          <w:bCs/>
          <w:sz w:val="24"/>
          <w:szCs w:val="24"/>
        </w:rPr>
        <w:t xml:space="preserve">. </w:t>
      </w:r>
      <w:r>
        <w:rPr>
          <w:rFonts w:ascii="Times New Roman" w:hAnsi="Times New Roman" w:cs="Times New Roman"/>
          <w:sz w:val="24"/>
          <w:szCs w:val="24"/>
        </w:rPr>
        <w:t>Identification of P2 (m/z 281.03)</w:t>
      </w:r>
    </w:p>
    <w:p w14:paraId="2C3BE699">
      <w:pPr>
        <w:spacing w:line="360" w:lineRule="auto"/>
        <w:jc w:val="center"/>
        <w:rPr>
          <w:rFonts w:ascii="Times New Roman" w:hAnsi="Times New Roman" w:cs="Times New Roman"/>
        </w:rPr>
      </w:pPr>
      <w:r>
        <w:rPr>
          <w:rFonts w:ascii="Times New Roman" w:hAnsi="Times New Roman" w:cs="Times New Roman"/>
        </w:rPr>
        <w:drawing>
          <wp:inline distT="0" distB="0" distL="114300" distR="114300">
            <wp:extent cx="4391025" cy="2840355"/>
            <wp:effectExtent l="0" t="0" r="13335" b="952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21"/>
                    <a:stretch>
                      <a:fillRect/>
                    </a:stretch>
                  </pic:blipFill>
                  <pic:spPr>
                    <a:xfrm>
                      <a:off x="0" y="0"/>
                      <a:ext cx="4391025" cy="2840355"/>
                    </a:xfrm>
                    <a:prstGeom prst="rect">
                      <a:avLst/>
                    </a:prstGeom>
                    <a:noFill/>
                    <a:ln>
                      <a:noFill/>
                    </a:ln>
                  </pic:spPr>
                </pic:pic>
              </a:graphicData>
            </a:graphic>
          </wp:inline>
        </w:drawing>
      </w:r>
    </w:p>
    <w:p w14:paraId="64CB855B">
      <w:pPr>
        <w:spacing w:line="360" w:lineRule="auto"/>
        <w:jc w:val="center"/>
        <w:rPr>
          <w:rFonts w:ascii="Times New Roman" w:hAnsi="Times New Roman" w:cs="Times New Roman"/>
          <w:sz w:val="24"/>
          <w:szCs w:val="24"/>
        </w:rPr>
      </w:pPr>
      <w:r>
        <w:rPr>
          <w:rFonts w:ascii="Times New Roman" w:hAnsi="Times New Roman" w:cs="Times New Roman"/>
          <w:sz w:val="24"/>
          <w:szCs w:val="24"/>
        </w:rPr>
        <w:t>Fig. S11.</w:t>
      </w:r>
      <w:r>
        <w:rPr>
          <w:rFonts w:ascii="Times New Roman" w:hAnsi="Times New Roman" w:cs="Times New Roman"/>
          <w:b/>
          <w:bCs/>
          <w:sz w:val="24"/>
          <w:szCs w:val="24"/>
        </w:rPr>
        <w:t xml:space="preserve"> </w:t>
      </w:r>
      <w:r>
        <w:rPr>
          <w:rFonts w:ascii="Times New Roman" w:hAnsi="Times New Roman" w:cs="Times New Roman"/>
          <w:sz w:val="24"/>
          <w:szCs w:val="24"/>
        </w:rPr>
        <w:t>Identification of P3 (m/z 96.06) and P5 (m/z 187.10)</w:t>
      </w:r>
    </w:p>
    <w:p w14:paraId="53E896CA">
      <w:pPr>
        <w:spacing w:line="360" w:lineRule="auto"/>
        <w:jc w:val="center"/>
        <w:rPr>
          <w:rFonts w:ascii="Times New Roman" w:hAnsi="Times New Roman" w:cs="Times New Roman"/>
        </w:rPr>
      </w:pPr>
      <w:r>
        <w:rPr>
          <w:rFonts w:ascii="Times New Roman" w:hAnsi="Times New Roman" w:cs="Times New Roman"/>
        </w:rPr>
        <w:drawing>
          <wp:inline distT="0" distB="0" distL="114300" distR="114300">
            <wp:extent cx="4329430" cy="2840355"/>
            <wp:effectExtent l="0" t="0" r="13970" b="9525"/>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22"/>
                    <a:stretch>
                      <a:fillRect/>
                    </a:stretch>
                  </pic:blipFill>
                  <pic:spPr>
                    <a:xfrm>
                      <a:off x="0" y="0"/>
                      <a:ext cx="4329430" cy="2840355"/>
                    </a:xfrm>
                    <a:prstGeom prst="rect">
                      <a:avLst/>
                    </a:prstGeom>
                    <a:noFill/>
                    <a:ln>
                      <a:noFill/>
                    </a:ln>
                  </pic:spPr>
                </pic:pic>
              </a:graphicData>
            </a:graphic>
          </wp:inline>
        </w:drawing>
      </w:r>
    </w:p>
    <w:p w14:paraId="7FFFEBCF">
      <w:pPr>
        <w:spacing w:line="360" w:lineRule="auto"/>
        <w:jc w:val="center"/>
        <w:rPr>
          <w:rFonts w:ascii="Times New Roman" w:hAnsi="Times New Roman" w:cs="Times New Roman"/>
          <w:sz w:val="24"/>
          <w:szCs w:val="24"/>
        </w:rPr>
      </w:pPr>
      <w:r>
        <w:rPr>
          <w:rFonts w:ascii="Times New Roman" w:hAnsi="Times New Roman" w:cs="Times New Roman"/>
          <w:sz w:val="24"/>
          <w:szCs w:val="24"/>
        </w:rPr>
        <w:t>Fig. S12.</w:t>
      </w:r>
      <w:r>
        <w:rPr>
          <w:rFonts w:ascii="Times New Roman" w:hAnsi="Times New Roman" w:cs="Times New Roman"/>
          <w:b/>
          <w:bCs/>
          <w:sz w:val="24"/>
          <w:szCs w:val="24"/>
        </w:rPr>
        <w:t xml:space="preserve"> </w:t>
      </w:r>
      <w:r>
        <w:rPr>
          <w:rFonts w:ascii="Times New Roman" w:hAnsi="Times New Roman" w:cs="Times New Roman"/>
          <w:sz w:val="24"/>
          <w:szCs w:val="24"/>
        </w:rPr>
        <w:t>Identification of P4 (m/z 174.18)</w:t>
      </w:r>
    </w:p>
    <w:p w14:paraId="68626853">
      <w:pPr>
        <w:spacing w:line="360" w:lineRule="auto"/>
        <w:jc w:val="center"/>
        <w:rPr>
          <w:rFonts w:ascii="Times New Roman" w:hAnsi="Times New Roman" w:cs="Times New Roman"/>
        </w:rPr>
      </w:pPr>
      <w:r>
        <w:rPr>
          <w:rFonts w:ascii="Times New Roman" w:hAnsi="Times New Roman" w:cs="Times New Roman"/>
        </w:rPr>
        <w:drawing>
          <wp:inline distT="0" distB="0" distL="114300" distR="114300">
            <wp:extent cx="4451350" cy="2840355"/>
            <wp:effectExtent l="0" t="0" r="1397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3"/>
                    <a:stretch>
                      <a:fillRect/>
                    </a:stretch>
                  </pic:blipFill>
                  <pic:spPr>
                    <a:xfrm>
                      <a:off x="0" y="0"/>
                      <a:ext cx="4451350" cy="2840355"/>
                    </a:xfrm>
                    <a:prstGeom prst="rect">
                      <a:avLst/>
                    </a:prstGeom>
                    <a:noFill/>
                    <a:ln>
                      <a:noFill/>
                    </a:ln>
                  </pic:spPr>
                </pic:pic>
              </a:graphicData>
            </a:graphic>
          </wp:inline>
        </w:drawing>
      </w:r>
    </w:p>
    <w:p w14:paraId="19D9C717">
      <w:pPr>
        <w:spacing w:line="360" w:lineRule="auto"/>
        <w:jc w:val="center"/>
        <w:rPr>
          <w:rFonts w:ascii="Times New Roman" w:hAnsi="Times New Roman" w:cs="Times New Roman"/>
          <w:sz w:val="24"/>
          <w:szCs w:val="24"/>
        </w:rPr>
      </w:pPr>
      <w:r>
        <w:rPr>
          <w:rFonts w:ascii="Times New Roman" w:hAnsi="Times New Roman" w:cs="Times New Roman"/>
          <w:sz w:val="24"/>
          <w:szCs w:val="24"/>
        </w:rPr>
        <w:t>Fig. S13.</w:t>
      </w:r>
      <w:r>
        <w:rPr>
          <w:rFonts w:ascii="Times New Roman" w:hAnsi="Times New Roman" w:cs="Times New Roman"/>
          <w:b/>
          <w:bCs/>
          <w:sz w:val="24"/>
          <w:szCs w:val="24"/>
        </w:rPr>
        <w:t xml:space="preserve"> </w:t>
      </w:r>
      <w:r>
        <w:rPr>
          <w:rFonts w:ascii="Times New Roman" w:hAnsi="Times New Roman" w:cs="Times New Roman"/>
          <w:sz w:val="24"/>
          <w:szCs w:val="24"/>
        </w:rPr>
        <w:t>Identification of P6 (m/z 217.01)</w:t>
      </w:r>
    </w:p>
    <w:p w14:paraId="45F9F8D1">
      <w:pPr>
        <w:spacing w:line="360" w:lineRule="auto"/>
        <w:rPr>
          <w:rFonts w:ascii="Times New Roman" w:hAnsi="Times New Roman" w:cs="Times New Roman"/>
        </w:rPr>
      </w:pPr>
      <w:r>
        <w:rPr>
          <w:rFonts w:ascii="Times New Roman" w:hAnsi="Times New Roman" w:cs="Times New Roman"/>
        </w:rPr>
        <w:drawing>
          <wp:inline distT="0" distB="0" distL="114300" distR="114300">
            <wp:extent cx="4884420" cy="2840355"/>
            <wp:effectExtent l="0" t="0" r="762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4"/>
                    <a:stretch>
                      <a:fillRect/>
                    </a:stretch>
                  </pic:blipFill>
                  <pic:spPr>
                    <a:xfrm>
                      <a:off x="0" y="0"/>
                      <a:ext cx="4884420" cy="2840355"/>
                    </a:xfrm>
                    <a:prstGeom prst="rect">
                      <a:avLst/>
                    </a:prstGeom>
                    <a:noFill/>
                    <a:ln>
                      <a:noFill/>
                    </a:ln>
                  </pic:spPr>
                </pic:pic>
              </a:graphicData>
            </a:graphic>
          </wp:inline>
        </w:drawing>
      </w:r>
    </w:p>
    <w:p w14:paraId="616C95DD">
      <w:pPr>
        <w:spacing w:line="360" w:lineRule="auto"/>
        <w:jc w:val="center"/>
        <w:rPr>
          <w:rFonts w:ascii="Times New Roman" w:hAnsi="Times New Roman" w:cs="Times New Roman"/>
          <w:sz w:val="24"/>
          <w:szCs w:val="24"/>
        </w:rPr>
      </w:pPr>
      <w:r>
        <w:rPr>
          <w:rFonts w:ascii="Times New Roman" w:hAnsi="Times New Roman" w:cs="Times New Roman"/>
          <w:sz w:val="24"/>
          <w:szCs w:val="24"/>
        </w:rPr>
        <w:t>Fig. S14.</w:t>
      </w:r>
      <w:r>
        <w:rPr>
          <w:rFonts w:ascii="Times New Roman" w:hAnsi="Times New Roman" w:cs="Times New Roman"/>
          <w:b/>
          <w:bCs/>
          <w:sz w:val="24"/>
          <w:szCs w:val="24"/>
        </w:rPr>
        <w:t xml:space="preserve"> </w:t>
      </w:r>
      <w:r>
        <w:rPr>
          <w:rFonts w:ascii="Times New Roman" w:hAnsi="Times New Roman" w:cs="Times New Roman"/>
          <w:sz w:val="24"/>
          <w:szCs w:val="24"/>
        </w:rPr>
        <w:t>Identification of P7 (m/z 267.05)</w:t>
      </w:r>
    </w:p>
    <w:p w14:paraId="62766C30">
      <w:pPr>
        <w:spacing w:line="360" w:lineRule="auto"/>
        <w:rPr>
          <w:rFonts w:ascii="Times New Roman" w:hAnsi="Times New Roman" w:cs="Times New Roman"/>
        </w:rPr>
      </w:pPr>
      <w:r>
        <w:rPr>
          <w:rFonts w:ascii="Times New Roman" w:hAnsi="Times New Roman" w:cs="Times New Roman"/>
        </w:rPr>
        <w:drawing>
          <wp:inline distT="0" distB="0" distL="114300" distR="114300">
            <wp:extent cx="4387215" cy="2840355"/>
            <wp:effectExtent l="0" t="0" r="1905"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5"/>
                    <a:stretch>
                      <a:fillRect/>
                    </a:stretch>
                  </pic:blipFill>
                  <pic:spPr>
                    <a:xfrm>
                      <a:off x="0" y="0"/>
                      <a:ext cx="4387215" cy="2840355"/>
                    </a:xfrm>
                    <a:prstGeom prst="rect">
                      <a:avLst/>
                    </a:prstGeom>
                    <a:noFill/>
                    <a:ln>
                      <a:noFill/>
                    </a:ln>
                  </pic:spPr>
                </pic:pic>
              </a:graphicData>
            </a:graphic>
          </wp:inline>
        </w:drawing>
      </w:r>
    </w:p>
    <w:p w14:paraId="459A8089">
      <w:pPr>
        <w:spacing w:line="360" w:lineRule="auto"/>
        <w:jc w:val="center"/>
        <w:rPr>
          <w:rFonts w:ascii="Times New Roman" w:hAnsi="Times New Roman" w:cs="Times New Roman"/>
          <w:sz w:val="24"/>
          <w:szCs w:val="24"/>
        </w:rPr>
      </w:pPr>
      <w:r>
        <w:rPr>
          <w:rFonts w:ascii="Times New Roman" w:hAnsi="Times New Roman" w:cs="Times New Roman"/>
          <w:sz w:val="24"/>
          <w:szCs w:val="24"/>
        </w:rPr>
        <w:t>Fig. S15.</w:t>
      </w:r>
      <w:r>
        <w:rPr>
          <w:rFonts w:ascii="Times New Roman" w:hAnsi="Times New Roman" w:cs="Times New Roman"/>
          <w:b/>
          <w:bCs/>
          <w:sz w:val="24"/>
          <w:szCs w:val="24"/>
        </w:rPr>
        <w:t xml:space="preserve"> </w:t>
      </w:r>
      <w:r>
        <w:rPr>
          <w:rFonts w:ascii="Times New Roman" w:hAnsi="Times New Roman" w:cs="Times New Roman"/>
          <w:sz w:val="24"/>
          <w:szCs w:val="24"/>
        </w:rPr>
        <w:t>Identification of P8 (m/z 215.06)</w:t>
      </w:r>
    </w:p>
    <w:p w14:paraId="506B1143">
      <w:pPr>
        <w:spacing w:line="360" w:lineRule="auto"/>
        <w:rPr>
          <w:rFonts w:ascii="Times New Roman" w:hAnsi="Times New Roman" w:cs="Times New Roman"/>
        </w:rPr>
      </w:pPr>
      <w:r>
        <w:rPr>
          <w:rFonts w:ascii="Times New Roman" w:hAnsi="Times New Roman" w:cs="Times New Roman"/>
        </w:rPr>
        <w:drawing>
          <wp:inline distT="0" distB="0" distL="114300" distR="114300">
            <wp:extent cx="4375785" cy="2840355"/>
            <wp:effectExtent l="0" t="0" r="13335"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6"/>
                    <a:stretch>
                      <a:fillRect/>
                    </a:stretch>
                  </pic:blipFill>
                  <pic:spPr>
                    <a:xfrm>
                      <a:off x="0" y="0"/>
                      <a:ext cx="4375785" cy="2840355"/>
                    </a:xfrm>
                    <a:prstGeom prst="rect">
                      <a:avLst/>
                    </a:prstGeom>
                    <a:noFill/>
                    <a:ln>
                      <a:noFill/>
                    </a:ln>
                  </pic:spPr>
                </pic:pic>
              </a:graphicData>
            </a:graphic>
          </wp:inline>
        </w:drawing>
      </w:r>
    </w:p>
    <w:p w14:paraId="7EB8961A">
      <w:pPr>
        <w:spacing w:line="360" w:lineRule="auto"/>
        <w:jc w:val="center"/>
        <w:rPr>
          <w:rFonts w:ascii="Times New Roman" w:hAnsi="Times New Roman" w:cs="Times New Roman"/>
          <w:sz w:val="24"/>
          <w:szCs w:val="24"/>
        </w:rPr>
      </w:pPr>
      <w:r>
        <w:rPr>
          <w:rFonts w:ascii="Times New Roman" w:hAnsi="Times New Roman" w:cs="Times New Roman"/>
          <w:sz w:val="24"/>
          <w:szCs w:val="24"/>
        </w:rPr>
        <w:t>Fig. S16.</w:t>
      </w:r>
      <w:r>
        <w:rPr>
          <w:rFonts w:ascii="Times New Roman" w:hAnsi="Times New Roman" w:cs="Times New Roman"/>
          <w:b/>
          <w:bCs/>
          <w:sz w:val="24"/>
          <w:szCs w:val="24"/>
        </w:rPr>
        <w:t xml:space="preserve"> </w:t>
      </w:r>
      <w:r>
        <w:rPr>
          <w:rFonts w:ascii="Times New Roman" w:hAnsi="Times New Roman" w:cs="Times New Roman"/>
          <w:sz w:val="24"/>
          <w:szCs w:val="24"/>
        </w:rPr>
        <w:t>Identification of P9 (m/z 173.98)</w:t>
      </w:r>
    </w:p>
    <w:p w14:paraId="16B9807F">
      <w:pPr>
        <w:spacing w:line="360" w:lineRule="auto"/>
        <w:jc w:val="center"/>
        <w:rPr>
          <w:rFonts w:ascii="Times New Roman" w:hAnsi="Times New Roman" w:cs="Times New Roman"/>
        </w:rPr>
      </w:pPr>
      <w:r>
        <w:rPr>
          <w:rFonts w:ascii="Times New Roman" w:hAnsi="Times New Roman" w:cs="Times New Roman"/>
          <w:sz w:val="24"/>
          <w:szCs w:val="24"/>
        </w:rPr>
        <w:br w:type="page"/>
      </w:r>
      <w:r>
        <w:rPr>
          <w:rFonts w:ascii="Times New Roman" w:hAnsi="Times New Roman" w:cs="Times New Roman"/>
        </w:rPr>
        <w:drawing>
          <wp:inline distT="0" distB="0" distL="0" distR="0">
            <wp:extent cx="2707640" cy="2246630"/>
            <wp:effectExtent l="0" t="0" r="0" b="1270"/>
            <wp:docPr id="176360557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05570" name="图片 8"/>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2723903" cy="2260260"/>
                    </a:xfrm>
                    <a:prstGeom prst="rect">
                      <a:avLst/>
                    </a:prstGeom>
                  </pic:spPr>
                </pic:pic>
              </a:graphicData>
            </a:graphic>
          </wp:inline>
        </w:drawing>
      </w:r>
    </w:p>
    <w:p w14:paraId="76D7CDA3">
      <w:pPr>
        <w:spacing w:line="360" w:lineRule="auto"/>
        <w:jc w:val="center"/>
        <w:rPr>
          <w:rFonts w:ascii="Times New Roman" w:hAnsi="Times New Roman" w:cs="Times New Roman"/>
          <w:sz w:val="24"/>
          <w:szCs w:val="24"/>
          <w:vertAlign w:val="subscript"/>
        </w:rPr>
      </w:pPr>
      <w:r>
        <w:rPr>
          <w:rFonts w:ascii="Times New Roman" w:hAnsi="Times New Roman" w:cs="Times New Roman"/>
          <w:sz w:val="24"/>
          <w:szCs w:val="24"/>
        </w:rPr>
        <w:t>Fig S17. The total density of MBC-500 and TiO</w:t>
      </w:r>
      <w:r>
        <w:rPr>
          <w:rFonts w:ascii="Times New Roman" w:hAnsi="Times New Roman" w:cs="Times New Roman"/>
          <w:sz w:val="24"/>
          <w:szCs w:val="24"/>
          <w:vertAlign w:val="subscript"/>
        </w:rPr>
        <w:t>2</w:t>
      </w:r>
      <w:r>
        <w:rPr>
          <w:rFonts w:ascii="Times New Roman" w:hAnsi="Times New Roman" w:cs="Times New Roman"/>
          <w:sz w:val="24"/>
          <w:szCs w:val="24"/>
        </w:rPr>
        <w:t>/g-C</w:t>
      </w:r>
      <w:r>
        <w:rPr>
          <w:rFonts w:ascii="Times New Roman" w:hAnsi="Times New Roman" w:cs="Times New Roman"/>
          <w:sz w:val="24"/>
          <w:szCs w:val="24"/>
          <w:vertAlign w:val="subscript"/>
        </w:rPr>
        <w:t>3</w:t>
      </w:r>
      <w:r>
        <w:rPr>
          <w:rFonts w:ascii="Times New Roman" w:hAnsi="Times New Roman" w:cs="Times New Roman"/>
          <w:sz w:val="24"/>
          <w:szCs w:val="24"/>
        </w:rPr>
        <w:t>N</w:t>
      </w:r>
      <w:r>
        <w:rPr>
          <w:rFonts w:ascii="Times New Roman" w:hAnsi="Times New Roman" w:cs="Times New Roman"/>
          <w:sz w:val="24"/>
          <w:szCs w:val="24"/>
          <w:vertAlign w:val="subscript"/>
        </w:rPr>
        <w:t>4</w:t>
      </w:r>
    </w:p>
    <w:p w14:paraId="6D5D6DD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drawing>
          <wp:inline distT="0" distB="0" distL="0" distR="0">
            <wp:extent cx="5196205" cy="2211705"/>
            <wp:effectExtent l="0" t="0" r="4445" b="0"/>
            <wp:docPr id="86617747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177476" name="图片 7"/>
                    <pic:cNvPicPr>
                      <a:picLocks noChangeAspect="1"/>
                    </pic:cNvPicPr>
                  </pic:nvPicPr>
                  <pic:blipFill>
                    <a:blip r:embed="rId28" cstate="print">
                      <a:extLst>
                        <a:ext uri="{28A0092B-C50C-407E-A947-70E740481C1C}">
                          <a14:useLocalDpi xmlns:a14="http://schemas.microsoft.com/office/drawing/2010/main" val="0"/>
                        </a:ext>
                      </a:extLst>
                    </a:blip>
                    <a:srcRect l="19618"/>
                    <a:stretch>
                      <a:fillRect/>
                    </a:stretch>
                  </pic:blipFill>
                  <pic:spPr>
                    <a:xfrm>
                      <a:off x="0" y="0"/>
                      <a:ext cx="5216187" cy="2220377"/>
                    </a:xfrm>
                    <a:prstGeom prst="rect">
                      <a:avLst/>
                    </a:prstGeom>
                    <a:ln>
                      <a:noFill/>
                    </a:ln>
                  </pic:spPr>
                </pic:pic>
              </a:graphicData>
            </a:graphic>
          </wp:inline>
        </w:drawing>
      </w:r>
    </w:p>
    <w:p w14:paraId="5FB1BF25">
      <w:pPr>
        <w:spacing w:line="360" w:lineRule="auto"/>
        <w:jc w:val="center"/>
        <w:rPr>
          <w:rFonts w:ascii="Times New Roman" w:hAnsi="Times New Roman" w:cs="Times New Roman"/>
          <w:sz w:val="24"/>
          <w:szCs w:val="24"/>
        </w:rPr>
      </w:pPr>
      <w:bookmarkStart w:id="9" w:name="_Hlk209027538"/>
      <w:r>
        <w:rPr>
          <w:rFonts w:ascii="Times New Roman" w:hAnsi="Times New Roman" w:cs="Times New Roman"/>
          <w:sz w:val="24"/>
          <w:szCs w:val="24"/>
        </w:rPr>
        <w:t>Fig S18. (a) Fermi levels of TiO</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(b) g-C</w:t>
      </w:r>
      <w:r>
        <w:rPr>
          <w:rFonts w:ascii="Times New Roman" w:hAnsi="Times New Roman" w:cs="Times New Roman"/>
          <w:sz w:val="24"/>
          <w:szCs w:val="24"/>
          <w:vertAlign w:val="subscript"/>
        </w:rPr>
        <w:t>3</w:t>
      </w:r>
      <w:r>
        <w:rPr>
          <w:rFonts w:ascii="Times New Roman" w:hAnsi="Times New Roman" w:cs="Times New Roman"/>
          <w:sz w:val="24"/>
          <w:szCs w:val="24"/>
        </w:rPr>
        <w:t>N</w:t>
      </w:r>
      <w:r>
        <w:rPr>
          <w:rFonts w:ascii="Times New Roman" w:hAnsi="Times New Roman" w:cs="Times New Roman"/>
          <w:sz w:val="24"/>
          <w:szCs w:val="24"/>
          <w:vertAlign w:val="subscript"/>
        </w:rPr>
        <w:t>4</w:t>
      </w:r>
    </w:p>
    <w:bookmarkEnd w:id="9"/>
    <w:p w14:paraId="17580488">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E79C038">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Table S2. </w:t>
      </w:r>
      <w:r>
        <w:rPr>
          <w:rFonts w:ascii="Times New Roman" w:hAnsi="Times New Roman" w:cs="Times New Roman"/>
          <w:sz w:val="24"/>
          <w:szCs w:val="24"/>
        </w:rPr>
        <w:t>Accurate mass of the intermediates for SDZ in MBC-500 photocatalytic system by HPLC mass spectrometry analysis.</w:t>
      </w:r>
    </w:p>
    <w:tbl>
      <w:tblPr>
        <w:tblStyle w:val="5"/>
        <w:tblW w:w="5000" w:type="pct"/>
        <w:tblInd w:w="0" w:type="dxa"/>
        <w:tblLayout w:type="fixed"/>
        <w:tblCellMar>
          <w:top w:w="0" w:type="dxa"/>
          <w:left w:w="108" w:type="dxa"/>
          <w:bottom w:w="0" w:type="dxa"/>
          <w:right w:w="108" w:type="dxa"/>
        </w:tblCellMar>
      </w:tblPr>
      <w:tblGrid>
        <w:gridCol w:w="1194"/>
        <w:gridCol w:w="2071"/>
        <w:gridCol w:w="1237"/>
        <w:gridCol w:w="743"/>
        <w:gridCol w:w="1098"/>
        <w:gridCol w:w="1123"/>
        <w:gridCol w:w="176"/>
        <w:gridCol w:w="644"/>
        <w:gridCol w:w="236"/>
      </w:tblGrid>
      <w:tr w14:paraId="7C28DD85">
        <w:tblPrEx>
          <w:tblCellMar>
            <w:top w:w="0" w:type="dxa"/>
            <w:left w:w="108" w:type="dxa"/>
            <w:bottom w:w="0" w:type="dxa"/>
            <w:right w:w="108" w:type="dxa"/>
          </w:tblCellMar>
        </w:tblPrEx>
        <w:trPr>
          <w:gridAfter w:val="1"/>
          <w:wAfter w:w="138" w:type="pct"/>
          <w:trHeight w:val="582" w:hRule="atLeast"/>
        </w:trPr>
        <w:tc>
          <w:tcPr>
            <w:tcW w:w="701" w:type="pct"/>
            <w:vMerge w:val="restart"/>
            <w:tcBorders>
              <w:top w:val="single" w:color="000000" w:sz="12" w:space="0"/>
              <w:left w:val="nil"/>
              <w:bottom w:val="single" w:color="000000" w:sz="12" w:space="0"/>
              <w:right w:val="nil"/>
            </w:tcBorders>
            <w:vAlign w:val="center"/>
          </w:tcPr>
          <w:p w14:paraId="7D0E6E6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Compounds</w:t>
            </w:r>
          </w:p>
        </w:tc>
        <w:tc>
          <w:tcPr>
            <w:tcW w:w="1215" w:type="pct"/>
            <w:vMerge w:val="restart"/>
            <w:tcBorders>
              <w:top w:val="single" w:color="000000" w:sz="12" w:space="0"/>
              <w:left w:val="nil"/>
              <w:bottom w:val="single" w:color="000000" w:sz="12" w:space="0"/>
              <w:right w:val="nil"/>
            </w:tcBorders>
            <w:vAlign w:val="center"/>
          </w:tcPr>
          <w:p w14:paraId="3650F5E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Structure</w:t>
            </w:r>
          </w:p>
        </w:tc>
        <w:tc>
          <w:tcPr>
            <w:tcW w:w="726" w:type="pct"/>
            <w:tcBorders>
              <w:top w:val="single" w:color="000000" w:sz="12" w:space="0"/>
              <w:left w:val="nil"/>
              <w:bottom w:val="nil"/>
              <w:right w:val="nil"/>
            </w:tcBorders>
            <w:vAlign w:val="center"/>
          </w:tcPr>
          <w:p w14:paraId="5C05FCC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Proposed Formula</w:t>
            </w:r>
          </w:p>
        </w:tc>
        <w:tc>
          <w:tcPr>
            <w:tcW w:w="436" w:type="pct"/>
            <w:vMerge w:val="restart"/>
            <w:tcBorders>
              <w:top w:val="single" w:color="000000" w:sz="12" w:space="0"/>
              <w:left w:val="nil"/>
              <w:bottom w:val="single" w:color="000000" w:sz="12" w:space="0"/>
              <w:right w:val="nil"/>
            </w:tcBorders>
            <w:vAlign w:val="center"/>
          </w:tcPr>
          <w:p w14:paraId="392D2C5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Rt (s)</w:t>
            </w:r>
          </w:p>
        </w:tc>
        <w:tc>
          <w:tcPr>
            <w:tcW w:w="644" w:type="pct"/>
            <w:tcBorders>
              <w:top w:val="single" w:color="000000" w:sz="12" w:space="0"/>
              <w:left w:val="nil"/>
              <w:bottom w:val="nil"/>
              <w:right w:val="nil"/>
            </w:tcBorders>
            <w:vAlign w:val="center"/>
          </w:tcPr>
          <w:p w14:paraId="65B0BB0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Experimental mass</w:t>
            </w:r>
          </w:p>
        </w:tc>
        <w:tc>
          <w:tcPr>
            <w:tcW w:w="762" w:type="pct"/>
            <w:gridSpan w:val="2"/>
            <w:tcBorders>
              <w:top w:val="single" w:color="000000" w:sz="12" w:space="0"/>
              <w:left w:val="nil"/>
              <w:bottom w:val="nil"/>
              <w:right w:val="nil"/>
            </w:tcBorders>
            <w:vAlign w:val="center"/>
          </w:tcPr>
          <w:p w14:paraId="078172E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Calculated mass</w:t>
            </w:r>
          </w:p>
        </w:tc>
        <w:tc>
          <w:tcPr>
            <w:tcW w:w="377" w:type="pct"/>
            <w:vMerge w:val="restart"/>
            <w:tcBorders>
              <w:top w:val="single" w:color="000000" w:sz="12" w:space="0"/>
              <w:left w:val="nil"/>
              <w:bottom w:val="single" w:color="000000" w:sz="12" w:space="0"/>
              <w:right w:val="nil"/>
            </w:tcBorders>
            <w:vAlign w:val="center"/>
          </w:tcPr>
          <w:p w14:paraId="2B04737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Error (mg L</w:t>
            </w:r>
            <w:r>
              <w:rPr>
                <w:rFonts w:ascii="Times New Roman" w:hAnsi="Times New Roman" w:eastAsia="宋体" w:cs="Times New Roman"/>
                <w:color w:val="000000"/>
                <w:kern w:val="0"/>
                <w:szCs w:val="21"/>
                <w:vertAlign w:val="superscript"/>
              </w:rPr>
              <w:t>-1</w:t>
            </w:r>
            <w:r>
              <w:rPr>
                <w:rFonts w:ascii="Times New Roman" w:hAnsi="Times New Roman" w:eastAsia="宋体" w:cs="Times New Roman"/>
                <w:color w:val="000000"/>
                <w:kern w:val="0"/>
                <w:szCs w:val="21"/>
              </w:rPr>
              <w:t>)</w:t>
            </w:r>
          </w:p>
        </w:tc>
      </w:tr>
      <w:tr w14:paraId="7A36983D">
        <w:tblPrEx>
          <w:tblCellMar>
            <w:top w:w="0" w:type="dxa"/>
            <w:left w:w="108" w:type="dxa"/>
            <w:bottom w:w="0" w:type="dxa"/>
            <w:right w:w="108" w:type="dxa"/>
          </w:tblCellMar>
        </w:tblPrEx>
        <w:trPr>
          <w:gridAfter w:val="1"/>
          <w:wAfter w:w="138" w:type="pct"/>
          <w:trHeight w:val="330" w:hRule="atLeast"/>
        </w:trPr>
        <w:tc>
          <w:tcPr>
            <w:tcW w:w="701" w:type="pct"/>
            <w:vMerge w:val="continue"/>
            <w:tcBorders>
              <w:top w:val="single" w:color="000000" w:sz="12" w:space="0"/>
              <w:left w:val="nil"/>
              <w:bottom w:val="single" w:color="000000" w:sz="12" w:space="0"/>
              <w:right w:val="nil"/>
            </w:tcBorders>
            <w:vAlign w:val="center"/>
          </w:tcPr>
          <w:p w14:paraId="465FC43F">
            <w:pPr>
              <w:widowControl/>
              <w:jc w:val="left"/>
              <w:rPr>
                <w:rFonts w:ascii="Times New Roman" w:hAnsi="Times New Roman" w:eastAsia="宋体" w:cs="Times New Roman"/>
                <w:color w:val="000000"/>
                <w:kern w:val="0"/>
                <w:szCs w:val="21"/>
              </w:rPr>
            </w:pPr>
          </w:p>
        </w:tc>
        <w:tc>
          <w:tcPr>
            <w:tcW w:w="1215" w:type="pct"/>
            <w:vMerge w:val="continue"/>
            <w:tcBorders>
              <w:top w:val="single" w:color="000000" w:sz="12" w:space="0"/>
              <w:left w:val="nil"/>
              <w:bottom w:val="single" w:color="000000" w:sz="12" w:space="0"/>
              <w:right w:val="nil"/>
            </w:tcBorders>
            <w:vAlign w:val="center"/>
          </w:tcPr>
          <w:p w14:paraId="7AD675A0">
            <w:pPr>
              <w:widowControl/>
              <w:jc w:val="left"/>
              <w:rPr>
                <w:rFonts w:ascii="Times New Roman" w:hAnsi="Times New Roman" w:eastAsia="宋体" w:cs="Times New Roman"/>
                <w:color w:val="000000"/>
                <w:kern w:val="0"/>
                <w:szCs w:val="21"/>
              </w:rPr>
            </w:pPr>
          </w:p>
        </w:tc>
        <w:tc>
          <w:tcPr>
            <w:tcW w:w="726" w:type="pct"/>
            <w:tcBorders>
              <w:top w:val="nil"/>
              <w:left w:val="nil"/>
              <w:bottom w:val="nil"/>
              <w:right w:val="nil"/>
            </w:tcBorders>
            <w:vAlign w:val="center"/>
          </w:tcPr>
          <w:p w14:paraId="253FCFB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[M+H]</w:t>
            </w:r>
            <w:r>
              <w:rPr>
                <w:rFonts w:ascii="Times New Roman" w:hAnsi="Times New Roman" w:eastAsia="宋体" w:cs="Times New Roman"/>
                <w:color w:val="000000"/>
                <w:kern w:val="0"/>
                <w:szCs w:val="21"/>
                <w:vertAlign w:val="superscript"/>
              </w:rPr>
              <w:t>+</w:t>
            </w:r>
          </w:p>
        </w:tc>
        <w:tc>
          <w:tcPr>
            <w:tcW w:w="436" w:type="pct"/>
            <w:vMerge w:val="continue"/>
            <w:tcBorders>
              <w:top w:val="single" w:color="000000" w:sz="12" w:space="0"/>
              <w:left w:val="nil"/>
              <w:bottom w:val="single" w:color="000000" w:sz="12" w:space="0"/>
              <w:right w:val="nil"/>
            </w:tcBorders>
            <w:vAlign w:val="center"/>
          </w:tcPr>
          <w:p w14:paraId="3B64A1DC">
            <w:pPr>
              <w:widowControl/>
              <w:jc w:val="left"/>
              <w:rPr>
                <w:rFonts w:ascii="Times New Roman" w:hAnsi="Times New Roman" w:eastAsia="宋体" w:cs="Times New Roman"/>
                <w:color w:val="000000"/>
                <w:kern w:val="0"/>
                <w:szCs w:val="21"/>
              </w:rPr>
            </w:pPr>
          </w:p>
        </w:tc>
        <w:tc>
          <w:tcPr>
            <w:tcW w:w="644" w:type="pct"/>
            <w:tcBorders>
              <w:top w:val="nil"/>
              <w:left w:val="nil"/>
              <w:bottom w:val="nil"/>
              <w:right w:val="nil"/>
            </w:tcBorders>
            <w:vAlign w:val="center"/>
          </w:tcPr>
          <w:p w14:paraId="5DD2E93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w:t>
            </w:r>
            <w:r>
              <w:rPr>
                <w:rFonts w:ascii="Times New Roman" w:hAnsi="Times New Roman" w:eastAsia="宋体" w:cs="Times New Roman"/>
                <w:i/>
                <w:iCs/>
                <w:color w:val="000000"/>
                <w:kern w:val="0"/>
                <w:szCs w:val="21"/>
              </w:rPr>
              <w:t>m</w:t>
            </w:r>
            <w:r>
              <w:rPr>
                <w:rFonts w:ascii="Times New Roman" w:hAnsi="Times New Roman" w:eastAsia="宋体" w:cs="Times New Roman"/>
                <w:color w:val="000000"/>
                <w:kern w:val="0"/>
                <w:szCs w:val="21"/>
              </w:rPr>
              <w:t>/</w:t>
            </w:r>
            <w:r>
              <w:rPr>
                <w:rFonts w:ascii="Times New Roman" w:hAnsi="Times New Roman" w:eastAsia="宋体" w:cs="Times New Roman"/>
                <w:i/>
                <w:iCs/>
                <w:color w:val="000000"/>
                <w:kern w:val="0"/>
                <w:szCs w:val="21"/>
              </w:rPr>
              <w:t>z</w:t>
            </w:r>
            <w:r>
              <w:rPr>
                <w:rFonts w:ascii="Times New Roman" w:hAnsi="Times New Roman" w:eastAsia="宋体" w:cs="Times New Roman"/>
                <w:color w:val="000000"/>
                <w:kern w:val="0"/>
                <w:szCs w:val="21"/>
              </w:rPr>
              <w:t>)</w:t>
            </w:r>
          </w:p>
        </w:tc>
        <w:tc>
          <w:tcPr>
            <w:tcW w:w="762" w:type="pct"/>
            <w:gridSpan w:val="2"/>
            <w:tcBorders>
              <w:top w:val="nil"/>
              <w:left w:val="nil"/>
              <w:bottom w:val="nil"/>
              <w:right w:val="nil"/>
            </w:tcBorders>
            <w:vAlign w:val="center"/>
          </w:tcPr>
          <w:p w14:paraId="0B4034F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w:t>
            </w:r>
            <w:r>
              <w:rPr>
                <w:rFonts w:ascii="Times New Roman" w:hAnsi="Times New Roman" w:eastAsia="宋体" w:cs="Times New Roman"/>
                <w:i/>
                <w:iCs/>
                <w:color w:val="000000"/>
                <w:kern w:val="0"/>
                <w:szCs w:val="21"/>
              </w:rPr>
              <w:t>m</w:t>
            </w:r>
            <w:r>
              <w:rPr>
                <w:rFonts w:ascii="Times New Roman" w:hAnsi="Times New Roman" w:eastAsia="宋体" w:cs="Times New Roman"/>
                <w:color w:val="000000"/>
                <w:kern w:val="0"/>
                <w:szCs w:val="21"/>
              </w:rPr>
              <w:t>/</w:t>
            </w:r>
            <w:r>
              <w:rPr>
                <w:rFonts w:ascii="Times New Roman" w:hAnsi="Times New Roman" w:eastAsia="宋体" w:cs="Times New Roman"/>
                <w:i/>
                <w:iCs/>
                <w:color w:val="000000"/>
                <w:kern w:val="0"/>
                <w:szCs w:val="21"/>
              </w:rPr>
              <w:t>z</w:t>
            </w:r>
            <w:r>
              <w:rPr>
                <w:rFonts w:ascii="Times New Roman" w:hAnsi="Times New Roman" w:eastAsia="宋体" w:cs="Times New Roman"/>
                <w:color w:val="000000"/>
                <w:kern w:val="0"/>
                <w:szCs w:val="21"/>
              </w:rPr>
              <w:t>)</w:t>
            </w:r>
          </w:p>
        </w:tc>
        <w:tc>
          <w:tcPr>
            <w:tcW w:w="377" w:type="pct"/>
            <w:vMerge w:val="continue"/>
            <w:tcBorders>
              <w:top w:val="single" w:color="000000" w:sz="12" w:space="0"/>
              <w:left w:val="nil"/>
              <w:bottom w:val="single" w:color="000000" w:sz="12" w:space="0"/>
              <w:right w:val="nil"/>
            </w:tcBorders>
            <w:vAlign w:val="center"/>
          </w:tcPr>
          <w:p w14:paraId="2061BD7A">
            <w:pPr>
              <w:widowControl/>
              <w:jc w:val="left"/>
              <w:rPr>
                <w:rFonts w:ascii="Times New Roman" w:hAnsi="Times New Roman" w:eastAsia="宋体" w:cs="Times New Roman"/>
                <w:color w:val="000000"/>
                <w:kern w:val="0"/>
                <w:szCs w:val="21"/>
              </w:rPr>
            </w:pPr>
          </w:p>
        </w:tc>
      </w:tr>
      <w:tr w14:paraId="1D131345">
        <w:tblPrEx>
          <w:tblCellMar>
            <w:top w:w="0" w:type="dxa"/>
            <w:left w:w="108" w:type="dxa"/>
            <w:bottom w:w="0" w:type="dxa"/>
            <w:right w:w="108" w:type="dxa"/>
          </w:tblCellMar>
        </w:tblPrEx>
        <w:trPr>
          <w:gridAfter w:val="1"/>
          <w:wAfter w:w="138" w:type="pct"/>
          <w:trHeight w:val="726" w:hRule="atLeast"/>
        </w:trPr>
        <w:tc>
          <w:tcPr>
            <w:tcW w:w="701" w:type="pct"/>
            <w:tcBorders>
              <w:top w:val="single" w:color="000000" w:sz="8" w:space="0"/>
              <w:left w:val="nil"/>
              <w:bottom w:val="nil"/>
              <w:right w:val="nil"/>
            </w:tcBorders>
            <w:vAlign w:val="center"/>
          </w:tcPr>
          <w:p w14:paraId="263AA39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P251</w:t>
            </w:r>
          </w:p>
        </w:tc>
        <w:tc>
          <w:tcPr>
            <w:tcW w:w="1215" w:type="pct"/>
            <w:tcBorders>
              <w:top w:val="single" w:color="000000" w:sz="8" w:space="0"/>
              <w:left w:val="nil"/>
              <w:bottom w:val="nil"/>
              <w:right w:val="nil"/>
            </w:tcBorders>
            <w:vAlign w:val="center"/>
          </w:tcPr>
          <w:p w14:paraId="261F5AB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drawing>
                <wp:inline distT="0" distB="0" distL="0" distR="0">
                  <wp:extent cx="1211580" cy="537845"/>
                  <wp:effectExtent l="0" t="0" r="7620" b="0"/>
                  <wp:docPr id="14261665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66526" name="图片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233474" cy="547828"/>
                          </a:xfrm>
                          <a:prstGeom prst="rect">
                            <a:avLst/>
                          </a:prstGeom>
                          <a:noFill/>
                        </pic:spPr>
                      </pic:pic>
                    </a:graphicData>
                  </a:graphic>
                </wp:inline>
              </w:drawing>
            </w:r>
          </w:p>
        </w:tc>
        <w:tc>
          <w:tcPr>
            <w:tcW w:w="726" w:type="pct"/>
            <w:tcBorders>
              <w:top w:val="single" w:color="000000" w:sz="8" w:space="0"/>
              <w:left w:val="nil"/>
              <w:bottom w:val="nil"/>
              <w:right w:val="nil"/>
            </w:tcBorders>
            <w:vAlign w:val="center"/>
          </w:tcPr>
          <w:p w14:paraId="7F8530F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C</w:t>
            </w:r>
            <w:r>
              <w:rPr>
                <w:rFonts w:ascii="Times New Roman" w:hAnsi="Times New Roman" w:eastAsia="宋体" w:cs="Times New Roman"/>
                <w:color w:val="000000"/>
                <w:kern w:val="0"/>
                <w:szCs w:val="21"/>
                <w:vertAlign w:val="subscript"/>
              </w:rPr>
              <w:t>10</w:t>
            </w:r>
            <w:r>
              <w:rPr>
                <w:rFonts w:ascii="Times New Roman" w:hAnsi="Times New Roman" w:eastAsia="宋体" w:cs="Times New Roman"/>
                <w:color w:val="000000"/>
                <w:kern w:val="0"/>
                <w:szCs w:val="21"/>
              </w:rPr>
              <w:t>H</w:t>
            </w:r>
            <w:r>
              <w:rPr>
                <w:rFonts w:ascii="Times New Roman" w:hAnsi="Times New Roman" w:eastAsia="宋体" w:cs="Times New Roman"/>
                <w:color w:val="000000"/>
                <w:kern w:val="0"/>
                <w:szCs w:val="21"/>
                <w:vertAlign w:val="subscript"/>
              </w:rPr>
              <w:t>11</w:t>
            </w:r>
            <w:r>
              <w:rPr>
                <w:rFonts w:ascii="Times New Roman" w:hAnsi="Times New Roman" w:eastAsia="宋体" w:cs="Times New Roman"/>
                <w:color w:val="000000"/>
                <w:kern w:val="0"/>
                <w:szCs w:val="21"/>
              </w:rPr>
              <w:t>N</w:t>
            </w:r>
            <w:r>
              <w:rPr>
                <w:rFonts w:ascii="Times New Roman" w:hAnsi="Times New Roman" w:eastAsia="宋体" w:cs="Times New Roman"/>
                <w:color w:val="000000"/>
                <w:kern w:val="0"/>
                <w:szCs w:val="21"/>
                <w:vertAlign w:val="subscript"/>
              </w:rPr>
              <w:t>4</w:t>
            </w:r>
            <w:r>
              <w:rPr>
                <w:rFonts w:ascii="Times New Roman" w:hAnsi="Times New Roman" w:eastAsia="宋体" w:cs="Times New Roman"/>
                <w:color w:val="000000"/>
                <w:kern w:val="0"/>
                <w:szCs w:val="21"/>
              </w:rPr>
              <w:t>O</w:t>
            </w:r>
            <w:r>
              <w:rPr>
                <w:rFonts w:ascii="Times New Roman" w:hAnsi="Times New Roman" w:eastAsia="宋体" w:cs="Times New Roman"/>
                <w:color w:val="000000"/>
                <w:kern w:val="0"/>
                <w:szCs w:val="21"/>
                <w:vertAlign w:val="subscript"/>
              </w:rPr>
              <w:t>2</w:t>
            </w:r>
            <w:r>
              <w:rPr>
                <w:rFonts w:ascii="Times New Roman" w:hAnsi="Times New Roman" w:eastAsia="宋体" w:cs="Times New Roman"/>
                <w:color w:val="000000"/>
                <w:kern w:val="0"/>
                <w:szCs w:val="21"/>
              </w:rPr>
              <w:t>S</w:t>
            </w:r>
          </w:p>
        </w:tc>
        <w:tc>
          <w:tcPr>
            <w:tcW w:w="436" w:type="pct"/>
            <w:tcBorders>
              <w:top w:val="single" w:color="000000" w:sz="8" w:space="0"/>
              <w:left w:val="nil"/>
              <w:bottom w:val="nil"/>
              <w:right w:val="nil"/>
            </w:tcBorders>
            <w:vAlign w:val="center"/>
          </w:tcPr>
          <w:p w14:paraId="578F929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157.2</w:t>
            </w:r>
          </w:p>
        </w:tc>
        <w:tc>
          <w:tcPr>
            <w:tcW w:w="644" w:type="pct"/>
            <w:tcBorders>
              <w:top w:val="single" w:color="000000" w:sz="8" w:space="0"/>
              <w:left w:val="nil"/>
              <w:bottom w:val="nil"/>
              <w:right w:val="nil"/>
            </w:tcBorders>
            <w:vAlign w:val="center"/>
          </w:tcPr>
          <w:p w14:paraId="00F4B70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251.0589</w:t>
            </w:r>
          </w:p>
        </w:tc>
        <w:tc>
          <w:tcPr>
            <w:tcW w:w="659" w:type="pct"/>
            <w:tcBorders>
              <w:top w:val="single" w:color="000000" w:sz="8" w:space="0"/>
              <w:left w:val="nil"/>
              <w:bottom w:val="nil"/>
              <w:right w:val="nil"/>
            </w:tcBorders>
            <w:vAlign w:val="center"/>
          </w:tcPr>
          <w:p w14:paraId="1FC25DA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251.0597</w:t>
            </w:r>
          </w:p>
        </w:tc>
        <w:tc>
          <w:tcPr>
            <w:tcW w:w="481" w:type="pct"/>
            <w:gridSpan w:val="2"/>
            <w:tcBorders>
              <w:top w:val="single" w:color="000000" w:sz="8" w:space="0"/>
              <w:left w:val="nil"/>
              <w:bottom w:val="nil"/>
              <w:right w:val="nil"/>
            </w:tcBorders>
            <w:vAlign w:val="center"/>
          </w:tcPr>
          <w:p w14:paraId="60218C8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-0.743</w:t>
            </w:r>
          </w:p>
        </w:tc>
      </w:tr>
      <w:tr w14:paraId="61CB8B9E">
        <w:tblPrEx>
          <w:tblCellMar>
            <w:top w:w="0" w:type="dxa"/>
            <w:left w:w="108" w:type="dxa"/>
            <w:bottom w:w="0" w:type="dxa"/>
            <w:right w:w="108" w:type="dxa"/>
          </w:tblCellMar>
        </w:tblPrEx>
        <w:trPr>
          <w:gridAfter w:val="1"/>
          <w:wAfter w:w="138" w:type="pct"/>
          <w:trHeight w:val="696" w:hRule="atLeast"/>
        </w:trPr>
        <w:tc>
          <w:tcPr>
            <w:tcW w:w="701" w:type="pct"/>
            <w:tcBorders>
              <w:top w:val="nil"/>
              <w:left w:val="nil"/>
              <w:bottom w:val="nil"/>
              <w:right w:val="nil"/>
            </w:tcBorders>
            <w:vAlign w:val="center"/>
          </w:tcPr>
          <w:p w14:paraId="2739CB0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P281</w:t>
            </w:r>
          </w:p>
        </w:tc>
        <w:tc>
          <w:tcPr>
            <w:tcW w:w="1215" w:type="pct"/>
            <w:tcBorders>
              <w:top w:val="nil"/>
              <w:left w:val="nil"/>
              <w:bottom w:val="nil"/>
              <w:right w:val="nil"/>
            </w:tcBorders>
            <w:vAlign w:val="center"/>
          </w:tcPr>
          <w:p w14:paraId="0E6BF36E">
            <w:pPr>
              <w:widowControl/>
              <w:jc w:val="center"/>
              <w:rPr>
                <w:rFonts w:ascii="Times New Roman" w:hAnsi="Times New Roman" w:eastAsia="宋体" w:cs="Times New Roman"/>
                <w:color w:val="000000"/>
                <w:kern w:val="0"/>
                <w:szCs w:val="21"/>
              </w:rPr>
            </w:pPr>
            <w:r>
              <w:rPr>
                <w:rFonts w:ascii="Times New Roman" w:hAnsi="Times New Roman" w:cs="Times New Roman"/>
              </w:rPr>
              <w:drawing>
                <wp:inline distT="0" distB="0" distL="0" distR="0">
                  <wp:extent cx="1177925" cy="582295"/>
                  <wp:effectExtent l="0" t="0" r="3175" b="8255"/>
                  <wp:docPr id="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30"/>
                          <a:stretch>
                            <a:fillRect/>
                          </a:stretch>
                        </pic:blipFill>
                        <pic:spPr>
                          <a:xfrm>
                            <a:off x="0" y="0"/>
                            <a:ext cx="1177925" cy="582295"/>
                          </a:xfrm>
                          <a:prstGeom prst="rect">
                            <a:avLst/>
                          </a:prstGeom>
                        </pic:spPr>
                      </pic:pic>
                    </a:graphicData>
                  </a:graphic>
                </wp:inline>
              </w:drawing>
            </w:r>
          </w:p>
        </w:tc>
        <w:tc>
          <w:tcPr>
            <w:tcW w:w="726" w:type="pct"/>
            <w:tcBorders>
              <w:top w:val="nil"/>
              <w:left w:val="nil"/>
              <w:bottom w:val="nil"/>
              <w:right w:val="nil"/>
            </w:tcBorders>
            <w:vAlign w:val="center"/>
          </w:tcPr>
          <w:p w14:paraId="193EC82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C</w:t>
            </w:r>
            <w:r>
              <w:rPr>
                <w:rFonts w:ascii="Times New Roman" w:hAnsi="Times New Roman" w:eastAsia="宋体" w:cs="Times New Roman"/>
                <w:color w:val="000000"/>
                <w:kern w:val="0"/>
                <w:szCs w:val="21"/>
                <w:vertAlign w:val="subscript"/>
              </w:rPr>
              <w:t>10</w:t>
            </w:r>
            <w:r>
              <w:rPr>
                <w:rFonts w:ascii="Times New Roman" w:hAnsi="Times New Roman" w:eastAsia="宋体" w:cs="Times New Roman"/>
                <w:color w:val="000000"/>
                <w:kern w:val="0"/>
                <w:szCs w:val="21"/>
              </w:rPr>
              <w:t>H</w:t>
            </w:r>
            <w:r>
              <w:rPr>
                <w:rFonts w:ascii="Times New Roman" w:hAnsi="Times New Roman" w:eastAsia="宋体" w:cs="Times New Roman"/>
                <w:color w:val="000000"/>
                <w:kern w:val="0"/>
                <w:szCs w:val="21"/>
                <w:vertAlign w:val="subscript"/>
              </w:rPr>
              <w:t>9</w:t>
            </w:r>
            <w:r>
              <w:rPr>
                <w:rFonts w:ascii="Times New Roman" w:hAnsi="Times New Roman" w:eastAsia="宋体" w:cs="Times New Roman"/>
                <w:color w:val="000000"/>
                <w:kern w:val="0"/>
                <w:szCs w:val="21"/>
              </w:rPr>
              <w:t>N</w:t>
            </w:r>
            <w:r>
              <w:rPr>
                <w:rFonts w:ascii="Times New Roman" w:hAnsi="Times New Roman" w:eastAsia="宋体" w:cs="Times New Roman"/>
                <w:color w:val="000000"/>
                <w:kern w:val="0"/>
                <w:szCs w:val="21"/>
                <w:vertAlign w:val="subscript"/>
              </w:rPr>
              <w:t>4</w:t>
            </w:r>
            <w:r>
              <w:rPr>
                <w:rFonts w:ascii="Times New Roman" w:hAnsi="Times New Roman" w:eastAsia="宋体" w:cs="Times New Roman"/>
                <w:color w:val="000000"/>
                <w:kern w:val="0"/>
                <w:szCs w:val="21"/>
              </w:rPr>
              <w:t>O</w:t>
            </w:r>
            <w:r>
              <w:rPr>
                <w:rFonts w:ascii="Times New Roman" w:hAnsi="Times New Roman" w:eastAsia="宋体" w:cs="Times New Roman"/>
                <w:color w:val="000000"/>
                <w:kern w:val="0"/>
                <w:szCs w:val="21"/>
                <w:vertAlign w:val="subscript"/>
              </w:rPr>
              <w:t>4</w:t>
            </w:r>
            <w:r>
              <w:rPr>
                <w:rFonts w:ascii="Times New Roman" w:hAnsi="Times New Roman" w:eastAsia="宋体" w:cs="Times New Roman"/>
                <w:color w:val="000000"/>
                <w:kern w:val="0"/>
                <w:szCs w:val="21"/>
              </w:rPr>
              <w:t>S</w:t>
            </w:r>
          </w:p>
        </w:tc>
        <w:tc>
          <w:tcPr>
            <w:tcW w:w="436" w:type="pct"/>
            <w:tcBorders>
              <w:top w:val="nil"/>
              <w:left w:val="nil"/>
              <w:bottom w:val="nil"/>
              <w:right w:val="nil"/>
            </w:tcBorders>
            <w:vAlign w:val="center"/>
          </w:tcPr>
          <w:p w14:paraId="7B60E80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224.4</w:t>
            </w:r>
          </w:p>
        </w:tc>
        <w:tc>
          <w:tcPr>
            <w:tcW w:w="644" w:type="pct"/>
            <w:tcBorders>
              <w:top w:val="nil"/>
              <w:left w:val="nil"/>
              <w:bottom w:val="nil"/>
              <w:right w:val="nil"/>
            </w:tcBorders>
            <w:vAlign w:val="center"/>
          </w:tcPr>
          <w:p w14:paraId="28B2EDF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281.0331</w:t>
            </w:r>
          </w:p>
        </w:tc>
        <w:tc>
          <w:tcPr>
            <w:tcW w:w="659" w:type="pct"/>
            <w:tcBorders>
              <w:top w:val="nil"/>
              <w:left w:val="nil"/>
              <w:bottom w:val="nil"/>
              <w:right w:val="nil"/>
            </w:tcBorders>
            <w:vAlign w:val="center"/>
          </w:tcPr>
          <w:p w14:paraId="587492A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281.0331</w:t>
            </w:r>
          </w:p>
        </w:tc>
        <w:tc>
          <w:tcPr>
            <w:tcW w:w="481" w:type="pct"/>
            <w:gridSpan w:val="2"/>
            <w:tcBorders>
              <w:top w:val="nil"/>
              <w:left w:val="nil"/>
              <w:bottom w:val="nil"/>
              <w:right w:val="nil"/>
            </w:tcBorders>
            <w:vAlign w:val="center"/>
          </w:tcPr>
          <w:p w14:paraId="5B126E0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-0.852</w:t>
            </w:r>
          </w:p>
        </w:tc>
      </w:tr>
      <w:tr w14:paraId="6AFB3EA3">
        <w:tblPrEx>
          <w:tblCellMar>
            <w:top w:w="0" w:type="dxa"/>
            <w:left w:w="108" w:type="dxa"/>
            <w:bottom w:w="0" w:type="dxa"/>
            <w:right w:w="108" w:type="dxa"/>
          </w:tblCellMar>
        </w:tblPrEx>
        <w:trPr>
          <w:gridAfter w:val="1"/>
          <w:wAfter w:w="138" w:type="pct"/>
          <w:trHeight w:val="552" w:hRule="atLeast"/>
        </w:trPr>
        <w:tc>
          <w:tcPr>
            <w:tcW w:w="701" w:type="pct"/>
            <w:tcBorders>
              <w:top w:val="nil"/>
              <w:left w:val="nil"/>
              <w:bottom w:val="nil"/>
              <w:right w:val="nil"/>
            </w:tcBorders>
            <w:vAlign w:val="center"/>
          </w:tcPr>
          <w:p w14:paraId="42422C0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P96</w:t>
            </w:r>
          </w:p>
        </w:tc>
        <w:tc>
          <w:tcPr>
            <w:tcW w:w="1215" w:type="pct"/>
            <w:tcBorders>
              <w:top w:val="nil"/>
              <w:left w:val="nil"/>
              <w:bottom w:val="nil"/>
              <w:right w:val="nil"/>
            </w:tcBorders>
            <w:vAlign w:val="center"/>
          </w:tcPr>
          <w:p w14:paraId="483BF44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drawing>
                <wp:inline distT="0" distB="0" distL="0" distR="0">
                  <wp:extent cx="583565" cy="384175"/>
                  <wp:effectExtent l="0" t="0" r="6985" b="0"/>
                  <wp:docPr id="11123085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08509" name="图片 1"/>
                          <pic:cNvPicPr>
                            <a:picLocks noChangeAspect="1"/>
                          </pic:cNvPicPr>
                        </pic:nvPicPr>
                        <pic:blipFill>
                          <a:blip r:embed="rId31"/>
                          <a:stretch>
                            <a:fillRect/>
                          </a:stretch>
                        </pic:blipFill>
                        <pic:spPr>
                          <a:xfrm>
                            <a:off x="0" y="0"/>
                            <a:ext cx="590870" cy="389241"/>
                          </a:xfrm>
                          <a:prstGeom prst="rect">
                            <a:avLst/>
                          </a:prstGeom>
                        </pic:spPr>
                      </pic:pic>
                    </a:graphicData>
                  </a:graphic>
                </wp:inline>
              </w:drawing>
            </w:r>
          </w:p>
        </w:tc>
        <w:tc>
          <w:tcPr>
            <w:tcW w:w="726" w:type="pct"/>
            <w:tcBorders>
              <w:top w:val="nil"/>
              <w:left w:val="nil"/>
              <w:bottom w:val="nil"/>
              <w:right w:val="nil"/>
            </w:tcBorders>
            <w:vAlign w:val="center"/>
          </w:tcPr>
          <w:p w14:paraId="5E30B70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C</w:t>
            </w:r>
            <w:r>
              <w:rPr>
                <w:rFonts w:ascii="Times New Roman" w:hAnsi="Times New Roman" w:eastAsia="宋体" w:cs="Times New Roman"/>
                <w:color w:val="000000"/>
                <w:kern w:val="0"/>
                <w:szCs w:val="21"/>
                <w:vertAlign w:val="subscript"/>
              </w:rPr>
              <w:t>4</w:t>
            </w:r>
            <w:r>
              <w:rPr>
                <w:rFonts w:ascii="Times New Roman" w:hAnsi="Times New Roman" w:eastAsia="宋体" w:cs="Times New Roman"/>
                <w:color w:val="000000"/>
                <w:kern w:val="0"/>
                <w:szCs w:val="21"/>
              </w:rPr>
              <w:t>H</w:t>
            </w:r>
            <w:r>
              <w:rPr>
                <w:rFonts w:ascii="Times New Roman" w:hAnsi="Times New Roman" w:eastAsia="宋体" w:cs="Times New Roman"/>
                <w:color w:val="000000"/>
                <w:kern w:val="0"/>
                <w:szCs w:val="21"/>
                <w:vertAlign w:val="subscript"/>
              </w:rPr>
              <w:t>6</w:t>
            </w:r>
            <w:r>
              <w:rPr>
                <w:rFonts w:ascii="Times New Roman" w:hAnsi="Times New Roman" w:eastAsia="宋体" w:cs="Times New Roman"/>
                <w:color w:val="000000"/>
                <w:kern w:val="0"/>
                <w:szCs w:val="21"/>
              </w:rPr>
              <w:t>N</w:t>
            </w:r>
            <w:r>
              <w:rPr>
                <w:rFonts w:ascii="Times New Roman" w:hAnsi="Times New Roman" w:eastAsia="宋体" w:cs="Times New Roman"/>
                <w:color w:val="000000"/>
                <w:kern w:val="0"/>
                <w:szCs w:val="21"/>
                <w:vertAlign w:val="subscript"/>
              </w:rPr>
              <w:t>3</w:t>
            </w:r>
          </w:p>
        </w:tc>
        <w:tc>
          <w:tcPr>
            <w:tcW w:w="436" w:type="pct"/>
            <w:tcBorders>
              <w:top w:val="nil"/>
              <w:left w:val="nil"/>
              <w:bottom w:val="nil"/>
              <w:right w:val="nil"/>
            </w:tcBorders>
            <w:vAlign w:val="center"/>
          </w:tcPr>
          <w:p w14:paraId="60D7771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60</w:t>
            </w:r>
          </w:p>
        </w:tc>
        <w:tc>
          <w:tcPr>
            <w:tcW w:w="644" w:type="pct"/>
            <w:tcBorders>
              <w:top w:val="nil"/>
              <w:left w:val="nil"/>
              <w:bottom w:val="nil"/>
              <w:right w:val="nil"/>
            </w:tcBorders>
            <w:vAlign w:val="center"/>
          </w:tcPr>
          <w:p w14:paraId="6A72A8D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96.0559</w:t>
            </w:r>
          </w:p>
        </w:tc>
        <w:tc>
          <w:tcPr>
            <w:tcW w:w="659" w:type="pct"/>
            <w:tcBorders>
              <w:top w:val="nil"/>
              <w:left w:val="nil"/>
              <w:bottom w:val="nil"/>
              <w:right w:val="nil"/>
            </w:tcBorders>
            <w:vAlign w:val="center"/>
          </w:tcPr>
          <w:p w14:paraId="0288003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96.0556</w:t>
            </w:r>
          </w:p>
        </w:tc>
        <w:tc>
          <w:tcPr>
            <w:tcW w:w="481" w:type="pct"/>
            <w:gridSpan w:val="2"/>
            <w:tcBorders>
              <w:top w:val="nil"/>
              <w:left w:val="nil"/>
              <w:bottom w:val="nil"/>
              <w:right w:val="nil"/>
            </w:tcBorders>
            <w:vAlign w:val="center"/>
          </w:tcPr>
          <w:p w14:paraId="6A2BF0A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3.084</w:t>
            </w:r>
          </w:p>
        </w:tc>
      </w:tr>
      <w:tr w14:paraId="2D5BE071">
        <w:tblPrEx>
          <w:tblCellMar>
            <w:top w:w="0" w:type="dxa"/>
            <w:left w:w="108" w:type="dxa"/>
            <w:bottom w:w="0" w:type="dxa"/>
            <w:right w:w="108" w:type="dxa"/>
          </w:tblCellMar>
        </w:tblPrEx>
        <w:trPr>
          <w:gridAfter w:val="1"/>
          <w:wAfter w:w="138" w:type="pct"/>
          <w:trHeight w:val="621" w:hRule="atLeast"/>
        </w:trPr>
        <w:tc>
          <w:tcPr>
            <w:tcW w:w="701" w:type="pct"/>
            <w:tcBorders>
              <w:top w:val="nil"/>
              <w:left w:val="nil"/>
              <w:bottom w:val="nil"/>
              <w:right w:val="nil"/>
            </w:tcBorders>
            <w:vAlign w:val="center"/>
          </w:tcPr>
          <w:p w14:paraId="27AE088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P174</w:t>
            </w:r>
          </w:p>
        </w:tc>
        <w:tc>
          <w:tcPr>
            <w:tcW w:w="1215" w:type="pct"/>
            <w:tcBorders>
              <w:top w:val="nil"/>
              <w:left w:val="nil"/>
              <w:bottom w:val="nil"/>
              <w:right w:val="nil"/>
            </w:tcBorders>
            <w:vAlign w:val="center"/>
          </w:tcPr>
          <w:p w14:paraId="4137537E">
            <w:pPr>
              <w:widowControl/>
              <w:jc w:val="center"/>
              <w:rPr>
                <w:rFonts w:ascii="Times New Roman" w:hAnsi="Times New Roman" w:eastAsia="宋体" w:cs="Times New Roman"/>
                <w:color w:val="000000"/>
                <w:kern w:val="0"/>
                <w:szCs w:val="21"/>
              </w:rPr>
            </w:pPr>
            <w:r>
              <w:rPr>
                <w:rFonts w:ascii="Times New Roman" w:hAnsi="Times New Roman" w:cs="Times New Roman"/>
              </w:rPr>
              <w:drawing>
                <wp:inline distT="0" distB="0" distL="0" distR="0">
                  <wp:extent cx="953770" cy="579120"/>
                  <wp:effectExtent l="0" t="0" r="0" b="0"/>
                  <wp:docPr id="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32"/>
                          <a:stretch>
                            <a:fillRect/>
                          </a:stretch>
                        </pic:blipFill>
                        <pic:spPr>
                          <a:xfrm>
                            <a:off x="0" y="0"/>
                            <a:ext cx="956260" cy="580458"/>
                          </a:xfrm>
                          <a:prstGeom prst="rect">
                            <a:avLst/>
                          </a:prstGeom>
                        </pic:spPr>
                      </pic:pic>
                    </a:graphicData>
                  </a:graphic>
                </wp:inline>
              </w:drawing>
            </w:r>
          </w:p>
        </w:tc>
        <w:tc>
          <w:tcPr>
            <w:tcW w:w="726" w:type="pct"/>
            <w:tcBorders>
              <w:top w:val="nil"/>
              <w:left w:val="nil"/>
              <w:bottom w:val="nil"/>
              <w:right w:val="nil"/>
            </w:tcBorders>
            <w:vAlign w:val="center"/>
          </w:tcPr>
          <w:p w14:paraId="009C0FD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C</w:t>
            </w:r>
            <w:r>
              <w:rPr>
                <w:rFonts w:ascii="Times New Roman" w:hAnsi="Times New Roman" w:eastAsia="宋体" w:cs="Times New Roman"/>
                <w:color w:val="000000"/>
                <w:kern w:val="0"/>
                <w:szCs w:val="21"/>
                <w:vertAlign w:val="subscript"/>
              </w:rPr>
              <w:t>6</w:t>
            </w:r>
            <w:r>
              <w:rPr>
                <w:rFonts w:ascii="Times New Roman" w:hAnsi="Times New Roman" w:eastAsia="宋体" w:cs="Times New Roman"/>
                <w:color w:val="000000"/>
                <w:kern w:val="0"/>
                <w:szCs w:val="21"/>
              </w:rPr>
              <w:t>H</w:t>
            </w:r>
            <w:r>
              <w:rPr>
                <w:rFonts w:ascii="Times New Roman" w:hAnsi="Times New Roman" w:eastAsia="宋体" w:cs="Times New Roman"/>
                <w:color w:val="000000"/>
                <w:kern w:val="0"/>
                <w:szCs w:val="21"/>
                <w:vertAlign w:val="subscript"/>
              </w:rPr>
              <w:t>8</w:t>
            </w:r>
            <w:r>
              <w:rPr>
                <w:rFonts w:ascii="Times New Roman" w:hAnsi="Times New Roman" w:eastAsia="宋体" w:cs="Times New Roman"/>
                <w:color w:val="000000"/>
                <w:kern w:val="0"/>
                <w:szCs w:val="21"/>
              </w:rPr>
              <w:t>NO</w:t>
            </w:r>
            <w:r>
              <w:rPr>
                <w:rFonts w:ascii="Times New Roman" w:hAnsi="Times New Roman" w:eastAsia="宋体" w:cs="Times New Roman"/>
                <w:color w:val="000000"/>
                <w:kern w:val="0"/>
                <w:szCs w:val="21"/>
                <w:vertAlign w:val="subscript"/>
              </w:rPr>
              <w:t>3</w:t>
            </w:r>
            <w:r>
              <w:rPr>
                <w:rFonts w:ascii="Times New Roman" w:hAnsi="Times New Roman" w:eastAsia="宋体" w:cs="Times New Roman"/>
                <w:color w:val="000000"/>
                <w:kern w:val="0"/>
                <w:szCs w:val="21"/>
              </w:rPr>
              <w:t>S</w:t>
            </w:r>
          </w:p>
        </w:tc>
        <w:tc>
          <w:tcPr>
            <w:tcW w:w="436" w:type="pct"/>
            <w:tcBorders>
              <w:top w:val="nil"/>
              <w:left w:val="nil"/>
              <w:bottom w:val="nil"/>
              <w:right w:val="nil"/>
            </w:tcBorders>
            <w:vAlign w:val="center"/>
          </w:tcPr>
          <w:p w14:paraId="360F69C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240.6</w:t>
            </w:r>
          </w:p>
        </w:tc>
        <w:tc>
          <w:tcPr>
            <w:tcW w:w="644" w:type="pct"/>
            <w:tcBorders>
              <w:top w:val="nil"/>
              <w:left w:val="nil"/>
              <w:bottom w:val="nil"/>
              <w:right w:val="nil"/>
            </w:tcBorders>
            <w:vAlign w:val="center"/>
          </w:tcPr>
          <w:p w14:paraId="2AFF1C7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xml:space="preserve">174.1850 </w:t>
            </w:r>
          </w:p>
        </w:tc>
        <w:tc>
          <w:tcPr>
            <w:tcW w:w="659" w:type="pct"/>
            <w:tcBorders>
              <w:top w:val="nil"/>
              <w:left w:val="nil"/>
              <w:bottom w:val="nil"/>
              <w:right w:val="nil"/>
            </w:tcBorders>
            <w:vAlign w:val="center"/>
          </w:tcPr>
          <w:p w14:paraId="0D110C0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174.0219</w:t>
            </w:r>
          </w:p>
        </w:tc>
        <w:tc>
          <w:tcPr>
            <w:tcW w:w="481" w:type="pct"/>
            <w:gridSpan w:val="2"/>
            <w:tcBorders>
              <w:top w:val="nil"/>
              <w:left w:val="nil"/>
              <w:bottom w:val="nil"/>
              <w:right w:val="nil"/>
            </w:tcBorders>
            <w:vAlign w:val="center"/>
          </w:tcPr>
          <w:p w14:paraId="0B89B03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-1.5</w:t>
            </w:r>
          </w:p>
        </w:tc>
      </w:tr>
      <w:tr w14:paraId="1CA44939">
        <w:tblPrEx>
          <w:tblCellMar>
            <w:top w:w="0" w:type="dxa"/>
            <w:left w:w="108" w:type="dxa"/>
            <w:bottom w:w="0" w:type="dxa"/>
            <w:right w:w="108" w:type="dxa"/>
          </w:tblCellMar>
        </w:tblPrEx>
        <w:trPr>
          <w:gridAfter w:val="1"/>
          <w:wAfter w:w="138" w:type="pct"/>
          <w:trHeight w:val="312" w:hRule="atLeast"/>
        </w:trPr>
        <w:tc>
          <w:tcPr>
            <w:tcW w:w="701" w:type="pct"/>
            <w:vMerge w:val="restart"/>
            <w:tcBorders>
              <w:top w:val="nil"/>
              <w:left w:val="nil"/>
              <w:bottom w:val="nil"/>
              <w:right w:val="nil"/>
            </w:tcBorders>
            <w:vAlign w:val="center"/>
          </w:tcPr>
          <w:p w14:paraId="6610E6D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P187</w:t>
            </w:r>
          </w:p>
        </w:tc>
        <w:tc>
          <w:tcPr>
            <w:tcW w:w="1215" w:type="pct"/>
            <w:vMerge w:val="restart"/>
            <w:tcBorders>
              <w:top w:val="nil"/>
              <w:left w:val="nil"/>
              <w:bottom w:val="nil"/>
              <w:right w:val="nil"/>
            </w:tcBorders>
            <w:vAlign w:val="center"/>
          </w:tcPr>
          <w:p w14:paraId="260F9CD3">
            <w:pPr>
              <w:widowControl/>
              <w:jc w:val="center"/>
              <w:rPr>
                <w:rFonts w:ascii="Times New Roman" w:hAnsi="Times New Roman" w:eastAsia="宋体" w:cs="Times New Roman"/>
                <w:color w:val="000000"/>
                <w:kern w:val="0"/>
                <w:szCs w:val="21"/>
              </w:rPr>
            </w:pPr>
            <w:r>
              <w:rPr>
                <w:rFonts w:ascii="Times New Roman" w:hAnsi="Times New Roman" w:cs="Times New Roman"/>
              </w:rPr>
              <w:drawing>
                <wp:inline distT="0" distB="0" distL="0" distR="0">
                  <wp:extent cx="1177925" cy="543560"/>
                  <wp:effectExtent l="0" t="0" r="3175" b="8890"/>
                  <wp:docPr id="6655641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564147" name="图片 1"/>
                          <pic:cNvPicPr>
                            <a:picLocks noChangeAspect="1"/>
                          </pic:cNvPicPr>
                        </pic:nvPicPr>
                        <pic:blipFill>
                          <a:blip r:embed="rId33"/>
                          <a:stretch>
                            <a:fillRect/>
                          </a:stretch>
                        </pic:blipFill>
                        <pic:spPr>
                          <a:xfrm>
                            <a:off x="0" y="0"/>
                            <a:ext cx="1177925" cy="543560"/>
                          </a:xfrm>
                          <a:prstGeom prst="rect">
                            <a:avLst/>
                          </a:prstGeom>
                        </pic:spPr>
                      </pic:pic>
                    </a:graphicData>
                  </a:graphic>
                </wp:inline>
              </w:drawing>
            </w:r>
          </w:p>
        </w:tc>
        <w:tc>
          <w:tcPr>
            <w:tcW w:w="726" w:type="pct"/>
            <w:vMerge w:val="restart"/>
            <w:tcBorders>
              <w:top w:val="nil"/>
              <w:left w:val="nil"/>
              <w:bottom w:val="nil"/>
              <w:right w:val="nil"/>
            </w:tcBorders>
            <w:vAlign w:val="center"/>
          </w:tcPr>
          <w:p w14:paraId="606EEC0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C</w:t>
            </w:r>
            <w:r>
              <w:rPr>
                <w:rFonts w:ascii="Times New Roman" w:hAnsi="Times New Roman" w:eastAsia="宋体" w:cs="Times New Roman"/>
                <w:color w:val="000000"/>
                <w:kern w:val="0"/>
                <w:szCs w:val="21"/>
                <w:vertAlign w:val="subscript"/>
              </w:rPr>
              <w:t>10</w:t>
            </w:r>
            <w:r>
              <w:rPr>
                <w:rFonts w:ascii="Times New Roman" w:hAnsi="Times New Roman" w:eastAsia="宋体" w:cs="Times New Roman"/>
                <w:color w:val="000000"/>
                <w:kern w:val="0"/>
                <w:szCs w:val="21"/>
              </w:rPr>
              <w:t>H</w:t>
            </w:r>
            <w:r>
              <w:rPr>
                <w:rFonts w:ascii="Times New Roman" w:hAnsi="Times New Roman" w:eastAsia="宋体" w:cs="Times New Roman"/>
                <w:color w:val="000000"/>
                <w:kern w:val="0"/>
                <w:szCs w:val="21"/>
                <w:vertAlign w:val="subscript"/>
              </w:rPr>
              <w:t>11</w:t>
            </w:r>
            <w:r>
              <w:rPr>
                <w:rFonts w:ascii="Times New Roman" w:hAnsi="Times New Roman" w:eastAsia="宋体" w:cs="Times New Roman"/>
                <w:color w:val="000000"/>
                <w:kern w:val="0"/>
                <w:szCs w:val="21"/>
              </w:rPr>
              <w:t>N</w:t>
            </w:r>
            <w:r>
              <w:rPr>
                <w:rFonts w:ascii="Times New Roman" w:hAnsi="Times New Roman" w:eastAsia="宋体" w:cs="Times New Roman"/>
                <w:color w:val="000000"/>
                <w:kern w:val="0"/>
                <w:szCs w:val="21"/>
                <w:vertAlign w:val="subscript"/>
              </w:rPr>
              <w:t>4</w:t>
            </w:r>
          </w:p>
        </w:tc>
        <w:tc>
          <w:tcPr>
            <w:tcW w:w="436" w:type="pct"/>
            <w:vMerge w:val="restart"/>
            <w:tcBorders>
              <w:top w:val="nil"/>
              <w:left w:val="nil"/>
              <w:bottom w:val="nil"/>
              <w:right w:val="nil"/>
            </w:tcBorders>
            <w:vAlign w:val="center"/>
          </w:tcPr>
          <w:p w14:paraId="5FD4DDF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60</w:t>
            </w:r>
          </w:p>
        </w:tc>
        <w:tc>
          <w:tcPr>
            <w:tcW w:w="644" w:type="pct"/>
            <w:vMerge w:val="restart"/>
            <w:tcBorders>
              <w:top w:val="nil"/>
              <w:left w:val="nil"/>
              <w:bottom w:val="nil"/>
              <w:right w:val="nil"/>
            </w:tcBorders>
            <w:vAlign w:val="center"/>
          </w:tcPr>
          <w:p w14:paraId="14CE1C4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187.0974</w:t>
            </w:r>
          </w:p>
        </w:tc>
        <w:tc>
          <w:tcPr>
            <w:tcW w:w="659" w:type="pct"/>
            <w:vMerge w:val="restart"/>
            <w:tcBorders>
              <w:top w:val="nil"/>
              <w:left w:val="nil"/>
              <w:bottom w:val="nil"/>
              <w:right w:val="nil"/>
            </w:tcBorders>
            <w:vAlign w:val="center"/>
          </w:tcPr>
          <w:p w14:paraId="3991C92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187.0978</w:t>
            </w:r>
          </w:p>
        </w:tc>
        <w:tc>
          <w:tcPr>
            <w:tcW w:w="481" w:type="pct"/>
            <w:gridSpan w:val="2"/>
            <w:vMerge w:val="restart"/>
            <w:tcBorders>
              <w:top w:val="nil"/>
              <w:left w:val="nil"/>
              <w:bottom w:val="nil"/>
              <w:right w:val="nil"/>
            </w:tcBorders>
            <w:vAlign w:val="center"/>
          </w:tcPr>
          <w:p w14:paraId="0D28C63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w:t>
            </w:r>
          </w:p>
        </w:tc>
      </w:tr>
      <w:tr w14:paraId="290ABF49">
        <w:tblPrEx>
          <w:tblCellMar>
            <w:top w:w="0" w:type="dxa"/>
            <w:left w:w="108" w:type="dxa"/>
            <w:bottom w:w="0" w:type="dxa"/>
            <w:right w:w="108" w:type="dxa"/>
          </w:tblCellMar>
        </w:tblPrEx>
        <w:trPr>
          <w:trHeight w:val="288" w:hRule="atLeast"/>
        </w:trPr>
        <w:tc>
          <w:tcPr>
            <w:tcW w:w="701" w:type="pct"/>
            <w:vMerge w:val="continue"/>
            <w:tcBorders>
              <w:top w:val="nil"/>
              <w:left w:val="nil"/>
              <w:bottom w:val="nil"/>
              <w:right w:val="nil"/>
            </w:tcBorders>
            <w:vAlign w:val="center"/>
          </w:tcPr>
          <w:p w14:paraId="15D23485">
            <w:pPr>
              <w:widowControl/>
              <w:jc w:val="left"/>
              <w:rPr>
                <w:rFonts w:ascii="Times New Roman" w:hAnsi="Times New Roman" w:eastAsia="宋体" w:cs="Times New Roman"/>
                <w:color w:val="000000"/>
                <w:kern w:val="0"/>
                <w:szCs w:val="21"/>
              </w:rPr>
            </w:pPr>
          </w:p>
        </w:tc>
        <w:tc>
          <w:tcPr>
            <w:tcW w:w="1215" w:type="pct"/>
            <w:vMerge w:val="continue"/>
            <w:tcBorders>
              <w:top w:val="nil"/>
              <w:left w:val="nil"/>
              <w:bottom w:val="nil"/>
              <w:right w:val="nil"/>
            </w:tcBorders>
            <w:vAlign w:val="center"/>
          </w:tcPr>
          <w:p w14:paraId="24DC7C2F">
            <w:pPr>
              <w:widowControl/>
              <w:jc w:val="left"/>
              <w:rPr>
                <w:rFonts w:ascii="Times New Roman" w:hAnsi="Times New Roman" w:eastAsia="宋体" w:cs="Times New Roman"/>
                <w:color w:val="000000"/>
                <w:kern w:val="0"/>
                <w:szCs w:val="21"/>
              </w:rPr>
            </w:pPr>
          </w:p>
        </w:tc>
        <w:tc>
          <w:tcPr>
            <w:tcW w:w="726" w:type="pct"/>
            <w:vMerge w:val="continue"/>
            <w:tcBorders>
              <w:top w:val="nil"/>
              <w:left w:val="nil"/>
              <w:bottom w:val="nil"/>
              <w:right w:val="nil"/>
            </w:tcBorders>
            <w:vAlign w:val="center"/>
          </w:tcPr>
          <w:p w14:paraId="23CB6AA2">
            <w:pPr>
              <w:widowControl/>
              <w:jc w:val="left"/>
              <w:rPr>
                <w:rFonts w:ascii="Times New Roman" w:hAnsi="Times New Roman" w:eastAsia="宋体" w:cs="Times New Roman"/>
                <w:color w:val="000000"/>
                <w:kern w:val="0"/>
                <w:szCs w:val="21"/>
              </w:rPr>
            </w:pPr>
          </w:p>
        </w:tc>
        <w:tc>
          <w:tcPr>
            <w:tcW w:w="436" w:type="pct"/>
            <w:vMerge w:val="continue"/>
            <w:tcBorders>
              <w:top w:val="nil"/>
              <w:left w:val="nil"/>
              <w:bottom w:val="nil"/>
              <w:right w:val="nil"/>
            </w:tcBorders>
            <w:vAlign w:val="center"/>
          </w:tcPr>
          <w:p w14:paraId="496EA710">
            <w:pPr>
              <w:widowControl/>
              <w:jc w:val="left"/>
              <w:rPr>
                <w:rFonts w:ascii="Times New Roman" w:hAnsi="Times New Roman" w:eastAsia="宋体" w:cs="Times New Roman"/>
                <w:color w:val="000000"/>
                <w:kern w:val="0"/>
                <w:szCs w:val="21"/>
              </w:rPr>
            </w:pPr>
          </w:p>
        </w:tc>
        <w:tc>
          <w:tcPr>
            <w:tcW w:w="644" w:type="pct"/>
            <w:vMerge w:val="continue"/>
            <w:tcBorders>
              <w:top w:val="nil"/>
              <w:left w:val="nil"/>
              <w:bottom w:val="nil"/>
              <w:right w:val="nil"/>
            </w:tcBorders>
            <w:vAlign w:val="center"/>
          </w:tcPr>
          <w:p w14:paraId="684C9146">
            <w:pPr>
              <w:widowControl/>
              <w:jc w:val="left"/>
              <w:rPr>
                <w:rFonts w:ascii="Times New Roman" w:hAnsi="Times New Roman" w:eastAsia="宋体" w:cs="Times New Roman"/>
                <w:color w:val="000000"/>
                <w:kern w:val="0"/>
                <w:szCs w:val="21"/>
              </w:rPr>
            </w:pPr>
          </w:p>
        </w:tc>
        <w:tc>
          <w:tcPr>
            <w:tcW w:w="659" w:type="pct"/>
            <w:vMerge w:val="continue"/>
            <w:tcBorders>
              <w:top w:val="nil"/>
              <w:left w:val="nil"/>
              <w:bottom w:val="nil"/>
              <w:right w:val="nil"/>
            </w:tcBorders>
            <w:vAlign w:val="center"/>
          </w:tcPr>
          <w:p w14:paraId="45C4D3F3">
            <w:pPr>
              <w:widowControl/>
              <w:jc w:val="left"/>
              <w:rPr>
                <w:rFonts w:ascii="Times New Roman" w:hAnsi="Times New Roman" w:eastAsia="宋体" w:cs="Times New Roman"/>
                <w:color w:val="000000"/>
                <w:kern w:val="0"/>
                <w:szCs w:val="21"/>
              </w:rPr>
            </w:pPr>
          </w:p>
        </w:tc>
        <w:tc>
          <w:tcPr>
            <w:tcW w:w="481" w:type="pct"/>
            <w:gridSpan w:val="2"/>
            <w:vMerge w:val="continue"/>
            <w:tcBorders>
              <w:top w:val="nil"/>
              <w:left w:val="nil"/>
              <w:bottom w:val="nil"/>
              <w:right w:val="nil"/>
            </w:tcBorders>
            <w:vAlign w:val="center"/>
          </w:tcPr>
          <w:p w14:paraId="483049B3">
            <w:pPr>
              <w:widowControl/>
              <w:jc w:val="left"/>
              <w:rPr>
                <w:rFonts w:ascii="Times New Roman" w:hAnsi="Times New Roman" w:eastAsia="宋体" w:cs="Times New Roman"/>
                <w:color w:val="000000"/>
                <w:kern w:val="0"/>
                <w:szCs w:val="21"/>
              </w:rPr>
            </w:pPr>
          </w:p>
        </w:tc>
        <w:tc>
          <w:tcPr>
            <w:tcW w:w="138" w:type="pct"/>
            <w:tcBorders>
              <w:top w:val="nil"/>
              <w:left w:val="nil"/>
              <w:bottom w:val="nil"/>
              <w:right w:val="nil"/>
            </w:tcBorders>
            <w:noWrap/>
            <w:vAlign w:val="center"/>
          </w:tcPr>
          <w:p w14:paraId="2814EA4B">
            <w:pPr>
              <w:widowControl/>
              <w:jc w:val="center"/>
              <w:rPr>
                <w:rFonts w:ascii="Times New Roman" w:hAnsi="Times New Roman" w:eastAsia="宋体" w:cs="Times New Roman"/>
                <w:color w:val="000000"/>
                <w:kern w:val="0"/>
                <w:szCs w:val="21"/>
              </w:rPr>
            </w:pPr>
          </w:p>
        </w:tc>
      </w:tr>
      <w:tr w14:paraId="0D1AB989">
        <w:tblPrEx>
          <w:tblCellMar>
            <w:top w:w="0" w:type="dxa"/>
            <w:left w:w="108" w:type="dxa"/>
            <w:bottom w:w="0" w:type="dxa"/>
            <w:right w:w="108" w:type="dxa"/>
          </w:tblCellMar>
        </w:tblPrEx>
        <w:trPr>
          <w:trHeight w:val="288" w:hRule="atLeast"/>
        </w:trPr>
        <w:tc>
          <w:tcPr>
            <w:tcW w:w="701" w:type="pct"/>
            <w:vMerge w:val="restart"/>
            <w:tcBorders>
              <w:top w:val="nil"/>
              <w:left w:val="nil"/>
              <w:bottom w:val="nil"/>
              <w:right w:val="nil"/>
            </w:tcBorders>
            <w:vAlign w:val="center"/>
          </w:tcPr>
          <w:p w14:paraId="7E1FB66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P217</w:t>
            </w:r>
          </w:p>
        </w:tc>
        <w:tc>
          <w:tcPr>
            <w:tcW w:w="1215" w:type="pct"/>
            <w:vMerge w:val="restart"/>
            <w:tcBorders>
              <w:top w:val="nil"/>
              <w:left w:val="nil"/>
              <w:bottom w:val="nil"/>
              <w:right w:val="nil"/>
            </w:tcBorders>
            <w:vAlign w:val="center"/>
          </w:tcPr>
          <w:p w14:paraId="18EB9B7A">
            <w:pPr>
              <w:widowControl/>
              <w:jc w:val="center"/>
              <w:rPr>
                <w:rFonts w:ascii="Times New Roman" w:hAnsi="Times New Roman" w:eastAsia="宋体" w:cs="Times New Roman"/>
                <w:color w:val="000000"/>
                <w:kern w:val="0"/>
                <w:szCs w:val="21"/>
              </w:rPr>
            </w:pPr>
            <w:r>
              <w:rPr>
                <w:rFonts w:ascii="Times New Roman" w:hAnsi="Times New Roman" w:cs="Times New Roman"/>
              </w:rPr>
              <w:drawing>
                <wp:inline distT="0" distB="0" distL="0" distR="0">
                  <wp:extent cx="1177925" cy="541020"/>
                  <wp:effectExtent l="0" t="0" r="3175" b="0"/>
                  <wp:docPr id="11026796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679648" name="图片 1"/>
                          <pic:cNvPicPr>
                            <a:picLocks noChangeAspect="1"/>
                          </pic:cNvPicPr>
                        </pic:nvPicPr>
                        <pic:blipFill>
                          <a:blip r:embed="rId34"/>
                          <a:stretch>
                            <a:fillRect/>
                          </a:stretch>
                        </pic:blipFill>
                        <pic:spPr>
                          <a:xfrm>
                            <a:off x="0" y="0"/>
                            <a:ext cx="1177925" cy="541020"/>
                          </a:xfrm>
                          <a:prstGeom prst="rect">
                            <a:avLst/>
                          </a:prstGeom>
                        </pic:spPr>
                      </pic:pic>
                    </a:graphicData>
                  </a:graphic>
                </wp:inline>
              </w:drawing>
            </w:r>
          </w:p>
        </w:tc>
        <w:tc>
          <w:tcPr>
            <w:tcW w:w="726" w:type="pct"/>
            <w:vMerge w:val="restart"/>
            <w:tcBorders>
              <w:top w:val="nil"/>
              <w:left w:val="nil"/>
              <w:bottom w:val="nil"/>
              <w:right w:val="nil"/>
            </w:tcBorders>
            <w:vAlign w:val="center"/>
          </w:tcPr>
          <w:p w14:paraId="02C6C24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C</w:t>
            </w:r>
            <w:r>
              <w:rPr>
                <w:rFonts w:ascii="Times New Roman" w:hAnsi="Times New Roman" w:eastAsia="宋体" w:cs="Times New Roman"/>
                <w:color w:val="000000"/>
                <w:kern w:val="0"/>
                <w:szCs w:val="21"/>
                <w:vertAlign w:val="subscript"/>
              </w:rPr>
              <w:t>10</w:t>
            </w:r>
            <w:r>
              <w:rPr>
                <w:rFonts w:ascii="Times New Roman" w:hAnsi="Times New Roman" w:eastAsia="宋体" w:cs="Times New Roman"/>
                <w:color w:val="000000"/>
                <w:kern w:val="0"/>
                <w:szCs w:val="21"/>
              </w:rPr>
              <w:t>H</w:t>
            </w:r>
            <w:r>
              <w:rPr>
                <w:rFonts w:ascii="Times New Roman" w:hAnsi="Times New Roman" w:eastAsia="宋体" w:cs="Times New Roman"/>
                <w:color w:val="000000"/>
                <w:kern w:val="0"/>
                <w:szCs w:val="21"/>
                <w:vertAlign w:val="subscript"/>
              </w:rPr>
              <w:t>9</w:t>
            </w:r>
            <w:r>
              <w:rPr>
                <w:rFonts w:ascii="Times New Roman" w:hAnsi="Times New Roman" w:eastAsia="宋体" w:cs="Times New Roman"/>
                <w:color w:val="000000"/>
                <w:kern w:val="0"/>
                <w:szCs w:val="21"/>
              </w:rPr>
              <w:t>N</w:t>
            </w:r>
            <w:r>
              <w:rPr>
                <w:rFonts w:ascii="Times New Roman" w:hAnsi="Times New Roman" w:eastAsia="宋体" w:cs="Times New Roman"/>
                <w:color w:val="000000"/>
                <w:kern w:val="0"/>
                <w:szCs w:val="21"/>
                <w:vertAlign w:val="subscript"/>
              </w:rPr>
              <w:t>4</w:t>
            </w:r>
            <w:r>
              <w:rPr>
                <w:rFonts w:ascii="Times New Roman" w:hAnsi="Times New Roman" w:eastAsia="宋体" w:cs="Times New Roman"/>
                <w:color w:val="000000"/>
                <w:kern w:val="0"/>
                <w:szCs w:val="21"/>
              </w:rPr>
              <w:t>O</w:t>
            </w:r>
            <w:r>
              <w:rPr>
                <w:rFonts w:ascii="Times New Roman" w:hAnsi="Times New Roman" w:eastAsia="宋体" w:cs="Times New Roman"/>
                <w:color w:val="000000"/>
                <w:kern w:val="0"/>
                <w:szCs w:val="21"/>
                <w:vertAlign w:val="subscript"/>
              </w:rPr>
              <w:t>2</w:t>
            </w:r>
          </w:p>
        </w:tc>
        <w:tc>
          <w:tcPr>
            <w:tcW w:w="436" w:type="pct"/>
            <w:vMerge w:val="restart"/>
            <w:tcBorders>
              <w:top w:val="nil"/>
              <w:left w:val="nil"/>
              <w:bottom w:val="nil"/>
              <w:right w:val="nil"/>
            </w:tcBorders>
            <w:vAlign w:val="center"/>
          </w:tcPr>
          <w:p w14:paraId="24FAEE1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45.6</w:t>
            </w:r>
          </w:p>
        </w:tc>
        <w:tc>
          <w:tcPr>
            <w:tcW w:w="644" w:type="pct"/>
            <w:vMerge w:val="restart"/>
            <w:tcBorders>
              <w:top w:val="nil"/>
              <w:left w:val="nil"/>
              <w:bottom w:val="nil"/>
              <w:right w:val="nil"/>
            </w:tcBorders>
            <w:vAlign w:val="center"/>
          </w:tcPr>
          <w:p w14:paraId="43C263A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217.0718</w:t>
            </w:r>
          </w:p>
        </w:tc>
        <w:tc>
          <w:tcPr>
            <w:tcW w:w="659" w:type="pct"/>
            <w:vMerge w:val="restart"/>
            <w:tcBorders>
              <w:top w:val="nil"/>
              <w:left w:val="nil"/>
              <w:bottom w:val="nil"/>
              <w:right w:val="nil"/>
            </w:tcBorders>
            <w:vAlign w:val="center"/>
          </w:tcPr>
          <w:p w14:paraId="0191265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xml:space="preserve">217.0720 </w:t>
            </w:r>
          </w:p>
        </w:tc>
        <w:tc>
          <w:tcPr>
            <w:tcW w:w="481" w:type="pct"/>
            <w:gridSpan w:val="2"/>
            <w:vMerge w:val="restart"/>
            <w:tcBorders>
              <w:top w:val="nil"/>
              <w:left w:val="nil"/>
              <w:bottom w:val="nil"/>
              <w:right w:val="nil"/>
            </w:tcBorders>
            <w:vAlign w:val="center"/>
          </w:tcPr>
          <w:p w14:paraId="5D18BC6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0.93</w:t>
            </w:r>
          </w:p>
        </w:tc>
        <w:tc>
          <w:tcPr>
            <w:tcW w:w="138" w:type="pct"/>
            <w:vAlign w:val="center"/>
          </w:tcPr>
          <w:p w14:paraId="6FAC14C8">
            <w:pPr>
              <w:widowControl/>
              <w:jc w:val="left"/>
              <w:rPr>
                <w:rFonts w:ascii="Times New Roman" w:hAnsi="Times New Roman" w:eastAsia="Times New Roman" w:cs="Times New Roman"/>
                <w:kern w:val="0"/>
                <w:sz w:val="20"/>
                <w:szCs w:val="20"/>
              </w:rPr>
            </w:pPr>
          </w:p>
        </w:tc>
      </w:tr>
      <w:tr w14:paraId="7600CEB5">
        <w:tblPrEx>
          <w:tblCellMar>
            <w:top w:w="0" w:type="dxa"/>
            <w:left w:w="108" w:type="dxa"/>
            <w:bottom w:w="0" w:type="dxa"/>
            <w:right w:w="108" w:type="dxa"/>
          </w:tblCellMar>
        </w:tblPrEx>
        <w:trPr>
          <w:trHeight w:val="561" w:hRule="atLeast"/>
        </w:trPr>
        <w:tc>
          <w:tcPr>
            <w:tcW w:w="701" w:type="pct"/>
            <w:vMerge w:val="continue"/>
            <w:tcBorders>
              <w:top w:val="nil"/>
              <w:left w:val="nil"/>
              <w:bottom w:val="nil"/>
              <w:right w:val="nil"/>
            </w:tcBorders>
            <w:vAlign w:val="center"/>
          </w:tcPr>
          <w:p w14:paraId="2EC775AE">
            <w:pPr>
              <w:widowControl/>
              <w:jc w:val="left"/>
              <w:rPr>
                <w:rFonts w:ascii="Times New Roman" w:hAnsi="Times New Roman" w:eastAsia="宋体" w:cs="Times New Roman"/>
                <w:color w:val="000000"/>
                <w:kern w:val="0"/>
                <w:szCs w:val="21"/>
              </w:rPr>
            </w:pPr>
          </w:p>
        </w:tc>
        <w:tc>
          <w:tcPr>
            <w:tcW w:w="1215" w:type="pct"/>
            <w:vMerge w:val="continue"/>
            <w:tcBorders>
              <w:top w:val="nil"/>
              <w:left w:val="nil"/>
              <w:bottom w:val="nil"/>
              <w:right w:val="nil"/>
            </w:tcBorders>
            <w:vAlign w:val="center"/>
          </w:tcPr>
          <w:p w14:paraId="4C0DD6DC">
            <w:pPr>
              <w:widowControl/>
              <w:jc w:val="left"/>
              <w:rPr>
                <w:rFonts w:ascii="Times New Roman" w:hAnsi="Times New Roman" w:eastAsia="宋体" w:cs="Times New Roman"/>
                <w:color w:val="000000"/>
                <w:kern w:val="0"/>
                <w:szCs w:val="21"/>
              </w:rPr>
            </w:pPr>
          </w:p>
        </w:tc>
        <w:tc>
          <w:tcPr>
            <w:tcW w:w="726" w:type="pct"/>
            <w:vMerge w:val="continue"/>
            <w:tcBorders>
              <w:top w:val="nil"/>
              <w:left w:val="nil"/>
              <w:bottom w:val="nil"/>
              <w:right w:val="nil"/>
            </w:tcBorders>
            <w:vAlign w:val="center"/>
          </w:tcPr>
          <w:p w14:paraId="35E5D517">
            <w:pPr>
              <w:widowControl/>
              <w:jc w:val="left"/>
              <w:rPr>
                <w:rFonts w:ascii="Times New Roman" w:hAnsi="Times New Roman" w:eastAsia="宋体" w:cs="Times New Roman"/>
                <w:color w:val="000000"/>
                <w:kern w:val="0"/>
                <w:szCs w:val="21"/>
              </w:rPr>
            </w:pPr>
          </w:p>
        </w:tc>
        <w:tc>
          <w:tcPr>
            <w:tcW w:w="436" w:type="pct"/>
            <w:vMerge w:val="continue"/>
            <w:tcBorders>
              <w:top w:val="nil"/>
              <w:left w:val="nil"/>
              <w:bottom w:val="nil"/>
              <w:right w:val="nil"/>
            </w:tcBorders>
            <w:vAlign w:val="center"/>
          </w:tcPr>
          <w:p w14:paraId="79F19DD1">
            <w:pPr>
              <w:widowControl/>
              <w:jc w:val="left"/>
              <w:rPr>
                <w:rFonts w:ascii="Times New Roman" w:hAnsi="Times New Roman" w:eastAsia="宋体" w:cs="Times New Roman"/>
                <w:color w:val="000000"/>
                <w:kern w:val="0"/>
                <w:szCs w:val="21"/>
              </w:rPr>
            </w:pPr>
          </w:p>
        </w:tc>
        <w:tc>
          <w:tcPr>
            <w:tcW w:w="644" w:type="pct"/>
            <w:vMerge w:val="continue"/>
            <w:tcBorders>
              <w:top w:val="nil"/>
              <w:left w:val="nil"/>
              <w:bottom w:val="nil"/>
              <w:right w:val="nil"/>
            </w:tcBorders>
            <w:vAlign w:val="center"/>
          </w:tcPr>
          <w:p w14:paraId="2C7914AD">
            <w:pPr>
              <w:widowControl/>
              <w:jc w:val="left"/>
              <w:rPr>
                <w:rFonts w:ascii="Times New Roman" w:hAnsi="Times New Roman" w:eastAsia="宋体" w:cs="Times New Roman"/>
                <w:color w:val="000000"/>
                <w:kern w:val="0"/>
                <w:szCs w:val="21"/>
              </w:rPr>
            </w:pPr>
          </w:p>
        </w:tc>
        <w:tc>
          <w:tcPr>
            <w:tcW w:w="659" w:type="pct"/>
            <w:vMerge w:val="continue"/>
            <w:tcBorders>
              <w:top w:val="nil"/>
              <w:left w:val="nil"/>
              <w:bottom w:val="nil"/>
              <w:right w:val="nil"/>
            </w:tcBorders>
            <w:vAlign w:val="center"/>
          </w:tcPr>
          <w:p w14:paraId="64EF6610">
            <w:pPr>
              <w:widowControl/>
              <w:jc w:val="left"/>
              <w:rPr>
                <w:rFonts w:ascii="Times New Roman" w:hAnsi="Times New Roman" w:eastAsia="宋体" w:cs="Times New Roman"/>
                <w:color w:val="000000"/>
                <w:kern w:val="0"/>
                <w:szCs w:val="21"/>
              </w:rPr>
            </w:pPr>
          </w:p>
        </w:tc>
        <w:tc>
          <w:tcPr>
            <w:tcW w:w="481" w:type="pct"/>
            <w:gridSpan w:val="2"/>
            <w:vMerge w:val="continue"/>
            <w:tcBorders>
              <w:top w:val="nil"/>
              <w:left w:val="nil"/>
              <w:bottom w:val="nil"/>
              <w:right w:val="nil"/>
            </w:tcBorders>
            <w:vAlign w:val="center"/>
          </w:tcPr>
          <w:p w14:paraId="364BE2C6">
            <w:pPr>
              <w:widowControl/>
              <w:jc w:val="left"/>
              <w:rPr>
                <w:rFonts w:ascii="Times New Roman" w:hAnsi="Times New Roman" w:eastAsia="宋体" w:cs="Times New Roman"/>
                <w:color w:val="000000"/>
                <w:kern w:val="0"/>
                <w:szCs w:val="21"/>
              </w:rPr>
            </w:pPr>
          </w:p>
        </w:tc>
        <w:tc>
          <w:tcPr>
            <w:tcW w:w="138" w:type="pct"/>
            <w:tcBorders>
              <w:top w:val="nil"/>
              <w:left w:val="nil"/>
              <w:bottom w:val="nil"/>
              <w:right w:val="nil"/>
            </w:tcBorders>
            <w:noWrap/>
            <w:vAlign w:val="center"/>
          </w:tcPr>
          <w:p w14:paraId="49463079">
            <w:pPr>
              <w:widowControl/>
              <w:jc w:val="center"/>
              <w:rPr>
                <w:rFonts w:ascii="Times New Roman" w:hAnsi="Times New Roman" w:eastAsia="宋体" w:cs="Times New Roman"/>
                <w:color w:val="000000"/>
                <w:kern w:val="0"/>
                <w:szCs w:val="21"/>
              </w:rPr>
            </w:pPr>
          </w:p>
        </w:tc>
      </w:tr>
      <w:tr w14:paraId="4D7CF5AD">
        <w:tblPrEx>
          <w:tblCellMar>
            <w:top w:w="0" w:type="dxa"/>
            <w:left w:w="108" w:type="dxa"/>
            <w:bottom w:w="0" w:type="dxa"/>
            <w:right w:w="108" w:type="dxa"/>
          </w:tblCellMar>
        </w:tblPrEx>
        <w:trPr>
          <w:trHeight w:val="696" w:hRule="atLeast"/>
        </w:trPr>
        <w:tc>
          <w:tcPr>
            <w:tcW w:w="701" w:type="pct"/>
            <w:tcBorders>
              <w:top w:val="nil"/>
              <w:left w:val="nil"/>
              <w:bottom w:val="nil"/>
              <w:right w:val="nil"/>
            </w:tcBorders>
            <w:vAlign w:val="center"/>
          </w:tcPr>
          <w:p w14:paraId="681661A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P267</w:t>
            </w:r>
          </w:p>
        </w:tc>
        <w:tc>
          <w:tcPr>
            <w:tcW w:w="1215" w:type="pct"/>
            <w:tcBorders>
              <w:top w:val="nil"/>
              <w:left w:val="nil"/>
              <w:bottom w:val="nil"/>
              <w:right w:val="nil"/>
            </w:tcBorders>
            <w:vAlign w:val="center"/>
          </w:tcPr>
          <w:p w14:paraId="4794CC13">
            <w:pPr>
              <w:widowControl/>
              <w:jc w:val="center"/>
              <w:rPr>
                <w:rFonts w:ascii="Times New Roman" w:hAnsi="Times New Roman" w:eastAsia="宋体" w:cs="Times New Roman"/>
                <w:color w:val="000000"/>
                <w:kern w:val="0"/>
                <w:szCs w:val="21"/>
              </w:rPr>
            </w:pPr>
            <w:r>
              <w:rPr>
                <w:rFonts w:ascii="Times New Roman" w:hAnsi="Times New Roman" w:cs="Times New Roman"/>
              </w:rPr>
              <w:drawing>
                <wp:inline distT="0" distB="0" distL="0" distR="0">
                  <wp:extent cx="1270635" cy="502920"/>
                  <wp:effectExtent l="0" t="0" r="5715"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35"/>
                          <a:stretch>
                            <a:fillRect/>
                          </a:stretch>
                        </pic:blipFill>
                        <pic:spPr>
                          <a:xfrm>
                            <a:off x="0" y="0"/>
                            <a:ext cx="1282477" cy="507460"/>
                          </a:xfrm>
                          <a:prstGeom prst="rect">
                            <a:avLst/>
                          </a:prstGeom>
                        </pic:spPr>
                      </pic:pic>
                    </a:graphicData>
                  </a:graphic>
                </wp:inline>
              </w:drawing>
            </w:r>
          </w:p>
        </w:tc>
        <w:tc>
          <w:tcPr>
            <w:tcW w:w="726" w:type="pct"/>
            <w:tcBorders>
              <w:top w:val="nil"/>
              <w:left w:val="nil"/>
              <w:bottom w:val="nil"/>
              <w:right w:val="nil"/>
            </w:tcBorders>
            <w:vAlign w:val="center"/>
          </w:tcPr>
          <w:p w14:paraId="59E75FD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C</w:t>
            </w:r>
            <w:r>
              <w:rPr>
                <w:rFonts w:ascii="Times New Roman" w:hAnsi="Times New Roman" w:eastAsia="宋体" w:cs="Times New Roman"/>
                <w:color w:val="000000"/>
                <w:kern w:val="0"/>
                <w:szCs w:val="21"/>
                <w:vertAlign w:val="subscript"/>
              </w:rPr>
              <w:t>10</w:t>
            </w:r>
            <w:r>
              <w:rPr>
                <w:rFonts w:ascii="Times New Roman" w:hAnsi="Times New Roman" w:eastAsia="宋体" w:cs="Times New Roman"/>
                <w:color w:val="000000"/>
                <w:kern w:val="0"/>
                <w:szCs w:val="21"/>
              </w:rPr>
              <w:t>H</w:t>
            </w:r>
            <w:r>
              <w:rPr>
                <w:rFonts w:ascii="Times New Roman" w:hAnsi="Times New Roman" w:eastAsia="宋体" w:cs="Times New Roman"/>
                <w:color w:val="000000"/>
                <w:kern w:val="0"/>
                <w:szCs w:val="21"/>
                <w:vertAlign w:val="subscript"/>
              </w:rPr>
              <w:t>11</w:t>
            </w:r>
            <w:r>
              <w:rPr>
                <w:rFonts w:ascii="Times New Roman" w:hAnsi="Times New Roman" w:eastAsia="宋体" w:cs="Times New Roman"/>
                <w:color w:val="000000"/>
                <w:kern w:val="0"/>
                <w:szCs w:val="21"/>
              </w:rPr>
              <w:t>N</w:t>
            </w:r>
            <w:r>
              <w:rPr>
                <w:rFonts w:ascii="Times New Roman" w:hAnsi="Times New Roman" w:eastAsia="宋体" w:cs="Times New Roman"/>
                <w:color w:val="000000"/>
                <w:kern w:val="0"/>
                <w:szCs w:val="21"/>
                <w:vertAlign w:val="subscript"/>
              </w:rPr>
              <w:t>4</w:t>
            </w:r>
            <w:r>
              <w:rPr>
                <w:rFonts w:ascii="Times New Roman" w:hAnsi="Times New Roman" w:eastAsia="宋体" w:cs="Times New Roman"/>
                <w:color w:val="000000"/>
                <w:kern w:val="0"/>
                <w:szCs w:val="21"/>
              </w:rPr>
              <w:t>O</w:t>
            </w:r>
            <w:r>
              <w:rPr>
                <w:rFonts w:ascii="Times New Roman" w:hAnsi="Times New Roman" w:eastAsia="宋体" w:cs="Times New Roman"/>
                <w:color w:val="000000"/>
                <w:kern w:val="0"/>
                <w:szCs w:val="21"/>
                <w:vertAlign w:val="subscript"/>
              </w:rPr>
              <w:t>3</w:t>
            </w:r>
            <w:r>
              <w:rPr>
                <w:rFonts w:ascii="Times New Roman" w:hAnsi="Times New Roman" w:eastAsia="宋体" w:cs="Times New Roman"/>
                <w:color w:val="000000"/>
                <w:kern w:val="0"/>
                <w:szCs w:val="21"/>
              </w:rPr>
              <w:t>S</w:t>
            </w:r>
          </w:p>
        </w:tc>
        <w:tc>
          <w:tcPr>
            <w:tcW w:w="436" w:type="pct"/>
            <w:tcBorders>
              <w:top w:val="nil"/>
              <w:left w:val="nil"/>
              <w:bottom w:val="nil"/>
              <w:right w:val="nil"/>
            </w:tcBorders>
            <w:vAlign w:val="center"/>
          </w:tcPr>
          <w:p w14:paraId="2BAB5DE3">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128.4</w:t>
            </w:r>
          </w:p>
        </w:tc>
        <w:tc>
          <w:tcPr>
            <w:tcW w:w="644" w:type="pct"/>
            <w:tcBorders>
              <w:top w:val="nil"/>
              <w:left w:val="nil"/>
              <w:bottom w:val="nil"/>
              <w:right w:val="nil"/>
            </w:tcBorders>
            <w:vAlign w:val="center"/>
          </w:tcPr>
          <w:p w14:paraId="5290FF9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231.0534</w:t>
            </w:r>
          </w:p>
        </w:tc>
        <w:tc>
          <w:tcPr>
            <w:tcW w:w="659" w:type="pct"/>
            <w:tcBorders>
              <w:top w:val="nil"/>
              <w:left w:val="nil"/>
              <w:bottom w:val="nil"/>
              <w:right w:val="nil"/>
            </w:tcBorders>
            <w:vAlign w:val="center"/>
          </w:tcPr>
          <w:p w14:paraId="054AD8F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231.0546</w:t>
            </w:r>
          </w:p>
        </w:tc>
        <w:tc>
          <w:tcPr>
            <w:tcW w:w="481" w:type="pct"/>
            <w:gridSpan w:val="2"/>
            <w:tcBorders>
              <w:top w:val="nil"/>
              <w:left w:val="nil"/>
              <w:bottom w:val="nil"/>
              <w:right w:val="nil"/>
            </w:tcBorders>
            <w:vAlign w:val="center"/>
          </w:tcPr>
          <w:p w14:paraId="5B30DC6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-1.167</w:t>
            </w:r>
          </w:p>
        </w:tc>
        <w:tc>
          <w:tcPr>
            <w:tcW w:w="138" w:type="pct"/>
            <w:vAlign w:val="center"/>
          </w:tcPr>
          <w:p w14:paraId="2DF8130E">
            <w:pPr>
              <w:widowControl/>
              <w:jc w:val="left"/>
              <w:rPr>
                <w:rFonts w:ascii="Times New Roman" w:hAnsi="Times New Roman" w:eastAsia="Times New Roman" w:cs="Times New Roman"/>
                <w:kern w:val="0"/>
                <w:sz w:val="20"/>
                <w:szCs w:val="20"/>
              </w:rPr>
            </w:pPr>
          </w:p>
        </w:tc>
      </w:tr>
      <w:tr w14:paraId="5B128180">
        <w:tblPrEx>
          <w:tblCellMar>
            <w:top w:w="0" w:type="dxa"/>
            <w:left w:w="108" w:type="dxa"/>
            <w:bottom w:w="0" w:type="dxa"/>
            <w:right w:w="108" w:type="dxa"/>
          </w:tblCellMar>
        </w:tblPrEx>
        <w:trPr>
          <w:trHeight w:val="288" w:hRule="atLeast"/>
        </w:trPr>
        <w:tc>
          <w:tcPr>
            <w:tcW w:w="701" w:type="pct"/>
            <w:vMerge w:val="restart"/>
            <w:tcBorders>
              <w:top w:val="nil"/>
              <w:left w:val="nil"/>
              <w:bottom w:val="nil"/>
              <w:right w:val="nil"/>
            </w:tcBorders>
            <w:vAlign w:val="center"/>
          </w:tcPr>
          <w:p w14:paraId="50A269D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P215</w:t>
            </w:r>
          </w:p>
        </w:tc>
        <w:tc>
          <w:tcPr>
            <w:tcW w:w="1215" w:type="pct"/>
            <w:vMerge w:val="restart"/>
            <w:tcBorders>
              <w:top w:val="nil"/>
              <w:left w:val="nil"/>
              <w:bottom w:val="nil"/>
              <w:right w:val="nil"/>
            </w:tcBorders>
            <w:vAlign w:val="center"/>
          </w:tcPr>
          <w:p w14:paraId="02547B84">
            <w:pPr>
              <w:widowControl/>
              <w:jc w:val="center"/>
              <w:rPr>
                <w:rFonts w:ascii="Times New Roman" w:hAnsi="Times New Roman" w:eastAsia="宋体" w:cs="Times New Roman"/>
                <w:color w:val="000000"/>
                <w:kern w:val="0"/>
                <w:szCs w:val="21"/>
              </w:rPr>
            </w:pPr>
            <w:r>
              <w:rPr>
                <w:rFonts w:ascii="Times New Roman" w:hAnsi="Times New Roman" w:cs="Times New Roman"/>
              </w:rPr>
              <w:drawing>
                <wp:inline distT="0" distB="0" distL="0" distR="0">
                  <wp:extent cx="1177925" cy="552450"/>
                  <wp:effectExtent l="0" t="0" r="3175"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36"/>
                          <a:stretch>
                            <a:fillRect/>
                          </a:stretch>
                        </pic:blipFill>
                        <pic:spPr>
                          <a:xfrm>
                            <a:off x="0" y="0"/>
                            <a:ext cx="1177925" cy="552450"/>
                          </a:xfrm>
                          <a:prstGeom prst="rect">
                            <a:avLst/>
                          </a:prstGeom>
                        </pic:spPr>
                      </pic:pic>
                    </a:graphicData>
                  </a:graphic>
                </wp:inline>
              </w:drawing>
            </w:r>
          </w:p>
        </w:tc>
        <w:tc>
          <w:tcPr>
            <w:tcW w:w="726" w:type="pct"/>
            <w:vMerge w:val="restart"/>
            <w:tcBorders>
              <w:top w:val="nil"/>
              <w:left w:val="nil"/>
              <w:bottom w:val="nil"/>
              <w:right w:val="nil"/>
            </w:tcBorders>
            <w:vAlign w:val="center"/>
          </w:tcPr>
          <w:p w14:paraId="6DFB2D5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C</w:t>
            </w:r>
            <w:r>
              <w:rPr>
                <w:rFonts w:ascii="Times New Roman" w:hAnsi="Times New Roman" w:eastAsia="宋体" w:cs="Times New Roman"/>
                <w:color w:val="000000"/>
                <w:kern w:val="0"/>
                <w:szCs w:val="21"/>
                <w:vertAlign w:val="subscript"/>
              </w:rPr>
              <w:t>7</w:t>
            </w:r>
            <w:r>
              <w:rPr>
                <w:rFonts w:ascii="Times New Roman" w:hAnsi="Times New Roman" w:eastAsia="宋体" w:cs="Times New Roman"/>
                <w:color w:val="000000"/>
                <w:kern w:val="0"/>
                <w:szCs w:val="21"/>
              </w:rPr>
              <w:t>H</w:t>
            </w:r>
            <w:r>
              <w:rPr>
                <w:rFonts w:ascii="Times New Roman" w:hAnsi="Times New Roman" w:eastAsia="宋体" w:cs="Times New Roman"/>
                <w:color w:val="000000"/>
                <w:kern w:val="0"/>
                <w:szCs w:val="21"/>
                <w:vertAlign w:val="subscript"/>
              </w:rPr>
              <w:t>11</w:t>
            </w:r>
            <w:r>
              <w:rPr>
                <w:rFonts w:ascii="Times New Roman" w:hAnsi="Times New Roman" w:eastAsia="宋体" w:cs="Times New Roman"/>
                <w:color w:val="000000"/>
                <w:kern w:val="0"/>
                <w:szCs w:val="21"/>
              </w:rPr>
              <w:t>N</w:t>
            </w:r>
            <w:r>
              <w:rPr>
                <w:rFonts w:ascii="Times New Roman" w:hAnsi="Times New Roman" w:eastAsia="宋体" w:cs="Times New Roman"/>
                <w:color w:val="000000"/>
                <w:kern w:val="0"/>
                <w:szCs w:val="21"/>
                <w:vertAlign w:val="subscript"/>
              </w:rPr>
              <w:t>4</w:t>
            </w:r>
            <w:r>
              <w:rPr>
                <w:rFonts w:ascii="Times New Roman" w:hAnsi="Times New Roman" w:eastAsia="宋体" w:cs="Times New Roman"/>
                <w:color w:val="000000"/>
                <w:kern w:val="0"/>
                <w:szCs w:val="21"/>
              </w:rPr>
              <w:t>O</w:t>
            </w:r>
            <w:r>
              <w:rPr>
                <w:rFonts w:ascii="Times New Roman" w:hAnsi="Times New Roman" w:eastAsia="宋体" w:cs="Times New Roman"/>
                <w:color w:val="000000"/>
                <w:kern w:val="0"/>
                <w:szCs w:val="21"/>
                <w:vertAlign w:val="subscript"/>
              </w:rPr>
              <w:t>2</w:t>
            </w:r>
            <w:r>
              <w:rPr>
                <w:rFonts w:ascii="Times New Roman" w:hAnsi="Times New Roman" w:eastAsia="宋体" w:cs="Times New Roman"/>
                <w:color w:val="000000"/>
                <w:kern w:val="0"/>
                <w:szCs w:val="21"/>
              </w:rPr>
              <w:t>S</w:t>
            </w:r>
          </w:p>
        </w:tc>
        <w:tc>
          <w:tcPr>
            <w:tcW w:w="436" w:type="pct"/>
            <w:vMerge w:val="restart"/>
            <w:tcBorders>
              <w:top w:val="nil"/>
              <w:left w:val="nil"/>
              <w:bottom w:val="nil"/>
              <w:right w:val="nil"/>
            </w:tcBorders>
            <w:vAlign w:val="center"/>
          </w:tcPr>
          <w:p w14:paraId="3336EC8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73.8</w:t>
            </w:r>
          </w:p>
        </w:tc>
        <w:tc>
          <w:tcPr>
            <w:tcW w:w="644" w:type="pct"/>
            <w:vMerge w:val="restart"/>
            <w:tcBorders>
              <w:top w:val="nil"/>
              <w:left w:val="nil"/>
              <w:bottom w:val="nil"/>
              <w:right w:val="nil"/>
            </w:tcBorders>
            <w:vAlign w:val="center"/>
          </w:tcPr>
          <w:p w14:paraId="5D884B8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215.0592</w:t>
            </w:r>
          </w:p>
        </w:tc>
        <w:tc>
          <w:tcPr>
            <w:tcW w:w="659" w:type="pct"/>
            <w:vMerge w:val="restart"/>
            <w:tcBorders>
              <w:top w:val="nil"/>
              <w:left w:val="nil"/>
              <w:bottom w:val="nil"/>
              <w:right w:val="nil"/>
            </w:tcBorders>
            <w:vAlign w:val="center"/>
          </w:tcPr>
          <w:p w14:paraId="104F2FC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215.0597</w:t>
            </w:r>
          </w:p>
        </w:tc>
        <w:tc>
          <w:tcPr>
            <w:tcW w:w="481" w:type="pct"/>
            <w:gridSpan w:val="2"/>
            <w:vMerge w:val="restart"/>
            <w:tcBorders>
              <w:top w:val="nil"/>
              <w:left w:val="nil"/>
              <w:bottom w:val="nil"/>
              <w:right w:val="nil"/>
            </w:tcBorders>
            <w:vAlign w:val="center"/>
          </w:tcPr>
          <w:p w14:paraId="6D1CD82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-0.563</w:t>
            </w:r>
          </w:p>
        </w:tc>
        <w:tc>
          <w:tcPr>
            <w:tcW w:w="138" w:type="pct"/>
            <w:vAlign w:val="center"/>
          </w:tcPr>
          <w:p w14:paraId="690102B6">
            <w:pPr>
              <w:widowControl/>
              <w:jc w:val="left"/>
              <w:rPr>
                <w:rFonts w:ascii="Times New Roman" w:hAnsi="Times New Roman" w:eastAsia="Times New Roman" w:cs="Times New Roman"/>
                <w:kern w:val="0"/>
                <w:sz w:val="20"/>
                <w:szCs w:val="20"/>
              </w:rPr>
            </w:pPr>
          </w:p>
        </w:tc>
      </w:tr>
      <w:tr w14:paraId="2375B61B">
        <w:tblPrEx>
          <w:tblCellMar>
            <w:top w:w="0" w:type="dxa"/>
            <w:left w:w="108" w:type="dxa"/>
            <w:bottom w:w="0" w:type="dxa"/>
            <w:right w:w="108" w:type="dxa"/>
          </w:tblCellMar>
        </w:tblPrEx>
        <w:trPr>
          <w:trHeight w:val="288" w:hRule="atLeast"/>
        </w:trPr>
        <w:tc>
          <w:tcPr>
            <w:tcW w:w="701" w:type="pct"/>
            <w:vMerge w:val="continue"/>
            <w:tcBorders>
              <w:top w:val="nil"/>
              <w:left w:val="nil"/>
              <w:bottom w:val="nil"/>
              <w:right w:val="nil"/>
            </w:tcBorders>
            <w:vAlign w:val="center"/>
          </w:tcPr>
          <w:p w14:paraId="4D42BEDB">
            <w:pPr>
              <w:widowControl/>
              <w:jc w:val="left"/>
              <w:rPr>
                <w:rFonts w:ascii="Times New Roman" w:hAnsi="Times New Roman" w:eastAsia="宋体" w:cs="Times New Roman"/>
                <w:color w:val="000000"/>
                <w:kern w:val="0"/>
                <w:szCs w:val="21"/>
              </w:rPr>
            </w:pPr>
          </w:p>
        </w:tc>
        <w:tc>
          <w:tcPr>
            <w:tcW w:w="1215" w:type="pct"/>
            <w:vMerge w:val="continue"/>
            <w:tcBorders>
              <w:top w:val="nil"/>
              <w:left w:val="nil"/>
              <w:bottom w:val="nil"/>
              <w:right w:val="nil"/>
            </w:tcBorders>
            <w:vAlign w:val="center"/>
          </w:tcPr>
          <w:p w14:paraId="6693CD42">
            <w:pPr>
              <w:widowControl/>
              <w:jc w:val="left"/>
              <w:rPr>
                <w:rFonts w:ascii="Times New Roman" w:hAnsi="Times New Roman" w:eastAsia="宋体" w:cs="Times New Roman"/>
                <w:color w:val="000000"/>
                <w:kern w:val="0"/>
                <w:szCs w:val="21"/>
              </w:rPr>
            </w:pPr>
          </w:p>
        </w:tc>
        <w:tc>
          <w:tcPr>
            <w:tcW w:w="726" w:type="pct"/>
            <w:vMerge w:val="continue"/>
            <w:tcBorders>
              <w:top w:val="nil"/>
              <w:left w:val="nil"/>
              <w:bottom w:val="nil"/>
              <w:right w:val="nil"/>
            </w:tcBorders>
            <w:vAlign w:val="center"/>
          </w:tcPr>
          <w:p w14:paraId="684CE2D9">
            <w:pPr>
              <w:widowControl/>
              <w:jc w:val="left"/>
              <w:rPr>
                <w:rFonts w:ascii="Times New Roman" w:hAnsi="Times New Roman" w:eastAsia="宋体" w:cs="Times New Roman"/>
                <w:color w:val="000000"/>
                <w:kern w:val="0"/>
                <w:szCs w:val="21"/>
              </w:rPr>
            </w:pPr>
          </w:p>
        </w:tc>
        <w:tc>
          <w:tcPr>
            <w:tcW w:w="436" w:type="pct"/>
            <w:vMerge w:val="continue"/>
            <w:tcBorders>
              <w:top w:val="nil"/>
              <w:left w:val="nil"/>
              <w:bottom w:val="nil"/>
              <w:right w:val="nil"/>
            </w:tcBorders>
            <w:vAlign w:val="center"/>
          </w:tcPr>
          <w:p w14:paraId="3450B4E0">
            <w:pPr>
              <w:widowControl/>
              <w:jc w:val="left"/>
              <w:rPr>
                <w:rFonts w:ascii="Times New Roman" w:hAnsi="Times New Roman" w:eastAsia="宋体" w:cs="Times New Roman"/>
                <w:color w:val="000000"/>
                <w:kern w:val="0"/>
                <w:szCs w:val="21"/>
              </w:rPr>
            </w:pPr>
          </w:p>
        </w:tc>
        <w:tc>
          <w:tcPr>
            <w:tcW w:w="644" w:type="pct"/>
            <w:vMerge w:val="continue"/>
            <w:tcBorders>
              <w:top w:val="nil"/>
              <w:left w:val="nil"/>
              <w:bottom w:val="nil"/>
              <w:right w:val="nil"/>
            </w:tcBorders>
            <w:vAlign w:val="center"/>
          </w:tcPr>
          <w:p w14:paraId="0E36D2D3">
            <w:pPr>
              <w:widowControl/>
              <w:jc w:val="left"/>
              <w:rPr>
                <w:rFonts w:ascii="Times New Roman" w:hAnsi="Times New Roman" w:eastAsia="宋体" w:cs="Times New Roman"/>
                <w:color w:val="000000"/>
                <w:kern w:val="0"/>
                <w:szCs w:val="21"/>
              </w:rPr>
            </w:pPr>
          </w:p>
        </w:tc>
        <w:tc>
          <w:tcPr>
            <w:tcW w:w="659" w:type="pct"/>
            <w:vMerge w:val="continue"/>
            <w:tcBorders>
              <w:top w:val="nil"/>
              <w:left w:val="nil"/>
              <w:bottom w:val="nil"/>
              <w:right w:val="nil"/>
            </w:tcBorders>
            <w:vAlign w:val="center"/>
          </w:tcPr>
          <w:p w14:paraId="47742002">
            <w:pPr>
              <w:widowControl/>
              <w:jc w:val="left"/>
              <w:rPr>
                <w:rFonts w:ascii="Times New Roman" w:hAnsi="Times New Roman" w:eastAsia="宋体" w:cs="Times New Roman"/>
                <w:color w:val="000000"/>
                <w:kern w:val="0"/>
                <w:szCs w:val="21"/>
              </w:rPr>
            </w:pPr>
          </w:p>
        </w:tc>
        <w:tc>
          <w:tcPr>
            <w:tcW w:w="481" w:type="pct"/>
            <w:gridSpan w:val="2"/>
            <w:vMerge w:val="continue"/>
            <w:tcBorders>
              <w:top w:val="nil"/>
              <w:left w:val="nil"/>
              <w:bottom w:val="nil"/>
              <w:right w:val="nil"/>
            </w:tcBorders>
            <w:vAlign w:val="center"/>
          </w:tcPr>
          <w:p w14:paraId="035623BB">
            <w:pPr>
              <w:widowControl/>
              <w:jc w:val="left"/>
              <w:rPr>
                <w:rFonts w:ascii="Times New Roman" w:hAnsi="Times New Roman" w:eastAsia="宋体" w:cs="Times New Roman"/>
                <w:color w:val="000000"/>
                <w:kern w:val="0"/>
                <w:szCs w:val="21"/>
              </w:rPr>
            </w:pPr>
          </w:p>
        </w:tc>
        <w:tc>
          <w:tcPr>
            <w:tcW w:w="138" w:type="pct"/>
            <w:tcBorders>
              <w:top w:val="nil"/>
              <w:left w:val="nil"/>
              <w:bottom w:val="nil"/>
              <w:right w:val="nil"/>
            </w:tcBorders>
            <w:noWrap/>
            <w:vAlign w:val="center"/>
          </w:tcPr>
          <w:p w14:paraId="7EEE21F2">
            <w:pPr>
              <w:widowControl/>
              <w:jc w:val="center"/>
              <w:rPr>
                <w:rFonts w:ascii="Times New Roman" w:hAnsi="Times New Roman" w:eastAsia="宋体" w:cs="Times New Roman"/>
                <w:color w:val="000000"/>
                <w:kern w:val="0"/>
                <w:szCs w:val="21"/>
              </w:rPr>
            </w:pPr>
          </w:p>
        </w:tc>
      </w:tr>
      <w:tr w14:paraId="576DC46E">
        <w:tblPrEx>
          <w:tblCellMar>
            <w:top w:w="0" w:type="dxa"/>
            <w:left w:w="108" w:type="dxa"/>
            <w:bottom w:w="0" w:type="dxa"/>
            <w:right w:w="108" w:type="dxa"/>
          </w:tblCellMar>
        </w:tblPrEx>
        <w:trPr>
          <w:trHeight w:val="288" w:hRule="atLeast"/>
        </w:trPr>
        <w:tc>
          <w:tcPr>
            <w:tcW w:w="701" w:type="pct"/>
            <w:vMerge w:val="continue"/>
            <w:tcBorders>
              <w:top w:val="nil"/>
              <w:left w:val="nil"/>
              <w:bottom w:val="nil"/>
              <w:right w:val="nil"/>
            </w:tcBorders>
            <w:vAlign w:val="center"/>
          </w:tcPr>
          <w:p w14:paraId="607F09D3">
            <w:pPr>
              <w:widowControl/>
              <w:jc w:val="left"/>
              <w:rPr>
                <w:rFonts w:ascii="Times New Roman" w:hAnsi="Times New Roman" w:eastAsia="宋体" w:cs="Times New Roman"/>
                <w:color w:val="000000"/>
                <w:kern w:val="0"/>
                <w:szCs w:val="21"/>
              </w:rPr>
            </w:pPr>
          </w:p>
        </w:tc>
        <w:tc>
          <w:tcPr>
            <w:tcW w:w="1215" w:type="pct"/>
            <w:vMerge w:val="continue"/>
            <w:tcBorders>
              <w:top w:val="nil"/>
              <w:left w:val="nil"/>
              <w:bottom w:val="nil"/>
              <w:right w:val="nil"/>
            </w:tcBorders>
            <w:vAlign w:val="center"/>
          </w:tcPr>
          <w:p w14:paraId="07343861">
            <w:pPr>
              <w:widowControl/>
              <w:jc w:val="left"/>
              <w:rPr>
                <w:rFonts w:ascii="Times New Roman" w:hAnsi="Times New Roman" w:eastAsia="宋体" w:cs="Times New Roman"/>
                <w:color w:val="000000"/>
                <w:kern w:val="0"/>
                <w:szCs w:val="21"/>
              </w:rPr>
            </w:pPr>
          </w:p>
        </w:tc>
        <w:tc>
          <w:tcPr>
            <w:tcW w:w="726" w:type="pct"/>
            <w:vMerge w:val="continue"/>
            <w:tcBorders>
              <w:top w:val="nil"/>
              <w:left w:val="nil"/>
              <w:bottom w:val="nil"/>
              <w:right w:val="nil"/>
            </w:tcBorders>
            <w:vAlign w:val="center"/>
          </w:tcPr>
          <w:p w14:paraId="72836AA1">
            <w:pPr>
              <w:widowControl/>
              <w:jc w:val="left"/>
              <w:rPr>
                <w:rFonts w:ascii="Times New Roman" w:hAnsi="Times New Roman" w:eastAsia="宋体" w:cs="Times New Roman"/>
                <w:color w:val="000000"/>
                <w:kern w:val="0"/>
                <w:szCs w:val="21"/>
              </w:rPr>
            </w:pPr>
          </w:p>
        </w:tc>
        <w:tc>
          <w:tcPr>
            <w:tcW w:w="436" w:type="pct"/>
            <w:vMerge w:val="continue"/>
            <w:tcBorders>
              <w:top w:val="nil"/>
              <w:left w:val="nil"/>
              <w:bottom w:val="nil"/>
              <w:right w:val="nil"/>
            </w:tcBorders>
            <w:vAlign w:val="center"/>
          </w:tcPr>
          <w:p w14:paraId="574F28FC">
            <w:pPr>
              <w:widowControl/>
              <w:jc w:val="left"/>
              <w:rPr>
                <w:rFonts w:ascii="Times New Roman" w:hAnsi="Times New Roman" w:eastAsia="宋体" w:cs="Times New Roman"/>
                <w:color w:val="000000"/>
                <w:kern w:val="0"/>
                <w:szCs w:val="21"/>
              </w:rPr>
            </w:pPr>
          </w:p>
        </w:tc>
        <w:tc>
          <w:tcPr>
            <w:tcW w:w="644" w:type="pct"/>
            <w:vMerge w:val="continue"/>
            <w:tcBorders>
              <w:top w:val="nil"/>
              <w:left w:val="nil"/>
              <w:bottom w:val="nil"/>
              <w:right w:val="nil"/>
            </w:tcBorders>
            <w:vAlign w:val="center"/>
          </w:tcPr>
          <w:p w14:paraId="755221A8">
            <w:pPr>
              <w:widowControl/>
              <w:jc w:val="left"/>
              <w:rPr>
                <w:rFonts w:ascii="Times New Roman" w:hAnsi="Times New Roman" w:eastAsia="宋体" w:cs="Times New Roman"/>
                <w:color w:val="000000"/>
                <w:kern w:val="0"/>
                <w:szCs w:val="21"/>
              </w:rPr>
            </w:pPr>
          </w:p>
        </w:tc>
        <w:tc>
          <w:tcPr>
            <w:tcW w:w="659" w:type="pct"/>
            <w:vMerge w:val="continue"/>
            <w:tcBorders>
              <w:top w:val="nil"/>
              <w:left w:val="nil"/>
              <w:bottom w:val="nil"/>
              <w:right w:val="nil"/>
            </w:tcBorders>
            <w:vAlign w:val="center"/>
          </w:tcPr>
          <w:p w14:paraId="3D5FE2C8">
            <w:pPr>
              <w:widowControl/>
              <w:jc w:val="left"/>
              <w:rPr>
                <w:rFonts w:ascii="Times New Roman" w:hAnsi="Times New Roman" w:eastAsia="宋体" w:cs="Times New Roman"/>
                <w:color w:val="000000"/>
                <w:kern w:val="0"/>
                <w:szCs w:val="21"/>
              </w:rPr>
            </w:pPr>
          </w:p>
        </w:tc>
        <w:tc>
          <w:tcPr>
            <w:tcW w:w="481" w:type="pct"/>
            <w:gridSpan w:val="2"/>
            <w:vMerge w:val="continue"/>
            <w:tcBorders>
              <w:top w:val="nil"/>
              <w:left w:val="nil"/>
              <w:bottom w:val="nil"/>
              <w:right w:val="nil"/>
            </w:tcBorders>
            <w:vAlign w:val="center"/>
          </w:tcPr>
          <w:p w14:paraId="2EB4DD8C">
            <w:pPr>
              <w:widowControl/>
              <w:jc w:val="left"/>
              <w:rPr>
                <w:rFonts w:ascii="Times New Roman" w:hAnsi="Times New Roman" w:eastAsia="宋体" w:cs="Times New Roman"/>
                <w:color w:val="000000"/>
                <w:kern w:val="0"/>
                <w:szCs w:val="21"/>
              </w:rPr>
            </w:pPr>
          </w:p>
        </w:tc>
        <w:tc>
          <w:tcPr>
            <w:tcW w:w="138" w:type="pct"/>
            <w:tcBorders>
              <w:top w:val="nil"/>
              <w:left w:val="nil"/>
              <w:bottom w:val="nil"/>
              <w:right w:val="nil"/>
            </w:tcBorders>
            <w:noWrap/>
            <w:vAlign w:val="center"/>
          </w:tcPr>
          <w:p w14:paraId="56E29045">
            <w:pPr>
              <w:widowControl/>
              <w:jc w:val="left"/>
              <w:rPr>
                <w:rFonts w:ascii="Times New Roman" w:hAnsi="Times New Roman" w:eastAsia="Times New Roman" w:cs="Times New Roman"/>
                <w:kern w:val="0"/>
                <w:sz w:val="20"/>
                <w:szCs w:val="20"/>
              </w:rPr>
            </w:pPr>
          </w:p>
        </w:tc>
      </w:tr>
      <w:tr w14:paraId="3EC81FA4">
        <w:tblPrEx>
          <w:tblCellMar>
            <w:top w:w="0" w:type="dxa"/>
            <w:left w:w="108" w:type="dxa"/>
            <w:bottom w:w="0" w:type="dxa"/>
            <w:right w:w="108" w:type="dxa"/>
          </w:tblCellMar>
        </w:tblPrEx>
        <w:trPr>
          <w:trHeight w:val="288" w:hRule="atLeast"/>
        </w:trPr>
        <w:tc>
          <w:tcPr>
            <w:tcW w:w="701" w:type="pct"/>
            <w:vMerge w:val="continue"/>
            <w:tcBorders>
              <w:top w:val="nil"/>
              <w:left w:val="nil"/>
              <w:bottom w:val="nil"/>
              <w:right w:val="nil"/>
            </w:tcBorders>
            <w:vAlign w:val="center"/>
          </w:tcPr>
          <w:p w14:paraId="710FC753">
            <w:pPr>
              <w:widowControl/>
              <w:jc w:val="left"/>
              <w:rPr>
                <w:rFonts w:ascii="Times New Roman" w:hAnsi="Times New Roman" w:eastAsia="宋体" w:cs="Times New Roman"/>
                <w:color w:val="000000"/>
                <w:kern w:val="0"/>
                <w:szCs w:val="21"/>
              </w:rPr>
            </w:pPr>
          </w:p>
        </w:tc>
        <w:tc>
          <w:tcPr>
            <w:tcW w:w="1215" w:type="pct"/>
            <w:vMerge w:val="continue"/>
            <w:tcBorders>
              <w:top w:val="nil"/>
              <w:left w:val="nil"/>
              <w:bottom w:val="nil"/>
              <w:right w:val="nil"/>
            </w:tcBorders>
            <w:vAlign w:val="center"/>
          </w:tcPr>
          <w:p w14:paraId="59365183">
            <w:pPr>
              <w:widowControl/>
              <w:jc w:val="left"/>
              <w:rPr>
                <w:rFonts w:ascii="Times New Roman" w:hAnsi="Times New Roman" w:eastAsia="宋体" w:cs="Times New Roman"/>
                <w:color w:val="000000"/>
                <w:kern w:val="0"/>
                <w:szCs w:val="21"/>
              </w:rPr>
            </w:pPr>
          </w:p>
        </w:tc>
        <w:tc>
          <w:tcPr>
            <w:tcW w:w="726" w:type="pct"/>
            <w:vMerge w:val="continue"/>
            <w:tcBorders>
              <w:top w:val="nil"/>
              <w:left w:val="nil"/>
              <w:bottom w:val="nil"/>
              <w:right w:val="nil"/>
            </w:tcBorders>
            <w:vAlign w:val="center"/>
          </w:tcPr>
          <w:p w14:paraId="32D1B018">
            <w:pPr>
              <w:widowControl/>
              <w:jc w:val="left"/>
              <w:rPr>
                <w:rFonts w:ascii="Times New Roman" w:hAnsi="Times New Roman" w:eastAsia="宋体" w:cs="Times New Roman"/>
                <w:color w:val="000000"/>
                <w:kern w:val="0"/>
                <w:szCs w:val="21"/>
              </w:rPr>
            </w:pPr>
          </w:p>
        </w:tc>
        <w:tc>
          <w:tcPr>
            <w:tcW w:w="436" w:type="pct"/>
            <w:vMerge w:val="continue"/>
            <w:tcBorders>
              <w:top w:val="nil"/>
              <w:left w:val="nil"/>
              <w:bottom w:val="nil"/>
              <w:right w:val="nil"/>
            </w:tcBorders>
            <w:vAlign w:val="center"/>
          </w:tcPr>
          <w:p w14:paraId="50713828">
            <w:pPr>
              <w:widowControl/>
              <w:jc w:val="left"/>
              <w:rPr>
                <w:rFonts w:ascii="Times New Roman" w:hAnsi="Times New Roman" w:eastAsia="宋体" w:cs="Times New Roman"/>
                <w:color w:val="000000"/>
                <w:kern w:val="0"/>
                <w:szCs w:val="21"/>
              </w:rPr>
            </w:pPr>
          </w:p>
        </w:tc>
        <w:tc>
          <w:tcPr>
            <w:tcW w:w="644" w:type="pct"/>
            <w:vMerge w:val="continue"/>
            <w:tcBorders>
              <w:top w:val="nil"/>
              <w:left w:val="nil"/>
              <w:bottom w:val="nil"/>
              <w:right w:val="nil"/>
            </w:tcBorders>
            <w:vAlign w:val="center"/>
          </w:tcPr>
          <w:p w14:paraId="55BDBEEB">
            <w:pPr>
              <w:widowControl/>
              <w:jc w:val="left"/>
              <w:rPr>
                <w:rFonts w:ascii="Times New Roman" w:hAnsi="Times New Roman" w:eastAsia="宋体" w:cs="Times New Roman"/>
                <w:color w:val="000000"/>
                <w:kern w:val="0"/>
                <w:szCs w:val="21"/>
              </w:rPr>
            </w:pPr>
          </w:p>
        </w:tc>
        <w:tc>
          <w:tcPr>
            <w:tcW w:w="659" w:type="pct"/>
            <w:vMerge w:val="continue"/>
            <w:tcBorders>
              <w:top w:val="nil"/>
              <w:left w:val="nil"/>
              <w:bottom w:val="nil"/>
              <w:right w:val="nil"/>
            </w:tcBorders>
            <w:vAlign w:val="center"/>
          </w:tcPr>
          <w:p w14:paraId="1B2BE26D">
            <w:pPr>
              <w:widowControl/>
              <w:jc w:val="left"/>
              <w:rPr>
                <w:rFonts w:ascii="Times New Roman" w:hAnsi="Times New Roman" w:eastAsia="宋体" w:cs="Times New Roman"/>
                <w:color w:val="000000"/>
                <w:kern w:val="0"/>
                <w:szCs w:val="21"/>
              </w:rPr>
            </w:pPr>
          </w:p>
        </w:tc>
        <w:tc>
          <w:tcPr>
            <w:tcW w:w="481" w:type="pct"/>
            <w:gridSpan w:val="2"/>
            <w:vMerge w:val="continue"/>
            <w:tcBorders>
              <w:top w:val="nil"/>
              <w:left w:val="nil"/>
              <w:bottom w:val="nil"/>
              <w:right w:val="nil"/>
            </w:tcBorders>
            <w:vAlign w:val="center"/>
          </w:tcPr>
          <w:p w14:paraId="2091C49B">
            <w:pPr>
              <w:widowControl/>
              <w:jc w:val="left"/>
              <w:rPr>
                <w:rFonts w:ascii="Times New Roman" w:hAnsi="Times New Roman" w:eastAsia="宋体" w:cs="Times New Roman"/>
                <w:color w:val="000000"/>
                <w:kern w:val="0"/>
                <w:szCs w:val="21"/>
              </w:rPr>
            </w:pPr>
          </w:p>
        </w:tc>
        <w:tc>
          <w:tcPr>
            <w:tcW w:w="138" w:type="pct"/>
            <w:tcBorders>
              <w:top w:val="nil"/>
              <w:left w:val="nil"/>
              <w:bottom w:val="nil"/>
              <w:right w:val="nil"/>
            </w:tcBorders>
            <w:noWrap/>
            <w:vAlign w:val="center"/>
          </w:tcPr>
          <w:p w14:paraId="176D2118">
            <w:pPr>
              <w:widowControl/>
              <w:jc w:val="left"/>
              <w:rPr>
                <w:rFonts w:ascii="Times New Roman" w:hAnsi="Times New Roman" w:eastAsia="Times New Roman" w:cs="Times New Roman"/>
                <w:kern w:val="0"/>
                <w:sz w:val="20"/>
                <w:szCs w:val="20"/>
              </w:rPr>
            </w:pPr>
          </w:p>
        </w:tc>
      </w:tr>
      <w:tr w14:paraId="67767E28">
        <w:tblPrEx>
          <w:tblCellMar>
            <w:top w:w="0" w:type="dxa"/>
            <w:left w:w="108" w:type="dxa"/>
            <w:bottom w:w="0" w:type="dxa"/>
            <w:right w:w="108" w:type="dxa"/>
          </w:tblCellMar>
        </w:tblPrEx>
        <w:trPr>
          <w:trHeight w:val="711" w:hRule="atLeast"/>
        </w:trPr>
        <w:tc>
          <w:tcPr>
            <w:tcW w:w="701" w:type="pct"/>
            <w:tcBorders>
              <w:top w:val="nil"/>
              <w:left w:val="nil"/>
              <w:bottom w:val="single" w:color="000000" w:sz="12" w:space="0"/>
              <w:right w:val="nil"/>
            </w:tcBorders>
            <w:vAlign w:val="center"/>
          </w:tcPr>
          <w:p w14:paraId="679BAF1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P173</w:t>
            </w:r>
          </w:p>
        </w:tc>
        <w:tc>
          <w:tcPr>
            <w:tcW w:w="1215" w:type="pct"/>
            <w:tcBorders>
              <w:top w:val="nil"/>
              <w:left w:val="nil"/>
              <w:bottom w:val="single" w:color="000000" w:sz="12" w:space="0"/>
              <w:right w:val="nil"/>
            </w:tcBorders>
            <w:vAlign w:val="center"/>
          </w:tcPr>
          <w:p w14:paraId="2C0B5D9E">
            <w:pPr>
              <w:widowControl/>
              <w:jc w:val="center"/>
              <w:rPr>
                <w:rFonts w:ascii="Times New Roman" w:hAnsi="Times New Roman" w:eastAsia="宋体" w:cs="Times New Roman"/>
                <w:color w:val="000000"/>
                <w:kern w:val="0"/>
                <w:szCs w:val="21"/>
              </w:rPr>
            </w:pPr>
            <w:r>
              <w:rPr>
                <w:rFonts w:ascii="Times New Roman" w:hAnsi="Times New Roman" w:cs="Times New Roman"/>
              </w:rPr>
              <w:drawing>
                <wp:inline distT="0" distB="0" distL="0" distR="0">
                  <wp:extent cx="1040765" cy="591185"/>
                  <wp:effectExtent l="0" t="0" r="6985" b="0"/>
                  <wp:docPr id="14701560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5608" name="图片 6"/>
                          <pic:cNvPicPr>
                            <a:picLocks noChangeAspect="1"/>
                          </pic:cNvPicPr>
                        </pic:nvPicPr>
                        <pic:blipFill>
                          <a:blip r:embed="rId37"/>
                          <a:stretch>
                            <a:fillRect/>
                          </a:stretch>
                        </pic:blipFill>
                        <pic:spPr>
                          <a:xfrm>
                            <a:off x="0" y="0"/>
                            <a:ext cx="1050266" cy="596756"/>
                          </a:xfrm>
                          <a:prstGeom prst="rect">
                            <a:avLst/>
                          </a:prstGeom>
                        </pic:spPr>
                      </pic:pic>
                    </a:graphicData>
                  </a:graphic>
                </wp:inline>
              </w:drawing>
            </w:r>
          </w:p>
        </w:tc>
        <w:tc>
          <w:tcPr>
            <w:tcW w:w="726" w:type="pct"/>
            <w:tcBorders>
              <w:top w:val="nil"/>
              <w:left w:val="nil"/>
              <w:bottom w:val="single" w:color="000000" w:sz="12" w:space="0"/>
              <w:right w:val="nil"/>
            </w:tcBorders>
            <w:vAlign w:val="center"/>
          </w:tcPr>
          <w:p w14:paraId="6B84D2D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C</w:t>
            </w:r>
            <w:r>
              <w:rPr>
                <w:rFonts w:ascii="Times New Roman" w:hAnsi="Times New Roman" w:eastAsia="宋体" w:cs="Times New Roman"/>
                <w:color w:val="000000"/>
                <w:kern w:val="0"/>
                <w:szCs w:val="21"/>
                <w:vertAlign w:val="subscript"/>
              </w:rPr>
              <w:t>6</w:t>
            </w:r>
            <w:r>
              <w:rPr>
                <w:rFonts w:ascii="Times New Roman" w:hAnsi="Times New Roman" w:eastAsia="宋体" w:cs="Times New Roman"/>
                <w:color w:val="000000"/>
                <w:kern w:val="0"/>
                <w:szCs w:val="21"/>
              </w:rPr>
              <w:t>H</w:t>
            </w:r>
            <w:r>
              <w:rPr>
                <w:rFonts w:ascii="Times New Roman" w:hAnsi="Times New Roman" w:eastAsia="宋体" w:cs="Times New Roman"/>
                <w:color w:val="000000"/>
                <w:kern w:val="0"/>
                <w:szCs w:val="21"/>
                <w:vertAlign w:val="subscript"/>
              </w:rPr>
              <w:t>9</w:t>
            </w:r>
            <w:r>
              <w:rPr>
                <w:rFonts w:ascii="Times New Roman" w:hAnsi="Times New Roman" w:eastAsia="宋体" w:cs="Times New Roman"/>
                <w:color w:val="000000"/>
                <w:kern w:val="0"/>
                <w:szCs w:val="21"/>
              </w:rPr>
              <w:t>N</w:t>
            </w:r>
            <w:r>
              <w:rPr>
                <w:rFonts w:ascii="Times New Roman" w:hAnsi="Times New Roman" w:eastAsia="宋体" w:cs="Times New Roman"/>
                <w:color w:val="000000"/>
                <w:kern w:val="0"/>
                <w:szCs w:val="21"/>
                <w:vertAlign w:val="subscript"/>
              </w:rPr>
              <w:t>2</w:t>
            </w:r>
            <w:r>
              <w:rPr>
                <w:rFonts w:ascii="Times New Roman" w:hAnsi="Times New Roman" w:eastAsia="宋体" w:cs="Times New Roman"/>
                <w:color w:val="000000"/>
                <w:kern w:val="0"/>
                <w:szCs w:val="21"/>
              </w:rPr>
              <w:t>O</w:t>
            </w:r>
            <w:r>
              <w:rPr>
                <w:rFonts w:ascii="Times New Roman" w:hAnsi="Times New Roman" w:eastAsia="宋体" w:cs="Times New Roman"/>
                <w:color w:val="000000"/>
                <w:kern w:val="0"/>
                <w:szCs w:val="21"/>
                <w:vertAlign w:val="subscript"/>
              </w:rPr>
              <w:t>2</w:t>
            </w:r>
            <w:r>
              <w:rPr>
                <w:rFonts w:ascii="Times New Roman" w:hAnsi="Times New Roman" w:eastAsia="宋体" w:cs="Times New Roman"/>
                <w:color w:val="000000"/>
                <w:kern w:val="0"/>
                <w:szCs w:val="21"/>
              </w:rPr>
              <w:t>S</w:t>
            </w:r>
          </w:p>
        </w:tc>
        <w:tc>
          <w:tcPr>
            <w:tcW w:w="436" w:type="pct"/>
            <w:tcBorders>
              <w:top w:val="nil"/>
              <w:left w:val="nil"/>
              <w:bottom w:val="single" w:color="000000" w:sz="12" w:space="0"/>
              <w:right w:val="nil"/>
            </w:tcBorders>
            <w:vAlign w:val="center"/>
          </w:tcPr>
          <w:p w14:paraId="1A25B53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565.8</w:t>
            </w:r>
          </w:p>
        </w:tc>
        <w:tc>
          <w:tcPr>
            <w:tcW w:w="644" w:type="pct"/>
            <w:tcBorders>
              <w:top w:val="nil"/>
              <w:left w:val="nil"/>
              <w:bottom w:val="single" w:color="000000" w:sz="12" w:space="0"/>
              <w:right w:val="nil"/>
            </w:tcBorders>
            <w:vAlign w:val="center"/>
          </w:tcPr>
          <w:p w14:paraId="7526FB02">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173.9769</w:t>
            </w:r>
          </w:p>
        </w:tc>
        <w:tc>
          <w:tcPr>
            <w:tcW w:w="659" w:type="pct"/>
            <w:tcBorders>
              <w:top w:val="nil"/>
              <w:left w:val="nil"/>
              <w:bottom w:val="single" w:color="000000" w:sz="12" w:space="0"/>
              <w:right w:val="nil"/>
            </w:tcBorders>
            <w:vAlign w:val="center"/>
          </w:tcPr>
          <w:p w14:paraId="51204F9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173.0379</w:t>
            </w:r>
          </w:p>
        </w:tc>
        <w:tc>
          <w:tcPr>
            <w:tcW w:w="481" w:type="pct"/>
            <w:gridSpan w:val="2"/>
            <w:tcBorders>
              <w:top w:val="nil"/>
              <w:left w:val="nil"/>
              <w:bottom w:val="single" w:color="000000" w:sz="12" w:space="0"/>
              <w:right w:val="nil"/>
            </w:tcBorders>
            <w:vAlign w:val="center"/>
          </w:tcPr>
          <w:p w14:paraId="0C8F9E7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xml:space="preserve">2.2 </w:t>
            </w:r>
          </w:p>
        </w:tc>
        <w:tc>
          <w:tcPr>
            <w:tcW w:w="138" w:type="pct"/>
            <w:vAlign w:val="center"/>
          </w:tcPr>
          <w:p w14:paraId="12C49415">
            <w:pPr>
              <w:widowControl/>
              <w:jc w:val="left"/>
              <w:rPr>
                <w:rFonts w:ascii="Times New Roman" w:hAnsi="Times New Roman" w:eastAsia="Times New Roman" w:cs="Times New Roman"/>
                <w:kern w:val="0"/>
                <w:sz w:val="20"/>
                <w:szCs w:val="20"/>
              </w:rPr>
            </w:pPr>
          </w:p>
        </w:tc>
      </w:tr>
    </w:tbl>
    <w:p w14:paraId="610984C9">
      <w:pPr>
        <w:rPr>
          <w:rFonts w:ascii="Times New Roman" w:hAnsi="Times New Roman" w:cs="Times New Roman"/>
          <w:b/>
          <w:bCs/>
          <w:sz w:val="24"/>
          <w:szCs w:val="24"/>
        </w:rPr>
      </w:pPr>
      <w:r>
        <w:rPr>
          <w:rFonts w:ascii="Times New Roman" w:hAnsi="Times New Roman" w:cs="Times New Roman"/>
          <w:b/>
          <w:bCs/>
          <w:sz w:val="24"/>
          <w:szCs w:val="24"/>
        </w:rPr>
        <w:br w:type="page"/>
      </w:r>
    </w:p>
    <w:p w14:paraId="3062A971">
      <w:pPr>
        <w:spacing w:line="360" w:lineRule="auto"/>
        <w:rPr>
          <w:rFonts w:ascii="Times New Roman" w:hAnsi="Times New Roman" w:cs="Times New Roman"/>
          <w:sz w:val="24"/>
          <w:szCs w:val="24"/>
        </w:rPr>
      </w:pPr>
      <w:r>
        <w:rPr>
          <w:rFonts w:ascii="Times New Roman" w:hAnsi="Times New Roman" w:cs="Times New Roman"/>
          <w:b/>
          <w:bCs/>
          <w:sz w:val="24"/>
          <w:szCs w:val="24"/>
        </w:rPr>
        <w:t>Table S3.</w:t>
      </w:r>
      <w:r>
        <w:rPr>
          <w:rFonts w:ascii="Times New Roman" w:hAnsi="Times New Roman" w:cs="Times New Roman"/>
          <w:sz w:val="24"/>
          <w:szCs w:val="24"/>
        </w:rPr>
        <w:t xml:space="preserve"> SDZ degradation pathway </w:t>
      </w:r>
      <w:bookmarkStart w:id="10" w:name="_Hlk209518316"/>
      <w:r>
        <w:rPr>
          <w:rFonts w:ascii="Times New Roman" w:hAnsi="Times New Roman" w:cs="Times New Roman"/>
          <w:sz w:val="24"/>
          <w:szCs w:val="24"/>
        </w:rPr>
        <w:t>Ⅰ-Ⅳ</w:t>
      </w:r>
      <w:bookmarkEnd w:id="10"/>
      <w:r>
        <w:rPr>
          <w:rFonts w:ascii="Times New Roman" w:hAnsi="Times New Roman" w:cs="Times New Roman"/>
          <w:sz w:val="24"/>
          <w:szCs w:val="24"/>
        </w:rPr>
        <w:t xml:space="preserve"> free energy</w:t>
      </w:r>
    </w:p>
    <w:tbl>
      <w:tblPr>
        <w:tblStyle w:val="5"/>
        <w:tblW w:w="5000" w:type="pct"/>
        <w:tblInd w:w="0" w:type="dxa"/>
        <w:tblLayout w:type="autofit"/>
        <w:tblCellMar>
          <w:top w:w="0" w:type="dxa"/>
          <w:left w:w="108" w:type="dxa"/>
          <w:bottom w:w="0" w:type="dxa"/>
          <w:right w:w="108" w:type="dxa"/>
        </w:tblCellMar>
      </w:tblPr>
      <w:tblGrid>
        <w:gridCol w:w="3585"/>
        <w:gridCol w:w="1572"/>
        <w:gridCol w:w="3365"/>
      </w:tblGrid>
      <w:tr w14:paraId="0B607F73">
        <w:tblPrEx>
          <w:tblCellMar>
            <w:top w:w="0" w:type="dxa"/>
            <w:left w:w="108" w:type="dxa"/>
            <w:bottom w:w="0" w:type="dxa"/>
            <w:right w:w="108" w:type="dxa"/>
          </w:tblCellMar>
        </w:tblPrEx>
        <w:trPr>
          <w:trHeight w:val="300" w:hRule="atLeast"/>
        </w:trPr>
        <w:tc>
          <w:tcPr>
            <w:tcW w:w="1981" w:type="pct"/>
            <w:tcBorders>
              <w:top w:val="nil"/>
              <w:left w:val="nil"/>
              <w:bottom w:val="nil"/>
              <w:right w:val="nil"/>
            </w:tcBorders>
            <w:noWrap/>
            <w:vAlign w:val="center"/>
          </w:tcPr>
          <w:p w14:paraId="067839D2">
            <w:pPr>
              <w:widowControl/>
              <w:jc w:val="left"/>
              <w:rPr>
                <w:rFonts w:ascii="Times New Roman" w:hAnsi="Times New Roman" w:eastAsia="Times New Roman" w:cs="Times New Roman"/>
                <w:kern w:val="0"/>
                <w:sz w:val="20"/>
                <w:szCs w:val="20"/>
              </w:rPr>
            </w:pPr>
          </w:p>
        </w:tc>
        <w:tc>
          <w:tcPr>
            <w:tcW w:w="932" w:type="pct"/>
            <w:tcBorders>
              <w:top w:val="nil"/>
              <w:left w:val="nil"/>
              <w:bottom w:val="nil"/>
              <w:right w:val="nil"/>
            </w:tcBorders>
            <w:noWrap/>
            <w:vAlign w:val="center"/>
          </w:tcPr>
          <w:p w14:paraId="6837A3DE">
            <w:pPr>
              <w:widowControl/>
              <w:jc w:val="left"/>
              <w:rPr>
                <w:rFonts w:ascii="Times New Roman" w:hAnsi="Times New Roman" w:eastAsia="Times New Roman" w:cs="Times New Roman"/>
                <w:kern w:val="0"/>
                <w:sz w:val="20"/>
                <w:szCs w:val="20"/>
              </w:rPr>
            </w:pPr>
          </w:p>
        </w:tc>
        <w:tc>
          <w:tcPr>
            <w:tcW w:w="2087" w:type="pct"/>
            <w:tcBorders>
              <w:top w:val="nil"/>
              <w:left w:val="nil"/>
              <w:bottom w:val="nil"/>
              <w:right w:val="nil"/>
            </w:tcBorders>
            <w:noWrap/>
            <w:vAlign w:val="center"/>
          </w:tcPr>
          <w:p w14:paraId="60616C66">
            <w:pPr>
              <w:widowControl/>
              <w:jc w:val="left"/>
              <w:rPr>
                <w:rFonts w:ascii="Times New Roman" w:hAnsi="Times New Roman" w:eastAsia="Times New Roman" w:cs="Times New Roman"/>
                <w:kern w:val="0"/>
                <w:sz w:val="20"/>
                <w:szCs w:val="20"/>
              </w:rPr>
            </w:pPr>
          </w:p>
        </w:tc>
      </w:tr>
      <w:tr w14:paraId="4EF05CDE">
        <w:tblPrEx>
          <w:tblCellMar>
            <w:top w:w="0" w:type="dxa"/>
            <w:left w:w="108" w:type="dxa"/>
            <w:bottom w:w="0" w:type="dxa"/>
            <w:right w:w="108" w:type="dxa"/>
          </w:tblCellMar>
        </w:tblPrEx>
        <w:trPr>
          <w:trHeight w:val="312" w:hRule="atLeast"/>
        </w:trPr>
        <w:tc>
          <w:tcPr>
            <w:tcW w:w="1981" w:type="pct"/>
            <w:tcBorders>
              <w:top w:val="single" w:color="auto" w:sz="12" w:space="0"/>
              <w:left w:val="nil"/>
              <w:bottom w:val="single" w:color="auto" w:sz="8" w:space="0"/>
              <w:right w:val="nil"/>
            </w:tcBorders>
            <w:noWrap/>
            <w:vAlign w:val="center"/>
          </w:tcPr>
          <w:p w14:paraId="40CCC649">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Degradation pathway of sulfamethoxazole</w:t>
            </w:r>
          </w:p>
        </w:tc>
        <w:tc>
          <w:tcPr>
            <w:tcW w:w="932" w:type="pct"/>
            <w:tcBorders>
              <w:top w:val="single" w:color="auto" w:sz="12" w:space="0"/>
              <w:left w:val="nil"/>
              <w:bottom w:val="single" w:color="auto" w:sz="8" w:space="0"/>
              <w:right w:val="nil"/>
            </w:tcBorders>
            <w:noWrap/>
            <w:vAlign w:val="center"/>
          </w:tcPr>
          <w:p w14:paraId="6E1FDFE4">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total energy (eV)</w:t>
            </w:r>
          </w:p>
        </w:tc>
        <w:tc>
          <w:tcPr>
            <w:tcW w:w="2087" w:type="pct"/>
            <w:tcBorders>
              <w:top w:val="single" w:color="auto" w:sz="12" w:space="0"/>
              <w:left w:val="nil"/>
              <w:bottom w:val="single" w:color="auto" w:sz="8" w:space="0"/>
              <w:right w:val="nil"/>
            </w:tcBorders>
            <w:noWrap/>
            <w:vAlign w:val="center"/>
          </w:tcPr>
          <w:p w14:paraId="3EDA944B">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Relative free energy variation (ΔG, eV)</w:t>
            </w:r>
          </w:p>
        </w:tc>
      </w:tr>
      <w:tr w14:paraId="010321A8">
        <w:tblPrEx>
          <w:tblCellMar>
            <w:top w:w="0" w:type="dxa"/>
            <w:left w:w="108" w:type="dxa"/>
            <w:bottom w:w="0" w:type="dxa"/>
            <w:right w:w="108" w:type="dxa"/>
          </w:tblCellMar>
        </w:tblPrEx>
        <w:trPr>
          <w:trHeight w:val="288" w:hRule="atLeast"/>
        </w:trPr>
        <w:tc>
          <w:tcPr>
            <w:tcW w:w="1981" w:type="pct"/>
            <w:tcBorders>
              <w:top w:val="nil"/>
              <w:left w:val="nil"/>
              <w:bottom w:val="nil"/>
              <w:right w:val="nil"/>
            </w:tcBorders>
            <w:noWrap/>
            <w:vAlign w:val="center"/>
          </w:tcPr>
          <w:p w14:paraId="649E99B7">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Initial</w:t>
            </w:r>
          </w:p>
        </w:tc>
        <w:tc>
          <w:tcPr>
            <w:tcW w:w="932" w:type="pct"/>
            <w:tcBorders>
              <w:top w:val="nil"/>
              <w:left w:val="nil"/>
              <w:bottom w:val="nil"/>
              <w:right w:val="nil"/>
            </w:tcBorders>
            <w:noWrap/>
            <w:vAlign w:val="center"/>
          </w:tcPr>
          <w:p w14:paraId="6C4B299F">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-1615.1530</w:t>
            </w:r>
          </w:p>
        </w:tc>
        <w:tc>
          <w:tcPr>
            <w:tcW w:w="2087" w:type="pct"/>
            <w:tcBorders>
              <w:top w:val="nil"/>
              <w:left w:val="nil"/>
              <w:bottom w:val="nil"/>
              <w:right w:val="nil"/>
            </w:tcBorders>
            <w:noWrap/>
            <w:vAlign w:val="center"/>
          </w:tcPr>
          <w:p w14:paraId="5BDFBAEF">
            <w:pPr>
              <w:widowControl/>
              <w:jc w:val="center"/>
              <w:rPr>
                <w:rFonts w:ascii="Times New Roman" w:hAnsi="Times New Roman" w:eastAsia="宋体" w:cs="Times New Roman"/>
                <w:color w:val="000000"/>
                <w:kern w:val="0"/>
                <w:sz w:val="22"/>
              </w:rPr>
            </w:pPr>
          </w:p>
        </w:tc>
      </w:tr>
      <w:tr w14:paraId="6D73B4BC">
        <w:tblPrEx>
          <w:tblCellMar>
            <w:top w:w="0" w:type="dxa"/>
            <w:left w:w="108" w:type="dxa"/>
            <w:bottom w:w="0" w:type="dxa"/>
            <w:right w:w="108" w:type="dxa"/>
          </w:tblCellMar>
        </w:tblPrEx>
        <w:trPr>
          <w:trHeight w:val="288" w:hRule="atLeast"/>
        </w:trPr>
        <w:tc>
          <w:tcPr>
            <w:tcW w:w="1981" w:type="pct"/>
            <w:tcBorders>
              <w:top w:val="nil"/>
              <w:left w:val="nil"/>
              <w:bottom w:val="nil"/>
              <w:right w:val="nil"/>
            </w:tcBorders>
            <w:noWrap/>
            <w:vAlign w:val="center"/>
          </w:tcPr>
          <w:p w14:paraId="61EBDA4E">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Pathway Ⅰ</w:t>
            </w:r>
          </w:p>
        </w:tc>
        <w:tc>
          <w:tcPr>
            <w:tcW w:w="932" w:type="pct"/>
            <w:tcBorders>
              <w:top w:val="nil"/>
              <w:left w:val="nil"/>
              <w:bottom w:val="nil"/>
              <w:right w:val="nil"/>
            </w:tcBorders>
            <w:noWrap/>
            <w:vAlign w:val="center"/>
          </w:tcPr>
          <w:p w14:paraId="01A453CF">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-1610.8559</w:t>
            </w:r>
          </w:p>
        </w:tc>
        <w:tc>
          <w:tcPr>
            <w:tcW w:w="2087" w:type="pct"/>
            <w:tcBorders>
              <w:top w:val="nil"/>
              <w:left w:val="nil"/>
              <w:bottom w:val="nil"/>
              <w:right w:val="nil"/>
            </w:tcBorders>
            <w:noWrap/>
            <w:vAlign w:val="center"/>
          </w:tcPr>
          <w:p w14:paraId="6FBF50A5">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-4.3</w:t>
            </w:r>
          </w:p>
        </w:tc>
      </w:tr>
      <w:tr w14:paraId="67B37FDA">
        <w:tblPrEx>
          <w:tblCellMar>
            <w:top w:w="0" w:type="dxa"/>
            <w:left w:w="108" w:type="dxa"/>
            <w:bottom w:w="0" w:type="dxa"/>
            <w:right w:w="108" w:type="dxa"/>
          </w:tblCellMar>
        </w:tblPrEx>
        <w:trPr>
          <w:trHeight w:val="288" w:hRule="atLeast"/>
        </w:trPr>
        <w:tc>
          <w:tcPr>
            <w:tcW w:w="1981" w:type="pct"/>
            <w:tcBorders>
              <w:top w:val="nil"/>
              <w:left w:val="nil"/>
              <w:bottom w:val="nil"/>
              <w:right w:val="nil"/>
            </w:tcBorders>
            <w:noWrap/>
            <w:vAlign w:val="center"/>
          </w:tcPr>
          <w:p w14:paraId="02CB40CF">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Pathway Ⅱ</w:t>
            </w:r>
          </w:p>
        </w:tc>
        <w:tc>
          <w:tcPr>
            <w:tcW w:w="932" w:type="pct"/>
            <w:tcBorders>
              <w:top w:val="nil"/>
              <w:left w:val="nil"/>
              <w:bottom w:val="nil"/>
              <w:right w:val="nil"/>
            </w:tcBorders>
            <w:noWrap/>
            <w:vAlign w:val="center"/>
          </w:tcPr>
          <w:p w14:paraId="06CF89D5">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-1607.3537</w:t>
            </w:r>
          </w:p>
        </w:tc>
        <w:tc>
          <w:tcPr>
            <w:tcW w:w="2087" w:type="pct"/>
            <w:tcBorders>
              <w:top w:val="nil"/>
              <w:left w:val="nil"/>
              <w:bottom w:val="nil"/>
              <w:right w:val="nil"/>
            </w:tcBorders>
            <w:noWrap/>
            <w:vAlign w:val="center"/>
          </w:tcPr>
          <w:p w14:paraId="6684EF7D">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-7.79</w:t>
            </w:r>
          </w:p>
        </w:tc>
      </w:tr>
      <w:tr w14:paraId="6A39B4EB">
        <w:tblPrEx>
          <w:tblCellMar>
            <w:top w:w="0" w:type="dxa"/>
            <w:left w:w="108" w:type="dxa"/>
            <w:bottom w:w="0" w:type="dxa"/>
            <w:right w:w="108" w:type="dxa"/>
          </w:tblCellMar>
        </w:tblPrEx>
        <w:trPr>
          <w:trHeight w:val="288" w:hRule="atLeast"/>
        </w:trPr>
        <w:tc>
          <w:tcPr>
            <w:tcW w:w="1981" w:type="pct"/>
            <w:tcBorders>
              <w:top w:val="nil"/>
              <w:left w:val="nil"/>
              <w:bottom w:val="nil"/>
              <w:right w:val="nil"/>
            </w:tcBorders>
            <w:noWrap/>
            <w:vAlign w:val="center"/>
          </w:tcPr>
          <w:p w14:paraId="421F615F">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Pathway Ⅲ</w:t>
            </w:r>
          </w:p>
        </w:tc>
        <w:tc>
          <w:tcPr>
            <w:tcW w:w="932" w:type="pct"/>
            <w:tcBorders>
              <w:top w:val="nil"/>
              <w:left w:val="nil"/>
              <w:bottom w:val="nil"/>
              <w:right w:val="nil"/>
            </w:tcBorders>
            <w:noWrap/>
            <w:vAlign w:val="center"/>
          </w:tcPr>
          <w:p w14:paraId="199AA8F6">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-1604.2472</w:t>
            </w:r>
          </w:p>
        </w:tc>
        <w:tc>
          <w:tcPr>
            <w:tcW w:w="2087" w:type="pct"/>
            <w:tcBorders>
              <w:top w:val="nil"/>
              <w:left w:val="nil"/>
              <w:bottom w:val="nil"/>
              <w:right w:val="nil"/>
            </w:tcBorders>
            <w:noWrap/>
            <w:vAlign w:val="center"/>
          </w:tcPr>
          <w:p w14:paraId="4AF22CCD">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-10.91</w:t>
            </w:r>
          </w:p>
        </w:tc>
      </w:tr>
      <w:tr w14:paraId="29C29CA1">
        <w:tblPrEx>
          <w:tblCellMar>
            <w:top w:w="0" w:type="dxa"/>
            <w:left w:w="108" w:type="dxa"/>
            <w:bottom w:w="0" w:type="dxa"/>
            <w:right w:w="108" w:type="dxa"/>
          </w:tblCellMar>
        </w:tblPrEx>
        <w:trPr>
          <w:trHeight w:val="300" w:hRule="atLeast"/>
        </w:trPr>
        <w:tc>
          <w:tcPr>
            <w:tcW w:w="1981" w:type="pct"/>
            <w:tcBorders>
              <w:top w:val="nil"/>
              <w:left w:val="nil"/>
              <w:bottom w:val="single" w:color="auto" w:sz="12" w:space="0"/>
              <w:right w:val="nil"/>
            </w:tcBorders>
            <w:noWrap/>
            <w:vAlign w:val="center"/>
          </w:tcPr>
          <w:p w14:paraId="703CCAE0">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Pathway Ⅳ</w:t>
            </w:r>
          </w:p>
        </w:tc>
        <w:tc>
          <w:tcPr>
            <w:tcW w:w="932" w:type="pct"/>
            <w:tcBorders>
              <w:top w:val="nil"/>
              <w:left w:val="nil"/>
              <w:bottom w:val="single" w:color="auto" w:sz="12" w:space="0"/>
              <w:right w:val="nil"/>
            </w:tcBorders>
            <w:noWrap/>
            <w:vAlign w:val="center"/>
          </w:tcPr>
          <w:p w14:paraId="56D51268">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-1612.2332</w:t>
            </w:r>
          </w:p>
        </w:tc>
        <w:tc>
          <w:tcPr>
            <w:tcW w:w="2087" w:type="pct"/>
            <w:tcBorders>
              <w:top w:val="nil"/>
              <w:left w:val="nil"/>
              <w:bottom w:val="single" w:color="auto" w:sz="12" w:space="0"/>
              <w:right w:val="nil"/>
            </w:tcBorders>
            <w:noWrap/>
            <w:vAlign w:val="center"/>
          </w:tcPr>
          <w:p w14:paraId="4DB1BAB2">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-2.92</w:t>
            </w:r>
          </w:p>
        </w:tc>
      </w:tr>
    </w:tbl>
    <w:p w14:paraId="7E0BF10A">
      <w:pPr>
        <w:spacing w:line="480" w:lineRule="auto"/>
        <w:rPr>
          <w:rFonts w:ascii="Times New Roman" w:hAnsi="Times New Roman" w:cs="Times New Roman"/>
          <w:sz w:val="24"/>
          <w:szCs w:val="24"/>
        </w:rPr>
      </w:pPr>
    </w:p>
    <w:p w14:paraId="3C55A714">
      <w:pPr>
        <w:spacing w:line="360" w:lineRule="auto"/>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drawing>
          <wp:inline distT="0" distB="0" distL="0" distR="0">
            <wp:extent cx="4000500" cy="2674620"/>
            <wp:effectExtent l="0" t="0" r="0" b="0"/>
            <wp:docPr id="8541316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131622" name="图片 9"/>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4000847" cy="2674852"/>
                    </a:xfrm>
                    <a:prstGeom prst="rect">
                      <a:avLst/>
                    </a:prstGeom>
                  </pic:spPr>
                </pic:pic>
              </a:graphicData>
            </a:graphic>
          </wp:inline>
        </w:drawing>
      </w:r>
    </w:p>
    <w:p w14:paraId="5DDB1BE7">
      <w:pPr>
        <w:spacing w:line="360" w:lineRule="auto"/>
        <w:jc w:val="center"/>
        <w:rPr>
          <w:rFonts w:ascii="Times New Roman" w:hAnsi="Times New Roman" w:cs="Times New Roman"/>
          <w:sz w:val="24"/>
          <w:szCs w:val="24"/>
          <w:vertAlign w:val="subscript"/>
        </w:rPr>
      </w:pPr>
      <w:r>
        <w:rPr>
          <w:rFonts w:ascii="Times New Roman" w:hAnsi="Times New Roman" w:cs="Times New Roman"/>
          <w:sz w:val="24"/>
          <w:szCs w:val="24"/>
        </w:rPr>
        <w:t>Fig S19. SDZ degradation pathway Ⅰ-Ⅳ free energy step diagram</w:t>
      </w:r>
    </w:p>
    <w:p w14:paraId="35D3049A">
      <w:pPr>
        <w:rPr>
          <w:rFonts w:ascii="Times New Roman" w:hAnsi="Times New Roman" w:cs="Times New Roman"/>
          <w:sz w:val="24"/>
          <w:szCs w:val="24"/>
        </w:rPr>
      </w:pPr>
      <w:r>
        <w:rPr>
          <w:rFonts w:ascii="Times New Roman" w:hAnsi="Times New Roman" w:cs="Times New Roman"/>
          <w:sz w:val="24"/>
          <w:szCs w:val="24"/>
        </w:rPr>
        <w:br w:type="page"/>
      </w:r>
    </w:p>
    <w:p w14:paraId="4A938749">
      <w:pPr>
        <w:spacing w:line="480" w:lineRule="auto"/>
        <w:rPr>
          <w:rFonts w:ascii="Times New Roman" w:hAnsi="Times New Roman" w:cs="Times New Roman"/>
          <w:sz w:val="24"/>
          <w:szCs w:val="24"/>
          <w:vertAlign w:val="subscript"/>
        </w:rPr>
      </w:pPr>
      <w:bookmarkStart w:id="11" w:name="_Hlk209518102"/>
      <w:r>
        <w:rPr>
          <w:rFonts w:ascii="Times New Roman" w:hAnsi="Times New Roman" w:cs="Times New Roman"/>
          <w:b/>
          <w:bCs/>
          <w:sz w:val="24"/>
          <w:szCs w:val="24"/>
        </w:rPr>
        <w:t xml:space="preserve">Table S4. </w:t>
      </w:r>
      <w:bookmarkEnd w:id="11"/>
      <w:r>
        <w:rPr>
          <w:rFonts w:ascii="Times New Roman" w:hAnsi="Times New Roman" w:cs="Times New Roman"/>
          <w:sz w:val="24"/>
          <w:szCs w:val="24"/>
        </w:rPr>
        <w:t>The atomic natural charge and Fukui function values of atoms in SDZ molecules.</w:t>
      </w:r>
    </w:p>
    <w:tbl>
      <w:tblPr>
        <w:tblStyle w:val="5"/>
        <w:tblW w:w="6732" w:type="dxa"/>
        <w:jc w:val="center"/>
        <w:tblLayout w:type="autofit"/>
        <w:tblCellMar>
          <w:top w:w="0" w:type="dxa"/>
          <w:left w:w="108" w:type="dxa"/>
          <w:bottom w:w="0" w:type="dxa"/>
          <w:right w:w="108" w:type="dxa"/>
        </w:tblCellMar>
      </w:tblPr>
      <w:tblGrid>
        <w:gridCol w:w="1080"/>
        <w:gridCol w:w="2100"/>
        <w:gridCol w:w="1176"/>
        <w:gridCol w:w="1080"/>
        <w:gridCol w:w="1296"/>
      </w:tblGrid>
      <w:tr w14:paraId="69FA997F">
        <w:tblPrEx>
          <w:tblCellMar>
            <w:top w:w="0" w:type="dxa"/>
            <w:left w:w="108" w:type="dxa"/>
            <w:bottom w:w="0" w:type="dxa"/>
            <w:right w:w="108" w:type="dxa"/>
          </w:tblCellMar>
        </w:tblPrEx>
        <w:trPr>
          <w:trHeight w:val="363" w:hRule="atLeast"/>
          <w:jc w:val="center"/>
        </w:trPr>
        <w:tc>
          <w:tcPr>
            <w:tcW w:w="1080" w:type="dxa"/>
            <w:tcBorders>
              <w:top w:val="single" w:color="000000" w:sz="12" w:space="0"/>
              <w:left w:val="dashSmallGap" w:color="000000" w:sz="4" w:space="0"/>
              <w:bottom w:val="single" w:color="000000" w:sz="2" w:space="0"/>
              <w:right w:val="dashSmallGap" w:color="000000" w:sz="4" w:space="0"/>
            </w:tcBorders>
            <w:shd w:val="clear" w:color="auto" w:fill="FFFFFF"/>
            <w:noWrap/>
            <w:vAlign w:val="center"/>
          </w:tcPr>
          <w:p w14:paraId="0594DF4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Atom</w:t>
            </w:r>
          </w:p>
        </w:tc>
        <w:tc>
          <w:tcPr>
            <w:tcW w:w="2100" w:type="dxa"/>
            <w:tcBorders>
              <w:top w:val="single" w:color="000000" w:sz="12" w:space="0"/>
              <w:left w:val="dashSmallGap" w:color="000000" w:sz="4" w:space="0"/>
              <w:bottom w:val="single" w:color="000000" w:sz="2" w:space="0"/>
              <w:right w:val="dashSmallGap" w:color="000000" w:sz="4" w:space="0"/>
            </w:tcBorders>
            <w:shd w:val="clear" w:color="auto" w:fill="FFFFFF"/>
            <w:noWrap/>
            <w:vAlign w:val="center"/>
          </w:tcPr>
          <w:p w14:paraId="678B944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Atomic natural charge</w:t>
            </w:r>
          </w:p>
        </w:tc>
        <w:tc>
          <w:tcPr>
            <w:tcW w:w="1176" w:type="dxa"/>
            <w:tcBorders>
              <w:top w:val="single" w:color="000000" w:sz="12" w:space="0"/>
              <w:left w:val="dashSmallGap" w:color="000000" w:sz="4" w:space="0"/>
              <w:bottom w:val="single" w:color="000000" w:sz="2" w:space="0"/>
              <w:right w:val="dashSmallGap" w:color="000000" w:sz="4" w:space="0"/>
            </w:tcBorders>
            <w:shd w:val="clear" w:color="auto" w:fill="FFFFFF"/>
            <w:noWrap/>
            <w:vAlign w:val="center"/>
          </w:tcPr>
          <w:p w14:paraId="344E2CB4">
            <w:pPr>
              <w:widowControl/>
              <w:jc w:val="center"/>
              <w:textAlignment w:val="center"/>
              <w:rPr>
                <w:rFonts w:ascii="Times New Roman" w:hAnsi="Times New Roman" w:eastAsia="宋体" w:cs="Times New Roman"/>
                <w:i/>
                <w:iCs/>
                <w:color w:val="000000"/>
                <w:szCs w:val="21"/>
              </w:rPr>
            </w:pPr>
            <w:r>
              <w:rPr>
                <w:rFonts w:ascii="Times New Roman" w:hAnsi="Times New Roman" w:eastAsia="宋体" w:cs="Times New Roman"/>
                <w:i/>
                <w:iCs/>
                <w:color w:val="000000"/>
                <w:kern w:val="0"/>
                <w:szCs w:val="21"/>
                <w:lang w:bidi="ar"/>
              </w:rPr>
              <w:t>f</w:t>
            </w:r>
            <w:r>
              <w:rPr>
                <w:rStyle w:val="17"/>
                <w:rFonts w:eastAsia="宋体"/>
                <w:lang w:bidi="ar"/>
              </w:rPr>
              <w:t>A</w:t>
            </w:r>
            <w:r>
              <w:rPr>
                <w:rStyle w:val="18"/>
                <w:rFonts w:eastAsia="宋体"/>
                <w:lang w:bidi="ar"/>
              </w:rPr>
              <w:t>-</w:t>
            </w:r>
          </w:p>
        </w:tc>
        <w:tc>
          <w:tcPr>
            <w:tcW w:w="1080" w:type="dxa"/>
            <w:tcBorders>
              <w:top w:val="single" w:color="000000" w:sz="12" w:space="0"/>
              <w:left w:val="dashSmallGap" w:color="000000" w:sz="4" w:space="0"/>
              <w:bottom w:val="single" w:color="000000" w:sz="2" w:space="0"/>
              <w:right w:val="dashSmallGap" w:color="000000" w:sz="4" w:space="0"/>
            </w:tcBorders>
            <w:shd w:val="clear" w:color="auto" w:fill="FFFFFF"/>
            <w:noWrap/>
            <w:vAlign w:val="center"/>
          </w:tcPr>
          <w:p w14:paraId="28A5950E">
            <w:pPr>
              <w:widowControl/>
              <w:jc w:val="center"/>
              <w:textAlignment w:val="center"/>
              <w:rPr>
                <w:rFonts w:ascii="Times New Roman" w:hAnsi="Times New Roman" w:eastAsia="宋体" w:cs="Times New Roman"/>
                <w:i/>
                <w:iCs/>
                <w:color w:val="000000"/>
                <w:szCs w:val="21"/>
              </w:rPr>
            </w:pPr>
            <w:r>
              <w:rPr>
                <w:rFonts w:ascii="Times New Roman" w:hAnsi="Times New Roman" w:eastAsia="宋体" w:cs="Times New Roman"/>
                <w:i/>
                <w:iCs/>
                <w:color w:val="000000"/>
                <w:kern w:val="0"/>
                <w:szCs w:val="21"/>
                <w:lang w:bidi="ar"/>
              </w:rPr>
              <w:t>f</w:t>
            </w:r>
            <w:r>
              <w:rPr>
                <w:rStyle w:val="17"/>
                <w:rFonts w:eastAsia="宋体"/>
                <w:lang w:bidi="ar"/>
              </w:rPr>
              <w:t>A</w:t>
            </w:r>
            <w:r>
              <w:rPr>
                <w:rStyle w:val="18"/>
                <w:rFonts w:eastAsia="宋体"/>
                <w:lang w:bidi="ar"/>
              </w:rPr>
              <w:t>+</w:t>
            </w:r>
          </w:p>
        </w:tc>
        <w:tc>
          <w:tcPr>
            <w:tcW w:w="1296" w:type="dxa"/>
            <w:tcBorders>
              <w:top w:val="single" w:color="000000" w:sz="12" w:space="0"/>
              <w:left w:val="dashSmallGap" w:color="000000" w:sz="4" w:space="0"/>
              <w:bottom w:val="single" w:color="000000" w:sz="2" w:space="0"/>
              <w:right w:val="dashSmallGap" w:color="000000" w:sz="4" w:space="0"/>
            </w:tcBorders>
            <w:shd w:val="clear" w:color="auto" w:fill="FFFFFF"/>
            <w:noWrap/>
            <w:vAlign w:val="center"/>
          </w:tcPr>
          <w:p w14:paraId="70C94514">
            <w:pPr>
              <w:widowControl/>
              <w:jc w:val="center"/>
              <w:textAlignment w:val="center"/>
              <w:rPr>
                <w:rFonts w:ascii="Times New Roman" w:hAnsi="Times New Roman" w:eastAsia="宋体" w:cs="Times New Roman"/>
                <w:i/>
                <w:iCs/>
                <w:color w:val="000000"/>
                <w:szCs w:val="21"/>
              </w:rPr>
            </w:pPr>
            <w:r>
              <w:rPr>
                <w:rFonts w:ascii="Times New Roman" w:hAnsi="Times New Roman" w:eastAsia="宋体" w:cs="Times New Roman"/>
                <w:i/>
                <w:iCs/>
                <w:color w:val="000000"/>
                <w:kern w:val="0"/>
                <w:szCs w:val="21"/>
                <w:lang w:bidi="ar"/>
              </w:rPr>
              <w:t>f</w:t>
            </w:r>
            <w:r>
              <w:rPr>
                <w:rStyle w:val="17"/>
                <w:rFonts w:eastAsia="宋体"/>
                <w:lang w:bidi="ar"/>
              </w:rPr>
              <w:t>A</w:t>
            </w:r>
            <w:r>
              <w:rPr>
                <w:rStyle w:val="18"/>
                <w:rFonts w:eastAsia="宋体"/>
                <w:lang w:bidi="ar"/>
              </w:rPr>
              <w:t>0</w:t>
            </w:r>
          </w:p>
        </w:tc>
      </w:tr>
      <w:tr w14:paraId="093846E9">
        <w:tblPrEx>
          <w:tblCellMar>
            <w:top w:w="0" w:type="dxa"/>
            <w:left w:w="108" w:type="dxa"/>
            <w:bottom w:w="0" w:type="dxa"/>
            <w:right w:w="108" w:type="dxa"/>
          </w:tblCellMar>
        </w:tblPrEx>
        <w:trPr>
          <w:trHeight w:val="312" w:hRule="atLeast"/>
          <w:jc w:val="center"/>
        </w:trPr>
        <w:tc>
          <w:tcPr>
            <w:tcW w:w="0" w:type="auto"/>
            <w:tcBorders>
              <w:top w:val="single" w:color="000000" w:sz="2" w:space="0"/>
              <w:left w:val="dashSmallGap" w:color="000000" w:sz="4" w:space="0"/>
              <w:bottom w:val="dashSmallGap" w:color="000000" w:sz="4" w:space="0"/>
              <w:right w:val="dashSmallGap" w:color="000000" w:sz="4" w:space="0"/>
            </w:tcBorders>
            <w:noWrap/>
            <w:vAlign w:val="center"/>
          </w:tcPr>
          <w:p w14:paraId="07615CA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C1</w:t>
            </w:r>
          </w:p>
        </w:tc>
        <w:tc>
          <w:tcPr>
            <w:tcW w:w="0" w:type="auto"/>
            <w:tcBorders>
              <w:top w:val="single" w:color="000000" w:sz="2" w:space="0"/>
              <w:left w:val="dashSmallGap" w:color="000000" w:sz="4" w:space="0"/>
              <w:bottom w:val="dashSmallGap" w:color="000000" w:sz="4" w:space="0"/>
              <w:right w:val="dashSmallGap" w:color="000000" w:sz="4" w:space="0"/>
            </w:tcBorders>
            <w:noWrap/>
            <w:vAlign w:val="center"/>
          </w:tcPr>
          <w:p w14:paraId="750DD34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-0.39659</w:t>
            </w:r>
          </w:p>
        </w:tc>
        <w:tc>
          <w:tcPr>
            <w:tcW w:w="1176" w:type="dxa"/>
            <w:tcBorders>
              <w:top w:val="single" w:color="000000" w:sz="2" w:space="0"/>
              <w:left w:val="dashSmallGap" w:color="000000" w:sz="4" w:space="0"/>
              <w:bottom w:val="dashSmallGap" w:color="000000" w:sz="4" w:space="0"/>
              <w:right w:val="dashSmallGap" w:color="000000" w:sz="4" w:space="0"/>
            </w:tcBorders>
            <w:noWrap/>
            <w:vAlign w:val="center"/>
          </w:tcPr>
          <w:p w14:paraId="4A996159">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0.12291</w:t>
            </w:r>
          </w:p>
        </w:tc>
        <w:tc>
          <w:tcPr>
            <w:tcW w:w="1080" w:type="dxa"/>
            <w:tcBorders>
              <w:top w:val="single" w:color="000000" w:sz="2" w:space="0"/>
              <w:left w:val="dashSmallGap" w:color="000000" w:sz="4" w:space="0"/>
              <w:bottom w:val="dashSmallGap" w:color="000000" w:sz="4" w:space="0"/>
              <w:right w:val="dashSmallGap" w:color="000000" w:sz="4" w:space="0"/>
            </w:tcBorders>
            <w:noWrap/>
            <w:vAlign w:val="center"/>
          </w:tcPr>
          <w:p w14:paraId="4CE64351">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0.05735</w:t>
            </w:r>
          </w:p>
        </w:tc>
        <w:tc>
          <w:tcPr>
            <w:tcW w:w="0" w:type="auto"/>
            <w:tcBorders>
              <w:top w:val="single" w:color="000000" w:sz="2" w:space="0"/>
              <w:left w:val="dashSmallGap" w:color="000000" w:sz="4" w:space="0"/>
              <w:bottom w:val="dashSmallGap" w:color="000000" w:sz="4" w:space="0"/>
              <w:right w:val="dashSmallGap" w:color="000000" w:sz="4" w:space="0"/>
            </w:tcBorders>
            <w:noWrap/>
            <w:vAlign w:val="center"/>
          </w:tcPr>
          <w:p w14:paraId="4172BC8A">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0.02895</w:t>
            </w:r>
          </w:p>
        </w:tc>
      </w:tr>
      <w:tr w14:paraId="5F278118">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C3E522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C2</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5CE08F9">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-0.19423</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15DC4ADC">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0.00055</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2B893DA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0.018</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322F16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0.04857</w:t>
            </w:r>
          </w:p>
        </w:tc>
      </w:tr>
      <w:tr w14:paraId="19A4481C">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3C2EFBAF">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C3</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ED8BEB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-0.28106</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67DE0516">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0.07914</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7834536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0.035</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77EAE76">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0.02727</w:t>
            </w:r>
          </w:p>
        </w:tc>
      </w:tr>
      <w:tr w14:paraId="4E6C8ECD">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4C2B9B21">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C4</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5662ED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0.195</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690B5654">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0.01954</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4283A7D3">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0.08556</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D5DF834">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0.080925</w:t>
            </w:r>
          </w:p>
        </w:tc>
      </w:tr>
      <w:tr w14:paraId="0A2C44F3">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4CFA498A">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C5</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9174CF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-0.27982</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5439FFA6">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0.07629</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6654508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0.00164</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3976E5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0.001055</w:t>
            </w:r>
          </w:p>
        </w:tc>
      </w:tr>
      <w:tr w14:paraId="2A630C46">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39E55D8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C6</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0B849FC">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-0.18714</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17C4E78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0.00047</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15A949C4">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0.07116</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3A466E6">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0.048195</w:t>
            </w:r>
          </w:p>
        </w:tc>
      </w:tr>
      <w:tr w14:paraId="4F542EB7">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32270AD6">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H7</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DEB8E8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0.26628</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73B43EF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0.02523</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4F28F7D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0.01737</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6C85413">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0.022035</w:t>
            </w:r>
          </w:p>
        </w:tc>
      </w:tr>
      <w:tr w14:paraId="1974480E">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F63BA9B">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H8</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955FB3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0.23747</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6235228C">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0.0267</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0FE795E6">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0.02397</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33E54369">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0.025325</w:t>
            </w:r>
          </w:p>
        </w:tc>
      </w:tr>
      <w:tr w14:paraId="0E3EB7E4">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20CB2A6">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H9</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18178109">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0.2377</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298F56D1">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0.02668</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0AF4986F">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0.02475</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783F2DA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0.02503</w:t>
            </w:r>
          </w:p>
        </w:tc>
      </w:tr>
      <w:tr w14:paraId="0E0A667D">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E25C6F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H10</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117A0F9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0.2663</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0B325C88">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0.02531</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02537811">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0.01822</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1F1EE9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0.092835</w:t>
            </w:r>
          </w:p>
        </w:tc>
      </w:tr>
      <w:tr w14:paraId="3E4ECFB9">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748C56A9">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N11</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1C2EF5D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-0.81719</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3B42491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0.16745</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70584ED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0.03245</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607C5F9">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0.031085</w:t>
            </w:r>
          </w:p>
        </w:tc>
      </w:tr>
      <w:tr w14:paraId="7161A53F">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4679255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H12</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E4F7A1C">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0.40564</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5AE64808">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0.02972</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091C22EC">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0.02381</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3819BD3">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0.02672</w:t>
            </w:r>
          </w:p>
        </w:tc>
      </w:tr>
      <w:tr w14:paraId="38E0DB0E">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7D3FE0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H13</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093387A">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0.40554</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05442CE3">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0.02963</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498971B6">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0.0255</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47446C8A">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0.00463</w:t>
            </w:r>
          </w:p>
        </w:tc>
      </w:tr>
      <w:tr w14:paraId="363F7AA4">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32474B9C">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S14</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39D50D6D">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2.35192</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2ABCD00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-0.01624</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265D26A6">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0.00438</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D20C3F8">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0.02523</w:t>
            </w:r>
          </w:p>
        </w:tc>
      </w:tr>
      <w:tr w14:paraId="799E1361">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7E14C7F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O15</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E17B9A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-0.92113</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0F6550F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0.04608</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3DB0CED9">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0.03359</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764814A1">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0.03645</w:t>
            </w:r>
          </w:p>
        </w:tc>
      </w:tr>
      <w:tr w14:paraId="259A487F">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00DB784">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O16</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4278408D">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-0.93364</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06664DAD">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0.03931</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09513B3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0.03236</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97D8A4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0.01758</w:t>
            </w:r>
          </w:p>
        </w:tc>
      </w:tr>
      <w:tr w14:paraId="2AC355EE">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7718B6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N17</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56D139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-0.87582</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51950D33">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0.0028</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66816F9A">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0.00985</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8B7D0C1">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0.00637</w:t>
            </w:r>
          </w:p>
        </w:tc>
      </w:tr>
      <w:tr w14:paraId="72C787FB">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1A163D8C">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H18</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425B81CA">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0.44142</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7ED48344">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0.00289</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2920132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0.00918</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17FA5F73">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0.010125</w:t>
            </w:r>
          </w:p>
        </w:tc>
      </w:tr>
      <w:tr w14:paraId="5C70FD6A">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168920F">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C19</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11B69CC6">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0.0733</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22DFF39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0.01107</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03685E6D">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0.12756</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EA1EDC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0.104135</w:t>
            </w:r>
          </w:p>
        </w:tc>
      </w:tr>
      <w:tr w14:paraId="4F271840">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3EF4F5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N20</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4F67365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-0.49627</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1430B94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0.08071</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1E8BD6C3">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0.05585</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541A8DD">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0.045095</w:t>
            </w:r>
          </w:p>
        </w:tc>
      </w:tr>
      <w:tr w14:paraId="714221B6">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750A606">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C21</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3808A0D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-0.34932</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0563554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0.03434</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4D19CE41">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0.00446</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1BD7C5B">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-0.001265</w:t>
            </w:r>
          </w:p>
        </w:tc>
      </w:tr>
      <w:tr w14:paraId="07C6317C">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403A15FC">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C22</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DA2645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0.59434</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6E54CB1C">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-0.00699</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5FDAA17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0.0023</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45EACDB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0.00879</w:t>
            </w:r>
          </w:p>
        </w:tc>
      </w:tr>
      <w:tr w14:paraId="3509A9BD">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02DA0D9">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C23</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B14A9C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0.06567</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59261F2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0.01528</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3C0ADF2A">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0.10016</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AE4C0E3">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0.06184</w:t>
            </w:r>
          </w:p>
        </w:tc>
      </w:tr>
      <w:tr w14:paraId="63B6C5BC">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7097D8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H24</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119BB223">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0.24702</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6616D7F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0.02352</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02A4011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0.03201</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764DEB1">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0.05424</w:t>
            </w:r>
          </w:p>
        </w:tc>
      </w:tr>
      <w:tr w14:paraId="38A45CA6">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465C127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N25</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17514BB6">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-0.51547</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0E17E05C">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0.07647</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3151A804">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0.09021</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3A4C476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0.059785</w:t>
            </w:r>
          </w:p>
        </w:tc>
      </w:tr>
      <w:tr w14:paraId="5DF98FB2">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00A55BA">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H26</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B97965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0.22824</w:t>
            </w:r>
          </w:p>
        </w:tc>
        <w:tc>
          <w:tcPr>
            <w:tcW w:w="1176" w:type="dxa"/>
            <w:tcBorders>
              <w:top w:val="dashSmallGap" w:color="000000" w:sz="4" w:space="0"/>
              <w:left w:val="dashSmallGap" w:color="000000" w:sz="4" w:space="0"/>
              <w:bottom w:val="dashSmallGap" w:color="000000" w:sz="4" w:space="0"/>
              <w:right w:val="dashSmallGap" w:color="000000" w:sz="4" w:space="0"/>
            </w:tcBorders>
            <w:noWrap/>
            <w:vAlign w:val="center"/>
          </w:tcPr>
          <w:p w14:paraId="3AFB1449">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0.02936</w:t>
            </w:r>
          </w:p>
        </w:tc>
        <w:tc>
          <w:tcPr>
            <w:tcW w:w="1080" w:type="dxa"/>
            <w:tcBorders>
              <w:top w:val="dashSmallGap" w:color="000000" w:sz="4" w:space="0"/>
              <w:left w:val="dashSmallGap" w:color="000000" w:sz="4" w:space="0"/>
              <w:bottom w:val="dashSmallGap" w:color="000000" w:sz="4" w:space="0"/>
              <w:right w:val="dashSmallGap" w:color="000000" w:sz="4" w:space="0"/>
            </w:tcBorders>
            <w:noWrap/>
            <w:vAlign w:val="center"/>
          </w:tcPr>
          <w:p w14:paraId="177A3FB6">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0.03163</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1F6F711">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0.03172</w:t>
            </w:r>
          </w:p>
        </w:tc>
      </w:tr>
      <w:tr w14:paraId="42F8E7E2">
        <w:tblPrEx>
          <w:tblCellMar>
            <w:top w:w="0" w:type="dxa"/>
            <w:left w:w="108" w:type="dxa"/>
            <w:bottom w:w="0" w:type="dxa"/>
            <w:right w:w="108" w:type="dxa"/>
          </w:tblCellMar>
        </w:tblPrEx>
        <w:trPr>
          <w:trHeight w:val="327" w:hRule="atLeast"/>
          <w:jc w:val="center"/>
        </w:trPr>
        <w:tc>
          <w:tcPr>
            <w:tcW w:w="0" w:type="auto"/>
            <w:tcBorders>
              <w:top w:val="dashSmallGap" w:color="000000" w:sz="4" w:space="0"/>
              <w:left w:val="dashSmallGap" w:color="000000" w:sz="4" w:space="0"/>
              <w:bottom w:val="single" w:color="000000" w:sz="12" w:space="0"/>
              <w:right w:val="dashSmallGap" w:color="000000" w:sz="4" w:space="0"/>
            </w:tcBorders>
            <w:noWrap/>
            <w:vAlign w:val="center"/>
          </w:tcPr>
          <w:p w14:paraId="7639AECD">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H27</w:t>
            </w:r>
          </w:p>
        </w:tc>
        <w:tc>
          <w:tcPr>
            <w:tcW w:w="0" w:type="auto"/>
            <w:tcBorders>
              <w:top w:val="dashSmallGap" w:color="000000" w:sz="4" w:space="0"/>
              <w:left w:val="dashSmallGap" w:color="000000" w:sz="4" w:space="0"/>
              <w:bottom w:val="single" w:color="000000" w:sz="12" w:space="0"/>
              <w:right w:val="dashSmallGap" w:color="000000" w:sz="4" w:space="0"/>
            </w:tcBorders>
            <w:noWrap/>
            <w:vAlign w:val="center"/>
          </w:tcPr>
          <w:p w14:paraId="029C08A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0.23185</w:t>
            </w:r>
          </w:p>
        </w:tc>
        <w:tc>
          <w:tcPr>
            <w:tcW w:w="1176" w:type="dxa"/>
            <w:tcBorders>
              <w:top w:val="dashSmallGap" w:color="000000" w:sz="4" w:space="0"/>
              <w:left w:val="dashSmallGap" w:color="000000" w:sz="4" w:space="0"/>
              <w:bottom w:val="single" w:color="000000" w:sz="12" w:space="0"/>
              <w:right w:val="dashSmallGap" w:color="000000" w:sz="4" w:space="0"/>
            </w:tcBorders>
            <w:noWrap/>
            <w:vAlign w:val="center"/>
          </w:tcPr>
          <w:p w14:paraId="5E5954C4">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0.03181</w:t>
            </w:r>
          </w:p>
        </w:tc>
        <w:tc>
          <w:tcPr>
            <w:tcW w:w="1080" w:type="dxa"/>
            <w:tcBorders>
              <w:top w:val="dashSmallGap" w:color="000000" w:sz="4" w:space="0"/>
              <w:left w:val="dashSmallGap" w:color="000000" w:sz="4" w:space="0"/>
              <w:bottom w:val="single" w:color="000000" w:sz="12" w:space="0"/>
              <w:right w:val="dashSmallGap" w:color="000000" w:sz="4" w:space="0"/>
            </w:tcBorders>
            <w:noWrap/>
            <w:vAlign w:val="center"/>
          </w:tcPr>
          <w:p w14:paraId="78EB0AD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0.03167</w:t>
            </w:r>
          </w:p>
        </w:tc>
        <w:tc>
          <w:tcPr>
            <w:tcW w:w="0" w:type="auto"/>
            <w:tcBorders>
              <w:top w:val="dashSmallGap" w:color="000000" w:sz="4" w:space="0"/>
              <w:left w:val="dashSmallGap" w:color="000000" w:sz="4" w:space="0"/>
              <w:bottom w:val="single" w:color="000000" w:sz="12" w:space="0"/>
              <w:right w:val="dashSmallGap" w:color="000000" w:sz="4" w:space="0"/>
            </w:tcBorders>
            <w:noWrap/>
            <w:vAlign w:val="center"/>
          </w:tcPr>
          <w:p w14:paraId="085127F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0.03167</w:t>
            </w:r>
          </w:p>
        </w:tc>
      </w:tr>
    </w:tbl>
    <w:p w14:paraId="663AE994">
      <w:pPr>
        <w:rPr>
          <w:rFonts w:ascii="Times New Roman" w:hAnsi="Times New Roman" w:cs="Times New Roman"/>
          <w:sz w:val="24"/>
          <w:szCs w:val="24"/>
        </w:rPr>
      </w:pPr>
      <w:r>
        <w:rPr>
          <w:rFonts w:ascii="Times New Roman" w:hAnsi="Times New Roman" w:cs="Times New Roman"/>
          <w:sz w:val="24"/>
          <w:szCs w:val="24"/>
        </w:rPr>
        <w:br w:type="page"/>
      </w:r>
    </w:p>
    <w:p w14:paraId="569315E0">
      <w:pPr>
        <w:spacing w:line="480" w:lineRule="auto"/>
        <w:rPr>
          <w:rFonts w:ascii="Times New Roman" w:hAnsi="Times New Roman" w:cs="Times New Roman"/>
          <w:sz w:val="24"/>
          <w:szCs w:val="24"/>
        </w:rPr>
      </w:pPr>
      <w:r>
        <w:rPr>
          <w:rFonts w:ascii="Times New Roman" w:hAnsi="Times New Roman" w:cs="Times New Roman"/>
          <w:b/>
          <w:bCs/>
          <w:sz w:val="24"/>
          <w:szCs w:val="24"/>
        </w:rPr>
        <w:t xml:space="preserve">Table S5. </w:t>
      </w:r>
      <w:r>
        <w:rPr>
          <w:rFonts w:ascii="Times New Roman" w:hAnsi="Times New Roman" w:cs="Times New Roman"/>
          <w:sz w:val="24"/>
          <w:szCs w:val="24"/>
        </w:rPr>
        <w:t>Mulliken charge of SDZ atom</w:t>
      </w:r>
    </w:p>
    <w:tbl>
      <w:tblPr>
        <w:tblStyle w:val="5"/>
        <w:tblW w:w="3181" w:type="dxa"/>
        <w:jc w:val="center"/>
        <w:tblLayout w:type="autofit"/>
        <w:tblCellMar>
          <w:top w:w="0" w:type="dxa"/>
          <w:left w:w="108" w:type="dxa"/>
          <w:bottom w:w="0" w:type="dxa"/>
          <w:right w:w="108" w:type="dxa"/>
        </w:tblCellMar>
      </w:tblPr>
      <w:tblGrid>
        <w:gridCol w:w="1080"/>
        <w:gridCol w:w="2101"/>
      </w:tblGrid>
      <w:tr w14:paraId="2413EF14">
        <w:tblPrEx>
          <w:tblCellMar>
            <w:top w:w="0" w:type="dxa"/>
            <w:left w:w="108" w:type="dxa"/>
            <w:bottom w:w="0" w:type="dxa"/>
            <w:right w:w="108" w:type="dxa"/>
          </w:tblCellMar>
        </w:tblPrEx>
        <w:trPr>
          <w:trHeight w:val="327" w:hRule="atLeast"/>
          <w:jc w:val="center"/>
        </w:trPr>
        <w:tc>
          <w:tcPr>
            <w:tcW w:w="1080" w:type="dxa"/>
            <w:tcBorders>
              <w:top w:val="single" w:color="000000" w:sz="12" w:space="0"/>
              <w:left w:val="dashSmallGap" w:color="000000" w:sz="4" w:space="0"/>
              <w:bottom w:val="single" w:color="000000" w:sz="2" w:space="0"/>
              <w:right w:val="dashSmallGap" w:color="000000" w:sz="4" w:space="0"/>
            </w:tcBorders>
            <w:shd w:val="clear" w:color="auto" w:fill="FFFFFF"/>
            <w:noWrap/>
            <w:vAlign w:val="center"/>
          </w:tcPr>
          <w:p w14:paraId="4F02196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Atom</w:t>
            </w:r>
          </w:p>
        </w:tc>
        <w:tc>
          <w:tcPr>
            <w:tcW w:w="2100" w:type="dxa"/>
            <w:tcBorders>
              <w:top w:val="single" w:color="000000" w:sz="12" w:space="0"/>
              <w:left w:val="dashSmallGap" w:color="000000" w:sz="4" w:space="0"/>
              <w:bottom w:val="single" w:color="000000" w:sz="2" w:space="0"/>
              <w:right w:val="dashSmallGap" w:color="000000" w:sz="4" w:space="0"/>
            </w:tcBorders>
            <w:shd w:val="clear" w:color="auto" w:fill="FFFFFF"/>
            <w:noWrap/>
            <w:vAlign w:val="center"/>
          </w:tcPr>
          <w:p w14:paraId="6EE3A6B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Mulliken</w:t>
            </w:r>
          </w:p>
        </w:tc>
      </w:tr>
      <w:tr w14:paraId="2EE4BDD3">
        <w:tblPrEx>
          <w:tblCellMar>
            <w:top w:w="0" w:type="dxa"/>
            <w:left w:w="108" w:type="dxa"/>
            <w:bottom w:w="0" w:type="dxa"/>
            <w:right w:w="108" w:type="dxa"/>
          </w:tblCellMar>
        </w:tblPrEx>
        <w:trPr>
          <w:trHeight w:val="312" w:hRule="atLeast"/>
          <w:jc w:val="center"/>
        </w:trPr>
        <w:tc>
          <w:tcPr>
            <w:tcW w:w="0" w:type="auto"/>
            <w:tcBorders>
              <w:top w:val="single" w:color="000000" w:sz="2" w:space="0"/>
              <w:left w:val="dashSmallGap" w:color="000000" w:sz="4" w:space="0"/>
              <w:bottom w:val="dashSmallGap" w:color="000000" w:sz="4" w:space="0"/>
              <w:right w:val="dashSmallGap" w:color="000000" w:sz="4" w:space="0"/>
            </w:tcBorders>
            <w:noWrap/>
            <w:vAlign w:val="center"/>
          </w:tcPr>
          <w:p w14:paraId="4015C26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C1</w:t>
            </w:r>
          </w:p>
        </w:tc>
        <w:tc>
          <w:tcPr>
            <w:tcW w:w="0" w:type="auto"/>
            <w:tcBorders>
              <w:top w:val="single" w:color="000000" w:sz="2" w:space="0"/>
              <w:left w:val="dashSmallGap" w:color="000000" w:sz="4" w:space="0"/>
              <w:bottom w:val="dashSmallGap" w:color="000000" w:sz="4" w:space="0"/>
              <w:right w:val="dashSmallGap" w:color="000000" w:sz="4" w:space="0"/>
            </w:tcBorders>
            <w:noWrap/>
            <w:vAlign w:val="center"/>
          </w:tcPr>
          <w:p w14:paraId="65F5986F">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-0.233156</w:t>
            </w:r>
          </w:p>
        </w:tc>
      </w:tr>
      <w:tr w14:paraId="654B2E34">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1D78318A">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C2</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7F5D1D2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-0.075934</w:t>
            </w:r>
          </w:p>
        </w:tc>
      </w:tr>
      <w:tr w14:paraId="3808CB9E">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7DA954D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C3</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B94641B">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-0.028394</w:t>
            </w:r>
          </w:p>
        </w:tc>
      </w:tr>
      <w:tr w14:paraId="66CFB26F">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5E1431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C4</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6EAE846">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0.021175</w:t>
            </w:r>
          </w:p>
        </w:tc>
      </w:tr>
      <w:tr w14:paraId="53213E55">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739B54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C5</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840611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-0.047878</w:t>
            </w:r>
          </w:p>
        </w:tc>
      </w:tr>
      <w:tr w14:paraId="2F5F5932">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1A2C483">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C6</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3371B89">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-0.032872</w:t>
            </w:r>
          </w:p>
        </w:tc>
      </w:tr>
      <w:tr w14:paraId="1E7F4F8F">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7DAC974">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H7</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133D9AF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0.155465</w:t>
            </w:r>
          </w:p>
        </w:tc>
      </w:tr>
      <w:tr w14:paraId="64C1A86C">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1A9286A">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H8</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3831B3FB">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0.119486</w:t>
            </w:r>
          </w:p>
        </w:tc>
      </w:tr>
      <w:tr w14:paraId="4B6BCCEA">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BD705AD">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H9</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FACE7C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0.102176</w:t>
            </w:r>
          </w:p>
        </w:tc>
      </w:tr>
      <w:tr w14:paraId="3473D341">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18C7AB7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H10</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A12B26F">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0.123163</w:t>
            </w:r>
          </w:p>
        </w:tc>
      </w:tr>
      <w:tr w14:paraId="61901522">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73A5589F">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N11</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5082FDD">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-0.488802</w:t>
            </w:r>
          </w:p>
        </w:tc>
      </w:tr>
      <w:tr w14:paraId="3C9338FB">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4F1D9D6B">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H12</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11EE97A">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0.212904</w:t>
            </w:r>
          </w:p>
        </w:tc>
      </w:tr>
      <w:tr w14:paraId="08BA9656">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262EC71">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H13</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5A5EC8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0.209985</w:t>
            </w:r>
          </w:p>
        </w:tc>
      </w:tr>
      <w:tr w14:paraId="15844D68">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0E2FEC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S14</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391DC26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0.689651</w:t>
            </w:r>
          </w:p>
        </w:tc>
      </w:tr>
      <w:tr w14:paraId="5E893E09">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7DFB89E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O15</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1D6AD82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0.002549</w:t>
            </w:r>
          </w:p>
        </w:tc>
      </w:tr>
      <w:tr w14:paraId="4F949892">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21E7DD0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O16</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E1D25DC">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-0.526367</w:t>
            </w:r>
          </w:p>
        </w:tc>
      </w:tr>
      <w:tr w14:paraId="17D01381">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BFFB68D">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N17</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35B5C4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-0.449242</w:t>
            </w:r>
          </w:p>
        </w:tc>
      </w:tr>
      <w:tr w14:paraId="4C362082">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4D2A878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H18</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749A578B">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0.156684</w:t>
            </w:r>
          </w:p>
        </w:tc>
      </w:tr>
      <w:tr w14:paraId="07D62C76">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17FFB12F">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C19</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0D0A55E6">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0.186545</w:t>
            </w:r>
          </w:p>
        </w:tc>
      </w:tr>
      <w:tr w14:paraId="0A4AB307">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34F6EEDC">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N20</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389EC09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-0.236272</w:t>
            </w:r>
          </w:p>
        </w:tc>
      </w:tr>
      <w:tr w14:paraId="1215E166">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19FA9749">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C21</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7C03A501">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-0.223356</w:t>
            </w:r>
          </w:p>
        </w:tc>
      </w:tr>
      <w:tr w14:paraId="38E517AF">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53CB40F">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C22</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B27940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0.204839</w:t>
            </w:r>
          </w:p>
        </w:tc>
      </w:tr>
      <w:tr w14:paraId="2959DEE5">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7CE54004">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C23</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4C2F372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0.067094</w:t>
            </w:r>
          </w:p>
        </w:tc>
      </w:tr>
      <w:tr w14:paraId="23A0564D">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53825C08">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H24</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7C1FFE19">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0.118031</w:t>
            </w:r>
          </w:p>
        </w:tc>
      </w:tr>
      <w:tr w14:paraId="43658A04">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3602F29D">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N25</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6FC5C65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-0.276441</w:t>
            </w:r>
          </w:p>
        </w:tc>
      </w:tr>
      <w:tr w14:paraId="6AF7EC31">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33741911">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H26</w:t>
            </w:r>
          </w:p>
        </w:tc>
        <w:tc>
          <w:tcPr>
            <w:tcW w:w="0" w:type="auto"/>
            <w:tcBorders>
              <w:top w:val="dashSmallGap" w:color="000000" w:sz="4" w:space="0"/>
              <w:left w:val="dashSmallGap" w:color="000000" w:sz="4" w:space="0"/>
              <w:bottom w:val="dashSmallGap" w:color="000000" w:sz="4" w:space="0"/>
              <w:right w:val="dashSmallGap" w:color="000000" w:sz="4" w:space="0"/>
            </w:tcBorders>
            <w:noWrap/>
            <w:vAlign w:val="center"/>
          </w:tcPr>
          <w:p w14:paraId="3D9F0269">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0.12643</w:t>
            </w:r>
          </w:p>
        </w:tc>
      </w:tr>
      <w:tr w14:paraId="451E53CB">
        <w:tblPrEx>
          <w:tblCellMar>
            <w:top w:w="0" w:type="dxa"/>
            <w:left w:w="108" w:type="dxa"/>
            <w:bottom w:w="0" w:type="dxa"/>
            <w:right w:w="108" w:type="dxa"/>
          </w:tblCellMar>
        </w:tblPrEx>
        <w:trPr>
          <w:trHeight w:val="312" w:hRule="atLeast"/>
          <w:jc w:val="center"/>
        </w:trPr>
        <w:tc>
          <w:tcPr>
            <w:tcW w:w="0" w:type="auto"/>
            <w:tcBorders>
              <w:top w:val="dashSmallGap" w:color="000000" w:sz="4" w:space="0"/>
              <w:left w:val="dashSmallGap" w:color="000000" w:sz="4" w:space="0"/>
              <w:bottom w:val="single" w:color="000000" w:sz="12" w:space="0"/>
              <w:right w:val="dashSmallGap" w:color="000000" w:sz="4" w:space="0"/>
            </w:tcBorders>
            <w:noWrap/>
            <w:vAlign w:val="center"/>
          </w:tcPr>
          <w:p w14:paraId="67E82C6D">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H27</w:t>
            </w:r>
          </w:p>
        </w:tc>
        <w:tc>
          <w:tcPr>
            <w:tcW w:w="0" w:type="auto"/>
            <w:tcBorders>
              <w:top w:val="dashSmallGap" w:color="000000" w:sz="4" w:space="0"/>
              <w:left w:val="dashSmallGap" w:color="000000" w:sz="4" w:space="0"/>
              <w:bottom w:val="single" w:color="000000" w:sz="12" w:space="0"/>
              <w:right w:val="dashSmallGap" w:color="000000" w:sz="4" w:space="0"/>
            </w:tcBorders>
            <w:noWrap/>
            <w:vAlign w:val="center"/>
          </w:tcPr>
          <w:p w14:paraId="12A19B63">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0.122537</w:t>
            </w:r>
          </w:p>
        </w:tc>
      </w:tr>
    </w:tbl>
    <w:p w14:paraId="0A22211A">
      <w:pPr>
        <w:rPr>
          <w:rFonts w:ascii="Times New Roman" w:hAnsi="Times New Roman" w:cs="Times New Roman"/>
          <w:b/>
          <w:bCs/>
          <w:sz w:val="24"/>
          <w:szCs w:val="24"/>
        </w:rPr>
      </w:pPr>
      <w:r>
        <w:rPr>
          <w:rFonts w:ascii="Times New Roman" w:hAnsi="Times New Roman" w:cs="Times New Roman"/>
          <w:b/>
          <w:bCs/>
          <w:sz w:val="24"/>
          <w:szCs w:val="24"/>
        </w:rPr>
        <w:br w:type="page"/>
      </w:r>
      <w:r>
        <w:rPr>
          <w:rFonts w:ascii="Times New Roman" w:hAnsi="Times New Roman" w:cs="Times New Roman"/>
          <w:sz w:val="22"/>
        </w:rPr>
        <w:fldChar w:fldCharType="begin"/>
      </w:r>
      <w:r>
        <w:rPr>
          <w:rFonts w:ascii="Times New Roman" w:hAnsi="Times New Roman" w:cs="Times New Roman"/>
          <w:sz w:val="22"/>
        </w:rPr>
        <w:instrText xml:space="preserve"> ADDIN NE.Bib</w:instrText>
      </w:r>
      <w:r>
        <w:rPr>
          <w:rFonts w:ascii="Times New Roman" w:hAnsi="Times New Roman" w:cs="Times New Roman"/>
          <w:sz w:val="22"/>
        </w:rPr>
        <w:fldChar w:fldCharType="separate"/>
      </w:r>
    </w:p>
    <w:p w14:paraId="0D4C06AC">
      <w:pPr>
        <w:autoSpaceDE w:val="0"/>
        <w:autoSpaceDN w:val="0"/>
        <w:adjustRightInd w:val="0"/>
        <w:jc w:val="left"/>
        <w:rPr>
          <w:rFonts w:ascii="Times New Roman" w:hAnsi="Times New Roman" w:eastAsia="宋体" w:cs="Times New Roman"/>
          <w:kern w:val="0"/>
          <w:sz w:val="24"/>
          <w:szCs w:val="24"/>
        </w:rPr>
      </w:pPr>
      <w:r>
        <w:rPr>
          <w:rFonts w:ascii="Times New Roman" w:hAnsi="Times New Roman" w:eastAsia="宋体" w:cs="Times New Roman"/>
          <w:b/>
          <w:bCs/>
          <w:color w:val="000000"/>
          <w:kern w:val="0"/>
          <w:sz w:val="28"/>
          <w:szCs w:val="28"/>
        </w:rPr>
        <w:t>References</w:t>
      </w:r>
    </w:p>
    <w:p w14:paraId="465E89DE">
      <w:pPr>
        <w:autoSpaceDE w:val="0"/>
        <w:autoSpaceDN w:val="0"/>
        <w:adjustRightInd w:val="0"/>
        <w:ind w:left="120" w:hanging="120"/>
        <w:rPr>
          <w:rFonts w:ascii="Times New Roman" w:hAnsi="Times New Roman" w:eastAsia="宋体" w:cs="Times New Roman"/>
          <w:kern w:val="0"/>
          <w:sz w:val="24"/>
          <w:szCs w:val="24"/>
        </w:rPr>
      </w:pPr>
      <w:bookmarkStart w:id="12" w:name="_neb32913086_3C82_41C5_A562_7D80559977D4"/>
      <w:r>
        <w:rPr>
          <w:rFonts w:ascii="Times New Roman" w:hAnsi="Times New Roman" w:eastAsia="宋体" w:cs="Times New Roman"/>
          <w:color w:val="000000"/>
          <w:kern w:val="0"/>
          <w:sz w:val="20"/>
          <w:szCs w:val="20"/>
        </w:rPr>
        <w:t>Blochl, Jepsen, &amp; Andersen (1994). Improved tetrahedron method for brillouin-zone integrations. Physical Review B</w:t>
      </w:r>
      <w:bookmarkEnd w:id="12"/>
      <w:r>
        <w:rPr>
          <w:rFonts w:hint="eastAsia" w:ascii="Times New Roman" w:hAnsi="Times New Roman" w:eastAsia="宋体" w:cs="Times New Roman"/>
          <w:color w:val="000000"/>
          <w:kern w:val="0"/>
          <w:sz w:val="20"/>
          <w:szCs w:val="20"/>
        </w:rPr>
        <w:t>.</w:t>
      </w:r>
      <w:r>
        <w:rPr>
          <w:rFonts w:hint="eastAsia"/>
        </w:rPr>
        <w:t xml:space="preserve"> </w:t>
      </w:r>
      <w:r>
        <w:rPr>
          <w:rFonts w:ascii="Times New Roman" w:hAnsi="Times New Roman" w:eastAsia="宋体" w:cs="Times New Roman"/>
          <w:color w:val="000000"/>
          <w:kern w:val="0"/>
          <w:sz w:val="20"/>
          <w:szCs w:val="20"/>
        </w:rPr>
        <w:t>https://doi.org/</w:t>
      </w:r>
      <w:r>
        <w:rPr>
          <w:rFonts w:hint="eastAsia" w:ascii="Times New Roman" w:hAnsi="Times New Roman" w:eastAsia="宋体" w:cs="Times New Roman"/>
          <w:color w:val="000000"/>
          <w:kern w:val="0"/>
          <w:sz w:val="20"/>
          <w:szCs w:val="20"/>
        </w:rPr>
        <w:t>10.1103/physrevb.49.16223</w:t>
      </w:r>
    </w:p>
    <w:p w14:paraId="1A5CC21D">
      <w:pPr>
        <w:autoSpaceDE w:val="0"/>
        <w:autoSpaceDN w:val="0"/>
        <w:adjustRightInd w:val="0"/>
        <w:ind w:left="120" w:hanging="120"/>
        <w:rPr>
          <w:rFonts w:ascii="Times New Roman" w:hAnsi="Times New Roman" w:eastAsia="宋体" w:cs="Times New Roman"/>
          <w:kern w:val="0"/>
          <w:sz w:val="24"/>
          <w:szCs w:val="24"/>
        </w:rPr>
      </w:pPr>
      <w:bookmarkStart w:id="13" w:name="_neb84AECF11_47ED_44A9_8C90_7B71E6D4DBE5"/>
      <w:r>
        <w:rPr>
          <w:rFonts w:ascii="Times New Roman" w:hAnsi="Times New Roman" w:eastAsia="宋体" w:cs="Times New Roman"/>
          <w:color w:val="000000"/>
          <w:kern w:val="0"/>
          <w:sz w:val="20"/>
          <w:szCs w:val="20"/>
        </w:rPr>
        <w:t>Blöchl, P. E. (1994). Projector augmented-wave method. Physical Review B. https://doi.org/10.1103/physrevb.50.17953</w:t>
      </w:r>
      <w:bookmarkEnd w:id="13"/>
    </w:p>
    <w:p w14:paraId="7BCB990B">
      <w:pPr>
        <w:autoSpaceDE w:val="0"/>
        <w:autoSpaceDN w:val="0"/>
        <w:adjustRightInd w:val="0"/>
        <w:ind w:left="120" w:hanging="120"/>
        <w:rPr>
          <w:rFonts w:ascii="Times New Roman" w:hAnsi="Times New Roman" w:eastAsia="宋体" w:cs="Times New Roman"/>
          <w:kern w:val="0"/>
          <w:sz w:val="24"/>
          <w:szCs w:val="24"/>
        </w:rPr>
      </w:pPr>
      <w:bookmarkStart w:id="14" w:name="_neb25EF2736_EC40_49CA_A16B_5899FDE0AF3E"/>
      <w:r>
        <w:rPr>
          <w:rFonts w:ascii="Times New Roman" w:hAnsi="Times New Roman" w:eastAsia="宋体" w:cs="Times New Roman"/>
          <w:color w:val="000000"/>
          <w:kern w:val="0"/>
          <w:sz w:val="20"/>
          <w:szCs w:val="20"/>
        </w:rPr>
        <w:t>Hafner, J. (2007). Materials simulations using VASP—a quantum perspective to materials science. Computer Physics Communications. https://doi.org/10.1016/j.cpc.2007.02.045</w:t>
      </w:r>
      <w:bookmarkEnd w:id="14"/>
    </w:p>
    <w:p w14:paraId="6A174414">
      <w:pPr>
        <w:autoSpaceDE w:val="0"/>
        <w:autoSpaceDN w:val="0"/>
        <w:adjustRightInd w:val="0"/>
        <w:ind w:left="120" w:hanging="120"/>
        <w:rPr>
          <w:rFonts w:ascii="Times New Roman" w:hAnsi="Times New Roman" w:eastAsia="宋体" w:cs="Times New Roman"/>
          <w:kern w:val="0"/>
          <w:sz w:val="24"/>
          <w:szCs w:val="24"/>
        </w:rPr>
      </w:pPr>
      <w:bookmarkStart w:id="15" w:name="_nebD8EE19F4_70AA_4F32_8494_F38ABA85FD62"/>
      <w:r>
        <w:rPr>
          <w:rFonts w:ascii="Times New Roman" w:hAnsi="Times New Roman" w:eastAsia="宋体" w:cs="Times New Roman"/>
          <w:color w:val="000000"/>
          <w:kern w:val="0"/>
          <w:sz w:val="20"/>
          <w:szCs w:val="20"/>
        </w:rPr>
        <w:t>Hafner, J. (2008). Ab-initiosimulations of materials using VASP: density-functional theory and beyond. Journal of Computational Chemistry. https://doi.org/10.1002/jcc.21057</w:t>
      </w:r>
      <w:bookmarkEnd w:id="15"/>
    </w:p>
    <w:p w14:paraId="2AB4787B">
      <w:pPr>
        <w:autoSpaceDE w:val="0"/>
        <w:autoSpaceDN w:val="0"/>
        <w:adjustRightInd w:val="0"/>
        <w:ind w:left="120" w:hanging="120"/>
        <w:rPr>
          <w:rFonts w:ascii="Times New Roman" w:hAnsi="Times New Roman" w:eastAsia="宋体" w:cs="Times New Roman"/>
          <w:kern w:val="0"/>
          <w:sz w:val="24"/>
          <w:szCs w:val="24"/>
        </w:rPr>
      </w:pPr>
      <w:bookmarkStart w:id="16" w:name="_neb920D7261_FBFB_44B8_BBC8_BDD561885104"/>
      <w:r>
        <w:rPr>
          <w:rFonts w:ascii="Times New Roman" w:hAnsi="Times New Roman" w:eastAsia="宋体" w:cs="Times New Roman"/>
          <w:color w:val="000000"/>
          <w:kern w:val="0"/>
          <w:sz w:val="20"/>
          <w:szCs w:val="20"/>
        </w:rPr>
        <w:t xml:space="preserve">Huang, J., Li, D., Li, R., Chen, P., Zhang, Q., Liu, H., Lv, W., Liu, G., &amp; Feng, Y. (2019). One-step synthesis of phosphorus/oxygen </w:t>
      </w:r>
      <w:r>
        <w:rPr>
          <w:rFonts w:hint="eastAsia" w:ascii="Times New Roman" w:hAnsi="Times New Roman" w:eastAsia="宋体" w:cs="Times New Roman"/>
          <w:color w:val="000000"/>
          <w:kern w:val="0"/>
          <w:sz w:val="20"/>
          <w:szCs w:val="20"/>
        </w:rPr>
        <w:t>C</w:t>
      </w:r>
      <w:r>
        <w:rPr>
          <w:rFonts w:ascii="Times New Roman" w:hAnsi="Times New Roman" w:eastAsia="宋体" w:cs="Times New Roman"/>
          <w:color w:val="000000"/>
          <w:kern w:val="0"/>
          <w:sz w:val="20"/>
          <w:szCs w:val="20"/>
        </w:rPr>
        <w:t>o-doped g-</w:t>
      </w:r>
      <w:r>
        <w:rPr>
          <w:rFonts w:hint="eastAsia" w:ascii="Times New Roman" w:hAnsi="Times New Roman" w:eastAsia="宋体" w:cs="Times New Roman"/>
          <w:color w:val="000000"/>
          <w:kern w:val="0"/>
          <w:sz w:val="20"/>
          <w:szCs w:val="20"/>
        </w:rPr>
        <w:t>C</w:t>
      </w:r>
      <w:r>
        <w:rPr>
          <w:rFonts w:ascii="Times New Roman" w:hAnsi="Times New Roman" w:eastAsia="宋体" w:cs="Times New Roman"/>
          <w:color w:val="000000"/>
          <w:kern w:val="0"/>
          <w:sz w:val="20"/>
          <w:szCs w:val="20"/>
          <w:vertAlign w:val="subscript"/>
        </w:rPr>
        <w:t>3</w:t>
      </w:r>
      <w:r>
        <w:rPr>
          <w:rFonts w:hint="eastAsia" w:ascii="Times New Roman" w:hAnsi="Times New Roman" w:eastAsia="宋体" w:cs="Times New Roman"/>
          <w:color w:val="000000"/>
          <w:kern w:val="0"/>
          <w:sz w:val="20"/>
          <w:szCs w:val="20"/>
        </w:rPr>
        <w:t>N</w:t>
      </w:r>
      <w:r>
        <w:rPr>
          <w:rFonts w:ascii="Times New Roman" w:hAnsi="Times New Roman" w:eastAsia="宋体" w:cs="Times New Roman"/>
          <w:color w:val="000000"/>
          <w:kern w:val="0"/>
          <w:sz w:val="20"/>
          <w:szCs w:val="20"/>
          <w:vertAlign w:val="subscript"/>
        </w:rPr>
        <w:t>4</w:t>
      </w:r>
      <w:r>
        <w:rPr>
          <w:rFonts w:ascii="Times New Roman" w:hAnsi="Times New Roman" w:eastAsia="宋体" w:cs="Times New Roman"/>
          <w:color w:val="000000"/>
          <w:kern w:val="0"/>
          <w:sz w:val="20"/>
          <w:szCs w:val="20"/>
        </w:rPr>
        <w:t>/anatase TiO</w:t>
      </w:r>
      <w:r>
        <w:rPr>
          <w:rFonts w:ascii="Times New Roman" w:hAnsi="Times New Roman" w:eastAsia="宋体" w:cs="Times New Roman"/>
          <w:color w:val="000000"/>
          <w:kern w:val="0"/>
          <w:sz w:val="20"/>
          <w:szCs w:val="20"/>
          <w:vertAlign w:val="subscript"/>
        </w:rPr>
        <w:t>2</w:t>
      </w:r>
      <w:r>
        <w:rPr>
          <w:rFonts w:ascii="Times New Roman" w:hAnsi="Times New Roman" w:eastAsia="宋体" w:cs="Times New Roman"/>
          <w:color w:val="000000"/>
          <w:kern w:val="0"/>
          <w:sz w:val="20"/>
          <w:szCs w:val="20"/>
        </w:rPr>
        <w:t xml:space="preserve"> </w:t>
      </w:r>
      <w:r>
        <w:rPr>
          <w:rFonts w:hint="eastAsia" w:ascii="Times New Roman" w:hAnsi="Times New Roman" w:eastAsia="宋体" w:cs="Times New Roman"/>
          <w:color w:val="000000"/>
          <w:kern w:val="0"/>
          <w:sz w:val="20"/>
          <w:szCs w:val="20"/>
        </w:rPr>
        <w:t>Z</w:t>
      </w:r>
      <w:r>
        <w:rPr>
          <w:rFonts w:ascii="Times New Roman" w:hAnsi="Times New Roman" w:eastAsia="宋体" w:cs="Times New Roman"/>
          <w:color w:val="000000"/>
          <w:kern w:val="0"/>
          <w:sz w:val="20"/>
          <w:szCs w:val="20"/>
        </w:rPr>
        <w:t>-scheme photocatalyst for significantly enhanced visible-light photocatalysis degradation of enrofloxacin. Journal of Hazardous Materials. https://doi.org/10.1016/j.jhazmat.2019.121634</w:t>
      </w:r>
      <w:bookmarkEnd w:id="16"/>
    </w:p>
    <w:p w14:paraId="0C7B69CF">
      <w:pPr>
        <w:autoSpaceDE w:val="0"/>
        <w:autoSpaceDN w:val="0"/>
        <w:adjustRightInd w:val="0"/>
        <w:ind w:left="120" w:hanging="120"/>
        <w:rPr>
          <w:rFonts w:ascii="Times New Roman" w:hAnsi="Times New Roman" w:eastAsia="宋体" w:cs="Times New Roman"/>
          <w:kern w:val="0"/>
          <w:sz w:val="24"/>
          <w:szCs w:val="24"/>
        </w:rPr>
      </w:pPr>
      <w:bookmarkStart w:id="17" w:name="_nebD1B04866_4CD5_42C2_8FD9_59445C77F2B3"/>
      <w:r>
        <w:rPr>
          <w:rFonts w:ascii="Times New Roman" w:hAnsi="Times New Roman" w:eastAsia="宋体" w:cs="Times New Roman"/>
          <w:color w:val="000000"/>
          <w:kern w:val="0"/>
          <w:sz w:val="20"/>
          <w:szCs w:val="20"/>
        </w:rPr>
        <w:t>Kohn, W., &amp; Sham, L. J. (1965). Self-consistent equations including exchange and correlation effects. Physical Review. https://doi.org/10.1103/physrev.140.a1133</w:t>
      </w:r>
      <w:bookmarkEnd w:id="17"/>
    </w:p>
    <w:p w14:paraId="06C05FF1">
      <w:pPr>
        <w:autoSpaceDE w:val="0"/>
        <w:autoSpaceDN w:val="0"/>
        <w:adjustRightInd w:val="0"/>
        <w:ind w:left="120" w:hanging="120"/>
        <w:rPr>
          <w:rFonts w:ascii="Times New Roman" w:hAnsi="Times New Roman" w:eastAsia="宋体" w:cs="Times New Roman"/>
          <w:kern w:val="0"/>
          <w:sz w:val="24"/>
          <w:szCs w:val="24"/>
        </w:rPr>
      </w:pPr>
      <w:bookmarkStart w:id="18" w:name="_nebF0279076_73CF_4A34_AE4A_95F42E5782DF"/>
      <w:r>
        <w:rPr>
          <w:rFonts w:ascii="Times New Roman" w:hAnsi="Times New Roman" w:eastAsia="宋体" w:cs="Times New Roman"/>
          <w:color w:val="000000"/>
          <w:kern w:val="0"/>
          <w:sz w:val="20"/>
          <w:szCs w:val="20"/>
        </w:rPr>
        <w:t>Kresse, G., &amp; Furthmüller, J. (1996). Efficient iterative schemes for ab initio total-energy calculations using a plane-wave basis set. Physical Review B. https://doi.org/10.1103/physrevb.54.11169</w:t>
      </w:r>
      <w:bookmarkEnd w:id="18"/>
    </w:p>
    <w:p w14:paraId="69C0A9D6">
      <w:pPr>
        <w:autoSpaceDE w:val="0"/>
        <w:autoSpaceDN w:val="0"/>
        <w:adjustRightInd w:val="0"/>
        <w:ind w:left="120" w:hanging="120"/>
        <w:rPr>
          <w:rFonts w:ascii="Times New Roman" w:hAnsi="Times New Roman" w:eastAsia="宋体" w:cs="Times New Roman"/>
          <w:kern w:val="0"/>
          <w:sz w:val="24"/>
          <w:szCs w:val="24"/>
        </w:rPr>
      </w:pPr>
      <w:bookmarkStart w:id="19" w:name="_neb0B882FF7_DFB7_45FE_94FF_98B03639454A"/>
      <w:r>
        <w:rPr>
          <w:rFonts w:ascii="Times New Roman" w:hAnsi="Times New Roman" w:eastAsia="宋体" w:cs="Times New Roman"/>
          <w:color w:val="000000"/>
          <w:kern w:val="0"/>
          <w:sz w:val="20"/>
          <w:szCs w:val="20"/>
        </w:rPr>
        <w:t>Neugebauer, J., &amp; Scheffler, M. (1992). Adsorbate-substrate and adsorbate-adsorbate interactions of na and k adlayers on al(111). Physical Review B. https://doi.org/10.1103/physrevb.46.16067</w:t>
      </w:r>
      <w:bookmarkEnd w:id="19"/>
    </w:p>
    <w:p w14:paraId="188CE5A0">
      <w:pPr>
        <w:autoSpaceDE w:val="0"/>
        <w:autoSpaceDN w:val="0"/>
        <w:adjustRightInd w:val="0"/>
        <w:ind w:left="120" w:hanging="120"/>
        <w:rPr>
          <w:rFonts w:ascii="Times New Roman" w:hAnsi="Times New Roman" w:eastAsia="宋体" w:cs="Times New Roman"/>
          <w:kern w:val="0"/>
          <w:sz w:val="24"/>
          <w:szCs w:val="24"/>
        </w:rPr>
      </w:pPr>
      <w:bookmarkStart w:id="20" w:name="_nebC71FFC32_0C6F_447B_B38F_963221CF28B3"/>
      <w:r>
        <w:rPr>
          <w:rFonts w:ascii="Times New Roman" w:hAnsi="Times New Roman" w:eastAsia="宋体" w:cs="Times New Roman"/>
          <w:color w:val="000000"/>
          <w:kern w:val="0"/>
          <w:sz w:val="20"/>
          <w:szCs w:val="20"/>
        </w:rPr>
        <w:t>Perdew, J. P., Burke, K., &amp; Ernzerhof, M. (1996). Generalized gradient approximation made simple. Physical Review Letters. https://doi.org/10.1103/physrevlett.77.3865</w:t>
      </w:r>
      <w:bookmarkEnd w:id="20"/>
    </w:p>
    <w:p w14:paraId="1B576E7D">
      <w:pPr>
        <w:autoSpaceDE w:val="0"/>
        <w:autoSpaceDN w:val="0"/>
        <w:adjustRightInd w:val="0"/>
        <w:ind w:left="120" w:hanging="120"/>
        <w:rPr>
          <w:rFonts w:ascii="Times New Roman" w:hAnsi="Times New Roman" w:eastAsia="宋体" w:cs="Times New Roman"/>
          <w:kern w:val="0"/>
          <w:sz w:val="24"/>
          <w:szCs w:val="24"/>
        </w:rPr>
      </w:pPr>
      <w:bookmarkStart w:id="21" w:name="_neb05C93C40_D238_4A8D_AAAB_566CA48143AC"/>
      <w:r>
        <w:rPr>
          <w:rFonts w:ascii="Times New Roman" w:hAnsi="Times New Roman" w:eastAsia="宋体" w:cs="Times New Roman"/>
          <w:color w:val="000000"/>
          <w:kern w:val="0"/>
          <w:sz w:val="20"/>
          <w:szCs w:val="20"/>
        </w:rPr>
        <w:t>Perdew, J. P., Chevary, J. A., Vosko, S. H., Jackson, K. A., Pederson, M. R., Singh, D. J., &amp; Fiolhais, C. (1992). Atoms, molecules, solids, and surfaces: applications of the generalized gradient approximation for exchange and correlation. Physical Review B. https://doi.org/10.1103/physrevb.46.6671</w:t>
      </w:r>
      <w:bookmarkEnd w:id="21"/>
    </w:p>
    <w:p w14:paraId="27924069">
      <w:pPr>
        <w:autoSpaceDE w:val="0"/>
        <w:autoSpaceDN w:val="0"/>
        <w:adjustRightInd w:val="0"/>
        <w:ind w:left="120" w:hanging="120"/>
        <w:rPr>
          <w:rFonts w:ascii="Times New Roman" w:hAnsi="Times New Roman" w:eastAsia="宋体" w:cs="Times New Roman"/>
          <w:kern w:val="0"/>
          <w:sz w:val="24"/>
          <w:szCs w:val="24"/>
        </w:rPr>
      </w:pPr>
      <w:bookmarkStart w:id="22" w:name="_nebD20FCF1A_1873_4A30_9FF3_EFA226CEA131"/>
      <w:r>
        <w:rPr>
          <w:rFonts w:ascii="Times New Roman" w:hAnsi="Times New Roman" w:eastAsia="宋体" w:cs="Times New Roman"/>
          <w:color w:val="000000"/>
          <w:kern w:val="0"/>
          <w:sz w:val="20"/>
          <w:szCs w:val="20"/>
        </w:rPr>
        <w:t>Perdew, J. P., &amp; Wang, Y. (1992). Accurate and simple analytic representation of the electron-gas correlation energy. Physical Review B. https://doi.org/10.1103/physrevb.45.13244</w:t>
      </w:r>
      <w:bookmarkEnd w:id="22"/>
    </w:p>
    <w:p w14:paraId="591299E6">
      <w:pPr>
        <w:spacing w:line="360" w:lineRule="auto"/>
        <w:ind w:left="440" w:hanging="440" w:hangingChars="200"/>
        <w:rPr>
          <w:rFonts w:ascii="Times New Roman" w:hAnsi="Times New Roman" w:cs="Times New Roman"/>
          <w:sz w:val="22"/>
        </w:rPr>
      </w:pPr>
      <w:r>
        <w:rPr>
          <w:rFonts w:ascii="Times New Roman" w:hAnsi="Times New Roman" w:cs="Times New Roman"/>
          <w:sz w:val="22"/>
        </w:rPr>
        <w:fldChar w:fldCharType="end"/>
      </w:r>
    </w:p>
    <w:sectPr>
      <w:footerReference r:id="rId4" w:type="default"/>
      <w:headerReference r:id="rId3" w:type="even"/>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5909670"/>
    </w:sdtPr>
    <w:sdtEndPr>
      <w:rPr>
        <w:rFonts w:ascii="Times New Roman" w:hAnsi="Times New Roman" w:cs="Times New Roman"/>
      </w:rPr>
    </w:sdtEndPr>
    <w:sdtContent>
      <w:p w14:paraId="1D896544">
        <w:pPr>
          <w:pStyle w:val="2"/>
          <w:ind w:firstLine="24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404DF821">
    <w:pPr>
      <w:pStyle w:val="2"/>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93A6E">
    <w:pPr>
      <w:pStyle w:val="3"/>
      <w:ind w:firstLine="24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noPunctuationKerning w:val="1"/>
  <w:characterSpacingControl w:val="doNotCompress"/>
  <w:compat>
    <w:balanceSingleByteDoubleByteWidth/>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 ADDIN NE.CacheBib" w:val="{\rtf1\ansi\ansicpg936\pard\plain{\fonttbl{\f0\fnil\fcharset0\fprq2 Times New Roman;}}{\colortbl;\red0\green0\blue0;}\par\pard\plain \ql{\f0\fs28\b\cf1 References}\par\pard\plain \fi-120\li120\qj{\bkmkstart _neb32913086_3C82_41C5_A562_7D80559977D4}{\f0\fs20\cf1 Blochl}{\f0\fs20\cf1 , }{\f0\fs20\cf1 Jepsen}{\f0\fs20\cf1 , &amp; }{\f0\fs20\cf1 Andersen}{\f0\fs20\cf1  (}{\f0\fs20\cf1 1994}{\f0\fs20\cf1 )}{\f0\fs20\cf1 . }{\f0\fs20\cf1 Improved tetrahedron method for brillouin-zone integrations.}{\f0\fs20\cf1  }{\f0\fs20\i\cf1 Physical Review B}{\bkmkend _neb32913086_3C82_41C5_A562_7D80559977D4}\par\pard\plain \fi-120\li120\qj{\bkmkstart _neb84AECF11_47ED_44A9_8C90_7B71E6D4DBE5}{\f0\fs20\cf1 Bl{\u246 ?}chl, P. E.}{\f0\fs20\cf1  (}{\f0\fs20\cf1 1994}{\f0\fs20\cf1 )}{\f0\fs20\cf1 . }{\f0\fs20\cf1 Projector augmented-wave method.}{\f0\fs20\cf1  }{\f0\fs20\i\cf1 Physical Review B}{\f0\fs20\cf1 . https://doi.org/}{\f0\fs20\cf1 10.1103/physrevb.50.17953}{\bkmkend _neb84AECF11_47ED_44A9_8C90_7B71E6D4DBE5}\par\pard\plain \fi-120\li120\qj{\bkmkstart _neb25EF2736_EC40_49CA_A16B_5899FDE0AF3E}{\f0\fs20\cf1 Hafner, J.}{\f0\fs20\cf1  (}{\f0\fs20\cf1 2007}{\f0\fs20\cf1 )}{\f0\fs20\cf1 . }{\f0\fs20\cf1 Materials simulations using VASP{\u8212 ?}a quantum perspective to materials science}{\f0\fs20\cf1 . }{\f0\fs20\i\cf1 Computer Physics Communications}{\f0\fs20\cf1 . https://doi.org/}{\f0\fs20\cf1 10.1016/j.cpc.2007.02.045}{\bkmkend _neb25EF2736_EC40_49CA_A16B_5899FDE0AF3E}\par\pard\plain \fi-120\li120\qj{\bkmkstart _nebD8EE19F4_70AA_4F32_8494_F38ABA85FD62}{\f0\fs20\cf1 Hafner, J.}{\f0\fs20\cf1  (}{\f0\fs20\cf1 2008}{\f0\fs20\cf1 )}{\f0\fs20\cf1 . }{\f0\fs20\cf1 Ab-initiosimulations of materials using VASP: density-functional theory and beyond}{\f0\fs20\cf1 . }{\f0\fs20\i\cf1 Journal of Computational Chemistry}{\f0\fs20\cf1 . https://doi.org/}{\f0\fs20\cf1 10.1002/jcc.21057}{\bkmkend _nebD8EE19F4_70AA_4F32_8494_F38ABA85FD62}\par\pard\plain \fi-120\li120\qj{\bkmkstart _neb920D7261_FBFB_44B8_BBC8_BDD561885104}{\f0\fs20\cf1 Huang, J.}{\f0\fs20\cf1 , }{\f0\fs20\cf1 Li, D.}{\f0\fs20\cf1 , }{\f0\fs20\cf1 Li, R.}{\f0\fs20\cf1 , }{\f0\fs20\cf1 Chen, P.}{\f0\fs20\cf1 , }{\f0\fs20\cf1 Zhang, Q.}{\f0\fs20\cf1 , }{\f0\fs20\cf1 Liu, H.}{\f0\fs20\cf1 , }{\f0\fs20\cf1 Lv, W.}{\f0\fs20\cf1 , }{\f0\fs20\cf1 Liu, G.}{\f0\fs20\cf1 , &amp; }{\f0\fs20\cf1 Feng, Y.}{\f0\fs20\cf1  (}{\f0\fs20\cf1 2019}{\f0\fs20\cf1 )}{\f0\fs20\cf1 . }{\f0\fs20\cf1 One-step synthesis of phosphorus/oxygen co-doped g-c3n4/anatase TiO2 z-scheme photocatalyst for significantly enhanced visible-light photocatalysis degradation of enrofloxacin.}{\f0\fs20\cf1  }{\f0\fs20\i\cf1 Journal of Hazardous Materials}{\f0\fs20\cf1 . https://doi.org/}{\f0\fs20\cf1 10.1016/j.jhazmat.2019.121634}{\bkmkend _neb920D7261_FBFB_44B8_BBC8_BDD561885104}\par\pard\plain \fi-120\li120\qj{\bkmkstart _nebD1B04866_4CD5_42C2_8FD9_59445C77F2B3}{\f0\fs20\cf1 Kohn, W.}{\f0\fs20\cf1 , &amp; }{\f0\fs20\cf1 Sham, L. J.}{\f0\fs20\cf1  (}{\f0\fs20\cf1 1965}{\f0\fs20\cf1 )}{\f0\fs20\cf1 . }{\f0\fs20\cf1 Self-consistent equations including exchange and correlation effects}{\f0\fs20\cf1 . }{\f0\fs20\i\cf1 Physical Review}{\f0\fs20\cf1 . https://doi.org/}{\f0\fs20\cf1 10.1103/physrev.140.a1133}{\bkmkend _nebD1B04866_4CD5_42C2_8FD9_59445C77F2B3}\par\pard\plain \fi-120\li120\qj{\bkmkstart _nebF0279076_73CF_4A34_AE4A_95F42E5782DF}{\f0\fs20\cf1 Kresse, G.}{\f0\fs20\cf1 , &amp; }{\f0\fs20\cf1 Furthm{\u252 ?}ller, J.}{\f0\fs20\cf1  (}{\f0\fs20\cf1 1996}{\f0\fs20\cf1 )}{\f0\fs20\cf1 . }{\f0\fs20\cf1 Efficient iterative schemes for ab initio total-energy calculations using a plane-wave basis set.}{\f0\fs20\cf1  }{\f0\fs20\i\cf1 Physical Review B}{\f0\fs20\cf1 . https://doi.org/}{\f0\fs20\cf1 10.1103/physrevb.54.11169}{\bkmkend _nebF0279076_73CF_4A34_AE4A_95F42E5782DF}\par\pard\plain \fi-120\li120\qj{\bkmkstart _neb0B882FF7_DFB7_45FE_94FF_98B03639454A}{\f0\fs20\cf1 Neugebauer, J.}{\f0\fs20\cf1 , &amp; }{\f0\fs20\cf1 Scheffler, M.}{\f0\fs20\cf1  (}{\f0\fs20\cf1 1992}{\f0\fs20\cf1 )}{\f0\fs20\cf1 . }{\f0\fs20\cf1 Adsorbate-substrate and adsorbate-adsorbate interactions of na and k adlayers on al(111).}{\f0\fs20\cf1  }{\f0\fs20\i\cf1 Physical Review B}{\f0\fs20\cf1 . https://doi.org/}{\f0\fs20\cf1 10.1103/physrevb.46.16067}{\bkmkend _neb0B882FF7_DFB7_45FE_94FF_98B03639454A}\par\pard\plain \fi-120\li120\qj{\bkmkstart _nebC71FFC32_0C6F_447B_B38F_963221CF28B3}{\f0\fs20\cf1 Perdew, J. P.}{\f0\fs20\cf1 , }{\f0\fs20\cf1 Burke, K.}{\f0\fs20\cf1 , &amp; }{\f0\fs20\cf1 Ernzerhof, M.}{\f0\fs20\cf1  (}{\f0\fs20\cf1 1996}{\f0\fs20\cf1 )}{\f0\fs20\cf1 . }{\f0\fs20\cf1 Generalized gradient approximation made simple.}{\f0\fs20\cf1  }{\f0\fs20\i\cf1 Physical Review Letters}{\f0\fs20\cf1 . https://doi.org/}{\f0\fs20\cf1 10.1103/physrevlett.77.3865}{\bkmkend _nebC71FFC32_0C6F_447B_B38F_963221CF28B3}\par\pard\plain \fi-120\li120\qj{\bkmkstart _neb05C93C40_D238_4A8D_AAAB_566CA48143AC}{\f0\fs20\cf1 Perdew, J. P.}{\f0\fs20\cf1 , }{\f0\fs20\cf1 Chevary, J. A.}{\f0\fs20\cf1 , }{\f0\fs20\cf1 Vosko, S. H.}{\f0\fs20\cf1 , }{\f0\fs20\cf1 Jackson, K. A.}{\f0\fs20\cf1 , }{\f0\fs20\cf1 Pederson, M. R.}{\f0\fs20\cf1 , }{\f0\fs20\cf1 Singh, D. J.}{\f0\fs20\cf1 , &amp; }{\f0\fs20\cf1 Fiolhais, C.}{\f0\fs20\cf1  (}{\f0\fs20\cf1 1992}{\f0\fs20\cf1 )}{\f0\fs20\cf1 . }{\f0\fs20\cf1 Atoms, molecules, solids, and surfaces: applications of the generalized gradient approximation for exchange and correlation.}{\f0\fs20\cf1  }{\f0\fs20\i\cf1 Physical Review B}{\f0\fs20\cf1 . https://doi.org/}{\f0\fs20\cf1 10.1103/physrevb.46.6671}{\bkmkend _neb05C93C40_D238_4A8D_AAAB_566CA48143AC}\par\pard\plain \fi-120\li120\qj{\bkmkstart _nebD20FCF1A_1873_4A30_9FF3_EFA226CEA131}{\f0\fs20\cf1 Perdew, J. P.}{\f0\fs20\cf1 , &amp; }{\f0\fs20\cf1 Wang, Y.}{\f0\fs20\cf1  (}{\f0\fs20\cf1 1992}{\f0\fs20\cf1 )}{\f0\fs20\cf1 . }{\f0\fs20\cf1 Accurate and simple analytic representation of the electron-gas correlation energy.}{\f0\fs20\cf1  }{\f0\fs20\i\cf1 Physical Review B}{\f0\fs20\cf1 . https://doi.org/}{\f0\fs20\cf1 10.1103/physrevb.45.13244}{\bkmkend _nebD20FCF1A_1873_4A30_9FF3_EFA226CEA131}\par\pard\plain \fi-120\li120\qj}"/>
    <w:docVar w:name=" ADDIN NE.CacheRef.{119CAFBE-89A9-4850-BE82-FF0FF5418E3A}" w:val="{\rtf1\ansi\ansicpg936\pard\plain{\fonttbl{\f0\fnil\fcharset0\fprq2 Times New Roman;}}{\colortbl;\red0\green0\blue0;}{\f0\fs24\cf1 (}{\f0\fs24\cf1 Huang}{\f0\fs24\cf1  et al.}{\f0\fs24\cf1 , }{\f0\fs24\cf1 2019}{\f0\fs24\cf1 ; }{\f0\fs24\cf1 Neugebauer}{\f0\fs24\cf1  &amp; }{\f0\fs24\cf1 Scheffler}{\f0\fs24\cf1 , }{\f0\fs24\cf1 1992}{\f0\fs24\cf1 )}}"/>
    <w:docVar w:name=" ADDIN NE.CacheRef.{349D72A7-D3A2-4AF3-BF8F-DEB594B27554}" w:val="{\rtf1\ansi\ansicpg936\pard\plain{\colortbl;\red0\green0\blue0;}{\fs24\cf1 (}{\fs24\cf1 Hafner}{\fs24\cf1 , }{\fs24\cf1 2008}{\fs24\cf1 ; }{\fs24\cf1 Kresse}{\fs24\cf1  &amp; }{\fs24\cf1 Furthm{\u252 ?}ller}{\fs24\cf1 , }{\fs24\cf1 1996}{\fs24\cf1 )}}"/>
    <w:docVar w:name=" ADDIN NE.CacheRef.{62C569E1-0AD2-4EF9-8F19-07F7C93C20A9}" w:val="{\rtf1\ansi\ansicpg936\pard\plain{\colortbl;\red0\green0\blue0;}{\fs24\cf1 (}{\fs24\cf1 Kresse}{\fs24\cf1  &amp; }{\fs24\cf1 Furthm{\u252 ?}ller}{\fs24\cf1 , }{\fs24\cf1 1996}{\fs24\cf1 )}}"/>
    <w:docVar w:name=" ADDIN NE.CacheRef.{967F9147-F660-4339-BCF5-42B66EE27B0D}" w:val="{\rtf1\ansi\ansicpg936\pard\plain{\fonttbl{\f0\fnil\fcharset0\fprq2 Times New Roman;}}{\colortbl;\red0\green0\blue0;}{\f0\fs24\cf1 (}{\f0\fs24\cf1 Perdew}{\f0\fs24\cf1  et al.}{\f0\fs24\cf1 , }{\f0\fs24\cf1 1992}{\f0\fs24\cf1 )}}"/>
    <w:docVar w:name=" ADDIN NE.CacheRef.{B9A19CBF-F431-4540-8130-0C52E8C58C6B}" w:val="{\rtf1\ansi\ansicpg936\pard\plain{\fonttbl{\f0\fnil\fcharset0\fprq2 Times New Roman;}}{\colortbl;\red0\green0\blue0;}{\f0\fs24\cf1 (}{\f0\fs24\cf1 Kohn}{\f0\fs24\cf1  &amp; }{\f0\fs24\cf1 Sham}{\f0\fs24\cf1 , }{\f0\fs24\cf1 1965}{\f0\fs24\cf1 )}}"/>
    <w:docVar w:name=" ADDIN NE.CacheRef.{C3C7A78B-9269-4676-8C55-D7F847EE8BB4}" w:val="{\rtf1\ansi\ansicpg936\pard\plain{\fonttbl{\f0\fnil\fcharset0\fprq2 Times New Roman;}}{\colortbl;\red0\green0\blue0;}{\f0\fs24\cf1 (}{\f0\fs24\cf1 Perdew}{\f0\fs24\cf1  et al.}{\f0\fs24\cf1 , }{\f0\fs24\cf1 1992}{\f0\fs24\cf1 ; }{\f0\fs24\cf1 Perdew}{\f0\fs24\cf1  et al.}{\f0\fs24\cf1 , }{\f0\fs24\cf1 1996}{\f0\fs24\cf1 ; }{\f0\fs24\cf1 Perdew}{\f0\fs24\cf1  &amp; }{\f0\fs24\cf1 Wang}{\f0\fs24\cf1 , }{\f0\fs24\cf1 1992}{\f0\fs24\cf1 )}}"/>
    <w:docVar w:name=" ADDIN NE.CacheRef.{CA74D32F-AF6F-4F42-9703-19D5B795E85A}" w:val="{\rtf1\ansi\ansicpg936\pard\plain{\fonttbl{\f0\fnil\fcharset0\fprq2 Times New Roman;}}{\colortbl;\red0\green0\blue0;}{\f0\fs24\cf1 (}{\f0\fs24\cf1 Blochl}{\f0\fs24\cf1  et al.}{\f0\fs24\cf1 , }{\f0\fs24\cf1 1994}{\f0\fs24\cf1 ; }{\f0\fs24\cf1 Bl{\u246 ?}chl}{\f0\fs24\cf1 , }{\f0\fs24\cf1 1994}{\f0\fs24\cf1 )}}"/>
    <w:docVar w:name=" ADDIN NE.CacheRef.{ED056D15-2183-45AD-A7EA-C3373CD65E47}" w:val="{\rtf1\ansi\ansicpg936\pard\plain{\fonttbl{\f0\fnil\fcharset0\fprq2 Times New Roman;}}{\colortbl;\red0\green0\blue0;}{\f0\fs24\cf1 (}{\f0\fs24\cf1 Hafner}{\f0\fs24\cf1 , }{\f0\fs24\cf1 2007}{\f0\fs24\cf1 )}}"/>
    <w:docVar w:name="NE.Ref{119CAFBE-89A9-4850-BE82-FF0FF5418E3A}" w:val=" ADDIN NE.Ref.{119CAFBE-89A9-4850-BE82-FF0FF5418E3A}&lt;Citation&gt;&lt;Group&gt;&lt;References&gt;&lt;Item&gt;&lt;ID&gt;490&lt;/ID&gt;&lt;UID&gt;{920D7261-FBFB-44B8-BBC8-BDD561885104}&lt;/UID&gt;&lt;Title&gt;One-step synthesis of phosphorus/oxygen co-doped g-C3N4/anatase TiO2 Z-scheme photocatalyst for significantly enhanced visible-light photocatalysis degradation of enrofloxacin.&lt;/Title&gt;&lt;Template&gt;Journal Article&lt;/Template&gt;&lt;Star&gt;0&lt;/Star&gt;&lt;Tag&gt;0&lt;/Tag&gt;&lt;Author&gt;Huang, Jiaxing; Li, Daguang; Li, Ruobai; Chen, Ping; Zhang, Qianxin; Liu, Haijin; Lv, Wenying; Liu, Guoguang; Feng, Yiping&lt;/Author&gt;&lt;Year&gt;2019&lt;/Year&gt;&lt;Details&gt;&lt;_alternate_title&gt;J. Hazard. Mater.&lt;/_alternate_title&gt;&lt;_date_display&gt;2019&lt;/_date_display&gt;&lt;_date&gt;2019-01-01&lt;/_date&gt;&lt;_doi&gt;10.1016/j.jhazmat.2019.121634&lt;/_doi&gt;&lt;_journal&gt;Journal of Hazardous Materials&lt;/_journal&gt;&lt;_url&gt;http://dx.doi.org/10.1016/j.jhazmat.2019.121634&lt;/_url&gt;&lt;_created&gt;66130181&lt;/_created&gt;&lt;_modified&gt;66130181&lt;/_modified&gt;&lt;_impact_factor&gt;  12.200&lt;/_impact_factor&gt;&lt;_social_category&gt;工程：环境(1) &amp;amp; 环境科学(1)&lt;/_social_category&gt;&lt;_collection_scope&gt;SCIE;EI&lt;/_collection_scope&gt;&lt;_language&gt;English&lt;/_language&gt;&lt;/Details&gt;&lt;Extra&gt;&lt;DBUID&gt;{C7DF0352-CC18-4319-976F-E035AE6954AB}&lt;/DBUID&gt;&lt;/Extra&gt;&lt;/Item&gt;&lt;/References&gt;&lt;/Group&gt;&lt;Group&gt;&lt;References&gt;&lt;Item&gt;&lt;ID&gt;491&lt;/ID&gt;&lt;UID&gt;{0B882FF7-DFB7-45FE-94FF-98B03639454A}&lt;/UID&gt;&lt;Title&gt;Adsorbate-substrate and adsorbate-adsorbate interactions of Na and K adlayers on Al(111).&lt;/Title&gt;&lt;Template&gt;Journal Article&lt;/Template&gt;&lt;Star&gt;0&lt;/Star&gt;&lt;Tag&gt;0&lt;/Tag&gt;&lt;Author&gt;Neugebauer, Jörg; Scheffler, Matthias&lt;/Author&gt;&lt;Year&gt;1992&lt;/Year&gt;&lt;Details&gt;&lt;_alternate_title&gt;Phys. Rev. B&lt;/_alternate_title&gt;&lt;_date_display&gt;1992&lt;/_date_display&gt;&lt;_date&gt;1992-01-01&lt;/_date&gt;&lt;_doi&gt;10.1103/physrevb.46.16067&lt;/_doi&gt;&lt;_journal&gt;Physical Review B&lt;/_journal&gt;&lt;_url&gt;http://dx.doi.org/10.1103/physrevb.46.16067&lt;/_url&gt;&lt;_created&gt;66130181&lt;/_created&gt;&lt;_modified&gt;66130181&lt;/_modified&gt;&lt;_impact_factor&gt;   3.200&lt;/_impact_factor&gt;&lt;_social_category&gt;材料科学：综合(3) &amp;amp; 物理：应用(3) &amp;amp; 物理：凝聚态物理(3)&lt;/_social_category&gt;&lt;_collection_scope&gt;SCIE;EI&lt;/_collection_scope&gt;&lt;_language&gt;English&lt;/_language&gt;&lt;/Details&gt;&lt;Extra&gt;&lt;DBUID&gt;{C7DF0352-CC18-4319-976F-E035AE6954AB}&lt;/DBUID&gt;&lt;/Extra&gt;&lt;/Item&gt;&lt;/References&gt;&lt;/Group&gt;&lt;/Citation&gt;_x000a_"/>
    <w:docVar w:name="NE.Ref{349D72A7-D3A2-4AF3-BF8F-DEB594B27554}" w:val=" ADDIN NE.Ref.{349D72A7-D3A2-4AF3-BF8F-DEB594B27554}&lt;Citation&gt;&lt;Group&gt;&lt;References&gt;&lt;Item&gt;&lt;ID&gt;479&lt;/ID&gt;&lt;UID&gt;{D8EE19F4-70AA-4F32-8494-F38ABA85FD62}&lt;/UID&gt;&lt;Title&gt;Ab-initiosimulations of materials using VASP: Density-functional theory and beyond&lt;/Title&gt;&lt;Template&gt;Journal Article&lt;/Template&gt;&lt;Star&gt;0&lt;/Star&gt;&lt;Tag&gt;0&lt;/Tag&gt;&lt;Author&gt;Hafner, Jürgen&lt;/Author&gt;&lt;Year&gt;2008&lt;/Year&gt;&lt;Details&gt;&lt;_alternate_title&gt;J. Comput. Chem.&lt;/_alternate_title&gt;&lt;_date_display&gt;2008&lt;/_date_display&gt;&lt;_date&gt;2008-01-01&lt;/_date&gt;&lt;_doi&gt;10.1002/jcc.21057&lt;/_doi&gt;&lt;_journal&gt;Journal of Computational Chemistry&lt;/_journal&gt;&lt;_url&gt;http://dx.doi.org/10.1002/jcc.21057&lt;/_url&gt;&lt;_created&gt;66130178&lt;/_created&gt;&lt;_modified&gt;66130178&lt;/_modified&gt;&lt;_impact_factor&gt;   3.400&lt;/_impact_factor&gt;&lt;_social_category&gt;化学：综合(3)&lt;/_social_category&gt;&lt;_collection_scope&gt;SCIE;EI&lt;/_collection_scope&gt;&lt;_language&gt;English&lt;/_language&gt;&lt;/Details&gt;&lt;Extra&gt;&lt;DBUID&gt;{C7DF0352-CC18-4319-976F-E035AE6954AB}&lt;/DBUID&gt;&lt;/Extra&gt;&lt;/Item&gt;&lt;/References&gt;&lt;/Group&gt;&lt;Group&gt;&lt;References&gt;&lt;Item&gt;&lt;ID&gt;480&lt;/ID&gt;&lt;UID&gt;{F0279076-73CF-4A34-AE4A-95F42E5782DF}&lt;/UID&gt;&lt;Title&gt;Efficient iterative schemes for ab initio total-energy calculations using a plane-wave basis set.&lt;/Title&gt;&lt;Template&gt;Journal Article&lt;/Template&gt;&lt;Star&gt;0&lt;/Star&gt;&lt;Tag&gt;0&lt;/Tag&gt;&lt;Author&gt;Kresse, G; Furthmüller, J&lt;/Author&gt;&lt;Year&gt;1996&lt;/Year&gt;&lt;Details&gt;&lt;_alternate_title&gt;Phys. Rev. B&lt;/_alternate_title&gt;&lt;_date_display&gt;1996&lt;/_date_display&gt;&lt;_date&gt;1996-01-01&lt;/_date&gt;&lt;_doi&gt;10.1103/physrevb.54.11169&lt;/_doi&gt;&lt;_journal&gt;Physical Review B&lt;/_journal&gt;&lt;_url&gt;http://dx.doi.org/10.1103/physrevb.54.11169&lt;/_url&gt;&lt;_created&gt;66130178&lt;/_created&gt;&lt;_modified&gt;66130178&lt;/_modified&gt;&lt;_impact_factor&gt;   3.200&lt;/_impact_factor&gt;&lt;_social_category&gt;材料科学：综合(3) &amp;amp; 物理：应用(3) &amp;amp; 物理：凝聚态物理(3)&lt;/_social_category&gt;&lt;_collection_scope&gt;SCIE;EI&lt;/_collection_scope&gt;&lt;_language&gt;English&lt;/_language&gt;&lt;/Details&gt;&lt;Extra&gt;&lt;DBUID&gt;{C7DF0352-CC18-4319-976F-E035AE6954AB}&lt;/DBUID&gt;&lt;/Extra&gt;&lt;/Item&gt;&lt;/References&gt;&lt;/Group&gt;&lt;/Citation&gt;_x000a_"/>
    <w:docVar w:name="NE.Ref{62C569E1-0AD2-4EF9-8F19-07F7C93C20A9}" w:val=" ADDIN NE.Ref.{62C569E1-0AD2-4EF9-8F19-07F7C93C20A9}&lt;Citation&gt;&lt;Group&gt;&lt;References&gt;&lt;Item&gt;&lt;ID&gt;480&lt;/ID&gt;&lt;UID&gt;{F0279076-73CF-4A34-AE4A-95F42E5782DF}&lt;/UID&gt;&lt;Title&gt;Efficient iterative schemes for ab initio total-energy calculations using a plane-wave basis set.&lt;/Title&gt;&lt;Template&gt;Journal Article&lt;/Template&gt;&lt;Star&gt;0&lt;/Star&gt;&lt;Tag&gt;0&lt;/Tag&gt;&lt;Author&gt;Kresse, G; Furthmüller, J&lt;/Author&gt;&lt;Year&gt;1996&lt;/Year&gt;&lt;Details&gt;&lt;_alternate_title&gt;Phys. Rev. B&lt;/_alternate_title&gt;&lt;_date_display&gt;1996&lt;/_date_display&gt;&lt;_date&gt;1996-01-01&lt;/_date&gt;&lt;_doi&gt;10.1103/physrevb.54.11169&lt;/_doi&gt;&lt;_journal&gt;Physical Review B&lt;/_journal&gt;&lt;_url&gt;http://dx.doi.org/10.1103/physrevb.54.11169&lt;/_url&gt;&lt;_created&gt;66130178&lt;/_created&gt;&lt;_modified&gt;66130178&lt;/_modified&gt;&lt;_impact_factor&gt;   3.200&lt;/_impact_factor&gt;&lt;_social_category&gt;材料科学：综合(3) &amp;amp; 物理：应用(3) &amp;amp; 物理：凝聚态物理(3)&lt;/_social_category&gt;&lt;_collection_scope&gt;SCIE;EI&lt;/_collection_scope&gt;&lt;_language&gt;English&lt;/_language&gt;&lt;/Details&gt;&lt;Extra&gt;&lt;DBUID&gt;{C7DF0352-CC18-4319-976F-E035AE6954AB}&lt;/DBUID&gt;&lt;/Extra&gt;&lt;/Item&gt;&lt;/References&gt;&lt;/Group&gt;&lt;/Citation&gt;_x000a_"/>
    <w:docVar w:name="NE.Ref{967F9147-F660-4339-BCF5-42B66EE27B0D}" w:val=" ADDIN NE.Ref.{967F9147-F660-4339-BCF5-42B66EE27B0D}&lt;Citation&gt;&lt;Group&gt;&lt;References&gt;&lt;Item&gt;&lt;ID&gt;484&lt;/ID&gt;&lt;UID&gt;{05C93C40-D238-4A8D-AAAB-566CA48143AC}&lt;/UID&gt;&lt;Title&gt;Atoms, molecules, solids, and surfaces: Applications of the generalized gradient approximation for exchange and correlation.&lt;/Title&gt;&lt;Template&gt;Journal Article&lt;/Template&gt;&lt;Star&gt;0&lt;/Star&gt;&lt;Tag&gt;0&lt;/Tag&gt;&lt;Author&gt;Perdew, John P; Chevary, J A; Vosko, S H; Jackson, Koblar A; Pederson, Mark R; Singh, D J; Fiolhais, Carlos&lt;/Author&gt;&lt;Year&gt;1992&lt;/Year&gt;&lt;Details&gt;&lt;_alternate_title&gt;Phys. Rev. B&lt;/_alternate_title&gt;&lt;_date_display&gt;1992&lt;/_date_display&gt;&lt;_date&gt;1992-01-01&lt;/_date&gt;&lt;_doi&gt;10.1103/physrevb.46.6671&lt;/_doi&gt;&lt;_journal&gt;Physical Review B&lt;/_journal&gt;&lt;_url&gt;http://dx.doi.org/10.1103/physrevb.46.6671&lt;/_url&gt;&lt;_created&gt;66130179&lt;/_created&gt;&lt;_modified&gt;66130179&lt;/_modified&gt;&lt;_impact_factor&gt;   3.200&lt;/_impact_factor&gt;&lt;_social_category&gt;材料科学：综合(3) &amp;amp; 物理：应用(3) &amp;amp; 物理：凝聚态物理(3)&lt;/_social_category&gt;&lt;_collection_scope&gt;SCIE;EI&lt;/_collection_scope&gt;&lt;_language&gt;English&lt;/_language&gt;&lt;/Details&gt;&lt;Extra&gt;&lt;DBUID&gt;{C7DF0352-CC18-4319-976F-E035AE6954AB}&lt;/DBUID&gt;&lt;/Extra&gt;&lt;/Item&gt;&lt;/References&gt;&lt;/Group&gt;&lt;/Citation&gt;_x000a_"/>
    <w:docVar w:name="NE.Ref{B9A19CBF-F431-4540-8130-0C52E8C58C6B}" w:val=" ADDIN NE.Ref.{B9A19CBF-F431-4540-8130-0C52E8C58C6B}&lt;Citation&gt;&lt;Group&gt;&lt;References&gt;&lt;Item&gt;&lt;ID&gt;478&lt;/ID&gt;&lt;UID&gt;{D1B04866-4CD5-42C2-8FD9-59445C77F2B3}&lt;/UID&gt;&lt;Title&gt;Self-Consistent Equations Including Exchange and Correlation Effects&lt;/Title&gt;&lt;Template&gt;Journal Article&lt;/Template&gt;&lt;Star&gt;0&lt;/Star&gt;&lt;Tag&gt;0&lt;/Tag&gt;&lt;Author&gt;Kohn, W; Sham, L J&lt;/Author&gt;&lt;Year&gt;1965&lt;/Year&gt;&lt;Details&gt;&lt;_alternate_title&gt;Phys. Rev.&lt;/_alternate_title&gt;&lt;_date_display&gt;1965&lt;/_date_display&gt;&lt;_date&gt;1965-01-01&lt;/_date&gt;&lt;_doi&gt;10.1103/physrev.140.a1133&lt;/_doi&gt;&lt;_journal&gt;Physical Review&lt;/_journal&gt;&lt;_url&gt;http://dx.doi.org/10.1103/physrev.140.a1133&lt;/_url&gt;&lt;_created&gt;66130176&lt;/_created&gt;&lt;_modified&gt;66130176&lt;/_modified&gt;&lt;_language&gt;English&lt;/_language&gt;&lt;/Details&gt;&lt;Extra&gt;&lt;DBUID&gt;{C7DF0352-CC18-4319-976F-E035AE6954AB}&lt;/DBUID&gt;&lt;/Extra&gt;&lt;/Item&gt;&lt;/References&gt;&lt;/Group&gt;&lt;/Citation&gt;_x000a_"/>
    <w:docVar w:name="NE.Ref{C3C7A78B-9269-4676-8C55-D7F847EE8BB4}" w:val=" ADDIN NE.Ref.{C3C7A78B-9269-4676-8C55-D7F847EE8BB4}&lt;Citation&gt;&lt;Group&gt;&lt;References&gt;&lt;Item&gt;&lt;ID&gt;484&lt;/ID&gt;&lt;UID&gt;{05C93C40-D238-4A8D-AAAB-566CA48143AC}&lt;/UID&gt;&lt;Title&gt;Atoms, molecules, solids, and surfaces: Applications of the generalized gradient approximation for exchange and correlation.&lt;/Title&gt;&lt;Template&gt;Journal Article&lt;/Template&gt;&lt;Star&gt;0&lt;/Star&gt;&lt;Tag&gt;0&lt;/Tag&gt;&lt;Author&gt;Perdew, John P; Chevary, J A; Vosko, S H; Jackson, Koblar A; Pederson, Mark R; Singh, D J; Fiolhais, Carlos&lt;/Author&gt;&lt;Year&gt;1992&lt;/Year&gt;&lt;Details&gt;&lt;_alternate_title&gt;Phys. Rev. B&lt;/_alternate_title&gt;&lt;_date_display&gt;1992&lt;/_date_display&gt;&lt;_date&gt;1992-01-01&lt;/_date&gt;&lt;_doi&gt;10.1103/physrevb.46.6671&lt;/_doi&gt;&lt;_journal&gt;Physical Review B&lt;/_journal&gt;&lt;_url&gt;http://dx.doi.org/10.1103/physrevb.46.6671&lt;/_url&gt;&lt;_created&gt;66130179&lt;/_created&gt;&lt;_modified&gt;66130179&lt;/_modified&gt;&lt;_impact_factor&gt;   3.200&lt;/_impact_factor&gt;&lt;_social_category&gt;材料科学：综合(3) &amp;amp; 物理：应用(3) &amp;amp; 物理：凝聚态物理(3)&lt;/_social_category&gt;&lt;_collection_scope&gt;SCIE;EI&lt;/_collection_scope&gt;&lt;_language&gt;English&lt;/_language&gt;&lt;/Details&gt;&lt;Extra&gt;&lt;DBUID&gt;{C7DF0352-CC18-4319-976F-E035AE6954AB}&lt;/DBUID&gt;&lt;/Extra&gt;&lt;/Item&gt;&lt;/References&gt;&lt;/Group&gt;&lt;Group&gt;&lt;References&gt;&lt;Item&gt;&lt;ID&gt;485&lt;/ID&gt;&lt;UID&gt;{C71FFC32-0C6F-447B-B38F-963221CF28B3}&lt;/UID&gt;&lt;Title&gt;Generalized Gradient Approximation Made Simple.&lt;/Title&gt;&lt;Template&gt;Journal Article&lt;/Template&gt;&lt;Star&gt;0&lt;/Star&gt;&lt;Tag&gt;0&lt;/Tag&gt;&lt;Author&gt;Perdew, John P; Burke, Kieron; Ernzerhof, Matthias&lt;/Author&gt;&lt;Year&gt;1996&lt;/Year&gt;&lt;Details&gt;&lt;_alternate_title&gt;Phys. Rev. Lett.&lt;/_alternate_title&gt;&lt;_date_display&gt;1996&lt;/_date_display&gt;&lt;_date&gt;1996-01-01&lt;/_date&gt;&lt;_doi&gt;10.1103/physrevlett.77.3865&lt;/_doi&gt;&lt;_journal&gt;Physical Review Letters&lt;/_journal&gt;&lt;_url&gt;http://dx.doi.org/10.1103/physrevlett.77.3865&lt;/_url&gt;&lt;_created&gt;66130179&lt;/_created&gt;&lt;_modified&gt;66130179&lt;/_modified&gt;&lt;_impact_factor&gt;   8.100&lt;/_impact_factor&gt;&lt;_social_category&gt;物理：综合(1)&lt;/_social_category&gt;&lt;_collection_scope&gt;SCIE;EI&lt;/_collection_scope&gt;&lt;_language&gt;English&lt;/_language&gt;&lt;/Details&gt;&lt;Extra&gt;&lt;DBUID&gt;{C7DF0352-CC18-4319-976F-E035AE6954AB}&lt;/DBUID&gt;&lt;/Extra&gt;&lt;/Item&gt;&lt;/References&gt;&lt;/Group&gt;&lt;Group&gt;&lt;References&gt;&lt;Item&gt;&lt;ID&gt;483&lt;/ID&gt;&lt;UID&gt;{D20FCF1A-1873-4A30-9FF3-EFA226CEA131}&lt;/UID&gt;&lt;Title&gt;Accurate and simple analytic representation of the electron-gas correlation energy.&lt;/Title&gt;&lt;Template&gt;Journal Article&lt;/Template&gt;&lt;Star&gt;0&lt;/Star&gt;&lt;Tag&gt;0&lt;/Tag&gt;&lt;Author&gt;Perdew, John P; Wang, Yue&lt;/Author&gt;&lt;Year&gt;1992&lt;/Year&gt;&lt;Details&gt;&lt;_alternate_title&gt;Phys. Rev. B&lt;/_alternate_title&gt;&lt;_date_display&gt;1992&lt;/_date_display&gt;&lt;_date&gt;1992-01-01&lt;/_date&gt;&lt;_doi&gt;10.1103/physrevb.45.13244&lt;/_doi&gt;&lt;_journal&gt;Physical Review B&lt;/_journal&gt;&lt;_url&gt;http://dx.doi.org/10.1103/physrevb.45.13244&lt;/_url&gt;&lt;_created&gt;66130179&lt;/_created&gt;&lt;_modified&gt;66130179&lt;/_modified&gt;&lt;_impact_factor&gt;   3.200&lt;/_impact_factor&gt;&lt;_social_category&gt;材料科学：综合(3) &amp;amp; 物理：应用(3) &amp;amp; 物理：凝聚态物理(3)&lt;/_social_category&gt;&lt;_collection_scope&gt;SCIE;EI&lt;/_collection_scope&gt;&lt;_language&gt;English&lt;/_language&gt;&lt;/Details&gt;&lt;Extra&gt;&lt;DBUID&gt;{C7DF0352-CC18-4319-976F-E035AE6954AB}&lt;/DBUID&gt;&lt;/Extra&gt;&lt;/Item&gt;&lt;/References&gt;&lt;/Group&gt;&lt;/Citation&gt;_x000a_"/>
    <w:docVar w:name="NE.Ref{CA74D32F-AF6F-4F42-9703-19D5B795E85A}" w:val=" ADDIN NE.Ref.{CA74D32F-AF6F-4F42-9703-19D5B795E85A}&lt;Citation&gt;&lt;Group&gt;&lt;References&gt;&lt;Item&gt;&lt;ID&gt;481&lt;/ID&gt;&lt;UID&gt;{32913086-3C82-41C5-A562-7D80559977D4}&lt;/UID&gt;&lt;Title&gt;Improved tetrahedron method for Brillouin-zone integrations.&lt;/Title&gt;&lt;Template&gt;Journal Article&lt;/Template&gt;&lt;Star&gt;0&lt;/Star&gt;&lt;Tag&gt;0&lt;/Tag&gt;&lt;Author&gt;Blochl; Jepsen; Andersen&lt;/Author&gt;&lt;Year&gt;1994&lt;/Year&gt;&lt;Details&gt;&lt;_alternate_title&gt;Phys. Rev. B&lt;/_alternate_title&gt;&lt;_date_display&gt;1994&lt;/_date_display&gt;&lt;_date&gt;1994-01-01&lt;/_date&gt;&lt;_journal&gt;Physical Review B&lt;/_journal&gt;&lt;_created&gt;66130178&lt;/_created&gt;&lt;_modified&gt;66130178&lt;/_modified&gt;&lt;_impact_factor&gt;   3.200&lt;/_impact_factor&gt;&lt;_social_category&gt;材料科学：综合(3) &amp;amp; 物理：应用(3) &amp;amp; 物理：凝聚态物理(3)&lt;/_social_category&gt;&lt;_collection_scope&gt;SCIE;EI&lt;/_collection_scope&gt;&lt;_language&gt;English&lt;/_language&gt;&lt;/Details&gt;&lt;Extra&gt;&lt;DBUID&gt;{C7DF0352-CC18-4319-976F-E035AE6954AB}&lt;/DBUID&gt;&lt;/Extra&gt;&lt;/Item&gt;&lt;/References&gt;&lt;/Group&gt;&lt;Group&gt;&lt;References&gt;&lt;Item&gt;&lt;ID&gt;482&lt;/ID&gt;&lt;UID&gt;{84AECF11-47ED-44A9-8C90-7B71E6D4DBE5}&lt;/UID&gt;&lt;Title&gt;Projector augmented-wave method.&lt;/Title&gt;&lt;Template&gt;Journal Article&lt;/Template&gt;&lt;Star&gt;0&lt;/Star&gt;&lt;Tag&gt;0&lt;/Tag&gt;&lt;Author&gt;Blöchl, P E&lt;/Author&gt;&lt;Year&gt;1994&lt;/Year&gt;&lt;Details&gt;&lt;_alternate_title&gt;Phys. Rev. B&lt;/_alternate_title&gt;&lt;_date_display&gt;1994&lt;/_date_display&gt;&lt;_date&gt;1994-01-01&lt;/_date&gt;&lt;_doi&gt;10.1103/physrevb.50.17953&lt;/_doi&gt;&lt;_journal&gt;Physical Review B&lt;/_journal&gt;&lt;_url&gt;http://dx.doi.org/10.1103/physrevb.50.17953&lt;/_url&gt;&lt;_created&gt;66130179&lt;/_created&gt;&lt;_modified&gt;66130179&lt;/_modified&gt;&lt;_impact_factor&gt;   3.200&lt;/_impact_factor&gt;&lt;_social_category&gt;材料科学：综合(3) &amp;amp; 物理：应用(3) &amp;amp; 物理：凝聚态物理(3)&lt;/_social_category&gt;&lt;_collection_scope&gt;SCIE;EI&lt;/_collection_scope&gt;&lt;_language&gt;English&lt;/_language&gt;&lt;/Details&gt;&lt;Extra&gt;&lt;DBUID&gt;{C7DF0352-CC18-4319-976F-E035AE6954AB}&lt;/DBUID&gt;&lt;/Extra&gt;&lt;/Item&gt;&lt;/References&gt;&lt;/Group&gt;&lt;/Citation&gt;_x000a_"/>
    <w:docVar w:name="NE.Ref{ED056D15-2183-45AD-A7EA-C3373CD65E47}" w:val=" ADDIN NE.Ref.{ED056D15-2183-45AD-A7EA-C3373CD65E47}&lt;Citation&gt;&lt;Group&gt;&lt;References&gt;&lt;Item&gt;&lt;ID&gt;486&lt;/ID&gt;&lt;UID&gt;{25EF2736-EC40-49CA-A16B-5899FDE0AF3E}&lt;/UID&gt;&lt;Title&gt;Materials simulations using VASP—a quantum perspective to materials science&lt;/Title&gt;&lt;Template&gt;Journal Article&lt;/Template&gt;&lt;Star&gt;0&lt;/Star&gt;&lt;Tag&gt;0&lt;/Tag&gt;&lt;Author&gt;Hafner, J&lt;/Author&gt;&lt;Year&gt;2007&lt;/Year&gt;&lt;Details&gt;&lt;_alternate_title&gt;Comput. Phys. Commun.&lt;/_alternate_title&gt;&lt;_date_display&gt;2007&lt;/_date_display&gt;&lt;_date&gt;2007-01-01&lt;/_date&gt;&lt;_doi&gt;10.1016/j.cpc.2007.02.045&lt;/_doi&gt;&lt;_journal&gt;Computer Physics Communications&lt;/_journal&gt;&lt;_url&gt;http://dx.doi.org/10.1016/j.cpc.2007.02.045&lt;/_url&gt;&lt;_created&gt;66130180&lt;/_created&gt;&lt;_modified&gt;66130180&lt;/_modified&gt;&lt;_impact_factor&gt;   7.200&lt;/_impact_factor&gt;&lt;_social_category&gt;物理：数学物理(2) &amp;amp; 计算机：跨学科应用(3)&lt;/_social_category&gt;&lt;_collection_scope&gt;SCIE;EI&lt;/_collection_scope&gt;&lt;_language&gt;English&lt;/_language&gt;&lt;/Details&gt;&lt;Extra&gt;&lt;DBUID&gt;{C7DF0352-CC18-4319-976F-E035AE6954AB}&lt;/DBUID&gt;&lt;/Extra&gt;&lt;/Item&gt;&lt;/References&gt;&lt;/Group&gt;&lt;/Citation&gt;_x000a_"/>
    <w:docVar w:name="ne_build" w:val="16.0.19127"/>
    <w:docVar w:name="ne_docsoft" w:val="MSWord"/>
    <w:docVar w:name="ne_docversion" w:val="NoteExpress 2.0"/>
    <w:docVar w:name="ne_os" w:val="Mircrosoft"/>
    <w:docVar w:name="ne_platform" w:val="Word"/>
    <w:docVar w:name="ne_stylename" w:val="Transport Reviews"/>
  </w:docVars>
  <w:rsids>
    <w:rsidRoot w:val="00EA1A8C"/>
    <w:rsid w:val="00022416"/>
    <w:rsid w:val="0006316E"/>
    <w:rsid w:val="00083C42"/>
    <w:rsid w:val="00090121"/>
    <w:rsid w:val="0009078B"/>
    <w:rsid w:val="00091886"/>
    <w:rsid w:val="00096F86"/>
    <w:rsid w:val="000A4F85"/>
    <w:rsid w:val="000D15E3"/>
    <w:rsid w:val="000D27F0"/>
    <w:rsid w:val="000E3FA0"/>
    <w:rsid w:val="000E409E"/>
    <w:rsid w:val="000E7BFF"/>
    <w:rsid w:val="000F4114"/>
    <w:rsid w:val="001055EA"/>
    <w:rsid w:val="001071B2"/>
    <w:rsid w:val="001157FB"/>
    <w:rsid w:val="00124D76"/>
    <w:rsid w:val="00144BA9"/>
    <w:rsid w:val="00151B5B"/>
    <w:rsid w:val="001525E6"/>
    <w:rsid w:val="0015281D"/>
    <w:rsid w:val="00152B68"/>
    <w:rsid w:val="0016489E"/>
    <w:rsid w:val="00166B1A"/>
    <w:rsid w:val="00187AC4"/>
    <w:rsid w:val="00191F81"/>
    <w:rsid w:val="001930BB"/>
    <w:rsid w:val="0019729A"/>
    <w:rsid w:val="001B3ECD"/>
    <w:rsid w:val="001C74CA"/>
    <w:rsid w:val="001D1208"/>
    <w:rsid w:val="001D327A"/>
    <w:rsid w:val="001E5368"/>
    <w:rsid w:val="001E76BC"/>
    <w:rsid w:val="001F06AB"/>
    <w:rsid w:val="001F1E82"/>
    <w:rsid w:val="001F2EBF"/>
    <w:rsid w:val="0023318E"/>
    <w:rsid w:val="002440EF"/>
    <w:rsid w:val="00255281"/>
    <w:rsid w:val="002604B2"/>
    <w:rsid w:val="002616AC"/>
    <w:rsid w:val="0028341D"/>
    <w:rsid w:val="002A2490"/>
    <w:rsid w:val="002B33F2"/>
    <w:rsid w:val="002E459F"/>
    <w:rsid w:val="003019A8"/>
    <w:rsid w:val="00306E2C"/>
    <w:rsid w:val="00330AAC"/>
    <w:rsid w:val="00340B4E"/>
    <w:rsid w:val="00342B42"/>
    <w:rsid w:val="0034331B"/>
    <w:rsid w:val="00362445"/>
    <w:rsid w:val="00371849"/>
    <w:rsid w:val="00390299"/>
    <w:rsid w:val="00392723"/>
    <w:rsid w:val="003960BF"/>
    <w:rsid w:val="003A1AB9"/>
    <w:rsid w:val="003A73BA"/>
    <w:rsid w:val="003D00BE"/>
    <w:rsid w:val="003E6BFE"/>
    <w:rsid w:val="003F4089"/>
    <w:rsid w:val="00400C3E"/>
    <w:rsid w:val="0040159A"/>
    <w:rsid w:val="00421024"/>
    <w:rsid w:val="00431041"/>
    <w:rsid w:val="00463095"/>
    <w:rsid w:val="00463C89"/>
    <w:rsid w:val="00471E67"/>
    <w:rsid w:val="004A0372"/>
    <w:rsid w:val="004A1C2E"/>
    <w:rsid w:val="004A2EC5"/>
    <w:rsid w:val="004A58B4"/>
    <w:rsid w:val="004A65BA"/>
    <w:rsid w:val="004B7368"/>
    <w:rsid w:val="004B7E64"/>
    <w:rsid w:val="004C5A35"/>
    <w:rsid w:val="004C630E"/>
    <w:rsid w:val="004D24EE"/>
    <w:rsid w:val="004F63C5"/>
    <w:rsid w:val="00525842"/>
    <w:rsid w:val="00525ADD"/>
    <w:rsid w:val="0054499A"/>
    <w:rsid w:val="0055760F"/>
    <w:rsid w:val="00595FEA"/>
    <w:rsid w:val="005C1632"/>
    <w:rsid w:val="005C2262"/>
    <w:rsid w:val="005D1224"/>
    <w:rsid w:val="005D3ED1"/>
    <w:rsid w:val="005E3523"/>
    <w:rsid w:val="005E4C53"/>
    <w:rsid w:val="005F2C27"/>
    <w:rsid w:val="005F5B28"/>
    <w:rsid w:val="006026A6"/>
    <w:rsid w:val="00603D97"/>
    <w:rsid w:val="00612DE6"/>
    <w:rsid w:val="00621D47"/>
    <w:rsid w:val="0064787A"/>
    <w:rsid w:val="00663DD7"/>
    <w:rsid w:val="00687B65"/>
    <w:rsid w:val="006935F3"/>
    <w:rsid w:val="00696DFE"/>
    <w:rsid w:val="006B697E"/>
    <w:rsid w:val="006C6794"/>
    <w:rsid w:val="006D25A5"/>
    <w:rsid w:val="006D686D"/>
    <w:rsid w:val="006E6D39"/>
    <w:rsid w:val="006F1DC5"/>
    <w:rsid w:val="00700510"/>
    <w:rsid w:val="0070665F"/>
    <w:rsid w:val="00712E6D"/>
    <w:rsid w:val="0071435E"/>
    <w:rsid w:val="007245E1"/>
    <w:rsid w:val="00740BAB"/>
    <w:rsid w:val="00741B84"/>
    <w:rsid w:val="007B6188"/>
    <w:rsid w:val="007C1AF7"/>
    <w:rsid w:val="007C6A6F"/>
    <w:rsid w:val="007E4868"/>
    <w:rsid w:val="007E6538"/>
    <w:rsid w:val="00816431"/>
    <w:rsid w:val="008178E0"/>
    <w:rsid w:val="00824B28"/>
    <w:rsid w:val="00826318"/>
    <w:rsid w:val="00830569"/>
    <w:rsid w:val="008374EB"/>
    <w:rsid w:val="00841457"/>
    <w:rsid w:val="00851687"/>
    <w:rsid w:val="008536EB"/>
    <w:rsid w:val="00895ADB"/>
    <w:rsid w:val="008A3536"/>
    <w:rsid w:val="008B4D6A"/>
    <w:rsid w:val="008C44A8"/>
    <w:rsid w:val="008D58CB"/>
    <w:rsid w:val="008D7436"/>
    <w:rsid w:val="008D748C"/>
    <w:rsid w:val="008E1A12"/>
    <w:rsid w:val="008F2BA1"/>
    <w:rsid w:val="008F63F0"/>
    <w:rsid w:val="009000D7"/>
    <w:rsid w:val="009151E4"/>
    <w:rsid w:val="0092761E"/>
    <w:rsid w:val="009421B4"/>
    <w:rsid w:val="009459E0"/>
    <w:rsid w:val="009D5C0C"/>
    <w:rsid w:val="009E392F"/>
    <w:rsid w:val="009F4387"/>
    <w:rsid w:val="00A045B7"/>
    <w:rsid w:val="00A05DD9"/>
    <w:rsid w:val="00A1503D"/>
    <w:rsid w:val="00A32DB8"/>
    <w:rsid w:val="00A33D92"/>
    <w:rsid w:val="00A36D36"/>
    <w:rsid w:val="00A51C0E"/>
    <w:rsid w:val="00A86E96"/>
    <w:rsid w:val="00AC198E"/>
    <w:rsid w:val="00AD5CCC"/>
    <w:rsid w:val="00AD5E20"/>
    <w:rsid w:val="00AD7893"/>
    <w:rsid w:val="00AE2C3E"/>
    <w:rsid w:val="00AE69AC"/>
    <w:rsid w:val="00AF24F0"/>
    <w:rsid w:val="00AF2F21"/>
    <w:rsid w:val="00B22418"/>
    <w:rsid w:val="00B27EAA"/>
    <w:rsid w:val="00B343A0"/>
    <w:rsid w:val="00B446FE"/>
    <w:rsid w:val="00B529A7"/>
    <w:rsid w:val="00B7037A"/>
    <w:rsid w:val="00B77602"/>
    <w:rsid w:val="00BB7BBE"/>
    <w:rsid w:val="00BC47FE"/>
    <w:rsid w:val="00BD0939"/>
    <w:rsid w:val="00BD267D"/>
    <w:rsid w:val="00BE3941"/>
    <w:rsid w:val="00C02B82"/>
    <w:rsid w:val="00C41A54"/>
    <w:rsid w:val="00C506E1"/>
    <w:rsid w:val="00C63E6A"/>
    <w:rsid w:val="00C775C7"/>
    <w:rsid w:val="00C83844"/>
    <w:rsid w:val="00C970F2"/>
    <w:rsid w:val="00CA5858"/>
    <w:rsid w:val="00CA6D54"/>
    <w:rsid w:val="00CC13FF"/>
    <w:rsid w:val="00CC6220"/>
    <w:rsid w:val="00CD06AB"/>
    <w:rsid w:val="00CE17DA"/>
    <w:rsid w:val="00CE262D"/>
    <w:rsid w:val="00CE4A31"/>
    <w:rsid w:val="00CE7718"/>
    <w:rsid w:val="00CF72E5"/>
    <w:rsid w:val="00D217E7"/>
    <w:rsid w:val="00D25CD4"/>
    <w:rsid w:val="00D27ABC"/>
    <w:rsid w:val="00D33D6D"/>
    <w:rsid w:val="00D355C6"/>
    <w:rsid w:val="00D44F08"/>
    <w:rsid w:val="00D677A5"/>
    <w:rsid w:val="00D73D9F"/>
    <w:rsid w:val="00D765A0"/>
    <w:rsid w:val="00DB1576"/>
    <w:rsid w:val="00DB7544"/>
    <w:rsid w:val="00DC0134"/>
    <w:rsid w:val="00DC57DF"/>
    <w:rsid w:val="00DD5D07"/>
    <w:rsid w:val="00DE1517"/>
    <w:rsid w:val="00DF3AEF"/>
    <w:rsid w:val="00E00416"/>
    <w:rsid w:val="00E112E1"/>
    <w:rsid w:val="00E2262E"/>
    <w:rsid w:val="00E2799F"/>
    <w:rsid w:val="00E37E9D"/>
    <w:rsid w:val="00E62BBC"/>
    <w:rsid w:val="00E74301"/>
    <w:rsid w:val="00E96EDB"/>
    <w:rsid w:val="00EA1A8C"/>
    <w:rsid w:val="00EA23D9"/>
    <w:rsid w:val="00EC0E52"/>
    <w:rsid w:val="00EC2C79"/>
    <w:rsid w:val="00EC7AC5"/>
    <w:rsid w:val="00EE1060"/>
    <w:rsid w:val="00EE4835"/>
    <w:rsid w:val="00EF67D4"/>
    <w:rsid w:val="00F0227B"/>
    <w:rsid w:val="00F15315"/>
    <w:rsid w:val="00F1757C"/>
    <w:rsid w:val="00F200AE"/>
    <w:rsid w:val="00F30CEE"/>
    <w:rsid w:val="00F35636"/>
    <w:rsid w:val="00F356DB"/>
    <w:rsid w:val="00F40FA1"/>
    <w:rsid w:val="00F41127"/>
    <w:rsid w:val="00F4188F"/>
    <w:rsid w:val="00F44EB3"/>
    <w:rsid w:val="00F641BD"/>
    <w:rsid w:val="00F71FAA"/>
    <w:rsid w:val="00F97A41"/>
    <w:rsid w:val="00FA060A"/>
    <w:rsid w:val="00FB1FC2"/>
    <w:rsid w:val="00FB4C35"/>
    <w:rsid w:val="00FB59F9"/>
    <w:rsid w:val="00FD7AA5"/>
    <w:rsid w:val="00FD7E36"/>
    <w:rsid w:val="00FF20DA"/>
    <w:rsid w:val="0E787C72"/>
    <w:rsid w:val="128105EC"/>
    <w:rsid w:val="1682203A"/>
    <w:rsid w:val="1B670FBB"/>
    <w:rsid w:val="1B9D5620"/>
    <w:rsid w:val="1BE446D4"/>
    <w:rsid w:val="22341D92"/>
    <w:rsid w:val="278971B8"/>
    <w:rsid w:val="2D822989"/>
    <w:rsid w:val="37223EE9"/>
    <w:rsid w:val="3BB36765"/>
    <w:rsid w:val="40187E58"/>
    <w:rsid w:val="43292BAA"/>
    <w:rsid w:val="43F52BA2"/>
    <w:rsid w:val="4B6B4381"/>
    <w:rsid w:val="50014932"/>
    <w:rsid w:val="5054184F"/>
    <w:rsid w:val="5A340BDB"/>
    <w:rsid w:val="5B1769FD"/>
    <w:rsid w:val="64ED50A4"/>
    <w:rsid w:val="6AB47CDB"/>
    <w:rsid w:val="6BC900B2"/>
    <w:rsid w:val="6CFA5A60"/>
    <w:rsid w:val="6EFD4C27"/>
    <w:rsid w:val="7508721D"/>
    <w:rsid w:val="7DC07D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line number"/>
    <w:basedOn w:val="7"/>
    <w:semiHidden/>
    <w:unhideWhenUsed/>
    <w:qFormat/>
    <w:uiPriority w:val="99"/>
  </w:style>
  <w:style w:type="character" w:customStyle="1" w:styleId="9">
    <w:name w:val="页眉 字符"/>
    <w:basedOn w:val="7"/>
    <w:link w:val="3"/>
    <w:qFormat/>
    <w:uiPriority w:val="99"/>
    <w:rPr>
      <w:sz w:val="18"/>
      <w:szCs w:val="18"/>
    </w:rPr>
  </w:style>
  <w:style w:type="character" w:customStyle="1" w:styleId="10">
    <w:name w:val="页脚 字符"/>
    <w:basedOn w:val="7"/>
    <w:link w:val="2"/>
    <w:qFormat/>
    <w:uiPriority w:val="99"/>
    <w:rPr>
      <w:sz w:val="18"/>
      <w:szCs w:val="18"/>
    </w:rPr>
  </w:style>
  <w:style w:type="paragraph" w:customStyle="1" w:styleId="11">
    <w:name w:val="Default"/>
    <w:qFormat/>
    <w:uiPriority w:val="0"/>
    <w:pPr>
      <w:widowControl w:val="0"/>
      <w:autoSpaceDE w:val="0"/>
      <w:autoSpaceDN w:val="0"/>
    </w:pPr>
    <w:rPr>
      <w:rFonts w:hint="eastAsia" w:ascii="宋体" w:hAnsi="宋体" w:eastAsia="宋体" w:cs="Times New Roman"/>
      <w:color w:val="000000"/>
      <w:sz w:val="24"/>
      <w:lang w:val="en-US" w:eastAsia="zh-CN" w:bidi="ar-SA"/>
    </w:rPr>
  </w:style>
  <w:style w:type="paragraph" w:customStyle="1" w:styleId="12">
    <w:name w:val="列出段落"/>
    <w:basedOn w:val="1"/>
    <w:qFormat/>
    <w:uiPriority w:val="34"/>
    <w:pPr>
      <w:ind w:firstLine="420" w:firstLineChars="200"/>
    </w:pPr>
    <w:rPr>
      <w:rFonts w:ascii="Times New Roman" w:hAnsi="Times New Roman" w:eastAsia="宋体" w:cs="Times New Roman"/>
      <w:szCs w:val="24"/>
    </w:rPr>
  </w:style>
  <w:style w:type="paragraph" w:styleId="13">
    <w:name w:val="List Paragraph"/>
    <w:basedOn w:val="1"/>
    <w:qFormat/>
    <w:uiPriority w:val="34"/>
    <w:pPr>
      <w:ind w:firstLine="420" w:firstLineChars="200"/>
    </w:pPr>
    <w:rPr>
      <w:rFonts w:ascii="Times New Roman" w:hAnsi="Times New Roman" w:eastAsia="宋体" w:cs="Times New Roman"/>
      <w:szCs w:val="24"/>
    </w:rPr>
  </w:style>
  <w:style w:type="paragraph" w:customStyle="1" w:styleId="14">
    <w:name w:val="EndNote Bibliography"/>
    <w:basedOn w:val="1"/>
    <w:link w:val="15"/>
    <w:qFormat/>
    <w:uiPriority w:val="0"/>
    <w:pPr>
      <w:ind w:firstLine="100" w:firstLineChars="100"/>
    </w:pPr>
    <w:rPr>
      <w:rFonts w:ascii="Times New Roman" w:hAnsi="Times New Roman" w:eastAsia="Times New Roman" w:cs="Times New Roman"/>
      <w:sz w:val="24"/>
    </w:rPr>
  </w:style>
  <w:style w:type="character" w:customStyle="1" w:styleId="15">
    <w:name w:val="EndNote Bibliography 字符"/>
    <w:basedOn w:val="7"/>
    <w:link w:val="14"/>
    <w:qFormat/>
    <w:uiPriority w:val="0"/>
    <w:rPr>
      <w:rFonts w:ascii="Times New Roman" w:hAnsi="Times New Roman" w:eastAsia="Times New Roman" w:cs="Times New Roman"/>
      <w:sz w:val="24"/>
    </w:rPr>
  </w:style>
  <w:style w:type="paragraph" w:customStyle="1" w:styleId="16">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7">
    <w:name w:val="font31"/>
    <w:basedOn w:val="7"/>
    <w:qFormat/>
    <w:uiPriority w:val="0"/>
    <w:rPr>
      <w:rFonts w:hint="default" w:ascii="Times New Roman" w:hAnsi="Times New Roman" w:cs="Times New Roman"/>
      <w:color w:val="000000"/>
      <w:sz w:val="21"/>
      <w:szCs w:val="21"/>
      <w:u w:val="none"/>
      <w:vertAlign w:val="subscript"/>
    </w:rPr>
  </w:style>
  <w:style w:type="character" w:customStyle="1" w:styleId="18">
    <w:name w:val="font41"/>
    <w:basedOn w:val="7"/>
    <w:qFormat/>
    <w:uiPriority w:val="0"/>
    <w:rPr>
      <w:rFonts w:hint="default" w:ascii="Times New Roman" w:hAnsi="Times New Roman" w:cs="Times New Roman"/>
      <w:color w:val="000000"/>
      <w:sz w:val="21"/>
      <w:szCs w:val="21"/>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0" Type="http://schemas.openxmlformats.org/officeDocument/2006/relationships/fontTable" Target="fontTable.xml"/><Relationship Id="rId4" Type="http://schemas.openxmlformats.org/officeDocument/2006/relationships/footer" Target="footer1.xml"/><Relationship Id="rId39" Type="http://schemas.openxmlformats.org/officeDocument/2006/relationships/customXml" Target="../customXml/item1.xml"/><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2561</Words>
  <Characters>14826</Characters>
  <Lines>128</Lines>
  <Paragraphs>36</Paragraphs>
  <TotalTime>10</TotalTime>
  <ScaleCrop>false</ScaleCrop>
  <LinksUpToDate>false</LinksUpToDate>
  <CharactersWithSpaces>17042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2023-10-06T05:41:00Z</dcterms:created>
  <dc:creator>一一 臧</dc:creator>
  <dc:description>NE.Ref</dc:description>
  <cp:lastModifiedBy>郭翔</cp:lastModifiedBy>
  <dcterms:modified xsi:type="dcterms:W3CDTF">2025-10-29T03:35:05Z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50E5CA93AA3D4D609D389529F1507563_13</vt:lpwstr>
  </property>
  <property fmtid="{D5CDD505-2E9C-101B-9397-08002B2CF9AE}" pid="4" name="KSOTemplateDocerSaveRecord">
    <vt:lpwstr>eyJoZGlkIjoiMDE4ZGE1YzBhYmZlOTc3NTZmZWFhMWZiOGYxYmIzODUiLCJ1c2VySWQiOiI1NDgwMDgwMzYifQ==</vt:lpwstr>
  </property>
</Properties>
</file>