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0FCE" w14:textId="42D57585" w:rsidR="00E4202E" w:rsidRPr="00092ADB" w:rsidRDefault="00E4202E" w:rsidP="00841099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bookmarkStart w:id="0" w:name="_Hlk206213833"/>
      <w:r w:rsidRPr="00092ADB">
        <w:rPr>
          <w:rFonts w:asciiTheme="majorBidi" w:hAnsiTheme="majorBidi" w:cstheme="majorBidi"/>
          <w:b/>
          <w:bCs/>
        </w:rPr>
        <w:t>Supplementary Information</w:t>
      </w:r>
    </w:p>
    <w:bookmarkEnd w:id="0"/>
    <w:p w14:paraId="59632BF8" w14:textId="232EC203" w:rsidR="00CE4F3E" w:rsidRDefault="00CE4F3E" w:rsidP="00CE4F3E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CE4F3E">
        <w:rPr>
          <w:rFonts w:asciiTheme="majorBidi" w:hAnsiTheme="majorBidi" w:cstheme="majorBidi"/>
          <w:b/>
          <w:bCs/>
        </w:rPr>
        <w:t>Text S1</w:t>
      </w:r>
      <w:r w:rsidRPr="00E4202E">
        <w:rPr>
          <w:rFonts w:asciiTheme="majorBidi" w:hAnsiTheme="majorBidi" w:cstheme="majorBidi"/>
          <w:b/>
          <w:bCs/>
        </w:rPr>
        <w:t xml:space="preserve">. </w:t>
      </w:r>
      <w:r w:rsidR="00C125D1">
        <w:rPr>
          <w:rFonts w:asciiTheme="majorBidi" w:hAnsiTheme="majorBidi" w:cstheme="majorBidi"/>
          <w:b/>
          <w:bCs/>
        </w:rPr>
        <w:t>R</w:t>
      </w:r>
      <w:r w:rsidR="00C125D1" w:rsidRPr="00E4202E">
        <w:rPr>
          <w:rFonts w:asciiTheme="majorBidi" w:hAnsiTheme="majorBidi" w:cstheme="majorBidi"/>
          <w:b/>
          <w:bCs/>
          <w:color w:val="000000" w:themeColor="text1"/>
        </w:rPr>
        <w:t>emoval</w:t>
      </w:r>
      <w:r w:rsidR="00C125D1" w:rsidRPr="00E4202E">
        <w:rPr>
          <w:rFonts w:asciiTheme="majorBidi" w:hAnsiTheme="majorBidi" w:cstheme="majorBidi"/>
          <w:b/>
          <w:bCs/>
        </w:rPr>
        <w:t xml:space="preserve"> </w:t>
      </w:r>
      <w:r w:rsidR="00C125D1">
        <w:rPr>
          <w:rFonts w:asciiTheme="majorBidi" w:hAnsiTheme="majorBidi" w:cstheme="majorBidi"/>
          <w:b/>
          <w:bCs/>
        </w:rPr>
        <w:t>of t</w:t>
      </w:r>
      <w:r w:rsidRPr="00E4202E">
        <w:rPr>
          <w:rFonts w:asciiTheme="majorBidi" w:hAnsiTheme="majorBidi" w:cstheme="majorBidi"/>
          <w:b/>
          <w:bCs/>
        </w:rPr>
        <w:t xml:space="preserve">otal bacteria </w:t>
      </w:r>
      <w:r w:rsidR="00C125D1">
        <w:rPr>
          <w:rFonts w:asciiTheme="majorBidi" w:hAnsiTheme="majorBidi" w:cstheme="majorBidi"/>
          <w:b/>
          <w:bCs/>
          <w:color w:val="000000" w:themeColor="text1"/>
        </w:rPr>
        <w:t>from municipal wastewater</w:t>
      </w:r>
    </w:p>
    <w:p w14:paraId="4C9AA268" w14:textId="6809E1FF" w:rsidR="00CE4F3E" w:rsidRDefault="00CE4F3E" w:rsidP="00CE4F3E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C125D1">
        <w:rPr>
          <w:rFonts w:asciiTheme="majorBidi" w:hAnsiTheme="majorBidi" w:cstheme="majorBidi"/>
          <w:color w:val="000000" w:themeColor="text1"/>
        </w:rPr>
        <w:t>M</w:t>
      </w:r>
      <w:r w:rsidR="00C125D1" w:rsidRPr="00D45A3C">
        <w:rPr>
          <w:rFonts w:asciiTheme="majorBidi" w:hAnsiTheme="majorBidi" w:cstheme="majorBidi"/>
          <w:color w:val="000000" w:themeColor="text1"/>
        </w:rPr>
        <w:t>unicipal wastewater</w:t>
      </w:r>
      <w:r w:rsidR="00C125D1" w:rsidDel="00C125D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feed and permeate samples were collected to measure the presence of bacteria. The total bacterial count (TBC) in the samples was determined </w:t>
      </w:r>
      <w:r w:rsidR="00C125D1">
        <w:rPr>
          <w:rFonts w:asciiTheme="majorBidi" w:hAnsiTheme="majorBidi" w:cstheme="majorBidi"/>
        </w:rPr>
        <w:t xml:space="preserve">by </w:t>
      </w:r>
      <w:r>
        <w:rPr>
          <w:rFonts w:asciiTheme="majorBidi" w:hAnsiTheme="majorBidi" w:cstheme="majorBidi"/>
        </w:rPr>
        <w:t>the plate count method</w:t>
      </w:r>
      <w:r w:rsidR="00C125D1">
        <w:rPr>
          <w:rFonts w:asciiTheme="majorBidi" w:hAnsiTheme="majorBidi" w:cstheme="majorBidi"/>
        </w:rPr>
        <w:t xml:space="preserve"> reported in the literature</w:t>
      </w:r>
      <w:r w:rsidR="00D45A3C">
        <w:rPr>
          <w:rFonts w:asciiTheme="majorBidi" w:hAnsiTheme="majorBidi" w:cstheme="majorBidi"/>
        </w:rPr>
        <w:t xml:space="preserve"> </w:t>
      </w:r>
      <w:r w:rsidR="00D45A3C">
        <w:rPr>
          <w:rFonts w:asciiTheme="majorBidi" w:hAnsiTheme="majorBidi" w:cstheme="majorBidi"/>
        </w:rPr>
        <w:fldChar w:fldCharType="begin"/>
      </w:r>
      <w:r w:rsidR="00D45A3C">
        <w:rPr>
          <w:rFonts w:asciiTheme="majorBidi" w:hAnsiTheme="majorBidi" w:cstheme="majorBidi"/>
        </w:rPr>
        <w:instrText xml:space="preserve"> ADDIN EN.CITE &lt;EndNote&gt;&lt;Cite&gt;&lt;Author&gt;Ibrahim&lt;/Author&gt;&lt;Year&gt;2020&lt;/Year&gt;&lt;RecNum&gt;67&lt;/RecNum&gt;&lt;DisplayText&gt;(Ibrahim et al., 2020)&lt;/DisplayText&gt;&lt;record&gt;&lt;rec-number&gt;67&lt;/rec-number&gt;&lt;foreign-keys&gt;&lt;key app="EN" db-id="wdeewxzx1a59eiedpduxprs9vxsz090ewrzr" timestamp="1758623420"&gt;67&lt;/key&gt;&lt;/foreign-keys&gt;&lt;ref-type name="Journal Article"&gt;17&lt;/ref-type&gt;&lt;contributors&gt;&lt;authors&gt;&lt;author&gt;Ibrahim, Yazan&lt;/author&gt;&lt;author&gt;Banat, Fawzi&lt;/author&gt;&lt;author&gt;Yousef, Ahmed F.&lt;/author&gt;&lt;author&gt;Bahamon, Daniel&lt;/author&gt;&lt;author&gt;Vega, Lourdes F.&lt;/author&gt;&lt;author&gt;Hasan, Shadi W.&lt;/author&gt;&lt;/authors&gt;&lt;/contributors&gt;&lt;titles&gt;&lt;title&gt;Surface modification of anti-fouling novel cellulose/graphene oxide (GO) nanosheets (NS) microfiltration membranes for seawater desalination applications&lt;/title&gt;&lt;secondary-title&gt;Journal of Chemical Technology &amp;amp; Biotechnology&lt;/secondary-title&gt;&lt;/titles&gt;&lt;periodical&gt;&lt;full-title&gt;Journal of Chemical Technology &amp;amp; Biotechnology&lt;/full-title&gt;&lt;/periodical&gt;&lt;pages&gt;1915-1925&lt;/pages&gt;&lt;volume&gt;95&lt;/volume&gt;&lt;number&gt;7&lt;/number&gt;&lt;keywords&gt;&lt;keyword&gt;membranes&lt;/keyword&gt;&lt;keyword&gt;surface modification&lt;/keyword&gt;&lt;keyword&gt;graphene oxide&lt;/keyword&gt;&lt;keyword&gt;seawater&lt;/keyword&gt;&lt;keyword&gt;biofouling&lt;/keyword&gt;&lt;/keywords&gt;&lt;dates&gt;&lt;year&gt;2020&lt;/year&gt;&lt;pub-dates&gt;&lt;date&gt;2020/07/01&lt;/date&gt;&lt;/pub-dates&gt;&lt;/dates&gt;&lt;publisher&gt;John Wiley &amp;amp; Sons, Ltd&lt;/publisher&gt;&lt;isbn&gt;0268-2575&lt;/isbn&gt;&lt;urls&gt;&lt;related-urls&gt;&lt;url&gt;https://doi.org/10.1002/jctb.6341&lt;/url&gt;&lt;/related-urls&gt;&lt;/urls&gt;&lt;electronic-resource-num&gt;https://doi.org/10.1002/jctb.6341&lt;/electronic-resource-num&gt;&lt;access-date&gt;2025/09/23&lt;/access-date&gt;&lt;/record&gt;&lt;/Cite&gt;&lt;/EndNote&gt;</w:instrText>
      </w:r>
      <w:r w:rsidR="00D45A3C">
        <w:rPr>
          <w:rFonts w:asciiTheme="majorBidi" w:hAnsiTheme="majorBidi" w:cstheme="majorBidi"/>
        </w:rPr>
        <w:fldChar w:fldCharType="separate"/>
      </w:r>
      <w:r w:rsidR="00D45A3C">
        <w:rPr>
          <w:rFonts w:asciiTheme="majorBidi" w:hAnsiTheme="majorBidi" w:cstheme="majorBidi"/>
          <w:noProof/>
        </w:rPr>
        <w:t>(Ibrahim et al., 2020)</w:t>
      </w:r>
      <w:r w:rsidR="00D45A3C">
        <w:rPr>
          <w:rFonts w:asciiTheme="majorBidi" w:hAnsiTheme="majorBidi" w:cstheme="majorBidi"/>
        </w:rPr>
        <w:fldChar w:fldCharType="end"/>
      </w:r>
      <w:r>
        <w:rPr>
          <w:rFonts w:asciiTheme="majorBidi" w:hAnsiTheme="majorBidi" w:cstheme="majorBidi"/>
        </w:rPr>
        <w:t xml:space="preserve">. </w:t>
      </w:r>
      <w:r w:rsidR="00150CE2">
        <w:rPr>
          <w:rFonts w:asciiTheme="majorBidi" w:hAnsiTheme="majorBidi" w:cstheme="majorBidi"/>
        </w:rPr>
        <w:t xml:space="preserve">The </w:t>
      </w:r>
      <w:r w:rsidR="00150CE2" w:rsidRPr="002B2364">
        <w:rPr>
          <w:rFonts w:asciiTheme="majorBidi" w:hAnsiTheme="majorBidi" w:cstheme="majorBidi"/>
        </w:rPr>
        <w:t xml:space="preserve">serial dilutions </w:t>
      </w:r>
      <w:r w:rsidR="00150CE2">
        <w:rPr>
          <w:rFonts w:asciiTheme="majorBidi" w:hAnsiTheme="majorBidi" w:cstheme="majorBidi"/>
        </w:rPr>
        <w:t>f</w:t>
      </w:r>
      <w:r w:rsidR="00150CE2" w:rsidRPr="002B2364">
        <w:rPr>
          <w:rFonts w:asciiTheme="majorBidi" w:hAnsiTheme="majorBidi" w:cstheme="majorBidi"/>
        </w:rPr>
        <w:t xml:space="preserve">or </w:t>
      </w:r>
      <w:r w:rsidRPr="002B2364">
        <w:rPr>
          <w:rFonts w:asciiTheme="majorBidi" w:hAnsiTheme="majorBidi" w:cstheme="majorBidi"/>
        </w:rPr>
        <w:t xml:space="preserve">each sample were </w:t>
      </w:r>
      <w:r w:rsidR="00150CE2">
        <w:rPr>
          <w:rFonts w:asciiTheme="majorBidi" w:hAnsiTheme="majorBidi" w:cstheme="majorBidi"/>
        </w:rPr>
        <w:t>made</w:t>
      </w:r>
      <w:r w:rsidR="00150CE2" w:rsidRPr="002B2364">
        <w:rPr>
          <w:rFonts w:asciiTheme="majorBidi" w:hAnsiTheme="majorBidi" w:cstheme="majorBidi"/>
        </w:rPr>
        <w:t xml:space="preserve"> </w:t>
      </w:r>
      <w:r w:rsidRPr="002B2364">
        <w:rPr>
          <w:rFonts w:asciiTheme="majorBidi" w:hAnsiTheme="majorBidi" w:cstheme="majorBidi"/>
        </w:rPr>
        <w:t xml:space="preserve">using </w:t>
      </w:r>
      <w:r w:rsidR="00150CE2" w:rsidRPr="002B2364">
        <w:rPr>
          <w:rFonts w:asciiTheme="majorBidi" w:hAnsiTheme="majorBidi" w:cstheme="majorBidi"/>
        </w:rPr>
        <w:t xml:space="preserve">15 mL </w:t>
      </w:r>
      <w:r w:rsidRPr="002B2364">
        <w:rPr>
          <w:rFonts w:asciiTheme="majorBidi" w:hAnsiTheme="majorBidi" w:cstheme="majorBidi"/>
        </w:rPr>
        <w:t xml:space="preserve">sterile tubes containing 9 mL of 0.1% peptone </w:t>
      </w:r>
      <w:r w:rsidR="00150CE2">
        <w:rPr>
          <w:rFonts w:asciiTheme="majorBidi" w:hAnsiTheme="majorBidi" w:cstheme="majorBidi"/>
        </w:rPr>
        <w:t xml:space="preserve">in </w:t>
      </w:r>
      <w:r w:rsidRPr="002B2364">
        <w:rPr>
          <w:rFonts w:asciiTheme="majorBidi" w:hAnsiTheme="majorBidi" w:cstheme="majorBidi"/>
        </w:rPr>
        <w:t xml:space="preserve">water. </w:t>
      </w:r>
      <w:r w:rsidR="00150CE2">
        <w:rPr>
          <w:rFonts w:asciiTheme="majorBidi" w:hAnsiTheme="majorBidi" w:cstheme="majorBidi"/>
        </w:rPr>
        <w:t xml:space="preserve">Then, </w:t>
      </w:r>
      <w:r>
        <w:rPr>
          <w:rFonts w:asciiTheme="majorBidi" w:hAnsiTheme="majorBidi" w:cstheme="majorBidi"/>
        </w:rPr>
        <w:t>1 mL</w:t>
      </w:r>
      <w:r w:rsidRPr="002B2364">
        <w:rPr>
          <w:rFonts w:asciiTheme="majorBidi" w:hAnsiTheme="majorBidi" w:cstheme="majorBidi"/>
        </w:rPr>
        <w:t xml:space="preserve"> of the well-mixed original sample was transferred into the first tube to obtain a </w:t>
      </w:r>
      <w:proofErr w:type="gramStart"/>
      <w:r w:rsidRPr="002B2364">
        <w:rPr>
          <w:rFonts w:asciiTheme="majorBidi" w:hAnsiTheme="majorBidi" w:cstheme="majorBidi"/>
        </w:rPr>
        <w:t>10</w:t>
      </w:r>
      <w:r w:rsidR="00AE399D" w:rsidRPr="00AE399D">
        <w:rPr>
          <w:rFonts w:ascii="Times New Roman" w:hAnsi="Times New Roman" w:cs="Times New Roman"/>
          <w:vertAlign w:val="superscript"/>
        </w:rPr>
        <w:t>−</w:t>
      </w:r>
      <w:r w:rsidRPr="002B2364">
        <w:rPr>
          <w:rFonts w:asciiTheme="majorBidi" w:hAnsiTheme="majorBidi" w:cstheme="majorBidi"/>
          <w:vertAlign w:val="superscript"/>
        </w:rPr>
        <w:t>1</w:t>
      </w:r>
      <w:proofErr w:type="gramEnd"/>
      <w:r w:rsidRPr="002B2364">
        <w:rPr>
          <w:rFonts w:asciiTheme="majorBidi" w:hAnsiTheme="majorBidi" w:cstheme="majorBidi"/>
        </w:rPr>
        <w:t xml:space="preserve"> dilution</w:t>
      </w:r>
      <w:r>
        <w:rPr>
          <w:rFonts w:asciiTheme="majorBidi" w:hAnsiTheme="majorBidi" w:cstheme="majorBidi"/>
        </w:rPr>
        <w:t xml:space="preserve">. </w:t>
      </w:r>
      <w:r w:rsidRPr="002B2364">
        <w:rPr>
          <w:rFonts w:asciiTheme="majorBidi" w:hAnsiTheme="majorBidi" w:cstheme="majorBidi"/>
        </w:rPr>
        <w:t>Subsequent</w:t>
      </w:r>
      <w:r w:rsidR="00150CE2">
        <w:rPr>
          <w:rFonts w:asciiTheme="majorBidi" w:hAnsiTheme="majorBidi" w:cstheme="majorBidi"/>
        </w:rPr>
        <w:t>ly,</w:t>
      </w:r>
      <w:r w:rsidRPr="002B2364">
        <w:rPr>
          <w:rFonts w:asciiTheme="majorBidi" w:hAnsiTheme="majorBidi" w:cstheme="majorBidi"/>
        </w:rPr>
        <w:t xml:space="preserve"> tenfold serial dilutions were prepared up to </w:t>
      </w:r>
      <w:proofErr w:type="gramStart"/>
      <w:r w:rsidRPr="002B2364">
        <w:rPr>
          <w:rFonts w:asciiTheme="majorBidi" w:hAnsiTheme="majorBidi" w:cstheme="majorBidi"/>
        </w:rPr>
        <w:t>10</w:t>
      </w:r>
      <w:r w:rsidR="00AE399D" w:rsidRPr="00AE399D">
        <w:rPr>
          <w:rFonts w:ascii="Times New Roman" w:hAnsi="Times New Roman" w:cs="Times New Roman"/>
          <w:vertAlign w:val="superscript"/>
        </w:rPr>
        <w:t>−</w:t>
      </w:r>
      <w:r w:rsidRPr="002B2364">
        <w:rPr>
          <w:rFonts w:asciiTheme="majorBidi" w:hAnsiTheme="majorBidi" w:cstheme="majorBidi"/>
          <w:vertAlign w:val="superscript"/>
        </w:rPr>
        <w:t>4</w:t>
      </w:r>
      <w:proofErr w:type="gramEnd"/>
      <w:r w:rsidRPr="002B2364">
        <w:rPr>
          <w:rFonts w:asciiTheme="majorBidi" w:hAnsiTheme="majorBidi" w:cstheme="majorBidi"/>
        </w:rPr>
        <w:t xml:space="preserve"> by transferring 1 mL from each preceding dilution into the next tube</w:t>
      </w:r>
      <w:r>
        <w:rPr>
          <w:rFonts w:asciiTheme="majorBidi" w:hAnsiTheme="majorBidi" w:cstheme="majorBidi"/>
        </w:rPr>
        <w:t xml:space="preserve">. </w:t>
      </w:r>
      <w:r w:rsidR="00150CE2">
        <w:rPr>
          <w:rFonts w:asciiTheme="majorBidi" w:hAnsiTheme="majorBidi" w:cstheme="majorBidi"/>
        </w:rPr>
        <w:t>A</w:t>
      </w:r>
      <w:r w:rsidRPr="002C1E29">
        <w:rPr>
          <w:rFonts w:asciiTheme="majorBidi" w:hAnsiTheme="majorBidi" w:cstheme="majorBidi"/>
        </w:rPr>
        <w:t xml:space="preserve"> 50 µL aliquot </w:t>
      </w:r>
      <w:r w:rsidR="00150CE2">
        <w:rPr>
          <w:rFonts w:asciiTheme="majorBidi" w:hAnsiTheme="majorBidi" w:cstheme="majorBidi"/>
        </w:rPr>
        <w:t xml:space="preserve">from each dilution </w:t>
      </w:r>
      <w:r w:rsidRPr="002C1E29">
        <w:rPr>
          <w:rFonts w:asciiTheme="majorBidi" w:hAnsiTheme="majorBidi" w:cstheme="majorBidi"/>
        </w:rPr>
        <w:t xml:space="preserve">was aseptically inoculated onto the surface of </w:t>
      </w:r>
      <w:r w:rsidR="00D45A3C">
        <w:rPr>
          <w:rFonts w:asciiTheme="majorBidi" w:hAnsiTheme="majorBidi" w:cstheme="majorBidi"/>
        </w:rPr>
        <w:t>Mueller–Hinton</w:t>
      </w:r>
      <w:r w:rsidRPr="002C1E29">
        <w:rPr>
          <w:rFonts w:asciiTheme="majorBidi" w:hAnsiTheme="majorBidi" w:cstheme="majorBidi"/>
        </w:rPr>
        <w:t xml:space="preserve"> Agar (MHA) plates.</w:t>
      </w:r>
      <w:r>
        <w:rPr>
          <w:rFonts w:asciiTheme="majorBidi" w:hAnsiTheme="majorBidi" w:cstheme="majorBidi"/>
        </w:rPr>
        <w:t xml:space="preserve"> </w:t>
      </w:r>
      <w:r w:rsidRPr="004541ED">
        <w:rPr>
          <w:rFonts w:asciiTheme="majorBidi" w:hAnsiTheme="majorBidi" w:cstheme="majorBidi"/>
        </w:rPr>
        <w:t xml:space="preserve">The inoculated plates were incubated at 37 °C for 24 h under aerobic conditions. Following </w:t>
      </w:r>
      <w:r w:rsidR="00150CE2">
        <w:rPr>
          <w:rFonts w:asciiTheme="majorBidi" w:hAnsiTheme="majorBidi" w:cstheme="majorBidi"/>
        </w:rPr>
        <w:t xml:space="preserve">the </w:t>
      </w:r>
      <w:r w:rsidRPr="004541ED">
        <w:rPr>
          <w:rFonts w:asciiTheme="majorBidi" w:hAnsiTheme="majorBidi" w:cstheme="majorBidi"/>
        </w:rPr>
        <w:t xml:space="preserve">incubation, bacterial colonies were observed and </w:t>
      </w:r>
      <w:r w:rsidRPr="00651C95">
        <w:rPr>
          <w:rFonts w:asciiTheme="majorBidi" w:hAnsiTheme="majorBidi" w:cstheme="majorBidi"/>
        </w:rPr>
        <w:t>counted</w:t>
      </w:r>
      <w:r>
        <w:rPr>
          <w:rFonts w:asciiTheme="majorBidi" w:hAnsiTheme="majorBidi" w:cstheme="majorBidi"/>
        </w:rPr>
        <w:t xml:space="preserve">. </w:t>
      </w:r>
      <w:r w:rsidRPr="00D84232">
        <w:rPr>
          <w:rFonts w:asciiTheme="majorBidi" w:hAnsiTheme="majorBidi" w:cstheme="majorBidi"/>
        </w:rPr>
        <w:t xml:space="preserve">The bacterial concentration </w:t>
      </w:r>
      <w:proofErr w:type="gramStart"/>
      <w:r w:rsidRPr="00D84232">
        <w:rPr>
          <w:rFonts w:asciiTheme="majorBidi" w:hAnsiTheme="majorBidi" w:cstheme="majorBidi"/>
        </w:rPr>
        <w:t>or</w:t>
      </w:r>
      <w:proofErr w:type="gramEnd"/>
      <w:r w:rsidRPr="00D84232">
        <w:rPr>
          <w:rFonts w:asciiTheme="majorBidi" w:hAnsiTheme="majorBidi" w:cstheme="majorBidi"/>
        </w:rPr>
        <w:t xml:space="preserve"> TBC (CFU/mL) was calculated using Eq. </w:t>
      </w:r>
      <w:r w:rsidR="00150CE2">
        <w:rPr>
          <w:rFonts w:asciiTheme="majorBidi" w:hAnsiTheme="majorBidi" w:cstheme="majorBidi"/>
        </w:rPr>
        <w:t>S1</w:t>
      </w:r>
      <w:r w:rsidRPr="00D84232">
        <w:rPr>
          <w:rFonts w:asciiTheme="majorBidi" w:hAnsiTheme="majorBidi" w:cstheme="majorBidi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4"/>
        <w:gridCol w:w="736"/>
      </w:tblGrid>
      <w:tr w:rsidR="00CE4F3E" w14:paraId="0C63F0DA" w14:textId="77777777" w:rsidTr="000D302A">
        <w:tc>
          <w:tcPr>
            <w:tcW w:w="8838" w:type="dxa"/>
          </w:tcPr>
          <w:p w14:paraId="63555D66" w14:textId="1C32F995" w:rsidR="00CE4F3E" w:rsidRPr="00445A83" w:rsidRDefault="00445A83" w:rsidP="00445A83">
            <w:pPr>
              <w:spacing w:line="480" w:lineRule="auto"/>
              <w:jc w:val="center"/>
              <w:rPr>
                <w:rFonts w:asciiTheme="majorBidi" w:hAnsiTheme="majorBidi" w:cstheme="majorBidi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 xml:space="preserve">TBC= </m:t>
                </m:r>
                <m:f>
                  <m:fPr>
                    <m:ctrlPr>
                      <w:rPr>
                        <w:rFonts w:ascii="Cambria Math" w:hAnsi="Cambria Math" w:cstheme="majorBidi"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</w:rPr>
                          <m:t>c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V×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</w:rPr>
                          <m:t>d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38" w:type="dxa"/>
          </w:tcPr>
          <w:p w14:paraId="5CED084A" w14:textId="5998661D" w:rsidR="00CE4F3E" w:rsidRPr="00D84232" w:rsidRDefault="00D45A3C" w:rsidP="000D302A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(S1)</m:t>
                </m:r>
              </m:oMath>
            </m:oMathPara>
          </w:p>
        </w:tc>
      </w:tr>
    </w:tbl>
    <w:p w14:paraId="711B993C" w14:textId="0AA850CB" w:rsidR="00CE4F3E" w:rsidRPr="001F46F4" w:rsidRDefault="00CE4F3E" w:rsidP="00CE4F3E">
      <w:pPr>
        <w:spacing w:line="480" w:lineRule="auto"/>
        <w:jc w:val="both"/>
        <w:rPr>
          <w:rFonts w:asciiTheme="majorBidi" w:hAnsiTheme="majorBidi" w:cstheme="majorBidi"/>
        </w:rPr>
      </w:pPr>
      <w:r w:rsidRPr="00445A83">
        <w:rPr>
          <w:rFonts w:asciiTheme="majorBidi" w:hAnsiTheme="majorBidi" w:cstheme="majorBidi"/>
        </w:rPr>
        <w:t xml:space="preserve">where 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</w:rPr>
              <m:t>c</m:t>
            </m:r>
          </m:sub>
        </m:sSub>
      </m:oMath>
      <w:r w:rsidRPr="00445A83">
        <w:rPr>
          <w:rFonts w:asciiTheme="majorBidi" w:hAnsiTheme="majorBidi" w:cstheme="majorBidi"/>
        </w:rPr>
        <w:t xml:space="preserve"> is the number of colonies, </w:t>
      </w:r>
      <m:oMath>
        <m:r>
          <m:rPr>
            <m:sty m:val="p"/>
          </m:rPr>
          <w:rPr>
            <w:rFonts w:ascii="Cambria Math" w:hAnsi="Cambria Math" w:cstheme="majorBidi"/>
          </w:rPr>
          <m:t>V</m:t>
        </m:r>
      </m:oMath>
      <w:r w:rsidRPr="00445A83">
        <w:rPr>
          <w:rFonts w:asciiTheme="majorBidi" w:hAnsiTheme="majorBidi" w:cstheme="majorBidi"/>
        </w:rPr>
        <w:t xml:space="preserve"> is the volume plated (mL), and 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</w:rPr>
              <m:t>d</m:t>
            </m:r>
          </m:sub>
        </m:sSub>
      </m:oMath>
      <w:r w:rsidRPr="00445A83">
        <w:rPr>
          <w:rFonts w:asciiTheme="majorBidi" w:hAnsiTheme="majorBidi" w:cstheme="majorBidi"/>
        </w:rPr>
        <w:t xml:space="preserve"> is the dilution factor. All procedures were performed under sterile conditions to avoid contamination, and the waste was autoclaved before disposal</w:t>
      </w:r>
      <w:r w:rsidRPr="0021336B">
        <w:rPr>
          <w:rFonts w:asciiTheme="majorBidi" w:hAnsiTheme="majorBidi" w:cstheme="majorBidi"/>
        </w:rPr>
        <w:t>.</w:t>
      </w:r>
    </w:p>
    <w:p w14:paraId="1091E989" w14:textId="4AD27BEC" w:rsidR="00A36BAB" w:rsidRPr="00CE4F3E" w:rsidRDefault="00A36BAB" w:rsidP="00291225">
      <w:pPr>
        <w:spacing w:line="480" w:lineRule="auto"/>
        <w:rPr>
          <w:rFonts w:asciiTheme="majorBidi" w:hAnsiTheme="majorBidi" w:cstheme="majorBidi"/>
        </w:rPr>
      </w:pPr>
    </w:p>
    <w:p w14:paraId="684B72EB" w14:textId="77777777" w:rsidR="00CE4F3E" w:rsidRDefault="00CE4F3E" w:rsidP="00291225">
      <w:pPr>
        <w:spacing w:line="480" w:lineRule="auto"/>
        <w:rPr>
          <w:rFonts w:asciiTheme="majorBidi" w:hAnsiTheme="majorBidi" w:cstheme="majorBidi"/>
        </w:rPr>
      </w:pPr>
    </w:p>
    <w:p w14:paraId="43326FE2" w14:textId="77777777" w:rsidR="00CE4F3E" w:rsidRDefault="00CE4F3E" w:rsidP="00291225">
      <w:pPr>
        <w:spacing w:line="480" w:lineRule="auto"/>
        <w:rPr>
          <w:rFonts w:asciiTheme="majorBidi" w:hAnsiTheme="majorBidi" w:cstheme="majorBidi"/>
        </w:rPr>
      </w:pPr>
    </w:p>
    <w:p w14:paraId="39E830D6" w14:textId="77777777" w:rsidR="00CE4F3E" w:rsidRDefault="00CE4F3E" w:rsidP="00291225">
      <w:pPr>
        <w:spacing w:line="480" w:lineRule="auto"/>
        <w:rPr>
          <w:rFonts w:asciiTheme="majorBidi" w:hAnsiTheme="majorBidi" w:cstheme="majorBidi"/>
        </w:rPr>
      </w:pPr>
    </w:p>
    <w:p w14:paraId="5628B661" w14:textId="77777777" w:rsidR="00CE4F3E" w:rsidRDefault="00CE4F3E" w:rsidP="00291225">
      <w:pPr>
        <w:spacing w:line="480" w:lineRule="auto"/>
        <w:rPr>
          <w:rFonts w:asciiTheme="majorBidi" w:hAnsiTheme="majorBidi" w:cstheme="majorBidi"/>
        </w:rPr>
      </w:pPr>
    </w:p>
    <w:p w14:paraId="4516E61A" w14:textId="77777777" w:rsidR="00CE4F3E" w:rsidRPr="00291225" w:rsidRDefault="00CE4F3E" w:rsidP="00291225">
      <w:pPr>
        <w:spacing w:line="480" w:lineRule="auto"/>
        <w:rPr>
          <w:rFonts w:asciiTheme="majorBidi" w:hAnsiTheme="majorBidi" w:cstheme="majorBidi"/>
        </w:rPr>
      </w:pPr>
    </w:p>
    <w:p w14:paraId="6A615EA3" w14:textId="64606846" w:rsidR="00A36BAB" w:rsidRPr="00291225" w:rsidRDefault="00A36BAB" w:rsidP="000B2E46">
      <w:pPr>
        <w:pStyle w:val="Caption"/>
        <w:keepNext/>
        <w:spacing w:line="480" w:lineRule="auto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Table S</w:t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291225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The </w:t>
      </w:r>
      <w:r w:rsidR="005414F5"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characteristics of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  <w:r w:rsidR="005414F5"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the pretreated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  <w:r w:rsidR="00150CE2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municipal 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wastewater feed</w:t>
      </w:r>
      <w:r w:rsidR="00150CE2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solution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</w:p>
    <w:tbl>
      <w:tblPr>
        <w:tblStyle w:val="ListTable6Colorful"/>
        <w:tblW w:w="5000" w:type="pct"/>
        <w:jc w:val="center"/>
        <w:tblLook w:val="04A0" w:firstRow="1" w:lastRow="0" w:firstColumn="1" w:lastColumn="0" w:noHBand="0" w:noVBand="1"/>
      </w:tblPr>
      <w:tblGrid>
        <w:gridCol w:w="4798"/>
        <w:gridCol w:w="4562"/>
      </w:tblGrid>
      <w:tr w:rsidR="00A36BAB" w:rsidRPr="00291225" w14:paraId="3781D03E" w14:textId="77777777" w:rsidTr="000B2E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7B70B961" w14:textId="344BC577" w:rsidR="00A36BAB" w:rsidRPr="00291225" w:rsidRDefault="00A36BAB" w:rsidP="00291225">
            <w:pPr>
              <w:spacing w:line="480" w:lineRule="auto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2438" w:type="pct"/>
          </w:tcPr>
          <w:p w14:paraId="2E84CB8E" w14:textId="42E9C813" w:rsidR="00A36BAB" w:rsidRPr="00291225" w:rsidRDefault="00A36BAB" w:rsidP="0029122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Concentration (mg/L)</w:t>
            </w:r>
          </w:p>
        </w:tc>
      </w:tr>
      <w:tr w:rsidR="00A36BAB" w:rsidRPr="00291225" w14:paraId="307F19EF" w14:textId="77777777" w:rsidTr="000B2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shd w:val="clear" w:color="auto" w:fill="auto"/>
          </w:tcPr>
          <w:p w14:paraId="0A1EA335" w14:textId="31B9CD5C" w:rsidR="00A36BAB" w:rsidRPr="00291225" w:rsidRDefault="00A36BAB" w:rsidP="00291225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291225">
              <w:rPr>
                <w:rFonts w:asciiTheme="majorBidi" w:hAnsiTheme="majorBidi" w:cstheme="majorBidi"/>
                <w:b w:val="0"/>
                <w:bCs w:val="0"/>
              </w:rPr>
              <w:t>COD</w:t>
            </w:r>
          </w:p>
        </w:tc>
        <w:tc>
          <w:tcPr>
            <w:tcW w:w="2438" w:type="pct"/>
            <w:shd w:val="clear" w:color="auto" w:fill="auto"/>
          </w:tcPr>
          <w:p w14:paraId="5467E312" w14:textId="22CBD8C7" w:rsidR="00A36BAB" w:rsidRPr="00291225" w:rsidRDefault="00A36BAB" w:rsidP="00D45A3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276</w:t>
            </w:r>
          </w:p>
        </w:tc>
      </w:tr>
      <w:tr w:rsidR="00A36BAB" w:rsidRPr="00291225" w14:paraId="38F96187" w14:textId="77777777" w:rsidTr="000B2E46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1712AAFC" w14:textId="1CD7727E" w:rsidR="00A36BAB" w:rsidRPr="00291225" w:rsidRDefault="00A36BAB" w:rsidP="00291225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291225">
              <w:rPr>
                <w:rFonts w:asciiTheme="majorBidi" w:hAnsiTheme="majorBidi" w:cstheme="majorBidi"/>
                <w:b w:val="0"/>
                <w:bCs w:val="0"/>
              </w:rPr>
              <w:t>Sul</w:t>
            </w:r>
            <w:r w:rsidR="00274BFB" w:rsidRPr="00291225">
              <w:rPr>
                <w:rFonts w:asciiTheme="majorBidi" w:hAnsiTheme="majorBidi" w:cstheme="majorBidi"/>
                <w:b w:val="0"/>
                <w:bCs w:val="0"/>
              </w:rPr>
              <w:t>f</w:t>
            </w:r>
            <w:r w:rsidRPr="00291225">
              <w:rPr>
                <w:rFonts w:asciiTheme="majorBidi" w:hAnsiTheme="majorBidi" w:cstheme="majorBidi"/>
                <w:b w:val="0"/>
                <w:bCs w:val="0"/>
              </w:rPr>
              <w:t>ate</w:t>
            </w:r>
            <w:r w:rsidR="00274BFB" w:rsidRPr="00291225">
              <w:rPr>
                <w:rFonts w:asciiTheme="majorBidi" w:hAnsiTheme="majorBidi" w:cstheme="majorBidi"/>
                <w:b w:val="0"/>
                <w:bCs w:val="0"/>
              </w:rPr>
              <w:t xml:space="preserve"> (SO</w:t>
            </w:r>
            <w:r w:rsidR="00274BFB" w:rsidRPr="00291225">
              <w:rPr>
                <w:rFonts w:asciiTheme="majorBidi" w:hAnsiTheme="majorBidi" w:cstheme="majorBidi"/>
                <w:b w:val="0"/>
                <w:bCs w:val="0"/>
                <w:vertAlign w:val="subscript"/>
              </w:rPr>
              <w:t>4</w:t>
            </w:r>
            <w:r w:rsidR="00274BFB" w:rsidRPr="00291225">
              <w:rPr>
                <w:rFonts w:asciiTheme="majorBidi" w:hAnsiTheme="majorBidi" w:cstheme="majorBidi"/>
                <w:b w:val="0"/>
                <w:bCs w:val="0"/>
                <w:vertAlign w:val="superscript"/>
              </w:rPr>
              <w:t>2</w:t>
            </w:r>
            <w:r w:rsidR="00AE399D" w:rsidRPr="00AE399D">
              <w:rPr>
                <w:rFonts w:ascii="Times New Roman" w:hAnsi="Times New Roman" w:cs="Times New Roman"/>
                <w:vertAlign w:val="superscript"/>
              </w:rPr>
              <w:t>−</w:t>
            </w:r>
            <w:r w:rsidR="00274BFB" w:rsidRPr="00291225">
              <w:rPr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438" w:type="pct"/>
          </w:tcPr>
          <w:p w14:paraId="42365220" w14:textId="63B05FE6" w:rsidR="00A36BAB" w:rsidRPr="00291225" w:rsidRDefault="00A36BAB" w:rsidP="00D45A3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88</w:t>
            </w:r>
          </w:p>
        </w:tc>
      </w:tr>
      <w:tr w:rsidR="00A36BAB" w:rsidRPr="00291225" w14:paraId="5FC41B35" w14:textId="77777777" w:rsidTr="000B2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shd w:val="clear" w:color="auto" w:fill="auto"/>
          </w:tcPr>
          <w:p w14:paraId="521F51F5" w14:textId="0F8F06B1" w:rsidR="00A36BAB" w:rsidRPr="00291225" w:rsidRDefault="00274BFB" w:rsidP="00291225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291225">
              <w:rPr>
                <w:rFonts w:asciiTheme="majorBidi" w:hAnsiTheme="majorBidi" w:cstheme="majorBidi"/>
                <w:b w:val="0"/>
                <w:bCs w:val="0"/>
              </w:rPr>
              <w:t>Phosphate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</w:rPr>
              <w:t xml:space="preserve"> (PO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  <w:vertAlign w:val="subscript"/>
              </w:rPr>
              <w:t>4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  <w:vertAlign w:val="superscript"/>
              </w:rPr>
              <w:t>3</w:t>
            </w:r>
            <w:r w:rsidR="00AE399D" w:rsidRPr="00AE399D">
              <w:rPr>
                <w:rFonts w:ascii="Times New Roman" w:hAnsi="Times New Roman" w:cs="Times New Roman"/>
                <w:vertAlign w:val="superscript"/>
              </w:rPr>
              <w:t>−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438" w:type="pct"/>
            <w:shd w:val="clear" w:color="auto" w:fill="auto"/>
          </w:tcPr>
          <w:p w14:paraId="1697FCA6" w14:textId="5F7FF6B5" w:rsidR="00A36BAB" w:rsidRPr="00291225" w:rsidRDefault="00A36BAB" w:rsidP="00D45A3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29</w:t>
            </w:r>
          </w:p>
        </w:tc>
      </w:tr>
      <w:tr w:rsidR="00A36BAB" w:rsidRPr="00291225" w14:paraId="367EFE24" w14:textId="77777777" w:rsidTr="000B2E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0154B539" w14:textId="44DFAA7B" w:rsidR="00A36BAB" w:rsidRPr="00291225" w:rsidRDefault="00A36BAB" w:rsidP="00291225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291225">
              <w:rPr>
                <w:rFonts w:asciiTheme="majorBidi" w:hAnsiTheme="majorBidi" w:cstheme="majorBidi"/>
                <w:b w:val="0"/>
                <w:bCs w:val="0"/>
              </w:rPr>
              <w:t>Nitrate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</w:rPr>
              <w:t xml:space="preserve"> (NH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  <w:vertAlign w:val="subscript"/>
              </w:rPr>
              <w:t>3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  <w:vertAlign w:val="superscript"/>
              </w:rPr>
              <w:t>+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438" w:type="pct"/>
          </w:tcPr>
          <w:p w14:paraId="29B8ED94" w14:textId="04A98FF5" w:rsidR="00A36BAB" w:rsidRPr="00291225" w:rsidRDefault="00A36BAB" w:rsidP="00D45A3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0.45</w:t>
            </w:r>
          </w:p>
        </w:tc>
      </w:tr>
      <w:tr w:rsidR="00A36BAB" w:rsidRPr="00291225" w14:paraId="29656D30" w14:textId="77777777" w:rsidTr="000B2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shd w:val="clear" w:color="auto" w:fill="auto"/>
          </w:tcPr>
          <w:p w14:paraId="0CC737E7" w14:textId="2D4E9EFA" w:rsidR="00A36BAB" w:rsidRPr="00291225" w:rsidRDefault="00A36BAB" w:rsidP="00291225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291225">
              <w:rPr>
                <w:rFonts w:asciiTheme="majorBidi" w:hAnsiTheme="majorBidi" w:cstheme="majorBidi"/>
                <w:b w:val="0"/>
                <w:bCs w:val="0"/>
              </w:rPr>
              <w:t>Ammonium</w:t>
            </w:r>
            <w:r w:rsidR="000D2FBF" w:rsidRPr="00291225">
              <w:rPr>
                <w:rFonts w:asciiTheme="majorBidi" w:hAnsiTheme="majorBidi" w:cstheme="majorBidi"/>
                <w:b w:val="0"/>
                <w:bCs w:val="0"/>
              </w:rPr>
              <w:t xml:space="preserve"> (NH</w:t>
            </w:r>
            <w:r w:rsidR="000D2FBF" w:rsidRPr="00291225">
              <w:rPr>
                <w:rFonts w:asciiTheme="majorBidi" w:hAnsiTheme="majorBidi" w:cstheme="majorBidi"/>
                <w:b w:val="0"/>
                <w:bCs w:val="0"/>
                <w:vertAlign w:val="subscript"/>
              </w:rPr>
              <w:t>4</w:t>
            </w:r>
            <w:r w:rsidR="000D2FBF" w:rsidRPr="00291225">
              <w:rPr>
                <w:rFonts w:asciiTheme="majorBidi" w:hAnsiTheme="majorBidi" w:cstheme="majorBidi"/>
                <w:b w:val="0"/>
                <w:bCs w:val="0"/>
                <w:vertAlign w:val="superscript"/>
              </w:rPr>
              <w:t>+</w:t>
            </w:r>
            <w:r w:rsidR="000D2FBF" w:rsidRPr="00291225">
              <w:rPr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438" w:type="pct"/>
            <w:shd w:val="clear" w:color="auto" w:fill="auto"/>
          </w:tcPr>
          <w:p w14:paraId="51B860C6" w14:textId="43B8638B" w:rsidR="00A36BAB" w:rsidRPr="00291225" w:rsidRDefault="00A36BAB" w:rsidP="00D45A3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108</w:t>
            </w:r>
          </w:p>
        </w:tc>
      </w:tr>
      <w:tr w:rsidR="00D7681B" w:rsidRPr="00291225" w14:paraId="0CFE3D40" w14:textId="77777777" w:rsidTr="000B2E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</w:tcPr>
          <w:p w14:paraId="44C6F666" w14:textId="4B760615" w:rsidR="00D7681B" w:rsidRPr="00291225" w:rsidRDefault="00D7681B" w:rsidP="00291225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291225">
              <w:rPr>
                <w:rFonts w:asciiTheme="majorBidi" w:hAnsiTheme="majorBidi" w:cstheme="majorBidi"/>
                <w:b w:val="0"/>
                <w:bCs w:val="0"/>
              </w:rPr>
              <w:t>Chloride (Cl</w:t>
            </w:r>
            <w:r w:rsidR="00AE399D" w:rsidRPr="00AE399D">
              <w:rPr>
                <w:rFonts w:ascii="Times New Roman" w:hAnsi="Times New Roman" w:cs="Times New Roman"/>
                <w:vertAlign w:val="superscript"/>
              </w:rPr>
              <w:t>−</w:t>
            </w:r>
            <w:r w:rsidRPr="00291225">
              <w:rPr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438" w:type="pct"/>
          </w:tcPr>
          <w:p w14:paraId="1FE7719C" w14:textId="6D880BD0" w:rsidR="00D7681B" w:rsidRPr="00291225" w:rsidRDefault="00D7681B" w:rsidP="00D45A3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13.3</w:t>
            </w:r>
          </w:p>
        </w:tc>
      </w:tr>
      <w:tr w:rsidR="00A36BAB" w:rsidRPr="00291225" w14:paraId="408C2486" w14:textId="77777777" w:rsidTr="000B2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bottom w:val="nil"/>
            </w:tcBorders>
            <w:shd w:val="clear" w:color="auto" w:fill="auto"/>
          </w:tcPr>
          <w:p w14:paraId="331A9B70" w14:textId="41808003" w:rsidR="00A36BAB" w:rsidRPr="00291225" w:rsidRDefault="00A36BAB" w:rsidP="00291225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291225">
              <w:rPr>
                <w:rFonts w:asciiTheme="majorBidi" w:hAnsiTheme="majorBidi" w:cstheme="majorBidi"/>
                <w:b w:val="0"/>
                <w:bCs w:val="0"/>
              </w:rPr>
              <w:t>Magnesium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</w:rPr>
              <w:t xml:space="preserve"> (Mg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  <w:vertAlign w:val="superscript"/>
              </w:rPr>
              <w:t>+</w:t>
            </w:r>
            <w:r w:rsidR="00D7681B" w:rsidRPr="00291225">
              <w:rPr>
                <w:rFonts w:asciiTheme="majorBidi" w:hAnsiTheme="majorBidi" w:cstheme="majorBidi"/>
                <w:b w:val="0"/>
                <w:bCs w:val="0"/>
              </w:rPr>
              <w:t>)</w:t>
            </w:r>
          </w:p>
        </w:tc>
        <w:tc>
          <w:tcPr>
            <w:tcW w:w="2438" w:type="pct"/>
            <w:tcBorders>
              <w:bottom w:val="nil"/>
            </w:tcBorders>
            <w:shd w:val="clear" w:color="auto" w:fill="auto"/>
          </w:tcPr>
          <w:p w14:paraId="1EC9D8BA" w14:textId="7AD9FEB1" w:rsidR="00A36BAB" w:rsidRPr="00291225" w:rsidRDefault="00A36BAB" w:rsidP="00D45A3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94.5</w:t>
            </w:r>
          </w:p>
        </w:tc>
      </w:tr>
      <w:tr w:rsidR="00796F7A" w:rsidRPr="00291225" w14:paraId="0BEF29A9" w14:textId="77777777" w:rsidTr="000B2E46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bottom w:val="single" w:sz="4" w:space="0" w:color="000000" w:themeColor="text1"/>
            </w:tcBorders>
          </w:tcPr>
          <w:p w14:paraId="2795CCC1" w14:textId="46E8B850" w:rsidR="00796F7A" w:rsidRPr="00291225" w:rsidRDefault="00796F7A" w:rsidP="00291225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291225">
              <w:rPr>
                <w:rFonts w:asciiTheme="majorBidi" w:hAnsiTheme="majorBidi" w:cstheme="majorBidi"/>
                <w:b w:val="0"/>
                <w:bCs w:val="0"/>
              </w:rPr>
              <w:t>pH</w:t>
            </w:r>
          </w:p>
        </w:tc>
        <w:tc>
          <w:tcPr>
            <w:tcW w:w="2438" w:type="pct"/>
            <w:tcBorders>
              <w:top w:val="nil"/>
              <w:bottom w:val="single" w:sz="4" w:space="0" w:color="000000" w:themeColor="text1"/>
            </w:tcBorders>
          </w:tcPr>
          <w:p w14:paraId="38DCDBF5" w14:textId="22429882" w:rsidR="00796F7A" w:rsidRPr="00291225" w:rsidRDefault="00224EE0" w:rsidP="00D45A3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91225">
              <w:rPr>
                <w:rFonts w:asciiTheme="majorBidi" w:hAnsiTheme="majorBidi" w:cstheme="majorBidi"/>
              </w:rPr>
              <w:t>7.41</w:t>
            </w:r>
          </w:p>
        </w:tc>
      </w:tr>
    </w:tbl>
    <w:p w14:paraId="69BB3D6B" w14:textId="77777777" w:rsidR="005202B2" w:rsidRPr="00291225" w:rsidRDefault="005202B2" w:rsidP="00291225">
      <w:pPr>
        <w:spacing w:line="480" w:lineRule="auto"/>
        <w:rPr>
          <w:rFonts w:asciiTheme="majorBidi" w:hAnsiTheme="majorBidi" w:cstheme="majorBidi"/>
        </w:rPr>
      </w:pPr>
    </w:p>
    <w:p w14:paraId="03859C8A" w14:textId="77777777" w:rsidR="005202B2" w:rsidRPr="00291225" w:rsidRDefault="005202B2" w:rsidP="00291225">
      <w:pPr>
        <w:spacing w:line="480" w:lineRule="auto"/>
        <w:rPr>
          <w:rFonts w:asciiTheme="majorBidi" w:hAnsiTheme="majorBidi" w:cstheme="majorBidi"/>
        </w:rPr>
      </w:pPr>
    </w:p>
    <w:p w14:paraId="208066FE" w14:textId="6865BAE2" w:rsidR="005202B2" w:rsidRPr="00291225" w:rsidRDefault="005202B2" w:rsidP="00291225">
      <w:pPr>
        <w:spacing w:line="480" w:lineRule="auto"/>
        <w:rPr>
          <w:rFonts w:asciiTheme="majorBidi" w:hAnsiTheme="majorBidi" w:cstheme="majorBidi"/>
        </w:rPr>
      </w:pPr>
    </w:p>
    <w:p w14:paraId="5A6CF36E" w14:textId="77777777" w:rsidR="00852EB8" w:rsidRPr="00291225" w:rsidRDefault="00852EB8" w:rsidP="00291225">
      <w:pPr>
        <w:spacing w:line="480" w:lineRule="auto"/>
        <w:rPr>
          <w:rFonts w:asciiTheme="majorBidi" w:hAnsiTheme="majorBidi" w:cstheme="majorBidi"/>
        </w:rPr>
      </w:pPr>
    </w:p>
    <w:p w14:paraId="0B51F6ED" w14:textId="77777777" w:rsidR="00852EB8" w:rsidRPr="00291225" w:rsidRDefault="00852EB8" w:rsidP="00291225">
      <w:pPr>
        <w:spacing w:line="480" w:lineRule="auto"/>
        <w:rPr>
          <w:rFonts w:asciiTheme="majorBidi" w:hAnsiTheme="majorBidi" w:cstheme="majorBidi"/>
        </w:rPr>
      </w:pPr>
    </w:p>
    <w:p w14:paraId="11AC9264" w14:textId="77777777" w:rsidR="00852EB8" w:rsidRPr="00291225" w:rsidRDefault="00852EB8" w:rsidP="00291225">
      <w:pPr>
        <w:spacing w:line="480" w:lineRule="auto"/>
        <w:rPr>
          <w:rFonts w:asciiTheme="majorBidi" w:hAnsiTheme="majorBidi" w:cstheme="majorBidi"/>
        </w:rPr>
      </w:pPr>
    </w:p>
    <w:p w14:paraId="29E618F3" w14:textId="77777777" w:rsidR="00852EB8" w:rsidRDefault="00852EB8" w:rsidP="00291225">
      <w:pPr>
        <w:spacing w:line="480" w:lineRule="auto"/>
        <w:rPr>
          <w:rFonts w:asciiTheme="majorBidi" w:hAnsiTheme="majorBidi" w:cstheme="majorBidi"/>
        </w:rPr>
      </w:pPr>
    </w:p>
    <w:p w14:paraId="1185E62D" w14:textId="77777777" w:rsidR="006C0AB9" w:rsidRDefault="006C0AB9" w:rsidP="00291225">
      <w:pPr>
        <w:spacing w:line="480" w:lineRule="auto"/>
        <w:rPr>
          <w:rFonts w:asciiTheme="majorBidi" w:hAnsiTheme="majorBidi" w:cstheme="majorBidi"/>
        </w:rPr>
      </w:pPr>
    </w:p>
    <w:p w14:paraId="25122CCE" w14:textId="1B1D8DDD" w:rsidR="006C0AB9" w:rsidRDefault="006C0AB9" w:rsidP="006C0AB9">
      <w:pPr>
        <w:pStyle w:val="Caption"/>
        <w:keepNext/>
      </w:pPr>
    </w:p>
    <w:p w14:paraId="2B28CF14" w14:textId="77777777" w:rsidR="006C0AB9" w:rsidRDefault="006C0AB9" w:rsidP="006C0AB9">
      <w:pPr>
        <w:keepNext/>
        <w:spacing w:after="0" w:line="480" w:lineRule="auto"/>
        <w:jc w:val="center"/>
      </w:pPr>
      <w:r>
        <w:rPr>
          <w:rFonts w:asciiTheme="majorBidi" w:hAnsiTheme="majorBidi" w:cstheme="majorBidi"/>
          <w:noProof/>
        </w:rPr>
        <w:drawing>
          <wp:inline distT="0" distB="0" distL="0" distR="0" wp14:anchorId="74805153" wp14:editId="54F6A67C">
            <wp:extent cx="5943600" cy="2661920"/>
            <wp:effectExtent l="0" t="0" r="0" b="0"/>
            <wp:docPr id="831038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38780" name="Picture 8310387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2B082" w14:textId="06936F92" w:rsidR="006C0AB9" w:rsidRPr="006C0AB9" w:rsidRDefault="006C0AB9" w:rsidP="006C0AB9">
      <w:pPr>
        <w:keepNext/>
        <w:spacing w:line="360" w:lineRule="auto"/>
        <w:jc w:val="center"/>
        <w:rPr>
          <w:rFonts w:asciiTheme="majorBidi" w:hAnsiTheme="majorBidi" w:cstheme="majorBidi"/>
        </w:rPr>
      </w:pPr>
      <w:r w:rsidRPr="006C0AB9">
        <w:rPr>
          <w:rFonts w:asciiTheme="majorBidi" w:hAnsiTheme="majorBidi" w:cstheme="majorBidi"/>
          <w:b/>
          <w:bCs/>
        </w:rPr>
        <w:t>Scheme S1.</w:t>
      </w:r>
      <w:r w:rsidRPr="006C0AB9">
        <w:rPr>
          <w:rFonts w:asciiTheme="majorBidi" w:hAnsiTheme="majorBidi" w:cstheme="majorBidi"/>
        </w:rPr>
        <w:t xml:space="preserve"> Reaction route for synthesis of AFBC via one-pot </w:t>
      </w:r>
      <w:r>
        <w:rPr>
          <w:rFonts w:asciiTheme="majorBidi" w:hAnsiTheme="majorBidi" w:cstheme="majorBidi"/>
        </w:rPr>
        <w:t>mussel-inspired</w:t>
      </w:r>
      <w:r w:rsidRPr="006C0AB9">
        <w:rPr>
          <w:rFonts w:asciiTheme="majorBidi" w:hAnsiTheme="majorBidi" w:cstheme="majorBidi"/>
        </w:rPr>
        <w:t xml:space="preserve"> oxidative polymerization and Schiff-base addition reaction.  </w:t>
      </w:r>
    </w:p>
    <w:p w14:paraId="33A02C68" w14:textId="77777777" w:rsidR="006C0AB9" w:rsidRDefault="006C0AB9" w:rsidP="006C0AB9">
      <w:pPr>
        <w:keepNext/>
        <w:spacing w:line="480" w:lineRule="auto"/>
        <w:jc w:val="center"/>
      </w:pPr>
    </w:p>
    <w:p w14:paraId="098B79AD" w14:textId="77777777" w:rsidR="006C0AB9" w:rsidRDefault="006C0AB9" w:rsidP="006C0AB9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105C5C6A" wp14:editId="04E1CAD6">
            <wp:extent cx="5943600" cy="4455160"/>
            <wp:effectExtent l="0" t="0" r="0" b="2540"/>
            <wp:docPr id="14341076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07628" name="Picture 14341076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28ABF" w14:textId="51E24E20" w:rsidR="006C0AB9" w:rsidRPr="006C0AB9" w:rsidRDefault="006C0AB9" w:rsidP="006C0AB9">
      <w:pPr>
        <w:pStyle w:val="Caption"/>
        <w:spacing w:line="360" w:lineRule="auto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6C0AB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Fig. S</w:t>
      </w:r>
      <w:r w:rsidRPr="006C0AB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C0AB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6C0AB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6C0AB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6C0AB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6C0AB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6C0AB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Schematic 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re</w:t>
      </w:r>
      <w:r w:rsidRPr="006C0AB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presentation 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of</w:t>
      </w:r>
      <w:r w:rsidRPr="006C0AB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the interaction between AFBC nanofiller and CA within the matrix of the hybrid membrane.</w:t>
      </w:r>
    </w:p>
    <w:p w14:paraId="2DCBC292" w14:textId="07795C52" w:rsidR="00852EB8" w:rsidRPr="00291225" w:rsidRDefault="003978A4" w:rsidP="00291225">
      <w:pPr>
        <w:keepNext/>
        <w:spacing w:after="0"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5D76AD6" wp14:editId="6AFF0481">
            <wp:extent cx="3557724" cy="3038128"/>
            <wp:effectExtent l="0" t="0" r="0" b="0"/>
            <wp:docPr id="888887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87066" name="Picture 8888870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7677" cy="308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F5A6A" w14:textId="13658EF3" w:rsidR="00291225" w:rsidRPr="00291225" w:rsidRDefault="00852EB8" w:rsidP="00291225">
      <w:pPr>
        <w:pStyle w:val="Caption"/>
        <w:spacing w:line="480" w:lineRule="auto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Fig. S</w:t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C0AB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Raman spectr</w:t>
      </w:r>
      <w:r w:rsidR="00F1654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a 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of </w:t>
      </w:r>
      <w:r w:rsidR="00150CE2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biochar and </w:t>
      </w:r>
      <w:r w:rsidR="006617F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amine-functionalized</w:t>
      </w:r>
      <w:r w:rsidR="00150CE2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biochar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</w:p>
    <w:p w14:paraId="7F7B534E" w14:textId="50AE4047" w:rsidR="00291225" w:rsidRDefault="003978A4" w:rsidP="00291225">
      <w:pPr>
        <w:keepNext/>
        <w:spacing w:after="0" w:line="480" w:lineRule="auto"/>
        <w:jc w:val="center"/>
      </w:pPr>
      <w:r>
        <w:rPr>
          <w:noProof/>
        </w:rPr>
        <w:drawing>
          <wp:inline distT="0" distB="0" distL="0" distR="0" wp14:anchorId="47E4CB6B" wp14:editId="74CF3283">
            <wp:extent cx="3848100" cy="3015167"/>
            <wp:effectExtent l="0" t="0" r="0" b="0"/>
            <wp:docPr id="4392921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292161" name="Picture 43929216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1169" cy="301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34182" w14:textId="33579C7A" w:rsidR="00291225" w:rsidRDefault="00291225" w:rsidP="00291225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Fig. S</w:t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C0AB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29122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  <w:r w:rsidR="00150CE2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The z</w:t>
      </w:r>
      <w:r w:rsidRPr="00291225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eta potential</w:t>
      </w:r>
      <w:r w:rsidR="00150CE2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(</w:t>
      </w:r>
      <w:r w:rsidR="00150CE2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sym w:font="Symbol" w:char="F07A"/>
      </w:r>
      <w:r w:rsidR="00150CE2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, mV) of </w:t>
      </w:r>
      <w:r w:rsidR="00F1654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biochar and amine</w:t>
      </w:r>
      <w:r w:rsidR="00053F81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-</w:t>
      </w:r>
      <w:r w:rsidR="00F1654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functionalized biochar.</w:t>
      </w:r>
    </w:p>
    <w:p w14:paraId="1202F3BB" w14:textId="77777777" w:rsidR="000C39BA" w:rsidRDefault="000C39BA" w:rsidP="000C39BA"/>
    <w:p w14:paraId="063C1815" w14:textId="77777777" w:rsidR="001456DE" w:rsidRDefault="0046544D" w:rsidP="006617F4">
      <w:pPr>
        <w:keepNext/>
        <w:spacing w:after="0" w:line="480" w:lineRule="auto"/>
        <w:jc w:val="center"/>
      </w:pPr>
      <w:r>
        <w:rPr>
          <w:noProof/>
        </w:rPr>
        <w:lastRenderedPageBreak/>
        <w:drawing>
          <wp:inline distT="0" distB="0" distL="0" distR="0" wp14:anchorId="17396219" wp14:editId="4D689E68">
            <wp:extent cx="5697466" cy="2569338"/>
            <wp:effectExtent l="0" t="0" r="0" b="0"/>
            <wp:docPr id="722251094" name="Picture 1" descr="A group of graphs showing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51094" name="Picture 1" descr="A group of graphs showing different color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1775" cy="257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61B21" w14:textId="7CB63471" w:rsidR="0046544D" w:rsidRDefault="001456DE" w:rsidP="006617F4">
      <w:pPr>
        <w:pStyle w:val="Caption"/>
        <w:spacing w:line="360" w:lineRule="auto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1456DE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Fig.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S</w:t>
      </w:r>
      <w:r w:rsidRPr="001456DE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1456DE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1456DE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C0AB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1456DE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1456DE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1456DE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XPS survey </w:t>
      </w:r>
      <w:r w:rsidR="00F1654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spectra of pristine membrane </w:t>
      </w:r>
      <w:r w:rsidRPr="001456DE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MB0 and </w:t>
      </w:r>
      <w:r w:rsidR="00F1654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hybrid </w:t>
      </w:r>
      <w:r w:rsidR="006617F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MB4, along</w:t>
      </w:r>
      <w:r w:rsidR="00F1654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with </w:t>
      </w:r>
      <w:r w:rsidR="00F16547" w:rsidRPr="001456DE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the</w:t>
      </w:r>
      <w:r w:rsidRPr="001456DE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deconvoluted XPS </w:t>
      </w:r>
      <w:r w:rsidR="00F1654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spectra of 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C, O, Si, and N</w:t>
      </w:r>
      <w:r w:rsidR="00F1654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for the hybrid membrane </w:t>
      </w:r>
      <w:r w:rsidR="00F16547" w:rsidRPr="001456DE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MB4</w:t>
      </w:r>
      <w:r w:rsidRPr="001456DE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</w:p>
    <w:p w14:paraId="2FF102DD" w14:textId="3F8ED67E" w:rsidR="003877EF" w:rsidRDefault="00CE6B5B" w:rsidP="006617F4">
      <w:pPr>
        <w:keepNext/>
        <w:jc w:val="center"/>
      </w:pPr>
      <w:r>
        <w:rPr>
          <w:noProof/>
        </w:rPr>
        <w:drawing>
          <wp:inline distT="0" distB="0" distL="0" distR="0" wp14:anchorId="65C766CE" wp14:editId="3AB84905">
            <wp:extent cx="5211429" cy="4221480"/>
            <wp:effectExtent l="0" t="0" r="0" b="0"/>
            <wp:docPr id="1190984330" name="Picture 3" descr="A group of graphs showing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984330" name="Picture 3" descr="A group of graphs showing different color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3556" cy="42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CCA40" w14:textId="7AB166F2" w:rsidR="00247D61" w:rsidRPr="006617F4" w:rsidRDefault="003877EF" w:rsidP="006617F4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6617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Fig. S</w:t>
      </w:r>
      <w:r w:rsidRPr="006617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617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6617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6C0AB9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5</w:t>
      </w:r>
      <w:r w:rsidRPr="006617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617F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6617F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Pore size distribution of</w:t>
      </w:r>
      <w:r w:rsidR="00F16547" w:rsidRPr="006617F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amine</w:t>
      </w:r>
      <w:r w:rsidR="006617F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-</w:t>
      </w:r>
      <w:r w:rsidR="00F16547" w:rsidRPr="006617F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functionalized biochar infused </w:t>
      </w:r>
      <w:r w:rsidR="00F16547" w:rsidRPr="006617F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hybrid membranes MB0.5, MB1, MB2</w:t>
      </w:r>
      <w:r w:rsidR="006617F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</w:t>
      </w:r>
      <w:r w:rsidR="00F16547" w:rsidRPr="006617F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MB4, respectively</w:t>
      </w:r>
      <w:r w:rsidRPr="006617F4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4BF31AF0" w14:textId="77777777" w:rsidR="00401119" w:rsidRDefault="000C39BA" w:rsidP="00401119">
      <w:pPr>
        <w:keepNext/>
        <w:spacing w:after="0"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5E613C8" wp14:editId="78E87324">
            <wp:extent cx="4892040" cy="3669030"/>
            <wp:effectExtent l="0" t="0" r="0" b="0"/>
            <wp:docPr id="1397137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37287" name="Picture 139713728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D9005" w14:textId="378487EE" w:rsidR="00D45A3C" w:rsidRDefault="00401119" w:rsidP="00401119">
      <w:pPr>
        <w:pStyle w:val="Caption"/>
        <w:spacing w:line="480" w:lineRule="auto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40111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Fig. S</w:t>
      </w:r>
      <w:r w:rsidRPr="0040111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0111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40111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C0AB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40111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401119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40111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TBC test for </w:t>
      </w:r>
      <w:r w:rsidR="00F16547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municipal </w:t>
      </w:r>
      <w:r w:rsidRPr="00401119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wastewater feed and permeate samples at different dilutions.</w:t>
      </w:r>
    </w:p>
    <w:p w14:paraId="17238466" w14:textId="77777777" w:rsidR="00A91948" w:rsidRDefault="00A91948" w:rsidP="00A91948">
      <w:pPr>
        <w:keepNext/>
        <w:jc w:val="center"/>
      </w:pPr>
      <w:r>
        <w:rPr>
          <w:noProof/>
        </w:rPr>
        <w:drawing>
          <wp:inline distT="0" distB="0" distL="0" distR="0" wp14:anchorId="3186158E" wp14:editId="29E0C603">
            <wp:extent cx="4693099" cy="3000876"/>
            <wp:effectExtent l="0" t="0" r="0" b="9525"/>
            <wp:docPr id="790376025" name="Picture 1" descr="Several different types of metal in a petri dis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76025" name="Picture 1" descr="Several different types of metal in a petri dish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01874" cy="300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9FD6D" w14:textId="61839FD8" w:rsidR="00A91948" w:rsidRDefault="00A91948" w:rsidP="00A91948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A91948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Fig. S</w:t>
      </w:r>
      <w:r w:rsidRPr="00A91948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91948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A91948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C0AB9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A91948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91948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.</w:t>
      </w:r>
      <w:r w:rsidRPr="00A91948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Digital image of cuts from the fabricated membrane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s</w:t>
      </w:r>
      <w:r w:rsidRPr="00A91948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.</w:t>
      </w:r>
    </w:p>
    <w:p w14:paraId="477A6E46" w14:textId="77777777" w:rsidR="00A91948" w:rsidRPr="00A91948" w:rsidRDefault="00A91948" w:rsidP="00A91948"/>
    <w:p w14:paraId="140EC733" w14:textId="50880FB0" w:rsidR="00D45A3C" w:rsidRPr="00D45A3C" w:rsidRDefault="00D45A3C" w:rsidP="00D45A3C">
      <w:pPr>
        <w:rPr>
          <w:rFonts w:asciiTheme="majorBidi" w:hAnsiTheme="majorBidi" w:cstheme="majorBidi"/>
          <w:b/>
          <w:bCs/>
        </w:rPr>
      </w:pPr>
      <w:r w:rsidRPr="00D45A3C">
        <w:rPr>
          <w:rFonts w:asciiTheme="majorBidi" w:hAnsiTheme="majorBidi" w:cstheme="majorBidi"/>
          <w:b/>
          <w:bCs/>
        </w:rPr>
        <w:lastRenderedPageBreak/>
        <w:t>References</w:t>
      </w:r>
    </w:p>
    <w:p w14:paraId="3061A0FD" w14:textId="2CD21873" w:rsidR="00D45A3C" w:rsidRPr="00D45A3C" w:rsidRDefault="00D45A3C" w:rsidP="00D45A3C">
      <w:pPr>
        <w:pStyle w:val="EndNoteBibliography"/>
        <w:spacing w:line="360" w:lineRule="auto"/>
        <w:jc w:val="both"/>
        <w:rPr>
          <w:rFonts w:asciiTheme="majorBidi" w:hAnsiTheme="majorBidi" w:cstheme="majorBidi"/>
          <w:sz w:val="24"/>
        </w:rPr>
      </w:pPr>
      <w:r w:rsidRPr="00D45A3C">
        <w:rPr>
          <w:rFonts w:asciiTheme="majorBidi" w:hAnsiTheme="majorBidi" w:cstheme="majorBidi"/>
          <w:iCs/>
          <w:sz w:val="24"/>
        </w:rPr>
        <w:fldChar w:fldCharType="begin"/>
      </w:r>
      <w:r w:rsidRPr="00D45A3C">
        <w:rPr>
          <w:rFonts w:asciiTheme="majorBidi" w:hAnsiTheme="majorBidi" w:cstheme="majorBidi"/>
          <w:iCs/>
          <w:sz w:val="24"/>
        </w:rPr>
        <w:instrText xml:space="preserve"> ADDIN EN.REFLIST </w:instrText>
      </w:r>
      <w:r w:rsidRPr="00D45A3C">
        <w:rPr>
          <w:rFonts w:asciiTheme="majorBidi" w:hAnsiTheme="majorBidi" w:cstheme="majorBidi"/>
          <w:iCs/>
          <w:sz w:val="24"/>
        </w:rPr>
        <w:fldChar w:fldCharType="separate"/>
      </w:r>
      <w:r w:rsidRPr="00D45A3C">
        <w:rPr>
          <w:rFonts w:asciiTheme="majorBidi" w:hAnsiTheme="majorBidi" w:cstheme="majorBidi"/>
          <w:sz w:val="24"/>
        </w:rPr>
        <w:t xml:space="preserve">Ibrahim, Y., Banat, F., Yousef, A. F., Bahamon, D., Vega, L. F., &amp; Hasan, S. W., 2020. Surface modification of anti-fouling novel cellulose/graphene oxide (GO) nanosheets (NS) microfiltration membranes for seawater desalination applications. </w:t>
      </w:r>
      <w:r w:rsidRPr="00D45A3C">
        <w:rPr>
          <w:rFonts w:asciiTheme="majorBidi" w:hAnsiTheme="majorBidi" w:cstheme="majorBidi"/>
          <w:i/>
          <w:sz w:val="24"/>
        </w:rPr>
        <w:t>Journal of Chemical Technology &amp; Biotechnology, 95</w:t>
      </w:r>
      <w:r w:rsidRPr="00D45A3C">
        <w:rPr>
          <w:rFonts w:asciiTheme="majorBidi" w:hAnsiTheme="majorBidi" w:cstheme="majorBidi"/>
          <w:sz w:val="24"/>
        </w:rPr>
        <w:t>(7), 1915-1925. doi:</w:t>
      </w:r>
      <w:hyperlink r:id="rId14" w:history="1">
        <w:r w:rsidRPr="00D45A3C">
          <w:rPr>
            <w:rStyle w:val="Hyperlink"/>
            <w:rFonts w:asciiTheme="majorBidi" w:hAnsiTheme="majorBidi" w:cstheme="majorBidi"/>
            <w:sz w:val="24"/>
          </w:rPr>
          <w:t>https://doi.org/10.1002/jctb.6341</w:t>
        </w:r>
      </w:hyperlink>
    </w:p>
    <w:p w14:paraId="21F05B03" w14:textId="13A4B287" w:rsidR="000C39BA" w:rsidRPr="00401119" w:rsidRDefault="00D45A3C" w:rsidP="00D45A3C">
      <w:pPr>
        <w:pStyle w:val="Caption"/>
        <w:spacing w:line="360" w:lineRule="auto"/>
        <w:jc w:val="both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D45A3C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fldChar w:fldCharType="end"/>
      </w:r>
    </w:p>
    <w:sectPr w:rsidR="000C39BA" w:rsidRPr="00401119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F172F" w14:textId="77777777" w:rsidR="00A25F04" w:rsidRDefault="00A25F04" w:rsidP="00445A83">
      <w:pPr>
        <w:spacing w:after="0" w:line="240" w:lineRule="auto"/>
      </w:pPr>
      <w:r>
        <w:separator/>
      </w:r>
    </w:p>
  </w:endnote>
  <w:endnote w:type="continuationSeparator" w:id="0">
    <w:p w14:paraId="0D2704E8" w14:textId="77777777" w:rsidR="00A25F04" w:rsidRDefault="00A25F04" w:rsidP="0044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603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91875" w14:textId="164C6037" w:rsidR="00445A83" w:rsidRDefault="00445A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E4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5891E9E" w14:textId="77777777" w:rsidR="00445A83" w:rsidRDefault="00445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45885" w14:textId="77777777" w:rsidR="00A25F04" w:rsidRDefault="00A25F04" w:rsidP="00445A83">
      <w:pPr>
        <w:spacing w:after="0" w:line="240" w:lineRule="auto"/>
      </w:pPr>
      <w:r>
        <w:separator/>
      </w:r>
    </w:p>
  </w:footnote>
  <w:footnote w:type="continuationSeparator" w:id="0">
    <w:p w14:paraId="57CE2AB3" w14:textId="77777777" w:rsidR="00A25F04" w:rsidRDefault="00A25F04" w:rsidP="00445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AyMLcwNzExMjA2tDRQ0lEKTi0uzszPAykwNKsFAJ830N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edited&lt;/Style&gt;&lt;LeftDelim&gt;{&lt;/LeftDelim&gt;&lt;RightDelim&gt;}&lt;/RightDelim&gt;&lt;FontName&gt;Aptos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eewxzx1a59eiedpduxprs9vxsz090ewrzr&quot;&gt;My EndNote Library-Saved&lt;record-ids&gt;&lt;item&gt;67&lt;/item&gt;&lt;/record-ids&gt;&lt;/item&gt;&lt;/Libraries&gt;"/>
  </w:docVars>
  <w:rsids>
    <w:rsidRoot w:val="00455E6D"/>
    <w:rsid w:val="00003B19"/>
    <w:rsid w:val="00034482"/>
    <w:rsid w:val="00053F81"/>
    <w:rsid w:val="00077E1D"/>
    <w:rsid w:val="00092ADB"/>
    <w:rsid w:val="000B2E46"/>
    <w:rsid w:val="000C39BA"/>
    <w:rsid w:val="000D2FBF"/>
    <w:rsid w:val="000E16E7"/>
    <w:rsid w:val="00100EAE"/>
    <w:rsid w:val="00145420"/>
    <w:rsid w:val="001456DE"/>
    <w:rsid w:val="00150CE2"/>
    <w:rsid w:val="00162879"/>
    <w:rsid w:val="001752BB"/>
    <w:rsid w:val="001941B4"/>
    <w:rsid w:val="001D6F66"/>
    <w:rsid w:val="00224EE0"/>
    <w:rsid w:val="00247D61"/>
    <w:rsid w:val="00271CF2"/>
    <w:rsid w:val="00274BFB"/>
    <w:rsid w:val="00276FB6"/>
    <w:rsid w:val="00291225"/>
    <w:rsid w:val="0029560D"/>
    <w:rsid w:val="00322D9D"/>
    <w:rsid w:val="0038171C"/>
    <w:rsid w:val="003877EF"/>
    <w:rsid w:val="003978A4"/>
    <w:rsid w:val="00401119"/>
    <w:rsid w:val="004324ED"/>
    <w:rsid w:val="00445A83"/>
    <w:rsid w:val="00455E6D"/>
    <w:rsid w:val="0046544D"/>
    <w:rsid w:val="00483B6C"/>
    <w:rsid w:val="004F2BC0"/>
    <w:rsid w:val="005106B1"/>
    <w:rsid w:val="005202B2"/>
    <w:rsid w:val="005414F5"/>
    <w:rsid w:val="005963F8"/>
    <w:rsid w:val="00624352"/>
    <w:rsid w:val="00642886"/>
    <w:rsid w:val="006617F4"/>
    <w:rsid w:val="006C0AB9"/>
    <w:rsid w:val="006E286A"/>
    <w:rsid w:val="007014AF"/>
    <w:rsid w:val="00772521"/>
    <w:rsid w:val="00796F7A"/>
    <w:rsid w:val="007F35B3"/>
    <w:rsid w:val="00806817"/>
    <w:rsid w:val="00841099"/>
    <w:rsid w:val="00852EB8"/>
    <w:rsid w:val="008D1960"/>
    <w:rsid w:val="008E2A6B"/>
    <w:rsid w:val="00970B4A"/>
    <w:rsid w:val="009734D6"/>
    <w:rsid w:val="009B359B"/>
    <w:rsid w:val="009C3011"/>
    <w:rsid w:val="00A05FEB"/>
    <w:rsid w:val="00A25F04"/>
    <w:rsid w:val="00A36BAB"/>
    <w:rsid w:val="00A91948"/>
    <w:rsid w:val="00AE0FA3"/>
    <w:rsid w:val="00AE399D"/>
    <w:rsid w:val="00B21936"/>
    <w:rsid w:val="00BC3CFB"/>
    <w:rsid w:val="00C125D1"/>
    <w:rsid w:val="00C41100"/>
    <w:rsid w:val="00C43BD5"/>
    <w:rsid w:val="00C54FE2"/>
    <w:rsid w:val="00CE4F3E"/>
    <w:rsid w:val="00CE6B5B"/>
    <w:rsid w:val="00D0747C"/>
    <w:rsid w:val="00D45A3C"/>
    <w:rsid w:val="00D65A2E"/>
    <w:rsid w:val="00D7681B"/>
    <w:rsid w:val="00E070E1"/>
    <w:rsid w:val="00E4202E"/>
    <w:rsid w:val="00E527FC"/>
    <w:rsid w:val="00E7344D"/>
    <w:rsid w:val="00E9370C"/>
    <w:rsid w:val="00ED23C0"/>
    <w:rsid w:val="00F16547"/>
    <w:rsid w:val="00F63C3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5CC45D"/>
  <w14:defaultImageDpi w14:val="32767"/>
  <w15:chartTrackingRefBased/>
  <w15:docId w15:val="{E223A099-6FCA-4AC5-882D-FE619E65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BAB"/>
  </w:style>
  <w:style w:type="paragraph" w:styleId="Heading1">
    <w:name w:val="heading 1"/>
    <w:basedOn w:val="Normal"/>
    <w:next w:val="Normal"/>
    <w:link w:val="Heading1Char"/>
    <w:uiPriority w:val="9"/>
    <w:qFormat/>
    <w:rsid w:val="00455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E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E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E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E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E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E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E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E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E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E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E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36BA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ListTable6Colorful">
    <w:name w:val="List Table 6 Colorful"/>
    <w:basedOn w:val="TableNormal"/>
    <w:uiPriority w:val="51"/>
    <w:rsid w:val="00A36BA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qFormat/>
    <w:rsid w:val="00E4202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E7344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73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4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44D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45A3C"/>
    <w:pPr>
      <w:spacing w:after="0"/>
      <w:jc w:val="center"/>
    </w:pPr>
    <w:rPr>
      <w:rFonts w:ascii="Aptos" w:hAnsi="Aptos"/>
      <w:noProof/>
      <w:sz w:val="1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5A3C"/>
    <w:rPr>
      <w:rFonts w:ascii="Aptos" w:hAnsi="Aptos"/>
      <w:noProof/>
      <w:sz w:val="18"/>
    </w:rPr>
  </w:style>
  <w:style w:type="paragraph" w:customStyle="1" w:styleId="EndNoteBibliography">
    <w:name w:val="EndNote Bibliography"/>
    <w:basedOn w:val="Normal"/>
    <w:link w:val="EndNoteBibliographyChar"/>
    <w:rsid w:val="00D45A3C"/>
    <w:pPr>
      <w:spacing w:line="240" w:lineRule="auto"/>
      <w:jc w:val="center"/>
    </w:pPr>
    <w:rPr>
      <w:rFonts w:ascii="Aptos" w:hAnsi="Aptos"/>
      <w:noProof/>
      <w:sz w:val="18"/>
    </w:rPr>
  </w:style>
  <w:style w:type="character" w:customStyle="1" w:styleId="EndNoteBibliographyChar">
    <w:name w:val="EndNote Bibliography Char"/>
    <w:basedOn w:val="DefaultParagraphFont"/>
    <w:link w:val="EndNoteBibliography"/>
    <w:rsid w:val="00D45A3C"/>
    <w:rPr>
      <w:rFonts w:ascii="Aptos" w:hAnsi="Aptos"/>
      <w:noProof/>
      <w:sz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5A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5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A83"/>
  </w:style>
  <w:style w:type="paragraph" w:styleId="Footer">
    <w:name w:val="footer"/>
    <w:basedOn w:val="Normal"/>
    <w:link w:val="FooterChar"/>
    <w:uiPriority w:val="99"/>
    <w:unhideWhenUsed/>
    <w:rsid w:val="00445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doi.org/10.1002/jctb.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691</Words>
  <Characters>3934</Characters>
  <Application>Microsoft Office Word</Application>
  <DocSecurity>0</DocSecurity>
  <Lines>140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Yazan Hani Abuhasheesh</dc:creator>
  <cp:keywords/>
  <dc:description/>
  <cp:lastModifiedBy>Yazan Hani Abuhasheesh</cp:lastModifiedBy>
  <cp:revision>3</cp:revision>
  <dcterms:created xsi:type="dcterms:W3CDTF">2025-12-31T16:08:00Z</dcterms:created>
  <dcterms:modified xsi:type="dcterms:W3CDTF">2026-01-06T12:30:00Z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f21649e2-6a99-47b0-9d72-749766c7b945</vt:lpwstr>
  </property>
</Properties>
</file>