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E7B84" w14:textId="795BB2A6" w:rsidR="00DC7FF1" w:rsidRDefault="00DC7FF1" w:rsidP="002D6D7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7FF1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2FE0BC04" w14:textId="77777777" w:rsidR="00DC7FF1" w:rsidRPr="00984187" w:rsidRDefault="00DC7FF1" w:rsidP="002D6D7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E5A8C" w14:textId="77777777" w:rsidR="00984187" w:rsidRPr="00984187" w:rsidRDefault="00984187" w:rsidP="009841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4187">
        <w:rPr>
          <w:rStyle w:val="Strong"/>
          <w:rFonts w:ascii="Times New Roman" w:hAnsi="Times New Roman" w:cs="Times New Roman"/>
          <w:sz w:val="24"/>
          <w:szCs w:val="24"/>
        </w:rPr>
        <w:t>Conventional and Microwave-Assisted Pyrolysis Biochars: Comparative Mechanistic Insights, Structural Evolution, and Environmental Remediation Applications</w:t>
      </w:r>
    </w:p>
    <w:p w14:paraId="5EA70874" w14:textId="77777777" w:rsidR="002D6D7F" w:rsidRPr="002D6D7F" w:rsidRDefault="002D6D7F" w:rsidP="002D6D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6D7F">
        <w:rPr>
          <w:rFonts w:ascii="Times New Roman" w:hAnsi="Times New Roman" w:cs="Times New Roman"/>
          <w:sz w:val="24"/>
          <w:szCs w:val="24"/>
        </w:rPr>
        <w:t>Atta Rasool</w:t>
      </w: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 w:rsidRPr="002D6D7F">
        <w:rPr>
          <w:rFonts w:ascii="Times New Roman" w:hAnsi="Times New Roman" w:cs="Times New Roman"/>
          <w:sz w:val="24"/>
          <w:szCs w:val="24"/>
        </w:rPr>
        <w:t>, Kateřina Brožov</w:t>
      </w:r>
      <w:bookmarkStart w:id="0" w:name="_GoBack"/>
      <w:bookmarkEnd w:id="0"/>
      <w:r w:rsidRPr="002D6D7F">
        <w:rPr>
          <w:rFonts w:ascii="Times New Roman" w:hAnsi="Times New Roman" w:cs="Times New Roman"/>
          <w:sz w:val="24"/>
          <w:szCs w:val="24"/>
        </w:rPr>
        <w:t>á</w:t>
      </w: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6D7F">
        <w:rPr>
          <w:rFonts w:ascii="Times New Roman" w:hAnsi="Times New Roman" w:cs="Times New Roman"/>
          <w:sz w:val="24"/>
          <w:szCs w:val="24"/>
        </w:rPr>
        <w:t>, Jitka Chromíková</w:t>
      </w: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6D7F">
        <w:rPr>
          <w:rFonts w:ascii="Times New Roman" w:hAnsi="Times New Roman" w:cs="Times New Roman"/>
          <w:sz w:val="24"/>
          <w:szCs w:val="24"/>
        </w:rPr>
        <w:t>, Eva Pertile</w:t>
      </w: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Start w:id="1" w:name="_Hlk208496146"/>
      <w:r w:rsidRPr="002D6D7F">
        <w:rPr>
          <w:rFonts w:ascii="Times New Roman" w:hAnsi="Times New Roman" w:cs="Times New Roman"/>
          <w:sz w:val="24"/>
          <w:szCs w:val="24"/>
        </w:rPr>
        <w:t>,</w:t>
      </w:r>
      <w:bookmarkEnd w:id="1"/>
      <w:r w:rsidRPr="002D6D7F">
        <w:rPr>
          <w:rFonts w:ascii="Times New Roman" w:hAnsi="Times New Roman" w:cs="Times New Roman"/>
          <w:sz w:val="24"/>
          <w:szCs w:val="24"/>
        </w:rPr>
        <w:t xml:space="preserve"> Jan Halfar</w:t>
      </w: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6D7F">
        <w:rPr>
          <w:rFonts w:ascii="Times New Roman" w:hAnsi="Times New Roman" w:cs="Times New Roman"/>
          <w:sz w:val="24"/>
          <w:szCs w:val="24"/>
        </w:rPr>
        <w:t>, Petra Malíková</w:t>
      </w: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6D7F">
        <w:rPr>
          <w:rFonts w:ascii="Times New Roman" w:hAnsi="Times New Roman" w:cs="Times New Roman"/>
          <w:sz w:val="24"/>
          <w:szCs w:val="24"/>
        </w:rPr>
        <w:t>, Oldřich Motyka</w:t>
      </w: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6D7F">
        <w:rPr>
          <w:rFonts w:ascii="Times New Roman" w:hAnsi="Times New Roman" w:cs="Times New Roman"/>
          <w:sz w:val="24"/>
          <w:szCs w:val="24"/>
        </w:rPr>
        <w:t>, Silvie Drabinová</w:t>
      </w: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6D7F">
        <w:rPr>
          <w:rFonts w:ascii="Times New Roman" w:hAnsi="Times New Roman" w:cs="Times New Roman"/>
          <w:sz w:val="24"/>
          <w:szCs w:val="24"/>
        </w:rPr>
        <w:t>, Kristina Čabanová</w:t>
      </w: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6D7F">
        <w:rPr>
          <w:rFonts w:ascii="Times New Roman" w:hAnsi="Times New Roman" w:cs="Times New Roman"/>
          <w:sz w:val="24"/>
          <w:szCs w:val="24"/>
        </w:rPr>
        <w:t>, Silvie Heviánková</w:t>
      </w: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8FC2687" w14:textId="77777777" w:rsidR="002D6D7F" w:rsidRPr="002D6D7F" w:rsidRDefault="002D6D7F" w:rsidP="002D6D7F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C5EE176" w14:textId="5804A6F6" w:rsidR="002D6D7F" w:rsidRPr="002D6D7F" w:rsidRDefault="002D6D7F" w:rsidP="002D6D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6D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6D7F">
        <w:rPr>
          <w:rFonts w:ascii="Times New Roman" w:hAnsi="Times New Roman" w:cs="Times New Roman"/>
          <w:sz w:val="24"/>
          <w:szCs w:val="24"/>
        </w:rPr>
        <w:t>Faculty of Mining and Geology, VSB</w:t>
      </w:r>
      <w:r w:rsidR="005E4ABB">
        <w:rPr>
          <w:rFonts w:ascii="Times New Roman" w:hAnsi="Times New Roman" w:cs="Times New Roman"/>
          <w:sz w:val="24"/>
          <w:szCs w:val="24"/>
        </w:rPr>
        <w:t xml:space="preserve"> </w:t>
      </w:r>
      <w:r w:rsidR="00C126BD">
        <w:rPr>
          <w:sz w:val="12"/>
          <w:szCs w:val="12"/>
        </w:rPr>
        <w:t>–</w:t>
      </w:r>
      <w:r w:rsidR="00C126BD">
        <w:t xml:space="preserve"> </w:t>
      </w:r>
      <w:r w:rsidRPr="002D6D7F">
        <w:rPr>
          <w:rFonts w:ascii="Times New Roman" w:hAnsi="Times New Roman" w:cs="Times New Roman"/>
          <w:sz w:val="24"/>
          <w:szCs w:val="24"/>
        </w:rPr>
        <w:t xml:space="preserve">Technical University of Ostrava, 17. </w:t>
      </w:r>
      <w:proofErr w:type="spellStart"/>
      <w:r w:rsidRPr="002D6D7F">
        <w:rPr>
          <w:rFonts w:ascii="Times New Roman" w:hAnsi="Times New Roman" w:cs="Times New Roman"/>
          <w:sz w:val="24"/>
          <w:szCs w:val="24"/>
        </w:rPr>
        <w:t>listopadu</w:t>
      </w:r>
      <w:proofErr w:type="spellEnd"/>
      <w:r w:rsidRPr="002D6D7F">
        <w:rPr>
          <w:rFonts w:ascii="Times New Roman" w:hAnsi="Times New Roman" w:cs="Times New Roman"/>
          <w:sz w:val="24"/>
          <w:szCs w:val="24"/>
        </w:rPr>
        <w:t xml:space="preserve"> 2172/15, Ostrava-</w:t>
      </w:r>
      <w:proofErr w:type="spellStart"/>
      <w:r w:rsidRPr="002D6D7F">
        <w:rPr>
          <w:rFonts w:ascii="Times New Roman" w:hAnsi="Times New Roman" w:cs="Times New Roman"/>
          <w:sz w:val="24"/>
          <w:szCs w:val="24"/>
        </w:rPr>
        <w:t>Poruba</w:t>
      </w:r>
      <w:proofErr w:type="spellEnd"/>
      <w:r w:rsidRPr="002D6D7F">
        <w:rPr>
          <w:rFonts w:ascii="Times New Roman" w:hAnsi="Times New Roman" w:cs="Times New Roman"/>
          <w:sz w:val="24"/>
          <w:szCs w:val="24"/>
        </w:rPr>
        <w:t>, 708 00, Czech Republic</w:t>
      </w:r>
    </w:p>
    <w:p w14:paraId="2EFC2C3B" w14:textId="77777777" w:rsidR="002D6D7F" w:rsidRPr="002D6D7F" w:rsidRDefault="002D6D7F" w:rsidP="002D6D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6D7F">
        <w:rPr>
          <w:rFonts w:ascii="Times New Roman" w:hAnsi="Times New Roman" w:cs="Times New Roman"/>
          <w:sz w:val="24"/>
          <w:szCs w:val="24"/>
        </w:rPr>
        <w:t>*Corresponding author</w:t>
      </w:r>
    </w:p>
    <w:p w14:paraId="1B39AE66" w14:textId="77777777" w:rsidR="002D6D7F" w:rsidRPr="002D6D7F" w:rsidRDefault="002D6D7F" w:rsidP="002D6D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6D7F">
        <w:rPr>
          <w:rFonts w:ascii="Times New Roman" w:hAnsi="Times New Roman" w:cs="Times New Roman"/>
          <w:sz w:val="24"/>
          <w:szCs w:val="24"/>
        </w:rPr>
        <w:t>Name: Atta Rasool</w:t>
      </w:r>
    </w:p>
    <w:p w14:paraId="0EE4462A" w14:textId="77777777" w:rsidR="002D6D7F" w:rsidRPr="002D6D7F" w:rsidRDefault="002D6D7F" w:rsidP="002D6D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6D7F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Pr="002D6D7F">
          <w:rPr>
            <w:rStyle w:val="Hyperlink"/>
            <w:rFonts w:ascii="Times New Roman" w:hAnsi="Times New Roman" w:cs="Times New Roman"/>
            <w:sz w:val="24"/>
            <w:szCs w:val="24"/>
          </w:rPr>
          <w:t>atta.rasool@vsb.cz</w:t>
        </w:r>
      </w:hyperlink>
      <w:r w:rsidRPr="002D6D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AF946" w14:textId="6C59F421" w:rsidR="002D6D7F" w:rsidRPr="002D6D7F" w:rsidRDefault="002D6D7F">
      <w:pPr>
        <w:rPr>
          <w:rFonts w:ascii="Times New Roman" w:hAnsi="Times New Roman" w:cs="Times New Roman"/>
          <w:sz w:val="24"/>
          <w:szCs w:val="24"/>
        </w:rPr>
      </w:pPr>
    </w:p>
    <w:p w14:paraId="51F78003" w14:textId="1EF6CDD5" w:rsidR="002D6D7F" w:rsidRDefault="002D6D7F"/>
    <w:p w14:paraId="7D431694" w14:textId="11C6206F" w:rsidR="002D6D7F" w:rsidRDefault="002D6D7F"/>
    <w:p w14:paraId="78D6EEC1" w14:textId="6892574D" w:rsidR="002D6D7F" w:rsidRDefault="002D6D7F"/>
    <w:p w14:paraId="512C021C" w14:textId="2059BD8C" w:rsidR="002D6D7F" w:rsidRDefault="002D6D7F"/>
    <w:p w14:paraId="2DC96160" w14:textId="21A97E96" w:rsidR="002D6D7F" w:rsidRDefault="002D6D7F"/>
    <w:p w14:paraId="7E6A0ABE" w14:textId="452B1B73" w:rsidR="002D6D7F" w:rsidRDefault="002D6D7F"/>
    <w:p w14:paraId="21C8F182" w14:textId="34E5BCD4" w:rsidR="002D6D7F" w:rsidRDefault="002D6D7F"/>
    <w:p w14:paraId="6C89D81F" w14:textId="7F35058F" w:rsidR="002D6D7F" w:rsidRDefault="002D6D7F"/>
    <w:p w14:paraId="30233929" w14:textId="52549743" w:rsidR="002D6D7F" w:rsidRDefault="002D6D7F"/>
    <w:p w14:paraId="123BB61E" w14:textId="17C64909" w:rsidR="002D6D7F" w:rsidRDefault="002D6D7F"/>
    <w:p w14:paraId="2CEC9139" w14:textId="0A8BFEF8" w:rsidR="002D6D7F" w:rsidRDefault="002D6D7F"/>
    <w:p w14:paraId="37C1199B" w14:textId="06001AEA" w:rsidR="002D6D7F" w:rsidRDefault="002D6D7F"/>
    <w:p w14:paraId="4D15410C" w14:textId="436D527C" w:rsidR="002D6D7F" w:rsidRDefault="002D6D7F"/>
    <w:p w14:paraId="540232D1" w14:textId="7364589C" w:rsidR="002D6D7F" w:rsidRDefault="002D6D7F"/>
    <w:p w14:paraId="4629B267" w14:textId="48ADEE8A" w:rsidR="002D6D7F" w:rsidRDefault="002D6D7F"/>
    <w:p w14:paraId="53A4F042" w14:textId="79A202CB" w:rsidR="002D6D7F" w:rsidRDefault="002D6D7F"/>
    <w:p w14:paraId="57521863" w14:textId="70E4675C" w:rsidR="002D6D7F" w:rsidRDefault="002D6D7F">
      <w:r>
        <w:rPr>
          <w:noProof/>
          <w:lang w:val="en-IN" w:eastAsia="en-IN"/>
        </w:rPr>
        <w:drawing>
          <wp:inline distT="0" distB="0" distL="0" distR="0" wp14:anchorId="7CAA66AC" wp14:editId="4BC8F13D">
            <wp:extent cx="4998470" cy="4401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15" cy="440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A0273" w14:textId="45F3BC6F" w:rsidR="002D6D7F" w:rsidRPr="002D6D7F" w:rsidRDefault="002D6D7F" w:rsidP="002D6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D7F">
        <w:rPr>
          <w:rFonts w:ascii="Times New Roman" w:eastAsia="Times New Roman" w:hAnsi="Times New Roman" w:cs="Times New Roman"/>
          <w:b/>
          <w:bCs/>
          <w:sz w:val="24"/>
          <w:szCs w:val="24"/>
        </w:rPr>
        <w:t>Fig</w:t>
      </w:r>
      <w:r w:rsidR="00641BA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D6D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S1</w:t>
      </w:r>
      <w:r w:rsidRPr="002D6D7F">
        <w:rPr>
          <w:rFonts w:ascii="Times New Roman" w:eastAsia="Times New Roman" w:hAnsi="Times New Roman" w:cs="Times New Roman"/>
          <w:sz w:val="24"/>
          <w:szCs w:val="24"/>
        </w:rPr>
        <w:t xml:space="preserve"> shows a comparative schematic of the mechanisms of pore structure evolution and surface functional group synthesis during CP and</w:t>
      </w:r>
      <w:r w:rsidR="00A07A51">
        <w:rPr>
          <w:rFonts w:ascii="Times New Roman" w:eastAsia="Times New Roman" w:hAnsi="Times New Roman" w:cs="Times New Roman"/>
          <w:sz w:val="24"/>
          <w:szCs w:val="24"/>
        </w:rPr>
        <w:t xml:space="preserve"> MAP</w:t>
      </w:r>
    </w:p>
    <w:p w14:paraId="04BF425A" w14:textId="3C743DF7" w:rsidR="002D6D7F" w:rsidRDefault="002D6D7F" w:rsidP="002D6D7F"/>
    <w:p w14:paraId="28D9BFC5" w14:textId="77777777" w:rsidR="00D7423F" w:rsidRDefault="00D7423F" w:rsidP="002D6D7F"/>
    <w:p w14:paraId="191D2A64" w14:textId="77777777" w:rsidR="00D7423F" w:rsidRDefault="00D7423F" w:rsidP="002D6D7F"/>
    <w:p w14:paraId="463BB58C" w14:textId="77777777" w:rsidR="00D7423F" w:rsidRDefault="00D7423F" w:rsidP="002D6D7F"/>
    <w:p w14:paraId="40A4719F" w14:textId="77777777" w:rsidR="00D7423F" w:rsidRDefault="00D7423F" w:rsidP="002D6D7F"/>
    <w:p w14:paraId="5AAEB380" w14:textId="77777777" w:rsidR="00D7423F" w:rsidRDefault="00D7423F" w:rsidP="002D6D7F"/>
    <w:p w14:paraId="6282D063" w14:textId="77777777" w:rsidR="00D7423F" w:rsidRDefault="00D7423F" w:rsidP="002D6D7F"/>
    <w:p w14:paraId="0BE5AAB1" w14:textId="77777777" w:rsidR="00D7423F" w:rsidRDefault="00D7423F" w:rsidP="002D6D7F"/>
    <w:p w14:paraId="65587A8C" w14:textId="77777777" w:rsidR="00B55895" w:rsidRDefault="00B55895" w:rsidP="004E3167">
      <w:pPr>
        <w:pStyle w:val="Heading1"/>
        <w:rPr>
          <w:rStyle w:val="Strong"/>
        </w:rPr>
        <w:sectPr w:rsidR="00B55895" w:rsidSect="00437945">
          <w:footerReference w:type="default" r:id="rId8"/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1E633A58" w14:textId="13EE54C1" w:rsidR="00B82095" w:rsidRPr="0092682E" w:rsidRDefault="00B82095" w:rsidP="004E3167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92682E">
        <w:rPr>
          <w:rStyle w:val="Strong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Table S1.</w:t>
      </w:r>
      <w:r w:rsidRPr="0092682E">
        <w:rPr>
          <w:rStyle w:val="Stro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6716D">
        <w:rPr>
          <w:rStyle w:val="Strong"/>
          <w:rFonts w:ascii="Times New Roman" w:hAnsi="Times New Roman" w:cs="Times New Roman"/>
          <w:color w:val="auto"/>
          <w:sz w:val="24"/>
          <w:szCs w:val="24"/>
        </w:rPr>
        <w:t>Quantitative Benchmarking of CP vs. MAP Biochars (Typical Literature Ranges)</w:t>
      </w:r>
      <w:r w:rsidR="00641BA2">
        <w:rPr>
          <w:rStyle w:val="Strong"/>
          <w:rFonts w:ascii="Times New Roman" w:hAnsi="Times New Roman" w:cs="Times New Roman"/>
          <w:color w:val="auto"/>
          <w:sz w:val="24"/>
          <w:szCs w:val="24"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86"/>
        <w:gridCol w:w="3004"/>
        <w:gridCol w:w="3544"/>
        <w:gridCol w:w="6154"/>
        <w:gridCol w:w="2976"/>
      </w:tblGrid>
      <w:tr w:rsidR="0066716D" w:rsidRPr="0092682E" w14:paraId="5DE8BB30" w14:textId="77777777" w:rsidTr="0066716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C209C0" w14:textId="77777777" w:rsidR="0066716D" w:rsidRPr="0092682E" w:rsidRDefault="0066716D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Property</w:t>
            </w:r>
          </w:p>
        </w:tc>
        <w:tc>
          <w:tcPr>
            <w:tcW w:w="0" w:type="auto"/>
          </w:tcPr>
          <w:p w14:paraId="578ED6EA" w14:textId="77777777" w:rsidR="0066716D" w:rsidRPr="0092682E" w:rsidRDefault="0066716D" w:rsidP="00364EFB">
            <w:pPr>
              <w:jc w:val="center"/>
              <w:rPr>
                <w:rStyle w:val="Strong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FCE50A" w14:textId="335178AA" w:rsidR="0066716D" w:rsidRPr="0092682E" w:rsidRDefault="0066716D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Conventional Pyrolysis (CP) Biochar</w:t>
            </w:r>
          </w:p>
        </w:tc>
        <w:tc>
          <w:tcPr>
            <w:tcW w:w="0" w:type="auto"/>
            <w:vAlign w:val="center"/>
            <w:hideMark/>
          </w:tcPr>
          <w:p w14:paraId="4DEB85C0" w14:textId="77777777" w:rsidR="0066716D" w:rsidRPr="0092682E" w:rsidRDefault="0066716D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Microwave-Assisted Pyrolysis (MAP) Biochar</w:t>
            </w:r>
          </w:p>
        </w:tc>
        <w:tc>
          <w:tcPr>
            <w:tcW w:w="0" w:type="auto"/>
            <w:vAlign w:val="center"/>
            <w:hideMark/>
          </w:tcPr>
          <w:p w14:paraId="5F76FDC6" w14:textId="77777777" w:rsidR="0066716D" w:rsidRPr="0092682E" w:rsidRDefault="0066716D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Notes &amp; Interpretation</w:t>
            </w:r>
          </w:p>
        </w:tc>
        <w:tc>
          <w:tcPr>
            <w:tcW w:w="0" w:type="auto"/>
            <w:vAlign w:val="center"/>
            <w:hideMark/>
          </w:tcPr>
          <w:p w14:paraId="72F28BC3" w14:textId="77777777" w:rsidR="0066716D" w:rsidRPr="0092682E" w:rsidRDefault="0066716D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Representative References</w:t>
            </w:r>
          </w:p>
        </w:tc>
      </w:tr>
      <w:tr w:rsidR="0066716D" w:rsidRPr="0092682E" w14:paraId="4AC2A1E2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20A50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BET Surface Area (m² g⁻¹)</w:t>
            </w:r>
          </w:p>
        </w:tc>
        <w:tc>
          <w:tcPr>
            <w:tcW w:w="0" w:type="auto"/>
          </w:tcPr>
          <w:p w14:paraId="0F0503C5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326BCB" w14:textId="00DBE5A1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10–350</w:t>
            </w:r>
          </w:p>
        </w:tc>
        <w:tc>
          <w:tcPr>
            <w:tcW w:w="0" w:type="auto"/>
            <w:vAlign w:val="center"/>
            <w:hideMark/>
          </w:tcPr>
          <w:p w14:paraId="295DFE39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150–850</w:t>
            </w:r>
          </w:p>
        </w:tc>
        <w:tc>
          <w:tcPr>
            <w:tcW w:w="0" w:type="auto"/>
            <w:vAlign w:val="center"/>
            <w:hideMark/>
          </w:tcPr>
          <w:p w14:paraId="15EEA262" w14:textId="2AE6D69A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often produces higher SA due to rapid heating</w:t>
            </w:r>
            <w:r w:rsidR="00F71938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 better pore development</w:t>
            </w:r>
          </w:p>
        </w:tc>
        <w:tc>
          <w:tcPr>
            <w:tcW w:w="0" w:type="auto"/>
            <w:vAlign w:val="center"/>
            <w:hideMark/>
          </w:tcPr>
          <w:p w14:paraId="7ED84B03" w14:textId="733AC150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proofErr w:type="spellStart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Shadi</w:t>
            </w:r>
            <w:proofErr w:type="spellEnd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et al. 2023</w:t>
            </w:r>
          </w:p>
        </w:tc>
      </w:tr>
      <w:tr w:rsidR="0066716D" w:rsidRPr="0092682E" w14:paraId="323069A3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9353E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Pore Volume (cm³ g⁻¹)</w:t>
            </w:r>
          </w:p>
        </w:tc>
        <w:tc>
          <w:tcPr>
            <w:tcW w:w="0" w:type="auto"/>
          </w:tcPr>
          <w:p w14:paraId="5FF93599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0C52B4" w14:textId="05B0855F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0.01–0.20</w:t>
            </w:r>
          </w:p>
        </w:tc>
        <w:tc>
          <w:tcPr>
            <w:tcW w:w="0" w:type="auto"/>
            <w:vAlign w:val="center"/>
            <w:hideMark/>
          </w:tcPr>
          <w:p w14:paraId="0CCDB2AA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0.10–0.60</w:t>
            </w:r>
          </w:p>
        </w:tc>
        <w:tc>
          <w:tcPr>
            <w:tcW w:w="0" w:type="auto"/>
            <w:vAlign w:val="center"/>
            <w:hideMark/>
          </w:tcPr>
          <w:p w14:paraId="4A4BCD31" w14:textId="6346F7AE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Greater mesoporosity in MAP char improves </w:t>
            </w:r>
            <w:r w:rsidR="00F71938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diffusion of larger molecules</w:t>
            </w:r>
          </w:p>
        </w:tc>
        <w:tc>
          <w:tcPr>
            <w:tcW w:w="0" w:type="auto"/>
            <w:vAlign w:val="center"/>
            <w:hideMark/>
          </w:tcPr>
          <w:p w14:paraId="590BBBCC" w14:textId="77777777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proofErr w:type="spellStart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Tomczyk</w:t>
            </w:r>
            <w:proofErr w:type="spellEnd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et al., 2020</w:t>
            </w:r>
          </w:p>
        </w:tc>
      </w:tr>
      <w:tr w:rsidR="0066716D" w:rsidRPr="0092682E" w14:paraId="7C96581E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51549B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Dominant Pore Type</w:t>
            </w:r>
          </w:p>
        </w:tc>
        <w:tc>
          <w:tcPr>
            <w:tcW w:w="0" w:type="auto"/>
          </w:tcPr>
          <w:p w14:paraId="2A9B2809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276F3C" w14:textId="680889CB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Microporous</w:t>
            </w:r>
          </w:p>
        </w:tc>
        <w:tc>
          <w:tcPr>
            <w:tcW w:w="0" w:type="auto"/>
            <w:vAlign w:val="center"/>
            <w:hideMark/>
          </w:tcPr>
          <w:p w14:paraId="78E34216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Mesoporous + microporous</w:t>
            </w:r>
          </w:p>
        </w:tc>
        <w:tc>
          <w:tcPr>
            <w:tcW w:w="0" w:type="auto"/>
            <w:vAlign w:val="center"/>
            <w:hideMark/>
          </w:tcPr>
          <w:p w14:paraId="416B3868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favors mesopore formation via internal dielectric heating</w:t>
            </w:r>
          </w:p>
        </w:tc>
        <w:tc>
          <w:tcPr>
            <w:tcW w:w="0" w:type="auto"/>
            <w:vAlign w:val="center"/>
            <w:hideMark/>
          </w:tcPr>
          <w:p w14:paraId="495FD5B5" w14:textId="42065D9F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Meyer et al., 2024; Ellison et al. 2017</w:t>
            </w:r>
          </w:p>
        </w:tc>
      </w:tr>
      <w:tr w:rsidR="0066716D" w:rsidRPr="0092682E" w14:paraId="5BC2AF79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F6F29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0" w:type="auto"/>
          </w:tcPr>
          <w:p w14:paraId="24D4ED2D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183FE8" w14:textId="1D42C038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6–9 (feedstock dependent)</w:t>
            </w:r>
          </w:p>
        </w:tc>
        <w:tc>
          <w:tcPr>
            <w:tcW w:w="0" w:type="auto"/>
            <w:vAlign w:val="center"/>
            <w:hideMark/>
          </w:tcPr>
          <w:p w14:paraId="1A5849C0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7–11</w:t>
            </w:r>
          </w:p>
        </w:tc>
        <w:tc>
          <w:tcPr>
            <w:tcW w:w="0" w:type="auto"/>
            <w:vAlign w:val="center"/>
            <w:hideMark/>
          </w:tcPr>
          <w:p w14:paraId="48121382" w14:textId="16A1D7B4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Higher pH </w:t>
            </w:r>
            <w:r w:rsidR="00F71938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often due to </w:t>
            </w:r>
            <w:r w:rsidR="00F71938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concentration of basic functional groups in MAP chars</w:t>
            </w:r>
          </w:p>
        </w:tc>
        <w:tc>
          <w:tcPr>
            <w:tcW w:w="0" w:type="auto"/>
            <w:vAlign w:val="center"/>
            <w:hideMark/>
          </w:tcPr>
          <w:p w14:paraId="78832F83" w14:textId="3503A878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Dennison et al. 2025</w:t>
            </w:r>
          </w:p>
        </w:tc>
      </w:tr>
      <w:tr w:rsidR="0066716D" w:rsidRPr="0092682E" w14:paraId="6371551A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28A99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Elemental C (%)</w:t>
            </w:r>
          </w:p>
        </w:tc>
        <w:tc>
          <w:tcPr>
            <w:tcW w:w="0" w:type="auto"/>
          </w:tcPr>
          <w:p w14:paraId="493DC34F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1C0105" w14:textId="3CFCCC7E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50–75</w:t>
            </w:r>
          </w:p>
        </w:tc>
        <w:tc>
          <w:tcPr>
            <w:tcW w:w="0" w:type="auto"/>
            <w:vAlign w:val="center"/>
            <w:hideMark/>
          </w:tcPr>
          <w:p w14:paraId="5B601D2B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60–85</w:t>
            </w:r>
          </w:p>
        </w:tc>
        <w:tc>
          <w:tcPr>
            <w:tcW w:w="0" w:type="auto"/>
            <w:vAlign w:val="center"/>
            <w:hideMark/>
          </w:tcPr>
          <w:p w14:paraId="114BDA3C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enhances carbonization and aromaticity</w:t>
            </w:r>
          </w:p>
        </w:tc>
        <w:tc>
          <w:tcPr>
            <w:tcW w:w="0" w:type="auto"/>
            <w:vAlign w:val="center"/>
            <w:hideMark/>
          </w:tcPr>
          <w:p w14:paraId="25FFDA95" w14:textId="59C8F379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Nizamuddin et al. 2019</w:t>
            </w:r>
          </w:p>
        </w:tc>
      </w:tr>
      <w:tr w:rsidR="0066716D" w:rsidRPr="0092682E" w14:paraId="44F61111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AB185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Elemental H (%)</w:t>
            </w:r>
          </w:p>
        </w:tc>
        <w:tc>
          <w:tcPr>
            <w:tcW w:w="0" w:type="auto"/>
          </w:tcPr>
          <w:p w14:paraId="436D83E0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D90473" w14:textId="297332B8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2–4</w:t>
            </w:r>
          </w:p>
        </w:tc>
        <w:tc>
          <w:tcPr>
            <w:tcW w:w="0" w:type="auto"/>
            <w:vAlign w:val="center"/>
            <w:hideMark/>
          </w:tcPr>
          <w:p w14:paraId="358C6E0B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1–3</w:t>
            </w:r>
          </w:p>
        </w:tc>
        <w:tc>
          <w:tcPr>
            <w:tcW w:w="0" w:type="auto"/>
            <w:vAlign w:val="center"/>
            <w:hideMark/>
          </w:tcPr>
          <w:p w14:paraId="676673A9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Lower H indicates greater aromatic condensation in MAP</w:t>
            </w:r>
          </w:p>
        </w:tc>
        <w:tc>
          <w:tcPr>
            <w:tcW w:w="0" w:type="auto"/>
            <w:vAlign w:val="center"/>
            <w:hideMark/>
          </w:tcPr>
          <w:p w14:paraId="6070082A" w14:textId="7F915B8B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proofErr w:type="spellStart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Wijitkosum</w:t>
            </w:r>
            <w:proofErr w:type="spellEnd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and </w:t>
            </w:r>
            <w:proofErr w:type="spellStart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Jiwnok</w:t>
            </w:r>
            <w:proofErr w:type="spellEnd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2019</w:t>
            </w:r>
          </w:p>
        </w:tc>
      </w:tr>
      <w:tr w:rsidR="0066716D" w:rsidRPr="0092682E" w14:paraId="07C767E0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9A2E7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Elemental O (%)</w:t>
            </w:r>
          </w:p>
        </w:tc>
        <w:tc>
          <w:tcPr>
            <w:tcW w:w="0" w:type="auto"/>
          </w:tcPr>
          <w:p w14:paraId="5A1992F3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EB36B5" w14:textId="6F74421F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10–25</w:t>
            </w:r>
          </w:p>
        </w:tc>
        <w:tc>
          <w:tcPr>
            <w:tcW w:w="0" w:type="auto"/>
            <w:vAlign w:val="center"/>
            <w:hideMark/>
          </w:tcPr>
          <w:p w14:paraId="0F9E9FD7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5–20</w:t>
            </w:r>
          </w:p>
        </w:tc>
        <w:tc>
          <w:tcPr>
            <w:tcW w:w="0" w:type="auto"/>
            <w:vAlign w:val="center"/>
            <w:hideMark/>
          </w:tcPr>
          <w:p w14:paraId="5366A5AA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Controlled MAP heating reduces oxygen loss, preserving OFGs at moderate temperatures</w:t>
            </w:r>
          </w:p>
        </w:tc>
        <w:tc>
          <w:tcPr>
            <w:tcW w:w="0" w:type="auto"/>
            <w:vAlign w:val="center"/>
            <w:hideMark/>
          </w:tcPr>
          <w:p w14:paraId="23EE4B31" w14:textId="6563D451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Yu et al. 2023</w:t>
            </w:r>
          </w:p>
        </w:tc>
      </w:tr>
      <w:tr w:rsidR="0066716D" w:rsidRPr="0092682E" w14:paraId="6E8A7643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8C463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C/O Ratio</w:t>
            </w:r>
          </w:p>
        </w:tc>
        <w:tc>
          <w:tcPr>
            <w:tcW w:w="0" w:type="auto"/>
          </w:tcPr>
          <w:p w14:paraId="7DDBE139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7C2AC70" w14:textId="798EFF0F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2–8</w:t>
            </w:r>
          </w:p>
        </w:tc>
        <w:tc>
          <w:tcPr>
            <w:tcW w:w="0" w:type="auto"/>
            <w:vAlign w:val="center"/>
            <w:hideMark/>
          </w:tcPr>
          <w:p w14:paraId="525DE714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4–12</w:t>
            </w:r>
          </w:p>
        </w:tc>
        <w:tc>
          <w:tcPr>
            <w:tcW w:w="0" w:type="auto"/>
            <w:vAlign w:val="center"/>
            <w:hideMark/>
          </w:tcPr>
          <w:p w14:paraId="7776D26A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Higher C/O ratio indicates stronger graphitization in MAP</w:t>
            </w:r>
          </w:p>
        </w:tc>
        <w:tc>
          <w:tcPr>
            <w:tcW w:w="0" w:type="auto"/>
            <w:vAlign w:val="center"/>
            <w:hideMark/>
          </w:tcPr>
          <w:p w14:paraId="247318C8" w14:textId="4B2A9403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Ahmad et al., 2014; </w:t>
            </w:r>
            <w:proofErr w:type="spellStart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Zuo</w:t>
            </w:r>
            <w:proofErr w:type="spellEnd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et al. 2023</w:t>
            </w:r>
          </w:p>
        </w:tc>
      </w:tr>
      <w:tr w:rsidR="0066716D" w:rsidRPr="0092682E" w14:paraId="5FFA14F1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7DEBA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Ash Content (%)</w:t>
            </w:r>
          </w:p>
        </w:tc>
        <w:tc>
          <w:tcPr>
            <w:tcW w:w="0" w:type="auto"/>
          </w:tcPr>
          <w:p w14:paraId="19C2D7CA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585F1B" w14:textId="79890CF4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5–20</w:t>
            </w:r>
          </w:p>
        </w:tc>
        <w:tc>
          <w:tcPr>
            <w:tcW w:w="0" w:type="auto"/>
            <w:vAlign w:val="center"/>
            <w:hideMark/>
          </w:tcPr>
          <w:p w14:paraId="5B459155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1–10</w:t>
            </w:r>
          </w:p>
        </w:tc>
        <w:tc>
          <w:tcPr>
            <w:tcW w:w="0" w:type="auto"/>
            <w:vAlign w:val="center"/>
            <w:hideMark/>
          </w:tcPr>
          <w:p w14:paraId="16E553C1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typically generates lower ash because mineral migration is limited</w:t>
            </w:r>
          </w:p>
        </w:tc>
        <w:tc>
          <w:tcPr>
            <w:tcW w:w="0" w:type="auto"/>
            <w:vAlign w:val="center"/>
            <w:hideMark/>
          </w:tcPr>
          <w:p w14:paraId="76CADFD6" w14:textId="0759F137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Chen et al. 2023</w:t>
            </w:r>
          </w:p>
        </w:tc>
      </w:tr>
      <w:tr w:rsidR="0066716D" w:rsidRPr="0092682E" w14:paraId="3E63F6C9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259AA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Surface Functional Groups</w:t>
            </w:r>
          </w:p>
        </w:tc>
        <w:tc>
          <w:tcPr>
            <w:tcW w:w="0" w:type="auto"/>
          </w:tcPr>
          <w:p w14:paraId="1CCECCC3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3688C1" w14:textId="33D566A0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Moderate; decreases sharply at high T</w:t>
            </w:r>
          </w:p>
        </w:tc>
        <w:tc>
          <w:tcPr>
            <w:tcW w:w="0" w:type="auto"/>
            <w:vAlign w:val="center"/>
            <w:hideMark/>
          </w:tcPr>
          <w:p w14:paraId="20291E38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Often higher abundance at equivalent T</w:t>
            </w:r>
          </w:p>
        </w:tc>
        <w:tc>
          <w:tcPr>
            <w:tcW w:w="0" w:type="auto"/>
            <w:vAlign w:val="center"/>
            <w:hideMark/>
          </w:tcPr>
          <w:p w14:paraId="64791678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preserves OFGs due to rapid heat exposure</w:t>
            </w:r>
          </w:p>
        </w:tc>
        <w:tc>
          <w:tcPr>
            <w:tcW w:w="0" w:type="auto"/>
            <w:vAlign w:val="center"/>
            <w:hideMark/>
          </w:tcPr>
          <w:p w14:paraId="145FE86A" w14:textId="10BD6A30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Chen et al. 2017</w:t>
            </w:r>
          </w:p>
        </w:tc>
      </w:tr>
      <w:tr w:rsidR="0066716D" w:rsidRPr="0092682E" w14:paraId="2FB0E8FB" w14:textId="77777777" w:rsidTr="006671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F536A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Heating Rate (°C s⁻¹)</w:t>
            </w:r>
          </w:p>
        </w:tc>
        <w:tc>
          <w:tcPr>
            <w:tcW w:w="0" w:type="auto"/>
          </w:tcPr>
          <w:p w14:paraId="70B714EC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2FCD8B" w14:textId="33F8F40B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5–50</w:t>
            </w:r>
          </w:p>
        </w:tc>
        <w:tc>
          <w:tcPr>
            <w:tcW w:w="0" w:type="auto"/>
            <w:vAlign w:val="center"/>
            <w:hideMark/>
          </w:tcPr>
          <w:p w14:paraId="1DED24A4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50–500+</w:t>
            </w:r>
          </w:p>
        </w:tc>
        <w:tc>
          <w:tcPr>
            <w:tcW w:w="0" w:type="auto"/>
            <w:vAlign w:val="center"/>
            <w:hideMark/>
          </w:tcPr>
          <w:p w14:paraId="2DA36492" w14:textId="77777777" w:rsidR="0066716D" w:rsidRPr="0092682E" w:rsidRDefault="0066716D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Rapid MAP heating drives unique pore and carbon structures</w:t>
            </w:r>
          </w:p>
        </w:tc>
        <w:tc>
          <w:tcPr>
            <w:tcW w:w="0" w:type="auto"/>
            <w:vAlign w:val="center"/>
            <w:hideMark/>
          </w:tcPr>
          <w:p w14:paraId="70560955" w14:textId="1AD60DE7" w:rsidR="0066716D" w:rsidRPr="00C412A1" w:rsidRDefault="0066716D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Lei et al. 2023; </w:t>
            </w:r>
            <w:proofErr w:type="spellStart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Chaubey</w:t>
            </w:r>
            <w:proofErr w:type="spellEnd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et al. 2024</w:t>
            </w:r>
          </w:p>
        </w:tc>
      </w:tr>
    </w:tbl>
    <w:p w14:paraId="30E6BCA0" w14:textId="77777777" w:rsidR="00B82095" w:rsidRPr="0092682E" w:rsidRDefault="00437945" w:rsidP="00B820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8191800">
          <v:rect id="_x0000_i1025" style="width:0;height:1.5pt" o:hralign="center" o:hrstd="t" o:hr="t" fillcolor="#a0a0a0" stroked="f"/>
        </w:pict>
      </w:r>
    </w:p>
    <w:p w14:paraId="0C08DE64" w14:textId="77777777" w:rsidR="00D7423F" w:rsidRPr="0092682E" w:rsidRDefault="00D7423F" w:rsidP="002D6D7F">
      <w:pPr>
        <w:rPr>
          <w:rFonts w:ascii="Times New Roman" w:hAnsi="Times New Roman" w:cs="Times New Roman"/>
          <w:sz w:val="24"/>
          <w:szCs w:val="24"/>
        </w:rPr>
      </w:pPr>
    </w:p>
    <w:p w14:paraId="7049A8C7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4068B4D3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3A069FE0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62B2BE36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5C533FF1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27C7A2B6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2A8AF562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6A4BEBAE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48759A45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3A099070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7B03B603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5078612E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4E74FC78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701CB09A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18E3DC03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6AAD40E8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6E77B64E" w14:textId="77777777" w:rsidR="004812F9" w:rsidRPr="0092682E" w:rsidRDefault="004812F9" w:rsidP="002D6D7F">
      <w:pPr>
        <w:rPr>
          <w:rFonts w:ascii="Times New Roman" w:hAnsi="Times New Roman" w:cs="Times New Roman"/>
          <w:sz w:val="24"/>
          <w:szCs w:val="24"/>
        </w:rPr>
      </w:pPr>
    </w:p>
    <w:p w14:paraId="47884C99" w14:textId="77777777" w:rsidR="00B82095" w:rsidRPr="0092682E" w:rsidRDefault="00B82095" w:rsidP="002D6D7F">
      <w:pPr>
        <w:rPr>
          <w:rFonts w:ascii="Times New Roman" w:hAnsi="Times New Roman" w:cs="Times New Roman"/>
          <w:sz w:val="24"/>
          <w:szCs w:val="24"/>
        </w:rPr>
      </w:pPr>
    </w:p>
    <w:p w14:paraId="55CBAAAD" w14:textId="49A809B2" w:rsidR="00D7423F" w:rsidRPr="0092682E" w:rsidRDefault="00D7423F" w:rsidP="00D7423F">
      <w:pPr>
        <w:pStyle w:val="NormalWeb"/>
      </w:pPr>
      <w:r w:rsidRPr="008337DD">
        <w:rPr>
          <w:b/>
          <w:bCs/>
        </w:rPr>
        <w:t>Table S</w:t>
      </w:r>
      <w:r w:rsidR="003033CE" w:rsidRPr="008337DD">
        <w:rPr>
          <w:b/>
          <w:bCs/>
        </w:rPr>
        <w:t>2</w:t>
      </w:r>
      <w:r w:rsidRPr="008337DD">
        <w:rPr>
          <w:b/>
          <w:bCs/>
        </w:rPr>
        <w:t>.</w:t>
      </w:r>
      <w:r w:rsidRPr="0092682E">
        <w:t xml:space="preserve"> Comparative mechanistic matrix linking CP vs. MAP structural characteristics to adsorption mechanisms, thermodynamic signatures, kinetic behavior, and key findings.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2103"/>
        <w:gridCol w:w="2059"/>
        <w:gridCol w:w="2412"/>
        <w:gridCol w:w="2365"/>
        <w:gridCol w:w="1978"/>
        <w:gridCol w:w="2540"/>
        <w:gridCol w:w="1555"/>
      </w:tblGrid>
      <w:tr w:rsidR="00D7423F" w:rsidRPr="0092682E" w14:paraId="25C141DB" w14:textId="77777777" w:rsidTr="00364E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5F949B" w14:textId="77777777" w:rsidR="00D7423F" w:rsidRPr="0092682E" w:rsidRDefault="00D7423F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Structural Feature</w:t>
            </w:r>
          </w:p>
        </w:tc>
        <w:tc>
          <w:tcPr>
            <w:tcW w:w="0" w:type="auto"/>
            <w:vAlign w:val="center"/>
            <w:hideMark/>
          </w:tcPr>
          <w:p w14:paraId="4AD4A50C" w14:textId="77777777" w:rsidR="00D7423F" w:rsidRPr="0092682E" w:rsidRDefault="00D7423F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CP Biochar Characteristics</w:t>
            </w:r>
          </w:p>
        </w:tc>
        <w:tc>
          <w:tcPr>
            <w:tcW w:w="0" w:type="auto"/>
            <w:vAlign w:val="center"/>
            <w:hideMark/>
          </w:tcPr>
          <w:p w14:paraId="5ACC93AD" w14:textId="77777777" w:rsidR="00D7423F" w:rsidRPr="0092682E" w:rsidRDefault="00D7423F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MAP Biochar Characteristics</w:t>
            </w:r>
          </w:p>
        </w:tc>
        <w:tc>
          <w:tcPr>
            <w:tcW w:w="0" w:type="auto"/>
            <w:vAlign w:val="center"/>
            <w:hideMark/>
          </w:tcPr>
          <w:p w14:paraId="754A42BD" w14:textId="77777777" w:rsidR="00D7423F" w:rsidRPr="0092682E" w:rsidRDefault="00D7423F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Effect on Adsorption Mechanisms</w:t>
            </w:r>
          </w:p>
        </w:tc>
        <w:tc>
          <w:tcPr>
            <w:tcW w:w="0" w:type="auto"/>
            <w:vAlign w:val="center"/>
            <w:hideMark/>
          </w:tcPr>
          <w:p w14:paraId="3CEF4645" w14:textId="77777777" w:rsidR="00D7423F" w:rsidRPr="0092682E" w:rsidRDefault="00D7423F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Thermodynamic Implications</w:t>
            </w:r>
          </w:p>
        </w:tc>
        <w:tc>
          <w:tcPr>
            <w:tcW w:w="0" w:type="auto"/>
            <w:vAlign w:val="center"/>
            <w:hideMark/>
          </w:tcPr>
          <w:p w14:paraId="4267976A" w14:textId="77777777" w:rsidR="00D7423F" w:rsidRPr="0092682E" w:rsidRDefault="00D7423F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Kinetic Implications</w:t>
            </w:r>
          </w:p>
        </w:tc>
        <w:tc>
          <w:tcPr>
            <w:tcW w:w="0" w:type="auto"/>
            <w:vAlign w:val="center"/>
            <w:hideMark/>
          </w:tcPr>
          <w:p w14:paraId="1B2888E3" w14:textId="77777777" w:rsidR="00D7423F" w:rsidRPr="0092682E" w:rsidRDefault="00D7423F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Key Findings / Conclusions</w:t>
            </w:r>
          </w:p>
        </w:tc>
        <w:tc>
          <w:tcPr>
            <w:tcW w:w="0" w:type="auto"/>
            <w:vAlign w:val="center"/>
            <w:hideMark/>
          </w:tcPr>
          <w:p w14:paraId="7D183BF6" w14:textId="77777777" w:rsidR="00D7423F" w:rsidRPr="0092682E" w:rsidRDefault="00D7423F" w:rsidP="00364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Supporting References</w:t>
            </w:r>
          </w:p>
        </w:tc>
      </w:tr>
      <w:tr w:rsidR="00D7423F" w:rsidRPr="0092682E" w14:paraId="55DED626" w14:textId="77777777" w:rsidTr="00364E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84135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Surface area &amp; pore structure</w:t>
            </w:r>
          </w:p>
        </w:tc>
        <w:tc>
          <w:tcPr>
            <w:tcW w:w="0" w:type="auto"/>
            <w:vAlign w:val="center"/>
            <w:hideMark/>
          </w:tcPr>
          <w:p w14:paraId="11BA4F25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Moderate SA; micropore-dominant; slower devolatilization</w:t>
            </w:r>
          </w:p>
        </w:tc>
        <w:tc>
          <w:tcPr>
            <w:tcW w:w="0" w:type="auto"/>
            <w:vAlign w:val="center"/>
            <w:hideMark/>
          </w:tcPr>
          <w:p w14:paraId="337AFD76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Higher SA; mesopore-rich due to rapid internal heating</w:t>
            </w:r>
          </w:p>
        </w:tc>
        <w:tc>
          <w:tcPr>
            <w:tcW w:w="0" w:type="auto"/>
            <w:vAlign w:val="center"/>
            <w:hideMark/>
          </w:tcPr>
          <w:p w14:paraId="105A5922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MAP enhances </w:t>
            </w:r>
            <w:r w:rsidRPr="00E156E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pore filling</w:t>
            </w: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, intraparticle diffusion, accessibility for bulky organics &amp; emerging contaminants</w:t>
            </w:r>
          </w:p>
        </w:tc>
        <w:tc>
          <w:tcPr>
            <w:tcW w:w="0" w:type="auto"/>
            <w:vAlign w:val="center"/>
            <w:hideMark/>
          </w:tcPr>
          <w:p w14:paraId="751A28D7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Higher </w:t>
            </w:r>
            <w:proofErr w:type="spellStart"/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q_max</w:t>
            </w:r>
            <w:proofErr w:type="spellEnd"/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; often endothermic due to increased surface accessibility</w:t>
            </w:r>
          </w:p>
        </w:tc>
        <w:tc>
          <w:tcPr>
            <w:tcW w:w="0" w:type="auto"/>
            <w:vAlign w:val="center"/>
            <w:hideMark/>
          </w:tcPr>
          <w:p w14:paraId="079DC8DA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Faster intraparticle diffusion; pseudo-second-order best fit</w:t>
            </w:r>
          </w:p>
        </w:tc>
        <w:tc>
          <w:tcPr>
            <w:tcW w:w="0" w:type="auto"/>
            <w:vAlign w:val="center"/>
            <w:hideMark/>
          </w:tcPr>
          <w:p w14:paraId="4B2F19B4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biochars provide faster sorption and higher capacities due to mesoporosity and improved accessibility</w:t>
            </w:r>
          </w:p>
        </w:tc>
        <w:tc>
          <w:tcPr>
            <w:tcW w:w="0" w:type="auto"/>
            <w:vAlign w:val="center"/>
            <w:hideMark/>
          </w:tcPr>
          <w:p w14:paraId="68F9E54E" w14:textId="30B08529" w:rsidR="00D7423F" w:rsidRPr="00C412A1" w:rsidRDefault="00D7423F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proofErr w:type="spellStart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Tomczyk</w:t>
            </w:r>
            <w:proofErr w:type="spellEnd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et al., 2020; </w:t>
            </w:r>
            <w:proofErr w:type="spellStart"/>
            <w:r w:rsidR="00003D6A"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Puteri</w:t>
            </w:r>
            <w:proofErr w:type="spellEnd"/>
            <w:r w:rsidR="00003D6A"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et al. 2025</w:t>
            </w:r>
          </w:p>
        </w:tc>
      </w:tr>
      <w:tr w:rsidR="00D7423F" w:rsidRPr="0092682E" w14:paraId="39C8FCDF" w14:textId="77777777" w:rsidTr="00364E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A5076" w14:textId="6306C1C9" w:rsidR="00D7423F" w:rsidRPr="00B7535A" w:rsidRDefault="00B7535A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35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Graphitization/aromaticity</w:t>
            </w:r>
          </w:p>
        </w:tc>
        <w:tc>
          <w:tcPr>
            <w:tcW w:w="0" w:type="auto"/>
            <w:vAlign w:val="center"/>
            <w:hideMark/>
          </w:tcPr>
          <w:p w14:paraId="4C7DA4D8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Lower aromatic order</w:t>
            </w:r>
          </w:p>
        </w:tc>
        <w:tc>
          <w:tcPr>
            <w:tcW w:w="0" w:type="auto"/>
            <w:vAlign w:val="center"/>
            <w:hideMark/>
          </w:tcPr>
          <w:p w14:paraId="0B29D47A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Higher graphitization, π-rich domains</w:t>
            </w:r>
          </w:p>
        </w:tc>
        <w:tc>
          <w:tcPr>
            <w:tcW w:w="0" w:type="auto"/>
            <w:vAlign w:val="center"/>
            <w:hideMark/>
          </w:tcPr>
          <w:p w14:paraId="5EC91646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Stronger π–π and hydrophobic interactions for aromatic organics</w:t>
            </w:r>
          </w:p>
        </w:tc>
        <w:tc>
          <w:tcPr>
            <w:tcW w:w="0" w:type="auto"/>
            <w:vAlign w:val="center"/>
            <w:hideMark/>
          </w:tcPr>
          <w:p w14:paraId="63685FFB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Spontaneous (ΔG &lt; 0), endothermic for aromatic compounds</w:t>
            </w:r>
          </w:p>
        </w:tc>
        <w:tc>
          <w:tcPr>
            <w:tcW w:w="0" w:type="auto"/>
            <w:vAlign w:val="center"/>
            <w:hideMark/>
          </w:tcPr>
          <w:p w14:paraId="3637173F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Enhanced film diffusion; rapid uptake</w:t>
            </w:r>
          </w:p>
        </w:tc>
        <w:tc>
          <w:tcPr>
            <w:tcW w:w="0" w:type="auto"/>
            <w:vAlign w:val="center"/>
            <w:hideMark/>
          </w:tcPr>
          <w:p w14:paraId="7A839769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graphitization significantly improves organic pollutant adsorption</w:t>
            </w:r>
          </w:p>
        </w:tc>
        <w:tc>
          <w:tcPr>
            <w:tcW w:w="0" w:type="auto"/>
            <w:vAlign w:val="center"/>
            <w:hideMark/>
          </w:tcPr>
          <w:p w14:paraId="25549AF2" w14:textId="7B47A146" w:rsidR="00D7423F" w:rsidRPr="00C412A1" w:rsidRDefault="00613B54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proofErr w:type="spellStart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Mohona</w:t>
            </w:r>
            <w:proofErr w:type="spellEnd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et al. 2023</w:t>
            </w:r>
          </w:p>
        </w:tc>
      </w:tr>
      <w:tr w:rsidR="00D7423F" w:rsidRPr="0092682E" w14:paraId="6C681643" w14:textId="77777777" w:rsidTr="00364E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9D15F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Surface oxygen functional groups (OFGs)</w:t>
            </w:r>
          </w:p>
        </w:tc>
        <w:tc>
          <w:tcPr>
            <w:tcW w:w="0" w:type="auto"/>
            <w:vAlign w:val="center"/>
            <w:hideMark/>
          </w:tcPr>
          <w:p w14:paraId="1E022BF7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Reduced at high CP temperature</w:t>
            </w:r>
          </w:p>
        </w:tc>
        <w:tc>
          <w:tcPr>
            <w:tcW w:w="0" w:type="auto"/>
            <w:vAlign w:val="center"/>
            <w:hideMark/>
          </w:tcPr>
          <w:p w14:paraId="545D5F59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Often higher OFGs due to controlled MAP heating</w:t>
            </w:r>
          </w:p>
        </w:tc>
        <w:tc>
          <w:tcPr>
            <w:tcW w:w="0" w:type="auto"/>
            <w:vAlign w:val="center"/>
            <w:hideMark/>
          </w:tcPr>
          <w:p w14:paraId="1D1FB127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Enhanced </w:t>
            </w:r>
            <w:r w:rsidRPr="00E156E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H-bonding</w:t>
            </w: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, electrostatic attraction, surface complexation</w:t>
            </w:r>
          </w:p>
        </w:tc>
        <w:tc>
          <w:tcPr>
            <w:tcW w:w="0" w:type="auto"/>
            <w:vAlign w:val="center"/>
            <w:hideMark/>
          </w:tcPr>
          <w:p w14:paraId="63DBD425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Exothermic chemisorption for metals; improved affinity</w:t>
            </w:r>
          </w:p>
        </w:tc>
        <w:tc>
          <w:tcPr>
            <w:tcW w:w="0" w:type="auto"/>
            <w:vAlign w:val="center"/>
            <w:hideMark/>
          </w:tcPr>
          <w:p w14:paraId="03668B60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Faster initial sorption; chemisorption dominates (PSO kinetics)</w:t>
            </w:r>
          </w:p>
        </w:tc>
        <w:tc>
          <w:tcPr>
            <w:tcW w:w="0" w:type="auto"/>
            <w:vAlign w:val="center"/>
            <w:hideMark/>
          </w:tcPr>
          <w:p w14:paraId="0FFDA5FD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chars show stronger metal sorption due to abundant OFGs</w:t>
            </w:r>
          </w:p>
        </w:tc>
        <w:tc>
          <w:tcPr>
            <w:tcW w:w="0" w:type="auto"/>
            <w:vAlign w:val="center"/>
            <w:hideMark/>
          </w:tcPr>
          <w:p w14:paraId="10D592A9" w14:textId="3FCFFD59" w:rsidR="00D7423F" w:rsidRPr="00C412A1" w:rsidRDefault="00041874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Suliman et al. 2017</w:t>
            </w:r>
            <w:r w:rsidR="00D7423F"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; Ahmad et al., 2014</w:t>
            </w:r>
          </w:p>
        </w:tc>
      </w:tr>
      <w:tr w:rsidR="00D7423F" w:rsidRPr="0092682E" w14:paraId="15D075AB" w14:textId="77777777" w:rsidTr="00364E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B035F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Mineral/ash content</w:t>
            </w:r>
          </w:p>
        </w:tc>
        <w:tc>
          <w:tcPr>
            <w:tcW w:w="0" w:type="auto"/>
            <w:vAlign w:val="center"/>
            <w:hideMark/>
          </w:tcPr>
          <w:p w14:paraId="3D2D373E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Higher ash (depending on feedstock)</w:t>
            </w:r>
          </w:p>
        </w:tc>
        <w:tc>
          <w:tcPr>
            <w:tcW w:w="0" w:type="auto"/>
            <w:vAlign w:val="center"/>
            <w:hideMark/>
          </w:tcPr>
          <w:p w14:paraId="0AAD1660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Lower mineral residues</w:t>
            </w:r>
          </w:p>
        </w:tc>
        <w:tc>
          <w:tcPr>
            <w:tcW w:w="0" w:type="auto"/>
            <w:vAlign w:val="center"/>
            <w:hideMark/>
          </w:tcPr>
          <w:p w14:paraId="2D4013FA" w14:textId="32AD10B8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CP favors </w:t>
            </w:r>
            <w:r w:rsidRPr="00E156E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ion exchange</w:t>
            </w:r>
            <w:r w:rsidRPr="00E15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 precipitation, </w:t>
            </w:r>
            <w:r w:rsidR="00B7535A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co-precipitation</w:t>
            </w:r>
          </w:p>
        </w:tc>
        <w:tc>
          <w:tcPr>
            <w:tcW w:w="0" w:type="auto"/>
            <w:vAlign w:val="center"/>
            <w:hideMark/>
          </w:tcPr>
          <w:p w14:paraId="0E4B3304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Multi-step isotherms; increased heterogeneity</w:t>
            </w:r>
          </w:p>
        </w:tc>
        <w:tc>
          <w:tcPr>
            <w:tcW w:w="0" w:type="auto"/>
            <w:vAlign w:val="center"/>
            <w:hideMark/>
          </w:tcPr>
          <w:p w14:paraId="75F0E815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Slower overall kinetics; mineral-dependent reactions</w:t>
            </w:r>
          </w:p>
        </w:tc>
        <w:tc>
          <w:tcPr>
            <w:tcW w:w="0" w:type="auto"/>
            <w:vAlign w:val="center"/>
            <w:hideMark/>
          </w:tcPr>
          <w:p w14:paraId="36046058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CP biochars are more suitable for precipitation-driven metal immobilization</w:t>
            </w:r>
          </w:p>
        </w:tc>
        <w:tc>
          <w:tcPr>
            <w:tcW w:w="0" w:type="auto"/>
            <w:vAlign w:val="center"/>
            <w:hideMark/>
          </w:tcPr>
          <w:p w14:paraId="60F0ED67" w14:textId="45052870" w:rsidR="00D7423F" w:rsidRPr="00C412A1" w:rsidRDefault="001D2E36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(</w:t>
            </w:r>
            <w:proofErr w:type="spellStart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Bedia</w:t>
            </w:r>
            <w:proofErr w:type="spellEnd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et al. 2018</w:t>
            </w:r>
          </w:p>
        </w:tc>
      </w:tr>
      <w:tr w:rsidR="00D7423F" w:rsidRPr="0092682E" w14:paraId="41F2784F" w14:textId="77777777" w:rsidTr="00364E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ECE26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Surface charge (</w:t>
            </w:r>
            <w:proofErr w:type="spellStart"/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pHₚzc</w:t>
            </w:r>
            <w:proofErr w:type="spellEnd"/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9778E5F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Often lower; varies widely</w:t>
            </w:r>
          </w:p>
        </w:tc>
        <w:tc>
          <w:tcPr>
            <w:tcW w:w="0" w:type="auto"/>
            <w:vAlign w:val="center"/>
            <w:hideMark/>
          </w:tcPr>
          <w:p w14:paraId="7A9DDB67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Often higher due to lower ash and higher OFGs</w:t>
            </w:r>
          </w:p>
        </w:tc>
        <w:tc>
          <w:tcPr>
            <w:tcW w:w="0" w:type="auto"/>
            <w:vAlign w:val="center"/>
            <w:hideMark/>
          </w:tcPr>
          <w:p w14:paraId="14F6F93A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enhances anion adsorption; CP supports cation exchange</w:t>
            </w:r>
          </w:p>
        </w:tc>
        <w:tc>
          <w:tcPr>
            <w:tcW w:w="0" w:type="auto"/>
            <w:vAlign w:val="center"/>
            <w:hideMark/>
          </w:tcPr>
          <w:p w14:paraId="61C3F4D1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pH-sensitive ΔG; MAP improves anion affinity</w:t>
            </w:r>
          </w:p>
        </w:tc>
        <w:tc>
          <w:tcPr>
            <w:tcW w:w="0" w:type="auto"/>
            <w:vAlign w:val="center"/>
            <w:hideMark/>
          </w:tcPr>
          <w:p w14:paraId="3593F275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Faster equilibrium for anions in MAP systems</w:t>
            </w:r>
          </w:p>
        </w:tc>
        <w:tc>
          <w:tcPr>
            <w:tcW w:w="0" w:type="auto"/>
            <w:vAlign w:val="center"/>
            <w:hideMark/>
          </w:tcPr>
          <w:p w14:paraId="07C94800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biochars outperform CP in removal of oxyanions (As(V), Cr(VI))</w:t>
            </w:r>
          </w:p>
        </w:tc>
        <w:tc>
          <w:tcPr>
            <w:tcW w:w="0" w:type="auto"/>
            <w:vAlign w:val="center"/>
            <w:hideMark/>
          </w:tcPr>
          <w:p w14:paraId="4FDBE524" w14:textId="3554BE73" w:rsidR="00D7423F" w:rsidRPr="00C412A1" w:rsidRDefault="00C8015B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Haider et al. 2022</w:t>
            </w:r>
          </w:p>
        </w:tc>
      </w:tr>
      <w:tr w:rsidR="00D7423F" w:rsidRPr="0092682E" w14:paraId="1674F7AC" w14:textId="77777777" w:rsidTr="00364E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E4D90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Chemical stability / recalcitrance</w:t>
            </w:r>
          </w:p>
        </w:tc>
        <w:tc>
          <w:tcPr>
            <w:tcW w:w="0" w:type="auto"/>
            <w:vAlign w:val="center"/>
            <w:hideMark/>
          </w:tcPr>
          <w:p w14:paraId="6FF23F23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Moderate structural stability</w:t>
            </w:r>
          </w:p>
        </w:tc>
        <w:tc>
          <w:tcPr>
            <w:tcW w:w="0" w:type="auto"/>
            <w:vAlign w:val="center"/>
            <w:hideMark/>
          </w:tcPr>
          <w:p w14:paraId="3B6D19E7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Higher aromatic stability</w:t>
            </w:r>
          </w:p>
        </w:tc>
        <w:tc>
          <w:tcPr>
            <w:tcW w:w="0" w:type="auto"/>
            <w:vAlign w:val="center"/>
            <w:hideMark/>
          </w:tcPr>
          <w:p w14:paraId="638773E1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Maintains active sites during reuse; improved catalytic performance</w:t>
            </w:r>
          </w:p>
        </w:tc>
        <w:tc>
          <w:tcPr>
            <w:tcW w:w="0" w:type="auto"/>
            <w:vAlign w:val="center"/>
            <w:hideMark/>
          </w:tcPr>
          <w:p w14:paraId="5E756B15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Higher entropy (ΔS) contributions</w:t>
            </w:r>
          </w:p>
        </w:tc>
        <w:tc>
          <w:tcPr>
            <w:tcW w:w="0" w:type="auto"/>
            <w:vAlign w:val="center"/>
            <w:hideMark/>
          </w:tcPr>
          <w:p w14:paraId="5999F77E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Improved regeneration kinetics</w:t>
            </w:r>
          </w:p>
        </w:tc>
        <w:tc>
          <w:tcPr>
            <w:tcW w:w="0" w:type="auto"/>
            <w:vAlign w:val="center"/>
            <w:hideMark/>
          </w:tcPr>
          <w:p w14:paraId="02B88813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MAP chars exhibit superior </w:t>
            </w:r>
            <w:proofErr w:type="spellStart"/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regenerability</w:t>
            </w:r>
            <w:proofErr w:type="spellEnd"/>
            <w:r w:rsidRPr="0092682E">
              <w:rPr>
                <w:rFonts w:ascii="Times New Roman" w:hAnsi="Times New Roman" w:cs="Times New Roman"/>
                <w:sz w:val="24"/>
                <w:szCs w:val="24"/>
              </w:rPr>
              <w:t xml:space="preserve"> and reusability</w:t>
            </w:r>
          </w:p>
        </w:tc>
        <w:tc>
          <w:tcPr>
            <w:tcW w:w="0" w:type="auto"/>
            <w:vAlign w:val="center"/>
            <w:hideMark/>
          </w:tcPr>
          <w:p w14:paraId="7C48F892" w14:textId="4A60C81C" w:rsidR="00D7423F" w:rsidRPr="00C412A1" w:rsidRDefault="00112516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Priyanka et al. 2024</w:t>
            </w:r>
            <w:r w:rsidR="006B311D"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; Portillo et al. 2024</w:t>
            </w:r>
          </w:p>
        </w:tc>
      </w:tr>
      <w:tr w:rsidR="00D7423F" w:rsidRPr="0092682E" w14:paraId="3285CE9B" w14:textId="77777777" w:rsidTr="00364E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E4AFE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Surface defects / active sites</w:t>
            </w:r>
          </w:p>
        </w:tc>
        <w:tc>
          <w:tcPr>
            <w:tcW w:w="0" w:type="auto"/>
            <w:vAlign w:val="center"/>
            <w:hideMark/>
          </w:tcPr>
          <w:p w14:paraId="769FAD04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Fewer defect sites</w:t>
            </w:r>
          </w:p>
        </w:tc>
        <w:tc>
          <w:tcPr>
            <w:tcW w:w="0" w:type="auto"/>
            <w:vAlign w:val="center"/>
            <w:hideMark/>
          </w:tcPr>
          <w:p w14:paraId="66BD5BE0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Higher defect density due to rapid MAP heating</w:t>
            </w:r>
          </w:p>
        </w:tc>
        <w:tc>
          <w:tcPr>
            <w:tcW w:w="0" w:type="auto"/>
            <w:vAlign w:val="center"/>
            <w:hideMark/>
          </w:tcPr>
          <w:p w14:paraId="097A9019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Improved redox reactions and catalysis</w:t>
            </w:r>
          </w:p>
        </w:tc>
        <w:tc>
          <w:tcPr>
            <w:tcW w:w="0" w:type="auto"/>
            <w:vAlign w:val="center"/>
            <w:hideMark/>
          </w:tcPr>
          <w:p w14:paraId="3DF6BBE4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Higher ΔH in redox-mediated adsorptions</w:t>
            </w:r>
          </w:p>
        </w:tc>
        <w:tc>
          <w:tcPr>
            <w:tcW w:w="0" w:type="auto"/>
            <w:vAlign w:val="center"/>
            <w:hideMark/>
          </w:tcPr>
          <w:p w14:paraId="3D92E522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Faster electron transfer kinetics</w:t>
            </w:r>
          </w:p>
        </w:tc>
        <w:tc>
          <w:tcPr>
            <w:tcW w:w="0" w:type="auto"/>
            <w:vAlign w:val="center"/>
            <w:hideMark/>
          </w:tcPr>
          <w:p w14:paraId="476D11E2" w14:textId="77777777" w:rsidR="00D7423F" w:rsidRPr="0092682E" w:rsidRDefault="00D7423F" w:rsidP="0036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82E">
              <w:rPr>
                <w:rFonts w:ascii="Times New Roman" w:hAnsi="Times New Roman" w:cs="Times New Roman"/>
                <w:sz w:val="24"/>
                <w:szCs w:val="24"/>
              </w:rPr>
              <w:t>MAP potentially superior for emerging contaminants requiring redox pathways</w:t>
            </w:r>
          </w:p>
        </w:tc>
        <w:tc>
          <w:tcPr>
            <w:tcW w:w="0" w:type="auto"/>
            <w:vAlign w:val="center"/>
            <w:hideMark/>
          </w:tcPr>
          <w:p w14:paraId="3E53DE59" w14:textId="5B5AE605" w:rsidR="00D7423F" w:rsidRPr="00C412A1" w:rsidRDefault="009D5CCE" w:rsidP="00364EFB">
            <w:pPr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</w:pPr>
            <w:proofErr w:type="spellStart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Bongosia</w:t>
            </w:r>
            <w:proofErr w:type="spellEnd"/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 xml:space="preserve"> et al. 2024</w:t>
            </w:r>
            <w:r w:rsidR="00D7423F"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; Zhang et al., 202</w:t>
            </w:r>
            <w:r w:rsidRPr="00C412A1">
              <w:rPr>
                <w:rStyle w:val="Hyperlink"/>
                <w:rFonts w:ascii="Times New Roman" w:eastAsia="Calibri" w:hAnsi="Times New Roman" w:cs="Times New Roman"/>
                <w:color w:val="0000FF"/>
                <w:sz w:val="24"/>
                <w:szCs w:val="24"/>
                <w:u w:val="none"/>
              </w:rPr>
              <w:t>4</w:t>
            </w:r>
          </w:p>
        </w:tc>
      </w:tr>
    </w:tbl>
    <w:p w14:paraId="5253D4B8" w14:textId="77777777" w:rsidR="00D7423F" w:rsidRPr="0092682E" w:rsidRDefault="00437945" w:rsidP="00D74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0E4D4FD">
          <v:rect id="_x0000_i1026" style="width:0;height:1.5pt" o:hralign="center" o:hrstd="t" o:hr="t" fillcolor="#a0a0a0" stroked="f"/>
        </w:pict>
      </w:r>
    </w:p>
    <w:p w14:paraId="323D8F12" w14:textId="77777777" w:rsidR="00D7423F" w:rsidRPr="0092682E" w:rsidRDefault="00D7423F" w:rsidP="002D6D7F">
      <w:pPr>
        <w:rPr>
          <w:rFonts w:ascii="Times New Roman" w:hAnsi="Times New Roman" w:cs="Times New Roman"/>
          <w:sz w:val="24"/>
          <w:szCs w:val="24"/>
        </w:rPr>
      </w:pPr>
    </w:p>
    <w:sectPr w:rsidR="00D7423F" w:rsidRPr="0092682E" w:rsidSect="00437945">
      <w:type w:val="continuous"/>
      <w:pgSz w:w="20880" w:h="21600" w:code="1"/>
      <w:pgMar w:top="1411" w:right="1411" w:bottom="1411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DAB3D" w14:textId="77777777" w:rsidR="00EC7DC0" w:rsidRDefault="00EC7DC0" w:rsidP="002D6D7F">
      <w:pPr>
        <w:spacing w:after="0" w:line="240" w:lineRule="auto"/>
      </w:pPr>
      <w:r>
        <w:separator/>
      </w:r>
    </w:p>
  </w:endnote>
  <w:endnote w:type="continuationSeparator" w:id="0">
    <w:p w14:paraId="2E6243E9" w14:textId="77777777" w:rsidR="00EC7DC0" w:rsidRDefault="00EC7DC0" w:rsidP="002D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9064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DC5D42" w14:textId="1F4AF2B5" w:rsidR="002D6D7F" w:rsidRDefault="002D6D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79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8C2687" w14:textId="77777777" w:rsidR="002D6D7F" w:rsidRDefault="002D6D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7372A" w14:textId="77777777" w:rsidR="00EC7DC0" w:rsidRDefault="00EC7DC0" w:rsidP="002D6D7F">
      <w:pPr>
        <w:spacing w:after="0" w:line="240" w:lineRule="auto"/>
      </w:pPr>
      <w:r>
        <w:separator/>
      </w:r>
    </w:p>
  </w:footnote>
  <w:footnote w:type="continuationSeparator" w:id="0">
    <w:p w14:paraId="66D6FDD4" w14:textId="77777777" w:rsidR="00EC7DC0" w:rsidRDefault="00EC7DC0" w:rsidP="002D6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Y2MDC3MAWyTAxNzZR0lIJTi4sz8/NACkxqAQX7gWMsAAAA"/>
  </w:docVars>
  <w:rsids>
    <w:rsidRoot w:val="002D6D7F"/>
    <w:rsid w:val="00003D6A"/>
    <w:rsid w:val="00041874"/>
    <w:rsid w:val="00112516"/>
    <w:rsid w:val="00133A5A"/>
    <w:rsid w:val="001D2E36"/>
    <w:rsid w:val="002D6D7F"/>
    <w:rsid w:val="003033CE"/>
    <w:rsid w:val="0040537D"/>
    <w:rsid w:val="00437945"/>
    <w:rsid w:val="00452C52"/>
    <w:rsid w:val="00465249"/>
    <w:rsid w:val="004812F9"/>
    <w:rsid w:val="004E3167"/>
    <w:rsid w:val="004F03A8"/>
    <w:rsid w:val="005E4ABB"/>
    <w:rsid w:val="00613B54"/>
    <w:rsid w:val="00641BA2"/>
    <w:rsid w:val="0066716D"/>
    <w:rsid w:val="006B311D"/>
    <w:rsid w:val="00766CBC"/>
    <w:rsid w:val="007860FE"/>
    <w:rsid w:val="008337DD"/>
    <w:rsid w:val="00856698"/>
    <w:rsid w:val="008E4979"/>
    <w:rsid w:val="0092682E"/>
    <w:rsid w:val="00984187"/>
    <w:rsid w:val="009D5CCE"/>
    <w:rsid w:val="009E33EC"/>
    <w:rsid w:val="00A07A51"/>
    <w:rsid w:val="00A93911"/>
    <w:rsid w:val="00B4369C"/>
    <w:rsid w:val="00B55895"/>
    <w:rsid w:val="00B62916"/>
    <w:rsid w:val="00B7535A"/>
    <w:rsid w:val="00B82095"/>
    <w:rsid w:val="00C126BD"/>
    <w:rsid w:val="00C205CF"/>
    <w:rsid w:val="00C30846"/>
    <w:rsid w:val="00C412A1"/>
    <w:rsid w:val="00C8015B"/>
    <w:rsid w:val="00C97FD7"/>
    <w:rsid w:val="00D7423F"/>
    <w:rsid w:val="00DC7FF1"/>
    <w:rsid w:val="00DD7AC6"/>
    <w:rsid w:val="00E156E5"/>
    <w:rsid w:val="00EB198A"/>
    <w:rsid w:val="00EC7DC0"/>
    <w:rsid w:val="00F71938"/>
    <w:rsid w:val="00FC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7202E44"/>
  <w15:chartTrackingRefBased/>
  <w15:docId w15:val="{A756207F-FDA8-47FC-BE5D-DDC283D4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09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D6D7F"/>
    <w:rPr>
      <w:b/>
      <w:bCs/>
    </w:rPr>
  </w:style>
  <w:style w:type="character" w:styleId="Hyperlink">
    <w:name w:val="Hyperlink"/>
    <w:basedOn w:val="DefaultParagraphFont"/>
    <w:uiPriority w:val="99"/>
    <w:unhideWhenUsed/>
    <w:rsid w:val="002D6D7F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D6D7F"/>
  </w:style>
  <w:style w:type="paragraph" w:styleId="Header">
    <w:name w:val="header"/>
    <w:basedOn w:val="Normal"/>
    <w:link w:val="HeaderChar"/>
    <w:uiPriority w:val="99"/>
    <w:unhideWhenUsed/>
    <w:rsid w:val="002D6D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D7F"/>
  </w:style>
  <w:style w:type="paragraph" w:styleId="Footer">
    <w:name w:val="footer"/>
    <w:basedOn w:val="Normal"/>
    <w:link w:val="FooterChar"/>
    <w:uiPriority w:val="99"/>
    <w:unhideWhenUsed/>
    <w:rsid w:val="002D6D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D7F"/>
  </w:style>
  <w:style w:type="paragraph" w:styleId="NormalWeb">
    <w:name w:val="Normal (Web)"/>
    <w:basedOn w:val="Normal"/>
    <w:uiPriority w:val="99"/>
    <w:unhideWhenUsed/>
    <w:rsid w:val="00D7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8209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B820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5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ta.rasool@vsb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811</Words>
  <Characters>4623</Characters>
  <Application>Microsoft Office Word</Application>
  <DocSecurity>0</DocSecurity>
  <Lines>38</Lines>
  <Paragraphs>10</Paragraphs>
  <ScaleCrop>false</ScaleCrop>
  <Company>VSB-TUO</Company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Rasool Atta</dc:creator>
  <cp:keywords/>
  <dc:description/>
  <cp:lastModifiedBy>Dhivya Kathirvel</cp:lastModifiedBy>
  <cp:revision>43</cp:revision>
  <dcterms:created xsi:type="dcterms:W3CDTF">2026-01-19T09:53:00Z</dcterms:created>
  <dcterms:modified xsi:type="dcterms:W3CDTF">2026-02-26T14:44:00Z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5e8530c6-10ad-46a6-b2e3-361ed29feca7</vt:lpwstr>
  </property>
</Properties>
</file>