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E1F" w:rsidRPr="00511E83" w:rsidRDefault="00511E83">
      <w:pPr>
        <w:spacing w:line="480" w:lineRule="auto"/>
        <w:jc w:val="left"/>
        <w:rPr>
          <w:rFonts w:cs="Times New Roman"/>
          <w:b/>
          <w:i/>
          <w:sz w:val="28"/>
        </w:rPr>
      </w:pPr>
      <w:r w:rsidRPr="00511E83">
        <w:rPr>
          <w:rFonts w:cs="Times New Roman"/>
          <w:b/>
          <w:i/>
          <w:sz w:val="28"/>
        </w:rPr>
        <w:t>Supplementary Material</w:t>
      </w:r>
      <w:bookmarkStart w:id="0" w:name="_GoBack"/>
      <w:bookmarkEnd w:id="0"/>
    </w:p>
    <w:p w:rsidR="005C3E1F" w:rsidRPr="00511E83" w:rsidRDefault="00511E83">
      <w:pPr>
        <w:spacing w:line="480" w:lineRule="auto"/>
        <w:jc w:val="center"/>
        <w:rPr>
          <w:rFonts w:cs="Times New Roman"/>
          <w:b/>
          <w:bCs/>
          <w:sz w:val="40"/>
          <w:szCs w:val="40"/>
        </w:rPr>
      </w:pPr>
      <w:bookmarkStart w:id="1" w:name="OLE_LINK98"/>
      <w:r w:rsidRPr="00511E83">
        <w:rPr>
          <w:rFonts w:cs="Times New Roman"/>
          <w:b/>
          <w:bCs/>
          <w:sz w:val="40"/>
          <w:szCs w:val="40"/>
        </w:rPr>
        <w:t>Synergistic effects of Fe–Mn modified biochar and water management on remediation of Cd and Hg co–contaminated soils</w:t>
      </w:r>
    </w:p>
    <w:p w:rsidR="005C3E1F" w:rsidRPr="00511E83" w:rsidRDefault="00511E83">
      <w:pPr>
        <w:spacing w:line="480" w:lineRule="auto"/>
        <w:jc w:val="center"/>
        <w:rPr>
          <w:sz w:val="24"/>
          <w:szCs w:val="24"/>
        </w:rPr>
      </w:pPr>
      <w:r w:rsidRPr="00511E83">
        <w:rPr>
          <w:sz w:val="24"/>
          <w:szCs w:val="24"/>
          <w:lang w:val="pt-BR"/>
        </w:rPr>
        <w:t>Tong Sun</w:t>
      </w:r>
      <w:r w:rsidRPr="00511E83">
        <w:rPr>
          <w:sz w:val="24"/>
          <w:szCs w:val="24"/>
          <w:vertAlign w:val="superscript"/>
          <w:lang w:val="pt-BR"/>
        </w:rPr>
        <w:t>a,b,</w:t>
      </w:r>
      <w:r w:rsidRPr="00511E83">
        <w:rPr>
          <w:rFonts w:hint="eastAsia"/>
          <w:sz w:val="24"/>
          <w:szCs w:val="24"/>
          <w:vertAlign w:val="superscript"/>
        </w:rPr>
        <w:t>1</w:t>
      </w:r>
      <w:r w:rsidRPr="00511E83">
        <w:rPr>
          <w:sz w:val="24"/>
          <w:szCs w:val="24"/>
          <w:lang w:val="pt-BR"/>
        </w:rPr>
        <w:t>, Wenhao Yang</w:t>
      </w:r>
      <w:r w:rsidRPr="00511E83">
        <w:rPr>
          <w:sz w:val="24"/>
          <w:szCs w:val="24"/>
          <w:vertAlign w:val="superscript"/>
        </w:rPr>
        <w:t>b</w:t>
      </w:r>
      <w:r w:rsidRPr="00511E83">
        <w:rPr>
          <w:sz w:val="24"/>
          <w:szCs w:val="24"/>
          <w:vertAlign w:val="superscript"/>
          <w:lang w:val="pt-BR"/>
        </w:rPr>
        <w:t>,</w:t>
      </w:r>
      <w:r w:rsidRPr="00511E83">
        <w:rPr>
          <w:sz w:val="24"/>
          <w:szCs w:val="24"/>
          <w:vertAlign w:val="superscript"/>
        </w:rPr>
        <w:t>c</w:t>
      </w:r>
      <w:r w:rsidRPr="00511E83">
        <w:rPr>
          <w:rFonts w:hint="eastAsia"/>
          <w:sz w:val="24"/>
          <w:szCs w:val="24"/>
          <w:vertAlign w:val="superscript"/>
        </w:rPr>
        <w:t>,1</w:t>
      </w:r>
      <w:r w:rsidRPr="00511E83">
        <w:rPr>
          <w:sz w:val="24"/>
          <w:szCs w:val="24"/>
          <w:lang w:val="pt-BR"/>
        </w:rPr>
        <w:t>, Yuebing Sun</w:t>
      </w:r>
      <w:r w:rsidRPr="00511E83">
        <w:rPr>
          <w:sz w:val="24"/>
          <w:szCs w:val="24"/>
          <w:vertAlign w:val="superscript"/>
        </w:rPr>
        <w:t>b</w:t>
      </w:r>
      <w:r w:rsidRPr="00511E83">
        <w:rPr>
          <w:sz w:val="24"/>
          <w:szCs w:val="24"/>
          <w:vertAlign w:val="superscript"/>
          <w:lang w:val="pt-BR"/>
        </w:rPr>
        <w:t>*</w:t>
      </w:r>
      <w:r w:rsidRPr="00511E83">
        <w:rPr>
          <w:sz w:val="24"/>
          <w:szCs w:val="24"/>
          <w:lang w:val="pt-BR"/>
        </w:rPr>
        <w:t xml:space="preserve">, </w:t>
      </w:r>
      <w:r w:rsidRPr="00511E83">
        <w:rPr>
          <w:sz w:val="24"/>
          <w:szCs w:val="24"/>
        </w:rPr>
        <w:t>Lin Wang</w:t>
      </w:r>
      <w:r w:rsidRPr="00511E83">
        <w:rPr>
          <w:sz w:val="24"/>
          <w:szCs w:val="24"/>
          <w:vertAlign w:val="superscript"/>
        </w:rPr>
        <w:t>b</w:t>
      </w:r>
      <w:r w:rsidRPr="00511E83">
        <w:rPr>
          <w:sz w:val="24"/>
          <w:szCs w:val="24"/>
        </w:rPr>
        <w:t>, Xuefeng Liang</w:t>
      </w:r>
      <w:r w:rsidRPr="00511E83">
        <w:rPr>
          <w:sz w:val="24"/>
          <w:szCs w:val="24"/>
          <w:vertAlign w:val="superscript"/>
        </w:rPr>
        <w:t>b</w:t>
      </w:r>
    </w:p>
    <w:p w:rsidR="005C3E1F" w:rsidRPr="00511E83" w:rsidRDefault="00511E83">
      <w:pPr>
        <w:spacing w:line="480" w:lineRule="auto"/>
        <w:rPr>
          <w:sz w:val="24"/>
          <w:szCs w:val="24"/>
        </w:rPr>
      </w:pPr>
      <w:r w:rsidRPr="00511E83">
        <w:rPr>
          <w:sz w:val="24"/>
          <w:szCs w:val="24"/>
          <w:vertAlign w:val="superscript"/>
        </w:rPr>
        <w:t>a</w:t>
      </w:r>
      <w:r w:rsidRPr="00511E83">
        <w:rPr>
          <w:sz w:val="24"/>
          <w:szCs w:val="24"/>
        </w:rPr>
        <w:t xml:space="preserve">Key Laboratory of Agro–Ecological </w:t>
      </w:r>
      <w:r w:rsidRPr="00511E83">
        <w:rPr>
          <w:sz w:val="24"/>
          <w:szCs w:val="24"/>
        </w:rPr>
        <w:t>Processes in Subtropical Region, Institute of Subtropical Agriculture, Chinese Academy of Sciences, Changsha 410125, China;</w:t>
      </w:r>
    </w:p>
    <w:p w:rsidR="005C3E1F" w:rsidRPr="00511E83" w:rsidRDefault="00511E83">
      <w:pPr>
        <w:spacing w:line="480" w:lineRule="auto"/>
        <w:rPr>
          <w:sz w:val="24"/>
          <w:szCs w:val="24"/>
        </w:rPr>
      </w:pPr>
      <w:r w:rsidRPr="00511E83">
        <w:rPr>
          <w:iCs/>
          <w:sz w:val="24"/>
          <w:szCs w:val="24"/>
          <w:vertAlign w:val="superscript"/>
          <w:lang w:bidi="ar"/>
        </w:rPr>
        <w:t>b</w:t>
      </w:r>
      <w:r w:rsidRPr="00511E83">
        <w:rPr>
          <w:rFonts w:hint="eastAsia"/>
          <w:sz w:val="24"/>
          <w:szCs w:val="24"/>
        </w:rPr>
        <w:t>Key Laboratory of Original Environmental Pollution Control of MARA, Agro-Environmental Protection Institute, Ministry of Agricultur</w:t>
      </w:r>
      <w:r w:rsidRPr="00511E83">
        <w:rPr>
          <w:rFonts w:hint="eastAsia"/>
          <w:sz w:val="24"/>
          <w:szCs w:val="24"/>
        </w:rPr>
        <w:t>e and Rural Affairs, Tianjin 300191, China;</w:t>
      </w:r>
    </w:p>
    <w:p w:rsidR="005C3E1F" w:rsidRPr="00511E83" w:rsidRDefault="00511E83">
      <w:pPr>
        <w:spacing w:line="480" w:lineRule="auto"/>
        <w:rPr>
          <w:sz w:val="24"/>
          <w:szCs w:val="24"/>
        </w:rPr>
      </w:pPr>
      <w:bookmarkStart w:id="2" w:name="OLE_LINK703"/>
      <w:r w:rsidRPr="00511E83">
        <w:rPr>
          <w:rFonts w:hint="eastAsia"/>
          <w:sz w:val="24"/>
          <w:szCs w:val="24"/>
          <w:vertAlign w:val="superscript"/>
        </w:rPr>
        <w:t>c</w:t>
      </w:r>
      <w:r w:rsidRPr="00511E83">
        <w:rPr>
          <w:sz w:val="24"/>
          <w:szCs w:val="24"/>
        </w:rPr>
        <w:t>College of Resources and Environment, Northeast Agricultural University, Harbin 150030</w:t>
      </w:r>
      <w:r w:rsidRPr="00511E83">
        <w:rPr>
          <w:rFonts w:hint="eastAsia"/>
          <w:sz w:val="24"/>
          <w:szCs w:val="24"/>
        </w:rPr>
        <w:t>, China</w:t>
      </w:r>
    </w:p>
    <w:p w:rsidR="005C3E1F" w:rsidRPr="00511E83" w:rsidRDefault="005C3E1F">
      <w:pPr>
        <w:spacing w:line="480" w:lineRule="auto"/>
        <w:rPr>
          <w:sz w:val="24"/>
          <w:szCs w:val="24"/>
        </w:rPr>
      </w:pPr>
    </w:p>
    <w:bookmarkEnd w:id="2"/>
    <w:p w:rsidR="005C3E1F" w:rsidRPr="00511E83" w:rsidRDefault="00511E83">
      <w:pPr>
        <w:spacing w:line="480" w:lineRule="auto"/>
        <w:rPr>
          <w:sz w:val="24"/>
          <w:szCs w:val="24"/>
        </w:rPr>
      </w:pPr>
      <w:r w:rsidRPr="00511E83">
        <w:rPr>
          <w:rFonts w:hint="eastAsia"/>
          <w:sz w:val="24"/>
          <w:szCs w:val="24"/>
          <w:vertAlign w:val="superscript"/>
        </w:rPr>
        <w:t>1</w:t>
      </w:r>
      <w:r w:rsidRPr="00511E83">
        <w:rPr>
          <w:rFonts w:hint="eastAsia"/>
          <w:sz w:val="24"/>
          <w:szCs w:val="24"/>
        </w:rPr>
        <w:t xml:space="preserve"> Tong Sun and Wenhao Yang contributed equally to this work.</w:t>
      </w:r>
    </w:p>
    <w:p w:rsidR="005C3E1F" w:rsidRPr="00511E83" w:rsidRDefault="005C3E1F">
      <w:pPr>
        <w:spacing w:line="480" w:lineRule="auto"/>
        <w:rPr>
          <w:sz w:val="24"/>
          <w:szCs w:val="24"/>
        </w:rPr>
      </w:pPr>
    </w:p>
    <w:p w:rsidR="005C3E1F" w:rsidRPr="00511E83" w:rsidRDefault="00511E83">
      <w:pPr>
        <w:spacing w:line="480" w:lineRule="auto"/>
        <w:rPr>
          <w:sz w:val="24"/>
          <w:szCs w:val="24"/>
        </w:rPr>
      </w:pPr>
      <w:r w:rsidRPr="00511E83">
        <w:rPr>
          <w:sz w:val="24"/>
          <w:szCs w:val="24"/>
          <w:vertAlign w:val="superscript"/>
        </w:rPr>
        <w:sym w:font="Symbol" w:char="F02A"/>
      </w:r>
      <w:r w:rsidRPr="00511E83">
        <w:rPr>
          <w:sz w:val="24"/>
          <w:szCs w:val="24"/>
          <w:vertAlign w:val="superscript"/>
        </w:rPr>
        <w:t xml:space="preserve"> </w:t>
      </w:r>
      <w:r w:rsidRPr="00511E83">
        <w:rPr>
          <w:i/>
          <w:sz w:val="24"/>
          <w:szCs w:val="24"/>
        </w:rPr>
        <w:t>Corresponding author</w:t>
      </w:r>
      <w:r w:rsidRPr="00511E83">
        <w:rPr>
          <w:sz w:val="24"/>
          <w:szCs w:val="24"/>
        </w:rPr>
        <w:t>. Tel: +86–22–23618061; Fax: +86</w:t>
      </w:r>
      <w:r w:rsidRPr="00511E83">
        <w:rPr>
          <w:sz w:val="24"/>
          <w:szCs w:val="24"/>
        </w:rPr>
        <w:t xml:space="preserve">–22–23618060 </w:t>
      </w:r>
    </w:p>
    <w:p w:rsidR="005C3E1F" w:rsidRPr="00511E83" w:rsidRDefault="00511E83">
      <w:pPr>
        <w:spacing w:line="480" w:lineRule="auto"/>
        <w:rPr>
          <w:sz w:val="24"/>
          <w:szCs w:val="24"/>
        </w:rPr>
      </w:pPr>
      <w:r w:rsidRPr="00511E83">
        <w:rPr>
          <w:i/>
          <w:sz w:val="24"/>
          <w:szCs w:val="24"/>
        </w:rPr>
        <w:t>E–mail address</w:t>
      </w:r>
      <w:r w:rsidRPr="00511E83">
        <w:rPr>
          <w:sz w:val="24"/>
          <w:szCs w:val="24"/>
        </w:rPr>
        <w:t xml:space="preserve">: </w:t>
      </w:r>
      <w:hyperlink r:id="rId7" w:history="1">
        <w:r w:rsidRPr="00511E83">
          <w:rPr>
            <w:rStyle w:val="Hyperlink"/>
            <w:color w:val="auto"/>
            <w:sz w:val="24"/>
            <w:szCs w:val="24"/>
          </w:rPr>
          <w:t>sunyuebing2008@126.com</w:t>
        </w:r>
      </w:hyperlink>
      <w:r w:rsidRPr="00511E83">
        <w:rPr>
          <w:sz w:val="24"/>
          <w:szCs w:val="24"/>
        </w:rPr>
        <w:t xml:space="preserve"> (Y. –B. Sun)</w:t>
      </w:r>
    </w:p>
    <w:p w:rsidR="005C3E1F" w:rsidRPr="00511E83" w:rsidRDefault="005C3E1F">
      <w:pPr>
        <w:spacing w:line="480" w:lineRule="auto"/>
        <w:rPr>
          <w:sz w:val="24"/>
          <w:szCs w:val="24"/>
        </w:rPr>
      </w:pPr>
    </w:p>
    <w:p w:rsidR="005C3E1F" w:rsidRPr="00511E83" w:rsidRDefault="005C3E1F"/>
    <w:p w:rsidR="005C3E1F" w:rsidRPr="00511E83" w:rsidRDefault="005C3E1F">
      <w:pPr>
        <w:sectPr w:rsidR="005C3E1F" w:rsidRPr="00511E83" w:rsidSect="00511E83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bookmarkEnd w:id="1"/>
    <w:p w:rsidR="005C3E1F" w:rsidRPr="00511E83" w:rsidRDefault="00511E83">
      <w:pPr>
        <w:spacing w:line="480" w:lineRule="auto"/>
        <w:rPr>
          <w:rFonts w:cs="Times New Roman"/>
        </w:rPr>
      </w:pPr>
      <w:r w:rsidRPr="00511E83">
        <w:rPr>
          <w:rFonts w:cs="Times New Roman"/>
          <w:b/>
          <w:bCs/>
          <w:sz w:val="24"/>
          <w:szCs w:val="24"/>
        </w:rPr>
        <w:lastRenderedPageBreak/>
        <w:t>Text S</w:t>
      </w:r>
      <w:r w:rsidRPr="00511E83">
        <w:rPr>
          <w:rFonts w:cs="Times New Roman" w:hint="eastAsia"/>
          <w:b/>
          <w:bCs/>
          <w:sz w:val="24"/>
          <w:szCs w:val="24"/>
        </w:rPr>
        <w:t>1</w:t>
      </w:r>
      <w:r w:rsidRPr="00511E83">
        <w:rPr>
          <w:rFonts w:cs="Times New Roman"/>
          <w:b/>
          <w:bCs/>
          <w:sz w:val="24"/>
          <w:szCs w:val="24"/>
        </w:rPr>
        <w:t xml:space="preserve">. The </w:t>
      </w:r>
      <w:r w:rsidRPr="00511E83">
        <w:rPr>
          <w:rFonts w:cs="Times New Roman"/>
          <w:b/>
          <w:bCs/>
          <w:sz w:val="24"/>
          <w:szCs w:val="24"/>
        </w:rPr>
        <w:t>details of high–throughput sequencing analysis</w:t>
      </w:r>
    </w:p>
    <w:p w:rsidR="005C3E1F" w:rsidRPr="00511E83" w:rsidRDefault="00511E83">
      <w:pPr>
        <w:spacing w:line="480" w:lineRule="auto"/>
        <w:ind w:firstLineChars="200" w:firstLine="480"/>
        <w:rPr>
          <w:sz w:val="24"/>
          <w:szCs w:val="24"/>
        </w:rPr>
      </w:pPr>
      <w:r w:rsidRPr="00511E83">
        <w:rPr>
          <w:sz w:val="24"/>
          <w:szCs w:val="24"/>
        </w:rPr>
        <w:t>The total microbial genomic DNA was extracted from soil samples using the E.Z.N.A.® soil DNA Kit (Omega Bio–tek, Norcross, GA, U.S.).</w:t>
      </w:r>
      <w:bookmarkStart w:id="3" w:name="OLE_LINK178"/>
      <w:r w:rsidRPr="00511E83">
        <w:rPr>
          <w:sz w:val="24"/>
          <w:szCs w:val="24"/>
        </w:rPr>
        <w:t xml:space="preserve"> Next, the hypervariable region V3–V4 of the bacterial 16S rRNA gene were am</w:t>
      </w:r>
      <w:r w:rsidRPr="00511E83">
        <w:rPr>
          <w:sz w:val="24"/>
          <w:szCs w:val="24"/>
        </w:rPr>
        <w:t xml:space="preserve">plified with primer pairs 338F </w:t>
      </w:r>
      <w:r w:rsidRPr="00511E83">
        <w:rPr>
          <w:rFonts w:cs="Times New Roman"/>
          <w:sz w:val="24"/>
          <w:szCs w:val="24"/>
        </w:rPr>
        <w:t>(5’</w:t>
      </w:r>
      <w:r w:rsidRPr="00511E83">
        <w:rPr>
          <w:rFonts w:cs="Times New Roman"/>
          <w:iCs/>
          <w:sz w:val="24"/>
          <w:szCs w:val="24"/>
          <w:lang w:bidi="ar"/>
        </w:rPr>
        <w:t>–</w:t>
      </w:r>
      <w:r w:rsidRPr="00511E83">
        <w:rPr>
          <w:rFonts w:cs="Times New Roman"/>
          <w:sz w:val="24"/>
          <w:szCs w:val="24"/>
        </w:rPr>
        <w:t>ACTCCTACGGGAGGCAGCAG</w:t>
      </w:r>
      <w:r w:rsidRPr="00511E83">
        <w:rPr>
          <w:rFonts w:cs="Times New Roman"/>
          <w:iCs/>
          <w:sz w:val="24"/>
          <w:szCs w:val="24"/>
          <w:lang w:bidi="ar"/>
        </w:rPr>
        <w:t>–</w:t>
      </w:r>
      <w:r w:rsidRPr="00511E83">
        <w:rPr>
          <w:rFonts w:cs="Times New Roman"/>
          <w:sz w:val="24"/>
          <w:szCs w:val="24"/>
        </w:rPr>
        <w:t>3’)</w:t>
      </w:r>
      <w:r w:rsidRPr="00511E83">
        <w:rPr>
          <w:rFonts w:cs="Times New Roman" w:hint="eastAsia"/>
          <w:sz w:val="24"/>
          <w:szCs w:val="24"/>
        </w:rPr>
        <w:t xml:space="preserve"> </w:t>
      </w:r>
      <w:r w:rsidRPr="00511E83">
        <w:rPr>
          <w:sz w:val="24"/>
          <w:szCs w:val="24"/>
        </w:rPr>
        <w:t xml:space="preserve">and 806R </w:t>
      </w:r>
      <w:r w:rsidRPr="00511E83">
        <w:rPr>
          <w:rFonts w:cs="Times New Roman"/>
          <w:sz w:val="24"/>
          <w:szCs w:val="24"/>
        </w:rPr>
        <w:t>(5’</w:t>
      </w:r>
      <w:r w:rsidRPr="00511E83">
        <w:rPr>
          <w:rFonts w:cs="Times New Roman"/>
          <w:iCs/>
          <w:sz w:val="24"/>
          <w:szCs w:val="24"/>
          <w:lang w:bidi="ar"/>
        </w:rPr>
        <w:t>–</w:t>
      </w:r>
      <w:r w:rsidRPr="00511E83">
        <w:rPr>
          <w:rFonts w:cs="Times New Roman"/>
          <w:sz w:val="24"/>
          <w:szCs w:val="24"/>
        </w:rPr>
        <w:t>GGACTACHVGGGTWTCTAAT</w:t>
      </w:r>
      <w:r w:rsidRPr="00511E83">
        <w:rPr>
          <w:rFonts w:cs="Times New Roman"/>
          <w:iCs/>
          <w:sz w:val="24"/>
          <w:szCs w:val="24"/>
          <w:lang w:bidi="ar"/>
        </w:rPr>
        <w:t>–</w:t>
      </w:r>
      <w:r w:rsidRPr="00511E83">
        <w:rPr>
          <w:rFonts w:cs="Times New Roman"/>
          <w:sz w:val="24"/>
          <w:szCs w:val="24"/>
        </w:rPr>
        <w:t>3’)</w:t>
      </w:r>
      <w:r w:rsidRPr="00511E83">
        <w:rPr>
          <w:rFonts w:cs="Times New Roman" w:hint="eastAsia"/>
          <w:sz w:val="24"/>
          <w:szCs w:val="24"/>
        </w:rPr>
        <w:t xml:space="preserve"> </w:t>
      </w:r>
      <w:r w:rsidRPr="00511E83">
        <w:rPr>
          <w:sz w:val="24"/>
          <w:szCs w:val="24"/>
        </w:rPr>
        <w:t>by an ABI GeneAmp</w:t>
      </w:r>
      <w:r w:rsidRPr="00511E83">
        <w:rPr>
          <w:sz w:val="24"/>
          <w:szCs w:val="24"/>
        </w:rPr>
        <w:t xml:space="preserve">® </w:t>
      </w:r>
      <w:r w:rsidRPr="00511E83">
        <w:rPr>
          <w:sz w:val="24"/>
          <w:szCs w:val="24"/>
        </w:rPr>
        <w:t>9700 PCR thermocycler (ABI, CA, USA). All samples were amplified in triplicate. The PCR product was extracted from 2% agarose gel and purif</w:t>
      </w:r>
      <w:r w:rsidRPr="00511E83">
        <w:rPr>
          <w:sz w:val="24"/>
          <w:szCs w:val="24"/>
        </w:rPr>
        <w:t xml:space="preserve">ied using the AxyPrep DNA Gel Extraction Kit (Axygen Biosciences, Union City, CA, USA) and quantified using Quantus™ Fluorometer </w:t>
      </w:r>
      <w:r w:rsidRPr="00511E83">
        <w:rPr>
          <w:sz w:val="24"/>
          <w:szCs w:val="24"/>
        </w:rPr>
        <w:t>(Promega, USA)</w:t>
      </w:r>
      <w:r w:rsidRPr="00511E83">
        <w:rPr>
          <w:sz w:val="24"/>
          <w:szCs w:val="24"/>
        </w:rPr>
        <w:t>. Purified amplicons were pooled in equimolar amounts and paired–end sequenced on an Illumina MiSeq PE300 platfor</w:t>
      </w:r>
      <w:r w:rsidRPr="00511E83">
        <w:rPr>
          <w:sz w:val="24"/>
          <w:szCs w:val="24"/>
        </w:rPr>
        <w:t xml:space="preserve">m (Illumina, San Diego,USA) according to the standard protocols by </w:t>
      </w:r>
      <w:bookmarkStart w:id="4" w:name="OLE_LINK169"/>
      <w:r w:rsidRPr="00511E83">
        <w:rPr>
          <w:sz w:val="24"/>
          <w:szCs w:val="24"/>
        </w:rPr>
        <w:t>Majorbio Bio–Pharm Technology Co. Ltd</w:t>
      </w:r>
      <w:bookmarkEnd w:id="4"/>
      <w:r w:rsidRPr="00511E83">
        <w:rPr>
          <w:sz w:val="24"/>
          <w:szCs w:val="24"/>
        </w:rPr>
        <w:t xml:space="preserve">. (Shanghai, China). </w:t>
      </w:r>
      <w:bookmarkEnd w:id="3"/>
    </w:p>
    <w:p w:rsidR="005C3E1F" w:rsidRPr="00511E83" w:rsidRDefault="00511E83">
      <w:pPr>
        <w:spacing w:line="480" w:lineRule="auto"/>
        <w:ind w:firstLineChars="200" w:firstLine="480"/>
        <w:rPr>
          <w:sz w:val="24"/>
          <w:szCs w:val="24"/>
        </w:rPr>
      </w:pPr>
      <w:r w:rsidRPr="00511E83">
        <w:rPr>
          <w:rFonts w:hint="eastAsia"/>
          <w:sz w:val="24"/>
          <w:szCs w:val="24"/>
        </w:rPr>
        <w:t xml:space="preserve">Moreover, the raw fastq files were quality-filtered by Trimmomatic and merged by FLASH with the following criteria: (1) The reads </w:t>
      </w:r>
      <w:r w:rsidRPr="00511E83">
        <w:rPr>
          <w:rFonts w:hint="eastAsia"/>
          <w:sz w:val="24"/>
          <w:szCs w:val="24"/>
        </w:rPr>
        <w:t>were truncated at any site receiving an average quality score &lt;20 over a 50 bp sliding window; (2) Sequences whose overlap being longer than 10 bp were merged according to their overlap with mismatch no more than 2 bp; (3) Sequences of each sample were sep</w:t>
      </w:r>
      <w:r w:rsidRPr="00511E83">
        <w:rPr>
          <w:rFonts w:hint="eastAsia"/>
          <w:sz w:val="24"/>
          <w:szCs w:val="24"/>
        </w:rPr>
        <w:t>arated according to barcodes (exactly matching) and Primers (allowing 2 nucleotide mismatching), and reads containing ambiguous bases were removed. Operational taxonomic units (OTUs) were clustered with 97% similarity cutoff using UPARSE (version 7.1 http:</w:t>
      </w:r>
      <w:r w:rsidRPr="00511E83">
        <w:rPr>
          <w:rFonts w:hint="eastAsia"/>
          <w:sz w:val="24"/>
          <w:szCs w:val="24"/>
        </w:rPr>
        <w:t xml:space="preserve">//drive5.com/uparse/) with a novel </w:t>
      </w:r>
      <w:r w:rsidRPr="00511E83">
        <w:rPr>
          <w:sz w:val="24"/>
          <w:szCs w:val="24"/>
        </w:rPr>
        <w:t>“</w:t>
      </w:r>
      <w:r w:rsidRPr="00511E83">
        <w:rPr>
          <w:rFonts w:hint="eastAsia"/>
          <w:sz w:val="24"/>
          <w:szCs w:val="24"/>
        </w:rPr>
        <w:t>greedy</w:t>
      </w:r>
      <w:r w:rsidRPr="00511E83">
        <w:rPr>
          <w:sz w:val="24"/>
          <w:szCs w:val="24"/>
        </w:rPr>
        <w:t>”</w:t>
      </w:r>
      <w:r w:rsidRPr="00511E83">
        <w:rPr>
          <w:rFonts w:hint="eastAsia"/>
          <w:sz w:val="24"/>
          <w:szCs w:val="24"/>
        </w:rPr>
        <w:t xml:space="preserve"> algorithm that performs chimera </w:t>
      </w:r>
      <w:r w:rsidRPr="00511E83">
        <w:rPr>
          <w:rFonts w:hint="eastAsia"/>
          <w:sz w:val="24"/>
          <w:szCs w:val="24"/>
        </w:rPr>
        <w:lastRenderedPageBreak/>
        <w:t>filtering and OTU clustering simultaneously. The taxonomy of each 16S rRNA gene sequence was analyzed by RDP Classifier algorithm (http://rdp.cme.msu.edu/) against the Silva (SSU12</w:t>
      </w:r>
      <w:r w:rsidRPr="00511E83">
        <w:rPr>
          <w:rFonts w:hint="eastAsia"/>
          <w:sz w:val="24"/>
          <w:szCs w:val="24"/>
        </w:rPr>
        <w:t xml:space="preserve">3) 16S rRNA database using confidence threshold of 70%. </w:t>
      </w:r>
    </w:p>
    <w:p w:rsidR="005C3E1F" w:rsidRPr="00511E83" w:rsidRDefault="005C3E1F">
      <w:pPr>
        <w:spacing w:line="480" w:lineRule="auto"/>
        <w:ind w:firstLineChars="200" w:firstLine="480"/>
        <w:rPr>
          <w:sz w:val="24"/>
          <w:szCs w:val="24"/>
        </w:rPr>
      </w:pPr>
    </w:p>
    <w:p w:rsidR="005C3E1F" w:rsidRPr="00511E83" w:rsidRDefault="005C3E1F">
      <w:pPr>
        <w:spacing w:line="480" w:lineRule="auto"/>
        <w:jc w:val="center"/>
        <w:rPr>
          <w:rFonts w:cs="Times New Roman"/>
        </w:rPr>
      </w:pPr>
    </w:p>
    <w:p w:rsidR="005C3E1F" w:rsidRPr="00511E83" w:rsidRDefault="005C3E1F">
      <w:pPr>
        <w:spacing w:line="480" w:lineRule="auto"/>
        <w:jc w:val="center"/>
        <w:rPr>
          <w:rFonts w:cs="Times New Roman"/>
        </w:rPr>
      </w:pPr>
    </w:p>
    <w:p w:rsidR="005C3E1F" w:rsidRPr="00511E83" w:rsidRDefault="005C3E1F">
      <w:pPr>
        <w:spacing w:line="480" w:lineRule="auto"/>
        <w:jc w:val="center"/>
        <w:rPr>
          <w:rFonts w:cs="Times New Roman"/>
        </w:rPr>
      </w:pPr>
    </w:p>
    <w:p w:rsidR="005C3E1F" w:rsidRPr="00511E83" w:rsidRDefault="005C3E1F">
      <w:pPr>
        <w:spacing w:line="480" w:lineRule="auto"/>
        <w:jc w:val="center"/>
        <w:rPr>
          <w:rFonts w:cs="Times New Roman"/>
        </w:rPr>
      </w:pPr>
    </w:p>
    <w:p w:rsidR="005C3E1F" w:rsidRPr="00511E83" w:rsidRDefault="005C3E1F">
      <w:pPr>
        <w:spacing w:line="480" w:lineRule="auto"/>
        <w:jc w:val="center"/>
        <w:rPr>
          <w:rFonts w:cs="Times New Roman"/>
        </w:rPr>
      </w:pPr>
    </w:p>
    <w:p w:rsidR="005C3E1F" w:rsidRPr="00511E83" w:rsidRDefault="005C3E1F">
      <w:pPr>
        <w:spacing w:line="480" w:lineRule="auto"/>
        <w:jc w:val="center"/>
        <w:rPr>
          <w:rFonts w:cs="Times New Roman"/>
        </w:rPr>
      </w:pPr>
    </w:p>
    <w:p w:rsidR="005C3E1F" w:rsidRPr="00511E83" w:rsidRDefault="005C3E1F">
      <w:pPr>
        <w:spacing w:line="480" w:lineRule="auto"/>
        <w:jc w:val="center"/>
        <w:rPr>
          <w:rFonts w:cs="Times New Roman"/>
        </w:rPr>
      </w:pPr>
    </w:p>
    <w:p w:rsidR="005C3E1F" w:rsidRPr="00511E83" w:rsidRDefault="005C3E1F">
      <w:pPr>
        <w:spacing w:line="480" w:lineRule="auto"/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11E83">
      <w:pPr>
        <w:jc w:val="center"/>
        <w:rPr>
          <w:rFonts w:cs="Times New Roman"/>
          <w:sz w:val="24"/>
          <w:szCs w:val="24"/>
        </w:rPr>
      </w:pPr>
      <w:r w:rsidRPr="00511E83">
        <w:rPr>
          <w:rFonts w:cs="Times New Roman"/>
          <w:sz w:val="24"/>
          <w:szCs w:val="24"/>
        </w:rPr>
        <w:t>Table S</w:t>
      </w:r>
      <w:r w:rsidRPr="00511E83">
        <w:rPr>
          <w:rFonts w:cs="Times New Roman" w:hint="eastAsia"/>
          <w:sz w:val="24"/>
          <w:szCs w:val="24"/>
        </w:rPr>
        <w:t>1</w:t>
      </w:r>
      <w:r w:rsidRPr="00511E83">
        <w:rPr>
          <w:rFonts w:cs="Times New Roman"/>
          <w:sz w:val="24"/>
          <w:szCs w:val="24"/>
        </w:rPr>
        <w:t xml:space="preserve"> </w:t>
      </w:r>
      <w:bookmarkStart w:id="5" w:name="OLE_LINK8"/>
      <w:r w:rsidRPr="00511E83">
        <w:rPr>
          <w:rFonts w:cs="Times New Roman" w:hint="eastAsia"/>
          <w:sz w:val="24"/>
          <w:szCs w:val="24"/>
        </w:rPr>
        <w:t xml:space="preserve">The </w:t>
      </w:r>
      <w:r w:rsidRPr="00511E83">
        <w:rPr>
          <w:rFonts w:cs="Times New Roman"/>
          <w:sz w:val="24"/>
          <w:szCs w:val="24"/>
        </w:rPr>
        <w:t>basic properties of paddy soil</w:t>
      </w:r>
      <w:bookmarkEnd w:id="5"/>
    </w:p>
    <w:tbl>
      <w:tblPr>
        <w:tblpPr w:leftFromText="180" w:rightFromText="180" w:vertAnchor="text" w:horzAnchor="page" w:tblpXSpec="center" w:tblpY="125"/>
        <w:tblOverlap w:val="never"/>
        <w:tblW w:w="10657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312"/>
        <w:gridCol w:w="1493"/>
        <w:gridCol w:w="986"/>
        <w:gridCol w:w="1089"/>
        <w:gridCol w:w="956"/>
        <w:gridCol w:w="1190"/>
        <w:gridCol w:w="1454"/>
        <w:gridCol w:w="1481"/>
      </w:tblGrid>
      <w:tr w:rsidR="00511E83" w:rsidRPr="00511E83">
        <w:trPr>
          <w:trHeight w:val="311"/>
          <w:jc w:val="center"/>
        </w:trPr>
        <w:tc>
          <w:tcPr>
            <w:tcW w:w="69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pH</w:t>
            </w:r>
          </w:p>
        </w:tc>
        <w:tc>
          <w:tcPr>
            <w:tcW w:w="1312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EC</w:t>
            </w:r>
          </w:p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(µs</w:t>
            </w: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 xml:space="preserve"> </w:t>
            </w: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cm</w:t>
            </w:r>
            <w:r w:rsidRPr="00511E83">
              <w:rPr>
                <w:rFonts w:cs="Times New Roman"/>
                <w:kern w:val="0"/>
                <w:sz w:val="24"/>
                <w:szCs w:val="24"/>
                <w:vertAlign w:val="superscript"/>
                <w:lang w:bidi="ar"/>
              </w:rPr>
              <w:t>–1</w:t>
            </w: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493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CEC</w:t>
            </w:r>
          </w:p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(cmol</w:t>
            </w:r>
            <w:r w:rsidRPr="00511E83">
              <w:rPr>
                <w:rFonts w:cs="Times New Roman"/>
                <w:kern w:val="0"/>
                <w:sz w:val="24"/>
                <w:szCs w:val="24"/>
                <w:vertAlign w:val="superscript"/>
                <w:lang w:bidi="ar"/>
              </w:rPr>
              <w:t>+</w:t>
            </w: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 xml:space="preserve"> </w:t>
            </w: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kg</w:t>
            </w:r>
            <w:r w:rsidRPr="00511E83">
              <w:rPr>
                <w:rFonts w:cs="Times New Roman"/>
                <w:kern w:val="0"/>
                <w:sz w:val="24"/>
                <w:szCs w:val="24"/>
                <w:vertAlign w:val="superscript"/>
                <w:lang w:bidi="ar"/>
              </w:rPr>
              <w:t>–1</w:t>
            </w: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98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TOC</w:t>
            </w:r>
          </w:p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(g</w:t>
            </w: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 xml:space="preserve"> </w:t>
            </w: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kg</w:t>
            </w:r>
            <w:r w:rsidRPr="00511E83">
              <w:rPr>
                <w:rFonts w:cs="Times New Roman"/>
                <w:kern w:val="0"/>
                <w:sz w:val="24"/>
                <w:szCs w:val="24"/>
                <w:vertAlign w:val="superscript"/>
                <w:lang w:bidi="ar"/>
              </w:rPr>
              <w:t>–1</w:t>
            </w: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089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TN</w:t>
            </w:r>
          </w:p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(g</w:t>
            </w: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 xml:space="preserve"> </w:t>
            </w: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kg</w:t>
            </w:r>
            <w:r w:rsidRPr="00511E83">
              <w:rPr>
                <w:rFonts w:cs="Times New Roman"/>
                <w:kern w:val="0"/>
                <w:sz w:val="24"/>
                <w:szCs w:val="24"/>
                <w:vertAlign w:val="superscript"/>
                <w:lang w:bidi="ar"/>
              </w:rPr>
              <w:t>–1</w:t>
            </w: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95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TP</w:t>
            </w:r>
          </w:p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(g</w:t>
            </w: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 xml:space="preserve"> </w:t>
            </w: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kg</w:t>
            </w:r>
            <w:r w:rsidRPr="00511E83">
              <w:rPr>
                <w:rFonts w:cs="Times New Roman"/>
                <w:kern w:val="0"/>
                <w:sz w:val="24"/>
                <w:szCs w:val="24"/>
                <w:vertAlign w:val="superscript"/>
                <w:lang w:bidi="ar"/>
              </w:rPr>
              <w:t>–1</w:t>
            </w: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19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TK</w:t>
            </w:r>
          </w:p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(g</w:t>
            </w: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 xml:space="preserve"> </w:t>
            </w: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kg</w:t>
            </w:r>
            <w:r w:rsidRPr="00511E83">
              <w:rPr>
                <w:rFonts w:cs="Times New Roman"/>
                <w:kern w:val="0"/>
                <w:sz w:val="24"/>
                <w:szCs w:val="24"/>
                <w:vertAlign w:val="superscript"/>
                <w:lang w:bidi="ar"/>
              </w:rPr>
              <w:t>–1</w:t>
            </w: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93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Heavy metal</w:t>
            </w:r>
          </w:p>
        </w:tc>
      </w:tr>
      <w:tr w:rsidR="00511E83" w:rsidRPr="00511E83">
        <w:trPr>
          <w:trHeight w:val="485"/>
          <w:jc w:val="center"/>
        </w:trPr>
        <w:tc>
          <w:tcPr>
            <w:tcW w:w="6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C3E1F" w:rsidRPr="00511E83" w:rsidRDefault="005C3E1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C3E1F" w:rsidRPr="00511E83" w:rsidRDefault="005C3E1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C3E1F" w:rsidRPr="00511E83" w:rsidRDefault="005C3E1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C3E1F" w:rsidRPr="00511E83" w:rsidRDefault="005C3E1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8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C3E1F" w:rsidRPr="00511E83" w:rsidRDefault="005C3E1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C3E1F" w:rsidRPr="00511E83" w:rsidRDefault="005C3E1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C3E1F" w:rsidRPr="00511E83" w:rsidRDefault="005C3E1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 xml:space="preserve">Hg </w:t>
            </w:r>
          </w:p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(mg</w:t>
            </w: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 xml:space="preserve"> </w:t>
            </w: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kg</w:t>
            </w:r>
            <w:r w:rsidRPr="00511E83">
              <w:rPr>
                <w:rFonts w:cs="Times New Roman"/>
                <w:kern w:val="0"/>
                <w:sz w:val="24"/>
                <w:szCs w:val="24"/>
                <w:vertAlign w:val="superscript"/>
                <w:lang w:bidi="ar"/>
              </w:rPr>
              <w:t>–1</w:t>
            </w: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ind w:firstLineChars="200" w:firstLine="480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Cd</w:t>
            </w:r>
          </w:p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(mg</w:t>
            </w: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 xml:space="preserve"> </w:t>
            </w: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kg</w:t>
            </w:r>
            <w:r w:rsidRPr="00511E83">
              <w:rPr>
                <w:rFonts w:cs="Times New Roman"/>
                <w:kern w:val="0"/>
                <w:sz w:val="24"/>
                <w:szCs w:val="24"/>
                <w:vertAlign w:val="superscript"/>
                <w:lang w:bidi="ar"/>
              </w:rPr>
              <w:t>–1</w:t>
            </w: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)</w:t>
            </w:r>
          </w:p>
        </w:tc>
      </w:tr>
      <w:tr w:rsidR="00511E83" w:rsidRPr="00511E83">
        <w:trPr>
          <w:trHeight w:val="463"/>
          <w:jc w:val="center"/>
        </w:trPr>
        <w:tc>
          <w:tcPr>
            <w:tcW w:w="6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6.19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5C3E1F" w:rsidRPr="00511E83" w:rsidRDefault="00511E8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/>
                <w:sz w:val="24"/>
                <w:szCs w:val="24"/>
              </w:rPr>
              <w:t>13.64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 xml:space="preserve">12.13 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5C3E1F" w:rsidRPr="00511E83" w:rsidRDefault="00511E8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/>
                <w:sz w:val="24"/>
                <w:szCs w:val="24"/>
              </w:rPr>
              <w:t>31.63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 xml:space="preserve">1.42 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1.00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 xml:space="preserve">16.67 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5C3E1F" w:rsidRPr="00511E83" w:rsidRDefault="00511E83">
            <w:pPr>
              <w:jc w:val="center"/>
              <w:rPr>
                <w:rFonts w:cs="Times New Roman"/>
                <w:sz w:val="24"/>
                <w:szCs w:val="24"/>
              </w:rPr>
            </w:pPr>
            <w:bookmarkStart w:id="6" w:name="OLE_LINK15"/>
            <w:r w:rsidRPr="00511E83">
              <w:rPr>
                <w:rFonts w:cs="Times New Roman"/>
                <w:sz w:val="24"/>
                <w:szCs w:val="24"/>
              </w:rPr>
              <w:t>5.40</w:t>
            </w:r>
            <w:bookmarkEnd w:id="6"/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5C3E1F" w:rsidRPr="00511E83" w:rsidRDefault="00511E83">
            <w:pPr>
              <w:jc w:val="center"/>
              <w:rPr>
                <w:rFonts w:cs="Times New Roman"/>
                <w:sz w:val="24"/>
                <w:szCs w:val="24"/>
              </w:rPr>
            </w:pPr>
            <w:bookmarkStart w:id="7" w:name="OLE_LINK16"/>
            <w:r w:rsidRPr="00511E83">
              <w:rPr>
                <w:rFonts w:cs="Times New Roman"/>
                <w:sz w:val="24"/>
                <w:szCs w:val="24"/>
              </w:rPr>
              <w:t>0.76</w:t>
            </w:r>
            <w:bookmarkEnd w:id="7"/>
          </w:p>
        </w:tc>
      </w:tr>
    </w:tbl>
    <w:p w:rsidR="005C3E1F" w:rsidRPr="00511E83" w:rsidRDefault="005C3E1F">
      <w:pPr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</w:rPr>
      </w:pPr>
    </w:p>
    <w:p w:rsidR="005C3E1F" w:rsidRPr="00511E83" w:rsidRDefault="00511E83">
      <w:pPr>
        <w:jc w:val="center"/>
        <w:rPr>
          <w:rFonts w:cs="Times New Roman"/>
          <w:sz w:val="24"/>
          <w:szCs w:val="24"/>
        </w:rPr>
      </w:pPr>
      <w:bookmarkStart w:id="8" w:name="OLE_LINK1"/>
      <w:r w:rsidRPr="00511E83">
        <w:rPr>
          <w:rFonts w:cs="Times New Roman"/>
          <w:sz w:val="24"/>
          <w:szCs w:val="24"/>
        </w:rPr>
        <w:t>Table S</w:t>
      </w:r>
      <w:r w:rsidRPr="00511E83">
        <w:rPr>
          <w:rFonts w:cs="Times New Roman" w:hint="eastAsia"/>
          <w:sz w:val="24"/>
          <w:szCs w:val="24"/>
        </w:rPr>
        <w:t>2</w:t>
      </w:r>
      <w:r w:rsidRPr="00511E83">
        <w:rPr>
          <w:rFonts w:cs="Times New Roman"/>
          <w:sz w:val="24"/>
          <w:szCs w:val="24"/>
        </w:rPr>
        <w:t xml:space="preserve"> </w:t>
      </w:r>
      <w:bookmarkStart w:id="9" w:name="OLE_LINK9"/>
      <w:r w:rsidRPr="00511E83">
        <w:rPr>
          <w:rFonts w:cs="Times New Roman" w:hint="eastAsia"/>
          <w:sz w:val="24"/>
          <w:szCs w:val="24"/>
        </w:rPr>
        <w:t>The p</w:t>
      </w:r>
      <w:r w:rsidRPr="00511E83">
        <w:rPr>
          <w:rFonts w:cs="Times New Roman"/>
          <w:sz w:val="24"/>
          <w:szCs w:val="24"/>
        </w:rPr>
        <w:t>hysiochemical properties</w:t>
      </w:r>
      <w:bookmarkEnd w:id="9"/>
      <w:r w:rsidRPr="00511E83">
        <w:rPr>
          <w:rFonts w:cs="Times New Roman"/>
          <w:sz w:val="24"/>
          <w:szCs w:val="24"/>
        </w:rPr>
        <w:t xml:space="preserve"> of BC and FMBC</w:t>
      </w:r>
    </w:p>
    <w:tbl>
      <w:tblPr>
        <w:tblpPr w:leftFromText="180" w:rightFromText="180" w:vertAnchor="text" w:horzAnchor="page" w:tblpXSpec="center" w:tblpY="178"/>
        <w:tblOverlap w:val="never"/>
        <w:tblW w:w="6394" w:type="pct"/>
        <w:jc w:val="center"/>
        <w:tblCellSpacing w:w="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9"/>
        <w:gridCol w:w="1316"/>
        <w:gridCol w:w="1013"/>
        <w:gridCol w:w="1169"/>
        <w:gridCol w:w="1589"/>
        <w:gridCol w:w="1053"/>
        <w:gridCol w:w="901"/>
        <w:gridCol w:w="809"/>
        <w:gridCol w:w="890"/>
        <w:gridCol w:w="724"/>
      </w:tblGrid>
      <w:tr w:rsidR="00511E83" w:rsidRPr="00511E83">
        <w:trPr>
          <w:trHeight w:val="565"/>
          <w:tblCellSpacing w:w="0" w:type="dxa"/>
          <w:jc w:val="center"/>
        </w:trPr>
        <w:tc>
          <w:tcPr>
            <w:tcW w:w="566" w:type="pct"/>
            <w:vMerge w:val="restart"/>
            <w:tcBorders>
              <w:top w:val="single" w:sz="8" w:space="0" w:color="auto"/>
              <w:bottom w:val="nil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bookmarkEnd w:id="8"/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Adsorbents</w:t>
            </w:r>
          </w:p>
        </w:tc>
        <w:tc>
          <w:tcPr>
            <w:tcW w:w="616" w:type="pct"/>
            <w:vMerge w:val="restart"/>
            <w:tcBorders>
              <w:top w:val="single" w:sz="8" w:space="0" w:color="auto"/>
              <w:bottom w:val="nil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pH</w:t>
            </w:r>
          </w:p>
        </w:tc>
        <w:tc>
          <w:tcPr>
            <w:tcW w:w="474" w:type="pct"/>
            <w:vMerge w:val="restart"/>
            <w:tcBorders>
              <w:top w:val="single" w:sz="8" w:space="0" w:color="auto"/>
              <w:bottom w:val="nil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ABET (m</w:t>
            </w:r>
            <w:r w:rsidRPr="00511E83">
              <w:rPr>
                <w:szCs w:val="24"/>
                <w:vertAlign w:val="superscript"/>
              </w:rPr>
              <w:t>2</w:t>
            </w:r>
            <w:r w:rsidRPr="00511E83">
              <w:rPr>
                <w:rFonts w:hint="eastAsia"/>
                <w:szCs w:val="24"/>
              </w:rPr>
              <w:t xml:space="preserve"> </w:t>
            </w:r>
            <w:r w:rsidRPr="00511E83">
              <w:rPr>
                <w:szCs w:val="24"/>
              </w:rPr>
              <w:t>g</w:t>
            </w:r>
            <w:r w:rsidRPr="00511E83">
              <w:rPr>
                <w:szCs w:val="24"/>
                <w:vertAlign w:val="superscript"/>
              </w:rPr>
              <w:t>−</w:t>
            </w:r>
            <w:r w:rsidRPr="00511E83">
              <w:rPr>
                <w:szCs w:val="24"/>
                <w:vertAlign w:val="superscript"/>
              </w:rPr>
              <w:t>1</w:t>
            </w:r>
            <w:r w:rsidRPr="00511E83">
              <w:rPr>
                <w:szCs w:val="24"/>
              </w:rPr>
              <w:t>)</w:t>
            </w:r>
          </w:p>
        </w:tc>
        <w:tc>
          <w:tcPr>
            <w:tcW w:w="547" w:type="pct"/>
            <w:vMerge w:val="restart"/>
            <w:tcBorders>
              <w:top w:val="single" w:sz="8" w:space="0" w:color="auto"/>
              <w:bottom w:val="nil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Vtot</w:t>
            </w:r>
            <w:r w:rsidRPr="00511E83">
              <w:rPr>
                <w:rFonts w:hint="eastAsia"/>
                <w:szCs w:val="24"/>
              </w:rPr>
              <w:t xml:space="preserve">  </w:t>
            </w:r>
            <w:r w:rsidRPr="00511E83">
              <w:rPr>
                <w:szCs w:val="24"/>
              </w:rPr>
              <w:t>（</w:t>
            </w:r>
            <w:r w:rsidRPr="00511E83">
              <w:rPr>
                <w:szCs w:val="24"/>
              </w:rPr>
              <w:t>cm</w:t>
            </w:r>
            <w:r w:rsidRPr="00511E83">
              <w:rPr>
                <w:szCs w:val="24"/>
                <w:vertAlign w:val="superscript"/>
              </w:rPr>
              <w:t>3</w:t>
            </w:r>
            <w:r w:rsidRPr="00511E83">
              <w:rPr>
                <w:rFonts w:hint="eastAsia"/>
                <w:szCs w:val="24"/>
              </w:rPr>
              <w:t xml:space="preserve"> </w:t>
            </w:r>
            <w:r w:rsidRPr="00511E83">
              <w:rPr>
                <w:szCs w:val="24"/>
              </w:rPr>
              <w:t>g</w:t>
            </w:r>
            <w:r w:rsidRPr="00511E83">
              <w:rPr>
                <w:szCs w:val="24"/>
                <w:vertAlign w:val="superscript"/>
              </w:rPr>
              <w:t>−</w:t>
            </w:r>
            <w:r w:rsidRPr="00511E83">
              <w:rPr>
                <w:szCs w:val="24"/>
                <w:vertAlign w:val="superscript"/>
              </w:rPr>
              <w:t>1</w:t>
            </w:r>
            <w:r w:rsidRPr="00511E83">
              <w:rPr>
                <w:szCs w:val="24"/>
              </w:rPr>
              <w:t>)</w:t>
            </w:r>
          </w:p>
        </w:tc>
        <w:tc>
          <w:tcPr>
            <w:tcW w:w="743" w:type="pct"/>
            <w:vMerge w:val="restart"/>
            <w:tcBorders>
              <w:top w:val="single" w:sz="8" w:space="0" w:color="auto"/>
              <w:bottom w:val="nil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Average pore diameter (nm</w:t>
            </w:r>
            <w:r w:rsidRPr="00511E83">
              <w:rPr>
                <w:rFonts w:hint="eastAsia"/>
                <w:szCs w:val="24"/>
              </w:rPr>
              <w:t>)</w:t>
            </w:r>
          </w:p>
        </w:tc>
        <w:tc>
          <w:tcPr>
            <w:tcW w:w="1711" w:type="pct"/>
            <w:gridSpan w:val="4"/>
            <w:tcBorders>
              <w:top w:val="single" w:sz="8" w:space="0" w:color="auto"/>
              <w:bottom w:val="nil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 xml:space="preserve">Bulk elemental </w:t>
            </w:r>
            <w:r w:rsidRPr="00511E83">
              <w:rPr>
                <w:szCs w:val="24"/>
              </w:rPr>
              <w:t>composition (wt%)</w:t>
            </w:r>
          </w:p>
        </w:tc>
        <w:tc>
          <w:tcPr>
            <w:tcW w:w="339" w:type="pct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Ash</w:t>
            </w:r>
            <w:r w:rsidRPr="00511E83">
              <w:rPr>
                <w:szCs w:val="24"/>
              </w:rPr>
              <w:t>（</w:t>
            </w:r>
            <w:r w:rsidRPr="00511E83">
              <w:rPr>
                <w:szCs w:val="24"/>
              </w:rPr>
              <w:t>%</w:t>
            </w:r>
            <w:r w:rsidRPr="00511E83">
              <w:rPr>
                <w:szCs w:val="24"/>
              </w:rPr>
              <w:t>）</w:t>
            </w:r>
          </w:p>
        </w:tc>
      </w:tr>
      <w:tr w:rsidR="00511E83" w:rsidRPr="00511E83">
        <w:trPr>
          <w:trHeight w:val="486"/>
          <w:tblCellSpacing w:w="0" w:type="dxa"/>
          <w:jc w:val="center"/>
        </w:trPr>
        <w:tc>
          <w:tcPr>
            <w:tcW w:w="566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C3E1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16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C3E1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C3E1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7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C3E1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43" w:type="pct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C3E1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C</w:t>
            </w:r>
          </w:p>
        </w:tc>
        <w:tc>
          <w:tcPr>
            <w:tcW w:w="422" w:type="pct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H</w:t>
            </w:r>
          </w:p>
        </w:tc>
        <w:tc>
          <w:tcPr>
            <w:tcW w:w="379" w:type="pct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N</w:t>
            </w:r>
          </w:p>
        </w:tc>
        <w:tc>
          <w:tcPr>
            <w:tcW w:w="415" w:type="pct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S</w:t>
            </w:r>
          </w:p>
        </w:tc>
        <w:tc>
          <w:tcPr>
            <w:tcW w:w="339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C3E1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11E83" w:rsidRPr="00511E83">
        <w:trPr>
          <w:trHeight w:val="463"/>
          <w:tblCellSpacing w:w="0" w:type="dxa"/>
          <w:jc w:val="center"/>
        </w:trPr>
        <w:tc>
          <w:tcPr>
            <w:tcW w:w="566" w:type="pct"/>
            <w:tcBorders>
              <w:top w:val="nil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BC</w:t>
            </w:r>
          </w:p>
        </w:tc>
        <w:tc>
          <w:tcPr>
            <w:tcW w:w="616" w:type="pct"/>
            <w:tcBorders>
              <w:top w:val="nil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10.06</w:t>
            </w:r>
            <w:r w:rsidRPr="00511E83">
              <w:rPr>
                <w:rFonts w:hint="eastAsia"/>
                <w:szCs w:val="24"/>
              </w:rPr>
              <w:t xml:space="preserve"> </w:t>
            </w:r>
            <w:r w:rsidRPr="00511E83">
              <w:rPr>
                <w:szCs w:val="24"/>
              </w:rPr>
              <w:t>±</w:t>
            </w:r>
            <w:r w:rsidRPr="00511E83">
              <w:rPr>
                <w:rFonts w:hint="eastAsia"/>
                <w:szCs w:val="24"/>
              </w:rPr>
              <w:t xml:space="preserve"> </w:t>
            </w:r>
            <w:r w:rsidRPr="00511E83">
              <w:rPr>
                <w:szCs w:val="24"/>
              </w:rPr>
              <w:t>0.01</w:t>
            </w:r>
          </w:p>
        </w:tc>
        <w:tc>
          <w:tcPr>
            <w:tcW w:w="474" w:type="pct"/>
            <w:tcBorders>
              <w:top w:val="nil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6.17</w:t>
            </w:r>
          </w:p>
        </w:tc>
        <w:tc>
          <w:tcPr>
            <w:tcW w:w="547" w:type="pct"/>
            <w:tcBorders>
              <w:top w:val="nil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0.0356</w:t>
            </w:r>
          </w:p>
        </w:tc>
        <w:tc>
          <w:tcPr>
            <w:tcW w:w="743" w:type="pct"/>
            <w:tcBorders>
              <w:top w:val="nil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23.07</w:t>
            </w:r>
          </w:p>
        </w:tc>
        <w:tc>
          <w:tcPr>
            <w:tcW w:w="493" w:type="pct"/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70.66</w:t>
            </w:r>
          </w:p>
        </w:tc>
        <w:tc>
          <w:tcPr>
            <w:tcW w:w="422" w:type="pct"/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2.18</w:t>
            </w:r>
          </w:p>
        </w:tc>
        <w:tc>
          <w:tcPr>
            <w:tcW w:w="379" w:type="pct"/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0.96</w:t>
            </w:r>
          </w:p>
        </w:tc>
        <w:tc>
          <w:tcPr>
            <w:tcW w:w="415" w:type="pct"/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0.47</w:t>
            </w:r>
          </w:p>
        </w:tc>
        <w:tc>
          <w:tcPr>
            <w:tcW w:w="339" w:type="pct"/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17%</w:t>
            </w:r>
          </w:p>
        </w:tc>
      </w:tr>
      <w:tr w:rsidR="00511E83" w:rsidRPr="00511E83">
        <w:trPr>
          <w:trHeight w:val="532"/>
          <w:tblCellSpacing w:w="0" w:type="dxa"/>
          <w:jc w:val="center"/>
        </w:trPr>
        <w:tc>
          <w:tcPr>
            <w:tcW w:w="566" w:type="pct"/>
            <w:tcBorders>
              <w:bottom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FMBC</w:t>
            </w:r>
          </w:p>
        </w:tc>
        <w:tc>
          <w:tcPr>
            <w:tcW w:w="616" w:type="pct"/>
            <w:tcBorders>
              <w:bottom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10.24</w:t>
            </w:r>
            <w:r w:rsidRPr="00511E83">
              <w:rPr>
                <w:rFonts w:hint="eastAsia"/>
                <w:szCs w:val="24"/>
              </w:rPr>
              <w:t xml:space="preserve"> </w:t>
            </w:r>
            <w:r w:rsidRPr="00511E83">
              <w:rPr>
                <w:szCs w:val="24"/>
              </w:rPr>
              <w:t>±</w:t>
            </w:r>
            <w:r w:rsidRPr="00511E83">
              <w:rPr>
                <w:rFonts w:hint="eastAsia"/>
                <w:szCs w:val="24"/>
              </w:rPr>
              <w:t xml:space="preserve"> </w:t>
            </w:r>
            <w:r w:rsidRPr="00511E83">
              <w:rPr>
                <w:szCs w:val="24"/>
              </w:rPr>
              <w:t>0.01</w:t>
            </w:r>
          </w:p>
        </w:tc>
        <w:tc>
          <w:tcPr>
            <w:tcW w:w="474" w:type="pct"/>
            <w:tcBorders>
              <w:bottom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4.65</w:t>
            </w:r>
          </w:p>
        </w:tc>
        <w:tc>
          <w:tcPr>
            <w:tcW w:w="547" w:type="pct"/>
            <w:tcBorders>
              <w:bottom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0.0430</w:t>
            </w:r>
          </w:p>
        </w:tc>
        <w:tc>
          <w:tcPr>
            <w:tcW w:w="743" w:type="pct"/>
            <w:tcBorders>
              <w:bottom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37.03</w:t>
            </w:r>
          </w:p>
        </w:tc>
        <w:tc>
          <w:tcPr>
            <w:tcW w:w="493" w:type="pct"/>
            <w:tcBorders>
              <w:bottom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47.38</w:t>
            </w:r>
          </w:p>
        </w:tc>
        <w:tc>
          <w:tcPr>
            <w:tcW w:w="422" w:type="pct"/>
            <w:tcBorders>
              <w:bottom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1.53</w:t>
            </w:r>
          </w:p>
        </w:tc>
        <w:tc>
          <w:tcPr>
            <w:tcW w:w="379" w:type="pct"/>
            <w:tcBorders>
              <w:bottom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0.81</w:t>
            </w:r>
          </w:p>
        </w:tc>
        <w:tc>
          <w:tcPr>
            <w:tcW w:w="415" w:type="pct"/>
            <w:tcBorders>
              <w:bottom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0.13</w:t>
            </w:r>
          </w:p>
        </w:tc>
        <w:tc>
          <w:tcPr>
            <w:tcW w:w="339" w:type="pct"/>
            <w:tcBorders>
              <w:bottom w:val="single" w:sz="8" w:space="0" w:color="auto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:rsidR="005C3E1F" w:rsidRPr="00511E83" w:rsidRDefault="00511E83">
            <w:pPr>
              <w:pStyle w:val="NormalWeb"/>
              <w:widowControl/>
              <w:jc w:val="center"/>
              <w:rPr>
                <w:szCs w:val="24"/>
              </w:rPr>
            </w:pPr>
            <w:r w:rsidRPr="00511E83">
              <w:rPr>
                <w:szCs w:val="24"/>
              </w:rPr>
              <w:t>39%</w:t>
            </w:r>
          </w:p>
        </w:tc>
      </w:tr>
    </w:tbl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rPr>
          <w:rFonts w:cs="Times New Roman"/>
        </w:rPr>
      </w:pPr>
    </w:p>
    <w:p w:rsidR="005C3E1F" w:rsidRPr="00511E83" w:rsidRDefault="005C3E1F">
      <w:pPr>
        <w:rPr>
          <w:rFonts w:cs="Times New Roman"/>
          <w:sz w:val="28"/>
          <w:szCs w:val="32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11E83">
      <w:pPr>
        <w:rPr>
          <w:rFonts w:cs="Times New Roman"/>
          <w:sz w:val="24"/>
          <w:szCs w:val="24"/>
        </w:rPr>
      </w:pPr>
      <w:r w:rsidRPr="00511E83">
        <w:rPr>
          <w:rFonts w:ascii="Georgia" w:eastAsia="Georgia" w:hAnsi="Georgia" w:cs="Georgia" w:hint="eastAsia"/>
          <w:sz w:val="24"/>
          <w:szCs w:val="24"/>
        </w:rPr>
        <w:br/>
      </w: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11E83">
      <w:pPr>
        <w:jc w:val="center"/>
        <w:rPr>
          <w:rFonts w:cs="Times New Roman"/>
          <w:sz w:val="24"/>
          <w:szCs w:val="24"/>
        </w:rPr>
      </w:pPr>
      <w:r w:rsidRPr="00511E83">
        <w:rPr>
          <w:rFonts w:cs="Times New Roman"/>
          <w:sz w:val="24"/>
          <w:szCs w:val="24"/>
        </w:rPr>
        <w:t>Table S</w:t>
      </w:r>
      <w:r w:rsidRPr="00511E83">
        <w:rPr>
          <w:rFonts w:cs="Times New Roman" w:hint="eastAsia"/>
          <w:sz w:val="24"/>
          <w:szCs w:val="24"/>
        </w:rPr>
        <w:t>3</w:t>
      </w:r>
      <w:r w:rsidRPr="00511E83">
        <w:rPr>
          <w:rFonts w:cs="Times New Roman"/>
          <w:sz w:val="24"/>
          <w:szCs w:val="24"/>
        </w:rPr>
        <w:t xml:space="preserve"> Topological properties of bacterial community co-occurrence network</w:t>
      </w:r>
    </w:p>
    <w:tbl>
      <w:tblPr>
        <w:tblpPr w:leftFromText="180" w:rightFromText="180" w:vertAnchor="text" w:horzAnchor="page" w:tblpXSpec="center" w:tblpY="125"/>
        <w:tblOverlap w:val="never"/>
        <w:tblW w:w="857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7"/>
        <w:gridCol w:w="970"/>
        <w:gridCol w:w="970"/>
        <w:gridCol w:w="970"/>
        <w:gridCol w:w="970"/>
        <w:gridCol w:w="970"/>
        <w:gridCol w:w="971"/>
      </w:tblGrid>
      <w:tr w:rsidR="00511E83" w:rsidRPr="00511E83">
        <w:trPr>
          <w:trHeight w:val="513"/>
          <w:jc w:val="center"/>
        </w:trPr>
        <w:tc>
          <w:tcPr>
            <w:tcW w:w="2757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Network Parameters</w:t>
            </w:r>
          </w:p>
        </w:tc>
        <w:tc>
          <w:tcPr>
            <w:tcW w:w="97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FCK</w:t>
            </w:r>
          </w:p>
        </w:tc>
        <w:tc>
          <w:tcPr>
            <w:tcW w:w="97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FBC</w:t>
            </w:r>
          </w:p>
        </w:tc>
        <w:tc>
          <w:tcPr>
            <w:tcW w:w="97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FFM</w:t>
            </w:r>
          </w:p>
        </w:tc>
        <w:tc>
          <w:tcPr>
            <w:tcW w:w="97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ACK</w:t>
            </w:r>
          </w:p>
        </w:tc>
        <w:tc>
          <w:tcPr>
            <w:tcW w:w="97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ABC</w:t>
            </w:r>
          </w:p>
        </w:tc>
        <w:tc>
          <w:tcPr>
            <w:tcW w:w="971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AFM</w:t>
            </w:r>
          </w:p>
        </w:tc>
      </w:tr>
      <w:tr w:rsidR="00511E83" w:rsidRPr="00511E83">
        <w:trPr>
          <w:trHeight w:val="505"/>
          <w:jc w:val="center"/>
        </w:trPr>
        <w:tc>
          <w:tcPr>
            <w:tcW w:w="27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C3E1F" w:rsidRPr="00511E83" w:rsidRDefault="005C3E1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C3E1F" w:rsidRPr="00511E83" w:rsidRDefault="005C3E1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C3E1F" w:rsidRPr="00511E83" w:rsidRDefault="005C3E1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C3E1F" w:rsidRPr="00511E83" w:rsidRDefault="005C3E1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C3E1F" w:rsidRPr="00511E83" w:rsidRDefault="005C3E1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C3E1F" w:rsidRPr="00511E83" w:rsidRDefault="005C3E1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C3E1F" w:rsidRPr="00511E83" w:rsidRDefault="005C3E1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11E83" w:rsidRPr="00511E83">
        <w:trPr>
          <w:trHeight w:val="519"/>
          <w:jc w:val="center"/>
        </w:trPr>
        <w:tc>
          <w:tcPr>
            <w:tcW w:w="27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Nodes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 w:hint="eastAsia"/>
                <w:sz w:val="24"/>
                <w:szCs w:val="24"/>
              </w:rPr>
              <w:t>288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 w:hint="eastAsia"/>
                <w:sz w:val="24"/>
                <w:szCs w:val="24"/>
              </w:rPr>
              <w:t>324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 w:hint="eastAsia"/>
                <w:sz w:val="24"/>
                <w:szCs w:val="24"/>
              </w:rPr>
              <w:t>335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 w:hint="eastAsia"/>
                <w:sz w:val="24"/>
                <w:szCs w:val="24"/>
              </w:rPr>
              <w:t>136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 w:hint="eastAsia"/>
                <w:sz w:val="24"/>
                <w:szCs w:val="24"/>
              </w:rPr>
              <w:t>318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 w:hint="eastAsia"/>
                <w:sz w:val="24"/>
                <w:szCs w:val="24"/>
              </w:rPr>
              <w:t>324</w:t>
            </w:r>
          </w:p>
        </w:tc>
      </w:tr>
      <w:tr w:rsidR="00511E83" w:rsidRPr="00511E83">
        <w:trPr>
          <w:trHeight w:val="474"/>
          <w:jc w:val="center"/>
        </w:trPr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Edges (positive)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 w:hint="eastAsia"/>
                <w:sz w:val="24"/>
                <w:szCs w:val="24"/>
              </w:rPr>
              <w:t>1586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2088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 w:hint="eastAsia"/>
                <w:sz w:val="24"/>
                <w:szCs w:val="24"/>
              </w:rPr>
              <w:t>2076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418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1721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1794</w:t>
            </w:r>
          </w:p>
        </w:tc>
      </w:tr>
      <w:tr w:rsidR="00511E83" w:rsidRPr="00511E83">
        <w:trPr>
          <w:trHeight w:val="483"/>
          <w:jc w:val="center"/>
        </w:trPr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Edges (negative)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 w:hint="eastAsia"/>
                <w:sz w:val="24"/>
                <w:szCs w:val="24"/>
              </w:rPr>
              <w:t>1272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1117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 w:hint="eastAsia"/>
                <w:sz w:val="24"/>
                <w:szCs w:val="24"/>
              </w:rPr>
              <w:t>1069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208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819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1178</w:t>
            </w:r>
          </w:p>
        </w:tc>
      </w:tr>
      <w:tr w:rsidR="00511E83" w:rsidRPr="00511E83">
        <w:trPr>
          <w:trHeight w:val="483"/>
          <w:jc w:val="center"/>
        </w:trPr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 xml:space="preserve">Average </w:t>
            </w: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d</w:t>
            </w:r>
            <w:r w:rsidRPr="00511E83">
              <w:rPr>
                <w:rFonts w:cs="Times New Roman"/>
                <w:kern w:val="0"/>
                <w:sz w:val="24"/>
                <w:szCs w:val="24"/>
                <w:lang w:bidi="ar"/>
              </w:rPr>
              <w:t>egree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 w:hint="eastAsia"/>
                <w:sz w:val="24"/>
                <w:szCs w:val="24"/>
              </w:rPr>
              <w:t>18.032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20.42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 w:hint="eastAsia"/>
                <w:sz w:val="24"/>
                <w:szCs w:val="24"/>
              </w:rPr>
              <w:t>19.968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9.206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16.577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16.734</w:t>
            </w:r>
          </w:p>
        </w:tc>
      </w:tr>
      <w:tr w:rsidR="00511E83" w:rsidRPr="00511E83">
        <w:trPr>
          <w:trHeight w:val="483"/>
          <w:jc w:val="center"/>
        </w:trPr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Clustering coefficients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 w:hint="eastAsia"/>
                <w:sz w:val="24"/>
                <w:szCs w:val="24"/>
              </w:rPr>
              <w:t>0.804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0.791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 w:hint="eastAsia"/>
                <w:sz w:val="24"/>
                <w:szCs w:val="24"/>
              </w:rPr>
              <w:t>0.768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0.807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0.799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0.789</w:t>
            </w:r>
          </w:p>
        </w:tc>
      </w:tr>
      <w:tr w:rsidR="00511E83" w:rsidRPr="00511E83">
        <w:trPr>
          <w:trHeight w:val="565"/>
          <w:jc w:val="center"/>
        </w:trPr>
        <w:tc>
          <w:tcPr>
            <w:tcW w:w="275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Modularity</w:t>
            </w:r>
          </w:p>
        </w:tc>
        <w:tc>
          <w:tcPr>
            <w:tcW w:w="9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C3E1F" w:rsidRPr="00511E83" w:rsidRDefault="00511E8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 w:hint="eastAsia"/>
                <w:sz w:val="24"/>
                <w:szCs w:val="24"/>
              </w:rPr>
              <w:t>2.09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2.086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C3E1F" w:rsidRPr="00511E83" w:rsidRDefault="00511E8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11E83">
              <w:rPr>
                <w:rFonts w:cs="Times New Roman" w:hint="eastAsia"/>
                <w:sz w:val="24"/>
                <w:szCs w:val="24"/>
              </w:rPr>
              <w:t>2.518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2.979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4.708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C3E1F" w:rsidRPr="00511E83" w:rsidRDefault="00511E83">
            <w:pPr>
              <w:widowControl/>
              <w:jc w:val="center"/>
              <w:textAlignment w:val="center"/>
              <w:rPr>
                <w:rFonts w:cs="Times New Roman"/>
                <w:kern w:val="0"/>
                <w:sz w:val="24"/>
                <w:szCs w:val="24"/>
                <w:lang w:bidi="ar"/>
              </w:rPr>
            </w:pPr>
            <w:r w:rsidRPr="00511E83">
              <w:rPr>
                <w:rFonts w:cs="Times New Roman" w:hint="eastAsia"/>
                <w:kern w:val="0"/>
                <w:sz w:val="24"/>
                <w:szCs w:val="24"/>
                <w:lang w:bidi="ar"/>
              </w:rPr>
              <w:t>6.09</w:t>
            </w:r>
          </w:p>
        </w:tc>
      </w:tr>
    </w:tbl>
    <w:p w:rsidR="005C3E1F" w:rsidRPr="00511E83" w:rsidRDefault="005C3E1F">
      <w:pPr>
        <w:rPr>
          <w:rFonts w:cs="Times New Roman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11E83">
      <w:pPr>
        <w:jc w:val="center"/>
        <w:rPr>
          <w:rFonts w:cs="Times New Roman"/>
          <w:sz w:val="24"/>
          <w:szCs w:val="24"/>
        </w:rPr>
      </w:pPr>
      <w:r w:rsidRPr="00511E83">
        <w:rPr>
          <w:rFonts w:cs="Times New Roman"/>
          <w:sz w:val="24"/>
          <w:szCs w:val="24"/>
        </w:rPr>
        <w:t>Table S</w:t>
      </w:r>
      <w:r w:rsidRPr="00511E83">
        <w:rPr>
          <w:rFonts w:cs="Times New Roman" w:hint="eastAsia"/>
          <w:sz w:val="24"/>
          <w:szCs w:val="24"/>
        </w:rPr>
        <w:t>4</w:t>
      </w:r>
      <w:r w:rsidRPr="00511E83">
        <w:rPr>
          <w:rFonts w:cs="Times New Roman"/>
          <w:sz w:val="24"/>
          <w:szCs w:val="24"/>
        </w:rPr>
        <w:t xml:space="preserve"> </w:t>
      </w:r>
      <w:r w:rsidRPr="00511E83">
        <w:rPr>
          <w:rFonts w:cs="Times New Roman" w:hint="eastAsia"/>
          <w:sz w:val="24"/>
          <w:szCs w:val="24"/>
        </w:rPr>
        <w:t>The classification information for each keystone taxa</w:t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4705"/>
        <w:gridCol w:w="1487"/>
        <w:gridCol w:w="1121"/>
      </w:tblGrid>
      <w:tr w:rsidR="00511E83" w:rsidRPr="00511E83">
        <w:trPr>
          <w:trHeight w:val="320"/>
          <w:jc w:val="center"/>
        </w:trPr>
        <w:tc>
          <w:tcPr>
            <w:tcW w:w="102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511E83">
              <w:rPr>
                <w:rFonts w:hint="eastAsia"/>
                <w:kern w:val="0"/>
                <w:sz w:val="18"/>
                <w:szCs w:val="18"/>
              </w:rPr>
              <w:t>Treatments</w:t>
            </w:r>
          </w:p>
        </w:tc>
        <w:tc>
          <w:tcPr>
            <w:tcW w:w="470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Genus</w:t>
            </w:r>
          </w:p>
        </w:tc>
        <w:tc>
          <w:tcPr>
            <w:tcW w:w="148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Phylum</w:t>
            </w:r>
          </w:p>
        </w:tc>
        <w:tc>
          <w:tcPr>
            <w:tcW w:w="112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Degree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ACK</w:t>
            </w:r>
          </w:p>
        </w:tc>
        <w:tc>
          <w:tcPr>
            <w:tcW w:w="47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Solirubrobacter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Actinobacteriota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14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WCHB1-32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Bacteroidota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14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Archangium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Myxococcota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14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Lysobacter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14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Propionicicella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Actinobacteriota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14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RB41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Acidobacteriota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14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Thermoanaerobaculum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Acidobacteriota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14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Deferrisoma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Deferrisomatota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14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Adhaeribacter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Bacteroidota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14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Luedemannella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Actinobacteriota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13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ABC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unclassified_f__Gallionellaceae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28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Thermomonas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28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Sporacetigenium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Firmicutes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28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norank_f__norank_o__Syntrophales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Desulfobacterota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28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norank_f__norank_o__norank_c__Thermodesulfovibrionia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Nitrospirota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28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norank_f__norank_o__Candidatus_Falkowbacteria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Patescibacteria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28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norank_f__Lentimicrobiaceae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Bacteroidota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28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norank_f__Geobacteraceae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Desulfobacterota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28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Endomicrobium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Elusimicrobiota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28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Defluviicoccus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28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AFM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norank_f__norank_o__norank_c__Alphaproteobacteria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31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norank_f__Rhodocyclaceae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30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norank_f__Isosphaeraceae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Planctomycetota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30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norank_f__norank_o__Candidatus_Moranbacteria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Patescibacteria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30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norank_f__Blrii41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Myxococcota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30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norank_f__norank_o__Clostridia_UCG-014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Firmicutes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30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norank_f__Planococcaceae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Firmicutes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30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Geobacter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Desulfobacterota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30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norank_f__norank_o__norank_c__KD4-96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Chloroflexi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30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unclassified_f__Anaerolineaceae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Chloroflexi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30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FCK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norank_f__norank_o__Candidatus_Moranbacteria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Patescibacteria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35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Ellin6067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35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unclassified_f__Beijerinckiaceae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32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norank_f__Caulobacteraceae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30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norank_f__norank_o__SJA-15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Chloroflexi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28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norank_f__norank_o__norank_c__Dojkabacteria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Patescibacteria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28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norank_f__Methyloligellaceae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28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norank_f__Heliobacteriaceae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Firmicutes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28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Flavisolibacter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Bacteroidota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28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unclassified_o__Fimbrimonadales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Armatimonadota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27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FBC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unclassified_f__Myxococcaceae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Myxococcota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51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norank_f__TRA3-20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50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Monoglobus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Firmicutes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48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unclassified_c__Clostridia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Firmicutes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48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unclassified_f__Thermomonosporaceae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Actinobacteriota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48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Adhaeribacter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Bacteroidota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46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Archangium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Myxococcota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46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Arenimonas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46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Asticcacaulis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46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Bosea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46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FFM</w:t>
            </w:r>
          </w:p>
        </w:tc>
        <w:tc>
          <w:tcPr>
            <w:tcW w:w="4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Novosphingobium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48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Deinococcus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Deinococcota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47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Edaphobaculum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Bacteroidota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47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Herbaspirillum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47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Lactobacillus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Firmicutes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47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norank_f__Beggiatoaceae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47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norank_f__Chitinophagaceae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Bacteroidota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47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norank_f__env.OPS_17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Bacteroidota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47</w:t>
            </w:r>
          </w:p>
        </w:tc>
      </w:tr>
      <w:tr w:rsidR="00511E83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norank_f__unclassified_o__Oxyphotobacteria_Incertae_Sedis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Cyanobacteria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47</w:t>
            </w:r>
          </w:p>
        </w:tc>
      </w:tr>
      <w:tr w:rsidR="005C3E1F" w:rsidRPr="00511E83">
        <w:trPr>
          <w:trHeight w:val="320"/>
          <w:jc w:val="center"/>
        </w:trPr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C3E1F" w:rsidRPr="00511E83" w:rsidRDefault="005C3E1F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</w:p>
        </w:tc>
        <w:tc>
          <w:tcPr>
            <w:tcW w:w="47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Sideroxydans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Proteobacteria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C3E1F" w:rsidRPr="00511E83" w:rsidRDefault="00511E83">
            <w:pPr>
              <w:widowControl/>
              <w:jc w:val="center"/>
              <w:rPr>
                <w:rFonts w:eastAsia="DengXian"/>
                <w:kern w:val="0"/>
                <w:sz w:val="18"/>
                <w:szCs w:val="18"/>
              </w:rPr>
            </w:pPr>
            <w:r w:rsidRPr="00511E83">
              <w:rPr>
                <w:rFonts w:eastAsia="DengXian"/>
                <w:kern w:val="0"/>
                <w:sz w:val="18"/>
                <w:szCs w:val="18"/>
              </w:rPr>
              <w:t>47</w:t>
            </w:r>
          </w:p>
        </w:tc>
      </w:tr>
    </w:tbl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11E83">
      <w:pPr>
        <w:jc w:val="center"/>
        <w:rPr>
          <w:rFonts w:cs="Times New Roman"/>
          <w:sz w:val="24"/>
          <w:szCs w:val="24"/>
        </w:rPr>
      </w:pPr>
      <w:r w:rsidRPr="00511E83">
        <w:rPr>
          <w:rFonts w:cs="Times New Roman"/>
          <w:sz w:val="24"/>
          <w:szCs w:val="24"/>
        </w:rPr>
        <w:object w:dxaOrig="3891" w:dyaOrig="31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55pt;height:158.8pt" o:ole="">
            <v:imagedata r:id="rId9" o:title="" croptop="9266f" cropbottom="9955f" cropleft="9533f" cropright="15137f"/>
            <o:lock v:ext="edit" aspectratio="f"/>
          </v:shape>
          <o:OLEObject Type="Embed" ProgID="Origin95.Graph" ShapeID="_x0000_i1025" DrawAspect="Content" ObjectID="_1838211810" r:id="rId10"/>
        </w:object>
      </w:r>
      <w:r w:rsidRPr="00511E83">
        <w:object w:dxaOrig="3921" w:dyaOrig="3240">
          <v:shape id="_x0000_i1026" type="#_x0000_t75" style="width:196.05pt;height:162pt" o:ole="">
            <v:imagedata r:id="rId11" o:title="" croptop="8777f" cropbottom="10191f" cropleft="9065f" cropright="15740f"/>
            <o:lock v:ext="edit" aspectratio="f"/>
          </v:shape>
          <o:OLEObject Type="Embed" ProgID="Origin95.Graph" ShapeID="_x0000_i1026" DrawAspect="Content" ObjectID="_1838211811" r:id="rId12"/>
        </w:object>
      </w:r>
      <w:r w:rsidRPr="00511E83">
        <w:object w:dxaOrig="4044" w:dyaOrig="3255">
          <v:shape id="_x0000_i1027" type="#_x0000_t75" style="width:202.2pt;height:162.75pt" o:ole="">
            <v:imagedata r:id="rId13" o:title="" croptop="9265f" cropbottom="10142f" cropleft="8845f" cropright="15446f"/>
            <o:lock v:ext="edit" aspectratio="f"/>
          </v:shape>
          <o:OLEObject Type="Embed" ProgID="Origin95.Graph" ShapeID="_x0000_i1027" DrawAspect="Content" ObjectID="_1838211812" r:id="rId14"/>
        </w:object>
      </w:r>
      <w:r w:rsidRPr="00511E83">
        <w:object w:dxaOrig="4054" w:dyaOrig="3191">
          <v:shape id="_x0000_i1028" type="#_x0000_t75" style="width:202.7pt;height:159.55pt" o:ole="">
            <v:imagedata r:id="rId15" o:title="" croptop="9045f" cropbottom="10508f" cropleft="9213f" cropright="15814f"/>
            <o:lock v:ext="edit" aspectratio="f"/>
          </v:shape>
          <o:OLEObject Type="Embed" ProgID="Origin95.Graph" ShapeID="_x0000_i1028" DrawAspect="Content" ObjectID="_1838211813" r:id="rId16"/>
        </w:object>
      </w:r>
    </w:p>
    <w:p w:rsidR="005C3E1F" w:rsidRPr="00511E83" w:rsidRDefault="00511E83">
      <w:pPr>
        <w:jc w:val="center"/>
        <w:rPr>
          <w:rFonts w:cs="Times New Roman"/>
          <w:sz w:val="24"/>
          <w:szCs w:val="24"/>
        </w:rPr>
      </w:pPr>
      <w:r w:rsidRPr="00511E83">
        <w:rPr>
          <w:rFonts w:cs="Times New Roman" w:hint="eastAsia"/>
          <w:sz w:val="24"/>
          <w:szCs w:val="24"/>
        </w:rPr>
        <w:t>Fig.</w:t>
      </w:r>
      <w:r w:rsidRPr="00511E83">
        <w:rPr>
          <w:rFonts w:cs="Times New Roman"/>
          <w:sz w:val="24"/>
          <w:szCs w:val="24"/>
        </w:rPr>
        <w:t xml:space="preserve"> </w:t>
      </w:r>
      <w:r w:rsidRPr="00511E83">
        <w:rPr>
          <w:rFonts w:cs="Times New Roman" w:hint="eastAsia"/>
          <w:sz w:val="24"/>
          <w:szCs w:val="24"/>
        </w:rPr>
        <w:t>S1</w:t>
      </w:r>
      <w:r w:rsidRPr="00511E83">
        <w:rPr>
          <w:rFonts w:cs="Times New Roman"/>
          <w:sz w:val="24"/>
          <w:szCs w:val="24"/>
        </w:rPr>
        <w:t xml:space="preserve"> Effects of </w:t>
      </w:r>
      <w:r w:rsidRPr="00511E83">
        <w:rPr>
          <w:rFonts w:cs="Times New Roman" w:hint="eastAsia"/>
          <w:sz w:val="24"/>
          <w:szCs w:val="24"/>
        </w:rPr>
        <w:t xml:space="preserve">FMBC </w:t>
      </w:r>
      <w:r w:rsidRPr="00511E83">
        <w:rPr>
          <w:rFonts w:cs="Times New Roman"/>
          <w:sz w:val="24"/>
          <w:szCs w:val="24"/>
        </w:rPr>
        <w:t>combined with water management on</w:t>
      </w:r>
      <w:r w:rsidRPr="00511E83">
        <w:rPr>
          <w:rFonts w:cs="Times New Roman" w:hint="eastAsia"/>
          <w:sz w:val="24"/>
          <w:szCs w:val="24"/>
        </w:rPr>
        <w:t xml:space="preserve"> </w:t>
      </w:r>
      <w:r w:rsidRPr="00511E83">
        <w:rPr>
          <w:rFonts w:cs="Times New Roman"/>
          <w:sz w:val="24"/>
          <w:szCs w:val="24"/>
        </w:rPr>
        <w:t xml:space="preserve">soil physicochemical properties </w:t>
      </w:r>
      <w:r w:rsidRPr="00511E83">
        <w:rPr>
          <w:rFonts w:cs="Times New Roman" w:hint="eastAsia"/>
          <w:sz w:val="24"/>
          <w:szCs w:val="24"/>
        </w:rPr>
        <w:t>(a) pH; (b) CEC; (c) TOC; (d) DOC</w:t>
      </w: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11E83">
      <w:pPr>
        <w:jc w:val="center"/>
        <w:rPr>
          <w:rFonts w:cs="Times New Roman"/>
          <w:sz w:val="24"/>
          <w:szCs w:val="24"/>
        </w:rPr>
      </w:pPr>
      <w:r w:rsidRPr="00511E83">
        <w:rPr>
          <w:rFonts w:cs="Times New Roman" w:hint="eastAsia"/>
        </w:rPr>
        <w:object w:dxaOrig="3960" w:dyaOrig="2895">
          <v:shape id="_x0000_i1029" type="#_x0000_t75" style="width:198pt;height:144.75pt" o:ole="">
            <v:imagedata r:id="rId17" o:title=""/>
            <o:lock v:ext="edit" aspectratio="f"/>
          </v:shape>
          <o:OLEObject Type="Embed" ProgID="Origin95.Graph" ShapeID="_x0000_i1029" DrawAspect="Content" ObjectID="_1838211814" r:id="rId18"/>
        </w:object>
      </w:r>
      <w:r w:rsidRPr="00511E83">
        <w:rPr>
          <w:rFonts w:cs="Times New Roman" w:hint="eastAsia"/>
        </w:rPr>
        <w:object w:dxaOrig="3758" w:dyaOrig="2870">
          <v:shape id="_x0000_i1030" type="#_x0000_t75" style="width:187.9pt;height:143.5pt" o:ole="">
            <v:imagedata r:id="rId19" o:title=""/>
            <o:lock v:ext="edit" aspectratio="f"/>
          </v:shape>
          <o:OLEObject Type="Embed" ProgID="Origin95.Graph" ShapeID="_x0000_i1030" DrawAspect="Content" ObjectID="_1838211815" r:id="rId20"/>
        </w:object>
      </w:r>
    </w:p>
    <w:p w:rsidR="005C3E1F" w:rsidRPr="00511E83" w:rsidRDefault="00511E83">
      <w:pPr>
        <w:jc w:val="center"/>
        <w:rPr>
          <w:rFonts w:cs="Times New Roman"/>
          <w:sz w:val="24"/>
          <w:szCs w:val="24"/>
        </w:rPr>
      </w:pPr>
      <w:bookmarkStart w:id="10" w:name="OLE_LINK119"/>
      <w:bookmarkEnd w:id="10"/>
      <w:r w:rsidRPr="00511E83">
        <w:rPr>
          <w:rFonts w:cs="Times New Roman" w:hint="eastAsia"/>
          <w:sz w:val="24"/>
          <w:szCs w:val="24"/>
        </w:rPr>
        <w:t>Fig.</w:t>
      </w:r>
      <w:r w:rsidRPr="00511E83">
        <w:rPr>
          <w:rFonts w:cs="Times New Roman"/>
          <w:sz w:val="24"/>
          <w:szCs w:val="24"/>
        </w:rPr>
        <w:t xml:space="preserve"> </w:t>
      </w:r>
      <w:r w:rsidRPr="00511E83">
        <w:rPr>
          <w:rFonts w:cs="Times New Roman" w:hint="eastAsia"/>
          <w:sz w:val="24"/>
          <w:szCs w:val="24"/>
        </w:rPr>
        <w:t>S2</w:t>
      </w:r>
      <w:r w:rsidRPr="00511E83">
        <w:rPr>
          <w:rFonts w:cs="Times New Roman"/>
          <w:sz w:val="24"/>
          <w:szCs w:val="24"/>
        </w:rPr>
        <w:t xml:space="preserve"> </w:t>
      </w:r>
      <w:bookmarkStart w:id="11" w:name="OLE_LINK118"/>
      <w:r w:rsidRPr="00511E83">
        <w:rPr>
          <w:rFonts w:cs="Times New Roman"/>
          <w:sz w:val="24"/>
          <w:szCs w:val="24"/>
        </w:rPr>
        <w:t xml:space="preserve">Effects of </w:t>
      </w:r>
      <w:r w:rsidRPr="00511E83">
        <w:rPr>
          <w:rFonts w:cs="Times New Roman" w:hint="eastAsia"/>
          <w:sz w:val="24"/>
          <w:szCs w:val="24"/>
        </w:rPr>
        <w:t xml:space="preserve">FMBC </w:t>
      </w:r>
      <w:r w:rsidRPr="00511E83">
        <w:rPr>
          <w:rFonts w:cs="Times New Roman"/>
          <w:sz w:val="24"/>
          <w:szCs w:val="24"/>
        </w:rPr>
        <w:t>combined with water management</w:t>
      </w:r>
      <w:bookmarkEnd w:id="11"/>
      <w:r w:rsidRPr="00511E83">
        <w:rPr>
          <w:rFonts w:cs="Times New Roman"/>
          <w:sz w:val="24"/>
          <w:szCs w:val="24"/>
        </w:rPr>
        <w:t xml:space="preserve"> on</w:t>
      </w:r>
      <w:r w:rsidRPr="00511E83">
        <w:rPr>
          <w:rFonts w:cs="Times New Roman" w:hint="eastAsia"/>
          <w:sz w:val="24"/>
          <w:szCs w:val="24"/>
        </w:rPr>
        <w:t xml:space="preserve"> the </w:t>
      </w:r>
      <w:r w:rsidRPr="00511E83">
        <w:rPr>
          <w:rFonts w:cs="Times New Roman"/>
          <w:sz w:val="24"/>
          <w:szCs w:val="24"/>
        </w:rPr>
        <w:t xml:space="preserve">iron-manganese plaques </w:t>
      </w:r>
      <w:r w:rsidRPr="00511E83">
        <w:rPr>
          <w:rFonts w:cs="Times New Roman" w:hint="eastAsia"/>
          <w:sz w:val="24"/>
          <w:szCs w:val="24"/>
        </w:rPr>
        <w:t>of rice roots (a) DCB-Fe; (b) DCB-Mn</w:t>
      </w:r>
    </w:p>
    <w:p w:rsidR="005C3E1F" w:rsidRPr="00511E83" w:rsidRDefault="00511E83">
      <w:pPr>
        <w:jc w:val="center"/>
        <w:rPr>
          <w:rFonts w:cs="Times New Roman"/>
          <w:sz w:val="24"/>
          <w:szCs w:val="24"/>
        </w:rPr>
      </w:pPr>
      <w:r w:rsidRPr="00511E83">
        <w:rPr>
          <w:rFonts w:cs="Times New Roman"/>
          <w:sz w:val="24"/>
          <w:szCs w:val="24"/>
        </w:rPr>
        <w:t xml:space="preserve"> </w:t>
      </w: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  <w:rPr>
          <w:rFonts w:cs="Times New Roman"/>
          <w:sz w:val="24"/>
          <w:szCs w:val="24"/>
        </w:rPr>
      </w:pPr>
    </w:p>
    <w:p w:rsidR="005C3E1F" w:rsidRPr="00511E83" w:rsidRDefault="005C3E1F">
      <w:pPr>
        <w:jc w:val="center"/>
      </w:pPr>
    </w:p>
    <w:p w:rsidR="005C3E1F" w:rsidRPr="00511E83" w:rsidRDefault="00511E83">
      <w:pPr>
        <w:jc w:val="center"/>
      </w:pPr>
      <w:r w:rsidRPr="00511E83">
        <w:rPr>
          <w:noProof/>
          <w:lang w:val="en-IN" w:eastAsia="en-IN"/>
        </w:rPr>
        <w:drawing>
          <wp:inline distT="0" distB="0" distL="114300" distR="114300">
            <wp:extent cx="5147945" cy="2931795"/>
            <wp:effectExtent l="0" t="0" r="0" b="0"/>
            <wp:docPr id="2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3"/>
                    <pic:cNvPicPr>
                      <a:picLocks noChangeAspect="1"/>
                    </pic:cNvPicPr>
                  </pic:nvPicPr>
                  <pic:blipFill>
                    <a:blip r:embed="rId21"/>
                    <a:srcRect r="2278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E1F" w:rsidRPr="00511E83" w:rsidRDefault="00511E83">
      <w:pPr>
        <w:jc w:val="center"/>
        <w:rPr>
          <w:sz w:val="24"/>
          <w:szCs w:val="24"/>
        </w:rPr>
      </w:pPr>
      <w:r w:rsidRPr="00511E83">
        <w:rPr>
          <w:rFonts w:cs="Times New Roman" w:hint="eastAsia"/>
          <w:sz w:val="24"/>
          <w:szCs w:val="24"/>
        </w:rPr>
        <w:t>Fig.</w:t>
      </w:r>
      <w:r w:rsidRPr="00511E83">
        <w:rPr>
          <w:rFonts w:cs="Times New Roman"/>
          <w:sz w:val="24"/>
          <w:szCs w:val="24"/>
        </w:rPr>
        <w:t xml:space="preserve"> </w:t>
      </w:r>
      <w:r w:rsidRPr="00511E83">
        <w:rPr>
          <w:rFonts w:cs="Times New Roman" w:hint="eastAsia"/>
          <w:sz w:val="24"/>
          <w:szCs w:val="24"/>
        </w:rPr>
        <w:t xml:space="preserve">S3 </w:t>
      </w:r>
      <w:r w:rsidRPr="00511E83">
        <w:rPr>
          <w:rFonts w:hint="eastAsia"/>
          <w:sz w:val="24"/>
          <w:szCs w:val="24"/>
        </w:rPr>
        <w:t>Key pathways for the synergistic reduction of Cd and Hg accumulation by combined FMBC application and water management</w:t>
      </w:r>
    </w:p>
    <w:sectPr w:rsidR="005C3E1F" w:rsidRPr="00511E83" w:rsidSect="00511E83">
      <w:footerReference w:type="defaul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11E83">
      <w:r>
        <w:separator/>
      </w:r>
    </w:p>
  </w:endnote>
  <w:endnote w:type="continuationSeparator" w:id="0">
    <w:p w:rsidR="00000000" w:rsidRDefault="00511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1F" w:rsidRDefault="00511E83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C3E1F" w:rsidRDefault="00511E83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5C3E1F" w:rsidRDefault="00511E83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1F" w:rsidRDefault="00511E83">
    <w:pPr>
      <w:pStyle w:val="Footer"/>
      <w:ind w:firstLine="360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C3E1F" w:rsidRDefault="00511E83">
                          <w:pPr>
                            <w:pStyle w:val="Footer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0;margin-top:0;width:2in;height:2in;z-index:25165619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OxjXvm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5C3E1F" w:rsidRDefault="00511E83">
                    <w:pPr>
                      <w:pStyle w:val="Footer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11E83">
      <w:r>
        <w:separator/>
      </w:r>
    </w:p>
  </w:footnote>
  <w:footnote w:type="continuationSeparator" w:id="0">
    <w:p w:rsidR="00000000" w:rsidRDefault="00511E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xOTA1YzcyZWFjYWEzZTEyNzc5ZTBkOWNkNWMxNjQifQ=="/>
  </w:docVars>
  <w:rsids>
    <w:rsidRoot w:val="42D25C4C"/>
    <w:rsid w:val="00040D66"/>
    <w:rsid w:val="00076CCA"/>
    <w:rsid w:val="0010127B"/>
    <w:rsid w:val="001A7C60"/>
    <w:rsid w:val="00213631"/>
    <w:rsid w:val="00321C88"/>
    <w:rsid w:val="003C70FC"/>
    <w:rsid w:val="003D0E36"/>
    <w:rsid w:val="004420B9"/>
    <w:rsid w:val="004A4D87"/>
    <w:rsid w:val="00511E83"/>
    <w:rsid w:val="0053228E"/>
    <w:rsid w:val="005C3E1F"/>
    <w:rsid w:val="006C7758"/>
    <w:rsid w:val="00724B64"/>
    <w:rsid w:val="007668AA"/>
    <w:rsid w:val="008F0B77"/>
    <w:rsid w:val="009E2387"/>
    <w:rsid w:val="00A34DF7"/>
    <w:rsid w:val="00A473E7"/>
    <w:rsid w:val="00A73D3C"/>
    <w:rsid w:val="00AE6FC3"/>
    <w:rsid w:val="00B07DA6"/>
    <w:rsid w:val="00B32DC2"/>
    <w:rsid w:val="00DB151C"/>
    <w:rsid w:val="00E11B51"/>
    <w:rsid w:val="00E21DF5"/>
    <w:rsid w:val="00EB4B5F"/>
    <w:rsid w:val="00F62CC2"/>
    <w:rsid w:val="00F87EF1"/>
    <w:rsid w:val="00F97805"/>
    <w:rsid w:val="00FA4D14"/>
    <w:rsid w:val="00FC5A76"/>
    <w:rsid w:val="04E71810"/>
    <w:rsid w:val="063257BF"/>
    <w:rsid w:val="06420522"/>
    <w:rsid w:val="0666565A"/>
    <w:rsid w:val="07A254CA"/>
    <w:rsid w:val="08BD0334"/>
    <w:rsid w:val="09126F4A"/>
    <w:rsid w:val="09EF3DB1"/>
    <w:rsid w:val="0A7B7470"/>
    <w:rsid w:val="0F072309"/>
    <w:rsid w:val="0FB7073D"/>
    <w:rsid w:val="12415A2B"/>
    <w:rsid w:val="12AB42E7"/>
    <w:rsid w:val="131E2317"/>
    <w:rsid w:val="13227F2E"/>
    <w:rsid w:val="152A0AFF"/>
    <w:rsid w:val="154C1139"/>
    <w:rsid w:val="166B3ED7"/>
    <w:rsid w:val="1A0F6516"/>
    <w:rsid w:val="1AE7616A"/>
    <w:rsid w:val="1D3368D9"/>
    <w:rsid w:val="1DBF59E9"/>
    <w:rsid w:val="20CD4FB6"/>
    <w:rsid w:val="21486D6C"/>
    <w:rsid w:val="237D5216"/>
    <w:rsid w:val="26B47FFC"/>
    <w:rsid w:val="281819F8"/>
    <w:rsid w:val="287120F5"/>
    <w:rsid w:val="2A1A0130"/>
    <w:rsid w:val="2AD6166C"/>
    <w:rsid w:val="2B165956"/>
    <w:rsid w:val="2C6B5D42"/>
    <w:rsid w:val="2C8608B9"/>
    <w:rsid w:val="2C8E0EB2"/>
    <w:rsid w:val="2CCB7515"/>
    <w:rsid w:val="2D495E8E"/>
    <w:rsid w:val="30D968FF"/>
    <w:rsid w:val="30EA6424"/>
    <w:rsid w:val="331A2080"/>
    <w:rsid w:val="332664A5"/>
    <w:rsid w:val="3402367C"/>
    <w:rsid w:val="34BF0C4E"/>
    <w:rsid w:val="362A675A"/>
    <w:rsid w:val="374A4A5B"/>
    <w:rsid w:val="378105FB"/>
    <w:rsid w:val="3A7308C7"/>
    <w:rsid w:val="3E691DE9"/>
    <w:rsid w:val="40BC44FF"/>
    <w:rsid w:val="40F54C34"/>
    <w:rsid w:val="42AB6E74"/>
    <w:rsid w:val="42D25C4C"/>
    <w:rsid w:val="43A76BA5"/>
    <w:rsid w:val="43D30B6C"/>
    <w:rsid w:val="44013556"/>
    <w:rsid w:val="453D609C"/>
    <w:rsid w:val="45623013"/>
    <w:rsid w:val="473A4323"/>
    <w:rsid w:val="477644A6"/>
    <w:rsid w:val="47B440D5"/>
    <w:rsid w:val="4862767B"/>
    <w:rsid w:val="4AAD63EA"/>
    <w:rsid w:val="4FF9766F"/>
    <w:rsid w:val="506F14E1"/>
    <w:rsid w:val="531A1344"/>
    <w:rsid w:val="55DB3175"/>
    <w:rsid w:val="583E0801"/>
    <w:rsid w:val="593C7634"/>
    <w:rsid w:val="5AB67EBA"/>
    <w:rsid w:val="5C7B402E"/>
    <w:rsid w:val="5D6E61D2"/>
    <w:rsid w:val="5D744186"/>
    <w:rsid w:val="5D813EDD"/>
    <w:rsid w:val="62043CA6"/>
    <w:rsid w:val="63C92484"/>
    <w:rsid w:val="64AB3765"/>
    <w:rsid w:val="65442849"/>
    <w:rsid w:val="655B1BDC"/>
    <w:rsid w:val="65C40F97"/>
    <w:rsid w:val="68335369"/>
    <w:rsid w:val="69B108A3"/>
    <w:rsid w:val="6A52380B"/>
    <w:rsid w:val="6AAE795F"/>
    <w:rsid w:val="6ACC58F2"/>
    <w:rsid w:val="6EF90950"/>
    <w:rsid w:val="70666005"/>
    <w:rsid w:val="71325EE7"/>
    <w:rsid w:val="720D24B0"/>
    <w:rsid w:val="757143B0"/>
    <w:rsid w:val="777E3227"/>
    <w:rsid w:val="779015FC"/>
    <w:rsid w:val="7B8E01BE"/>
    <w:rsid w:val="7C311214"/>
    <w:rsid w:val="7D2F4F7A"/>
    <w:rsid w:val="7D3176D2"/>
    <w:rsid w:val="7F87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  <w15:docId w15:val="{6670A2FF-E381-4B28-987E-88DCD7FB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pPr>
      <w:widowControl w:val="0"/>
      <w:jc w:val="both"/>
    </w:pPr>
    <w:rPr>
      <w:rFonts w:cstheme="minorBidi"/>
      <w:kern w:val="2"/>
      <w:sz w:val="21"/>
      <w:szCs w:val="21"/>
      <w:lang w:val="en-US" w:eastAsia="zh-CN"/>
    </w:rPr>
  </w:style>
  <w:style w:type="paragraph" w:styleId="Heading1">
    <w:name w:val="heading 1"/>
    <w:basedOn w:val="Normal"/>
    <w:next w:val="Normal"/>
    <w:qFormat/>
    <w:pPr>
      <w:spacing w:beforeAutospacing="1" w:afterAutospacing="1"/>
      <w:jc w:val="left"/>
      <w:outlineLvl w:val="0"/>
    </w:pPr>
    <w:rPr>
      <w:rFonts w:ascii="SimSun" w:hAnsi="SimSun" w:cs="Times New Roman" w:hint="eastAsia"/>
      <w:b/>
      <w:bCs/>
      <w:kern w:val="44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Emphasis">
    <w:name w:val="Emphasis"/>
    <w:basedOn w:val="DefaultParagraphFont"/>
    <w:autoRedefine/>
    <w:qFormat/>
    <w:rPr>
      <w:i/>
    </w:rPr>
  </w:style>
  <w:style w:type="character" w:styleId="LineNumber">
    <w:name w:val="line number"/>
    <w:basedOn w:val="DefaultParagraphFont"/>
    <w:qFormat/>
  </w:style>
  <w:style w:type="character" w:styleId="Hyperlink">
    <w:name w:val="Hyperlink"/>
    <w:basedOn w:val="DefaultParagraphFont"/>
    <w:autoRedefine/>
    <w:qFormat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autoRedefine/>
    <w:qFormat/>
    <w:rPr>
      <w:rFonts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qFormat/>
    <w:rPr>
      <w:rFonts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mailto:sunyuebing2008@126.com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1056</Words>
  <Characters>6024</Characters>
  <Application>Microsoft Office Word</Application>
  <DocSecurity>0</DocSecurity>
  <Lines>50</Lines>
  <Paragraphs>14</Paragraphs>
  <ScaleCrop>false</ScaleCrop>
  <Company>HP Inc.</Company>
  <LinksUpToDate>false</LinksUpToDate>
  <CharactersWithSpaces>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Sparrow</dc:creator>
  <cp:lastModifiedBy>Revathi   Thangaraj</cp:lastModifiedBy>
  <cp:revision>14</cp:revision>
  <dcterms:created xsi:type="dcterms:W3CDTF">2022-06-06T13:21:00Z</dcterms:created>
  <dcterms:modified xsi:type="dcterms:W3CDTF">2026-04-20T12:01:00Z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1C9543FDC983429B9A6D582AE2EBADB9</vt:lpwstr>
  </property>
  <property fmtid="{D5CDD505-2E9C-101B-9397-08002B2CF9AE}" pid="4" name="KSOTemplateDocerSaveRecord">
    <vt:lpwstr>eyJoZGlkIjoiZTYxOTA1YzcyZWFjYWEzZTEyNzc5ZTBkOWNkNWMxNjQiLCJ1c2VySWQiOiIxMjI1OTE1NjM1In0=</vt:lpwstr>
  </property>
</Properties>
</file>