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5782F" w14:textId="77777777" w:rsidR="00440349" w:rsidRDefault="00440349" w:rsidP="00440349">
      <w:r>
        <w:t>Table S1. Mechanistic influences of process gases during biomass pyrolysis—dominant gas–solid interactions, indicative temperature windows, and first-order trends in product yields and char properties (reported relative to an N₂ baseline, holding other parameters constant).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4026"/>
        <w:gridCol w:w="2405"/>
        <w:gridCol w:w="6331"/>
      </w:tblGrid>
      <w:tr w:rsidR="00440349" w:rsidRPr="00440349" w14:paraId="31C255D9" w14:textId="77777777" w:rsidTr="004403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EBC206" w14:textId="77777777" w:rsidR="00440349" w:rsidRPr="00440349" w:rsidRDefault="00440349" w:rsidP="00440349">
            <w:pPr>
              <w:rPr>
                <w:b/>
                <w:bCs/>
              </w:rPr>
            </w:pPr>
            <w:r w:rsidRPr="00440349">
              <w:rPr>
                <w:b/>
                <w:bCs/>
              </w:rPr>
              <w:t>Process gas</w:t>
            </w:r>
          </w:p>
        </w:tc>
        <w:tc>
          <w:tcPr>
            <w:tcW w:w="0" w:type="auto"/>
            <w:vAlign w:val="center"/>
            <w:hideMark/>
          </w:tcPr>
          <w:p w14:paraId="307F2856" w14:textId="77777777" w:rsidR="00440349" w:rsidRPr="00440349" w:rsidRDefault="00440349" w:rsidP="00440349">
            <w:pPr>
              <w:rPr>
                <w:b/>
                <w:bCs/>
              </w:rPr>
            </w:pPr>
            <w:r w:rsidRPr="00440349">
              <w:rPr>
                <w:b/>
                <w:bCs/>
              </w:rPr>
              <w:t>Dominant interactions (illustrative)</w:t>
            </w:r>
          </w:p>
        </w:tc>
        <w:tc>
          <w:tcPr>
            <w:tcW w:w="0" w:type="auto"/>
            <w:vAlign w:val="center"/>
            <w:hideMark/>
          </w:tcPr>
          <w:p w14:paraId="193B4203" w14:textId="77777777" w:rsidR="00440349" w:rsidRPr="00440349" w:rsidRDefault="00440349" w:rsidP="00440349">
            <w:pPr>
              <w:rPr>
                <w:b/>
                <w:bCs/>
              </w:rPr>
            </w:pPr>
            <w:r w:rsidRPr="00440349">
              <w:rPr>
                <w:b/>
                <w:bCs/>
              </w:rPr>
              <w:t>Typical temperature window (indicative)</w:t>
            </w:r>
          </w:p>
        </w:tc>
        <w:tc>
          <w:tcPr>
            <w:tcW w:w="0" w:type="auto"/>
            <w:vAlign w:val="center"/>
            <w:hideMark/>
          </w:tcPr>
          <w:p w14:paraId="11602D9B" w14:textId="77777777" w:rsidR="00440349" w:rsidRPr="00440349" w:rsidRDefault="00440349" w:rsidP="00440349">
            <w:pPr>
              <w:rPr>
                <w:b/>
                <w:bCs/>
              </w:rPr>
            </w:pPr>
            <w:r w:rsidRPr="00440349">
              <w:rPr>
                <w:b/>
                <w:bCs/>
              </w:rPr>
              <w:t>Expected first-order trends (holding other parameters constant)</w:t>
            </w:r>
          </w:p>
        </w:tc>
      </w:tr>
      <w:tr w:rsidR="00440349" w:rsidRPr="00440349" w14:paraId="181BA149" w14:textId="77777777" w:rsidTr="00440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424B3" w14:textId="77777777" w:rsidR="00440349" w:rsidRPr="00440349" w:rsidRDefault="00440349" w:rsidP="00440349">
            <w:r w:rsidRPr="00440349">
              <w:t>N₂ (inert carrier)</w:t>
            </w:r>
          </w:p>
        </w:tc>
        <w:tc>
          <w:tcPr>
            <w:tcW w:w="0" w:type="auto"/>
            <w:vAlign w:val="center"/>
            <w:hideMark/>
          </w:tcPr>
          <w:p w14:paraId="27E0A9B7" w14:textId="77777777" w:rsidR="00440349" w:rsidRPr="00440349" w:rsidRDefault="00440349" w:rsidP="00440349">
            <w:r w:rsidRPr="00440349">
              <w:t>Heat transfer; residence-time control</w:t>
            </w:r>
          </w:p>
        </w:tc>
        <w:tc>
          <w:tcPr>
            <w:tcW w:w="0" w:type="auto"/>
            <w:vAlign w:val="center"/>
            <w:hideMark/>
          </w:tcPr>
          <w:p w14:paraId="70DB9E48" w14:textId="0DBC36F2" w:rsidR="00440349" w:rsidRPr="00440349" w:rsidRDefault="00440349" w:rsidP="00440349">
            <w:r w:rsidRPr="00440349">
              <w:t>Any (</w:t>
            </w:r>
            <w:r>
              <w:t>process-dependent</w:t>
            </w:r>
            <w:r w:rsidRPr="00440349">
              <w:t>)</w:t>
            </w:r>
          </w:p>
        </w:tc>
        <w:tc>
          <w:tcPr>
            <w:tcW w:w="0" w:type="auto"/>
            <w:vAlign w:val="center"/>
            <w:hideMark/>
          </w:tcPr>
          <w:p w14:paraId="345410F7" w14:textId="51CBF63D" w:rsidR="00440349" w:rsidRPr="00440349" w:rsidRDefault="00440349" w:rsidP="00440349">
            <w:r w:rsidRPr="00440349">
              <w:t xml:space="preserve">Baseline for comparison; secondary reactions driven by T and </w:t>
            </w:r>
            <w:r>
              <w:t>vapour</w:t>
            </w:r>
            <w:r w:rsidRPr="00440349">
              <w:t xml:space="preserve"> residence time</w:t>
            </w:r>
          </w:p>
        </w:tc>
      </w:tr>
      <w:tr w:rsidR="00440349" w:rsidRPr="00440349" w14:paraId="1A726A68" w14:textId="77777777" w:rsidTr="00440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720EB" w14:textId="77777777" w:rsidR="00440349" w:rsidRPr="00440349" w:rsidRDefault="00440349" w:rsidP="00440349">
            <w:r w:rsidRPr="00440349">
              <w:t>O₂ / air (low % O₂)</w:t>
            </w:r>
          </w:p>
        </w:tc>
        <w:tc>
          <w:tcPr>
            <w:tcW w:w="0" w:type="auto"/>
            <w:vAlign w:val="center"/>
            <w:hideMark/>
          </w:tcPr>
          <w:p w14:paraId="6786C870" w14:textId="77777777" w:rsidR="00440349" w:rsidRPr="00440349" w:rsidRDefault="00440349" w:rsidP="00440349">
            <w:r w:rsidRPr="00440349">
              <w:t>Radical abstraction; partial oxidation of volatiles/char; exothermic heat release</w:t>
            </w:r>
          </w:p>
        </w:tc>
        <w:tc>
          <w:tcPr>
            <w:tcW w:w="0" w:type="auto"/>
            <w:vAlign w:val="center"/>
            <w:hideMark/>
          </w:tcPr>
          <w:p w14:paraId="38C44E46" w14:textId="77777777" w:rsidR="00440349" w:rsidRPr="00440349" w:rsidRDefault="00440349" w:rsidP="00440349">
            <w:r w:rsidRPr="00440349">
              <w:t>&gt;350–500 °C (strongly T-dependent)</w:t>
            </w:r>
          </w:p>
        </w:tc>
        <w:tc>
          <w:tcPr>
            <w:tcW w:w="0" w:type="auto"/>
            <w:vAlign w:val="center"/>
            <w:hideMark/>
          </w:tcPr>
          <w:p w14:paraId="5DFBA83F" w14:textId="77777777" w:rsidR="00440349" w:rsidRPr="00440349" w:rsidRDefault="00440349" w:rsidP="00440349">
            <w:r w:rsidRPr="00440349">
              <w:t>↓ Char yield; ↑ CO/CO₂; less heavy tars; can accelerate devolatilisation; possible increase in SSA via burn-off</w:t>
            </w:r>
          </w:p>
        </w:tc>
      </w:tr>
      <w:tr w:rsidR="00440349" w:rsidRPr="00440349" w14:paraId="2099B9A3" w14:textId="77777777" w:rsidTr="00440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8D260" w14:textId="77777777" w:rsidR="00440349" w:rsidRPr="00440349" w:rsidRDefault="00440349" w:rsidP="00440349">
            <w:r w:rsidRPr="00440349">
              <w:t>CO₂</w:t>
            </w:r>
          </w:p>
        </w:tc>
        <w:tc>
          <w:tcPr>
            <w:tcW w:w="0" w:type="auto"/>
            <w:vAlign w:val="center"/>
            <w:hideMark/>
          </w:tcPr>
          <w:p w14:paraId="7A5B885C" w14:textId="77777777" w:rsidR="00440349" w:rsidRPr="00440349" w:rsidRDefault="00440349" w:rsidP="00440349">
            <w:r w:rsidRPr="00440349">
              <w:t xml:space="preserve">Boudouard C + CO₂ </w:t>
            </w:r>
            <w:r w:rsidRPr="00440349">
              <w:rPr>
                <w:rFonts w:ascii="Cambria Math" w:hAnsi="Cambria Math" w:cs="Cambria Math"/>
              </w:rPr>
              <w:t>⇌</w:t>
            </w:r>
            <w:r w:rsidRPr="00440349">
              <w:t xml:space="preserve"> 2CO (etching); tar reforming</w:t>
            </w:r>
          </w:p>
        </w:tc>
        <w:tc>
          <w:tcPr>
            <w:tcW w:w="0" w:type="auto"/>
            <w:vAlign w:val="center"/>
            <w:hideMark/>
          </w:tcPr>
          <w:p w14:paraId="248B294F" w14:textId="77777777" w:rsidR="00440349" w:rsidRPr="00440349" w:rsidRDefault="00440349" w:rsidP="00440349">
            <w:r w:rsidRPr="00440349">
              <w:t>&gt;700–800 °C (faster at higher T)</w:t>
            </w:r>
          </w:p>
        </w:tc>
        <w:tc>
          <w:tcPr>
            <w:tcW w:w="0" w:type="auto"/>
            <w:vAlign w:val="center"/>
            <w:hideMark/>
          </w:tcPr>
          <w:p w14:paraId="09BC8728" w14:textId="77777777" w:rsidR="00440349" w:rsidRPr="00440349" w:rsidRDefault="00440349" w:rsidP="00440349">
            <w:r w:rsidRPr="00440349">
              <w:t>↓ Char yield; ↑ SSA/micro-mesoporosity; ↑ CO; oils less oxygenated due to reforming</w:t>
            </w:r>
          </w:p>
        </w:tc>
      </w:tr>
      <w:tr w:rsidR="00440349" w:rsidRPr="00440349" w14:paraId="31DFA511" w14:textId="77777777" w:rsidTr="00440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36D38" w14:textId="77777777" w:rsidR="00440349" w:rsidRPr="00440349" w:rsidRDefault="00440349" w:rsidP="00440349">
            <w:r w:rsidRPr="00440349">
              <w:t>H₂O (steam)</w:t>
            </w:r>
          </w:p>
        </w:tc>
        <w:tc>
          <w:tcPr>
            <w:tcW w:w="0" w:type="auto"/>
            <w:vAlign w:val="center"/>
            <w:hideMark/>
          </w:tcPr>
          <w:p w14:paraId="1B31D05E" w14:textId="77777777" w:rsidR="00440349" w:rsidRPr="00440349" w:rsidRDefault="00440349" w:rsidP="00440349">
            <w:r w:rsidRPr="00440349">
              <w:t xml:space="preserve">C + H₂O </w:t>
            </w:r>
            <w:r w:rsidRPr="00440349">
              <w:rPr>
                <w:rFonts w:ascii="Cambria Math" w:hAnsi="Cambria Math" w:cs="Cambria Math"/>
              </w:rPr>
              <w:t>⇌</w:t>
            </w:r>
            <w:r w:rsidRPr="00440349">
              <w:t xml:space="preserve"> CO + H</w:t>
            </w:r>
            <w:r w:rsidRPr="00440349">
              <w:rPr>
                <w:rFonts w:ascii="Calibri" w:hAnsi="Calibri" w:cs="Calibri"/>
              </w:rPr>
              <w:t>₂</w:t>
            </w:r>
            <w:r w:rsidRPr="00440349">
              <w:t>; tar steam-reforming; WGS</w:t>
            </w:r>
          </w:p>
        </w:tc>
        <w:tc>
          <w:tcPr>
            <w:tcW w:w="0" w:type="auto"/>
            <w:vAlign w:val="center"/>
            <w:hideMark/>
          </w:tcPr>
          <w:p w14:paraId="61136383" w14:textId="77777777" w:rsidR="00440349" w:rsidRPr="00440349" w:rsidRDefault="00440349" w:rsidP="00440349">
            <w:r w:rsidRPr="00440349">
              <w:t>&gt;700–800 °C (catalysis can lower)</w:t>
            </w:r>
          </w:p>
        </w:tc>
        <w:tc>
          <w:tcPr>
            <w:tcW w:w="0" w:type="auto"/>
            <w:vAlign w:val="center"/>
            <w:hideMark/>
          </w:tcPr>
          <w:p w14:paraId="3FDD8FBA" w14:textId="77777777" w:rsidR="00440349" w:rsidRPr="00440349" w:rsidRDefault="00440349" w:rsidP="00440349">
            <w:r w:rsidRPr="00440349">
              <w:t>↓ Char yield; ↑ SSA; ↑ H₂/CO; reduction in heavy oxygenates in oils</w:t>
            </w:r>
          </w:p>
        </w:tc>
      </w:tr>
      <w:tr w:rsidR="00440349" w:rsidRPr="00440349" w14:paraId="5B8A7B45" w14:textId="77777777" w:rsidTr="00440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C567D" w14:textId="77777777" w:rsidR="00440349" w:rsidRPr="00440349" w:rsidRDefault="00440349" w:rsidP="00440349">
            <w:r w:rsidRPr="00440349">
              <w:t>H₂</w:t>
            </w:r>
          </w:p>
        </w:tc>
        <w:tc>
          <w:tcPr>
            <w:tcW w:w="0" w:type="auto"/>
            <w:vAlign w:val="center"/>
            <w:hideMark/>
          </w:tcPr>
          <w:p w14:paraId="191EE708" w14:textId="77777777" w:rsidR="00440349" w:rsidRPr="00440349" w:rsidRDefault="00440349" w:rsidP="00440349">
            <w:r w:rsidRPr="00440349">
              <w:t>Radical capping; hydrogenation (limited without catalysts)</w:t>
            </w:r>
          </w:p>
        </w:tc>
        <w:tc>
          <w:tcPr>
            <w:tcW w:w="0" w:type="auto"/>
            <w:vAlign w:val="center"/>
            <w:hideMark/>
          </w:tcPr>
          <w:p w14:paraId="5191EDDB" w14:textId="77777777" w:rsidR="00440349" w:rsidRPr="00440349" w:rsidRDefault="00440349" w:rsidP="00440349">
            <w:r w:rsidRPr="00440349">
              <w:t>&gt;500–700 °C (effects increase with T)</w:t>
            </w:r>
          </w:p>
        </w:tc>
        <w:tc>
          <w:tcPr>
            <w:tcW w:w="0" w:type="auto"/>
            <w:vAlign w:val="center"/>
            <w:hideMark/>
          </w:tcPr>
          <w:p w14:paraId="665EBD21" w14:textId="77777777" w:rsidR="00440349" w:rsidRPr="00440349" w:rsidRDefault="00440349" w:rsidP="00440349">
            <w:r w:rsidRPr="00440349">
              <w:t>Slight ↔/↓ cross-linking; potential ↑ light hydrocarbons; modest changes to char unless catalytic surfaces present</w:t>
            </w:r>
          </w:p>
        </w:tc>
      </w:tr>
      <w:tr w:rsidR="00440349" w:rsidRPr="00440349" w14:paraId="58C84739" w14:textId="77777777" w:rsidTr="00440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7EF90" w14:textId="77777777" w:rsidR="00440349" w:rsidRPr="00440349" w:rsidRDefault="00440349" w:rsidP="00440349">
            <w:r w:rsidRPr="00440349">
              <w:t>CH₄</w:t>
            </w:r>
          </w:p>
        </w:tc>
        <w:tc>
          <w:tcPr>
            <w:tcW w:w="0" w:type="auto"/>
            <w:vAlign w:val="center"/>
            <w:hideMark/>
          </w:tcPr>
          <w:p w14:paraId="479E5DED" w14:textId="77777777" w:rsidR="00440349" w:rsidRPr="00440349" w:rsidRDefault="00440349" w:rsidP="00440349">
            <w:r w:rsidRPr="00440349">
              <w:t>Thermal cracking at very high T; potential carbon deposition</w:t>
            </w:r>
          </w:p>
        </w:tc>
        <w:tc>
          <w:tcPr>
            <w:tcW w:w="0" w:type="auto"/>
            <w:vAlign w:val="center"/>
            <w:hideMark/>
          </w:tcPr>
          <w:p w14:paraId="2186152E" w14:textId="77777777" w:rsidR="00440349" w:rsidRPr="00440349" w:rsidRDefault="00440349" w:rsidP="00440349">
            <w:r w:rsidRPr="00440349">
              <w:t>&gt;900–1000 °C (non-catalytic)</w:t>
            </w:r>
          </w:p>
        </w:tc>
        <w:tc>
          <w:tcPr>
            <w:tcW w:w="0" w:type="auto"/>
            <w:vAlign w:val="center"/>
            <w:hideMark/>
          </w:tcPr>
          <w:p w14:paraId="2FE75583" w14:textId="77777777" w:rsidR="00440349" w:rsidRPr="00440349" w:rsidRDefault="00440349" w:rsidP="00440349">
            <w:r w:rsidRPr="00440349">
              <w:t>Usually minor effects under typical biochar T; at high T: ↑ H₂, possible carbon deposition; limited direct etching</w:t>
            </w:r>
          </w:p>
        </w:tc>
      </w:tr>
      <w:tr w:rsidR="00440349" w:rsidRPr="00440349" w14:paraId="6A725851" w14:textId="77777777" w:rsidTr="004403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13E3C" w14:textId="77777777" w:rsidR="00440349" w:rsidRPr="00440349" w:rsidRDefault="00440349" w:rsidP="00440349">
            <w:r w:rsidRPr="00440349">
              <w:t>NH₃</w:t>
            </w:r>
          </w:p>
        </w:tc>
        <w:tc>
          <w:tcPr>
            <w:tcW w:w="0" w:type="auto"/>
            <w:vAlign w:val="center"/>
            <w:hideMark/>
          </w:tcPr>
          <w:p w14:paraId="2B9D462F" w14:textId="77777777" w:rsidR="00440349" w:rsidRPr="00440349" w:rsidRDefault="00440349" w:rsidP="00440349">
            <w:r w:rsidRPr="00440349">
              <w:t>Surface nitridation; incorporation of N functionalities</w:t>
            </w:r>
          </w:p>
        </w:tc>
        <w:tc>
          <w:tcPr>
            <w:tcW w:w="0" w:type="auto"/>
            <w:vAlign w:val="center"/>
            <w:hideMark/>
          </w:tcPr>
          <w:p w14:paraId="4B9A505E" w14:textId="77777777" w:rsidR="00440349" w:rsidRPr="00440349" w:rsidRDefault="00440349" w:rsidP="00440349">
            <w:r w:rsidRPr="00440349">
              <w:t>&gt;700–900 °C</w:t>
            </w:r>
          </w:p>
        </w:tc>
        <w:tc>
          <w:tcPr>
            <w:tcW w:w="0" w:type="auto"/>
            <w:vAlign w:val="center"/>
            <w:hideMark/>
          </w:tcPr>
          <w:p w14:paraId="7A09F113" w14:textId="11F8A47A" w:rsidR="00440349" w:rsidRPr="00440349" w:rsidRDefault="00440349" w:rsidP="00440349">
            <w:r w:rsidRPr="00440349">
              <w:t>N-doped char (pyridinic/pyrrolic/quaternary-N); altered basicity and adsorption; yield effect depends on severity</w:t>
            </w:r>
            <w:r>
              <w:t>.</w:t>
            </w:r>
          </w:p>
        </w:tc>
      </w:tr>
    </w:tbl>
    <w:p w14:paraId="23A1B1A4" w14:textId="77777777" w:rsidR="00440349" w:rsidRDefault="00440349" w:rsidP="00440349">
      <w:r>
        <w:t>Notes:</w:t>
      </w:r>
    </w:p>
    <w:p w14:paraId="0D289EFF" w14:textId="77777777" w:rsidR="00440349" w:rsidRDefault="00440349" w:rsidP="00440349">
      <w:r>
        <w:t>a. Temperature windows are indicative. Onset and rates depend on reactor configuration (fixed/fluidised/auger), gas partial pressures and flows, heating rate, particle size, vapour residence time, and feedstock ash/metal catalysis.</w:t>
      </w:r>
    </w:p>
    <w:p w14:paraId="6A685BE0" w14:textId="77777777" w:rsidR="00440349" w:rsidRDefault="00440349" w:rsidP="00440349">
      <w:r>
        <w:t>b. Trends are first-order. Arrows (↑/↓/↔) denote increase/decrease/no consistent change across the literature relative to N₂ under matched feedstock and thermal history; exceptions occur where conditions differ.</w:t>
      </w:r>
    </w:p>
    <w:p w14:paraId="409985E7" w14:textId="77777777" w:rsidR="00440349" w:rsidRDefault="00440349" w:rsidP="00440349">
      <w:r>
        <w:lastRenderedPageBreak/>
        <w:t>c. Oxidative conditions refer to low-O₂ “oxidative pyrolysis” (typically ≤5–10 vol% O₂) rather than combustion; effects intensify with O₂ fraction and temperature.</w:t>
      </w:r>
    </w:p>
    <w:p w14:paraId="5CB2CD7A" w14:textId="77777777" w:rsidR="00440349" w:rsidRDefault="00440349" w:rsidP="00440349">
      <w:r>
        <w:t xml:space="preserve">d. Gas–solid reactions referenced include Boudouard (C + CO₂ </w:t>
      </w:r>
      <w:r>
        <w:rPr>
          <w:rFonts w:ascii="Cambria Math" w:hAnsi="Cambria Math" w:cs="Cambria Math"/>
        </w:rPr>
        <w:t>⇌</w:t>
      </w:r>
      <w:r>
        <w:t xml:space="preserve"> 2CO), steam gasification (C + H</w:t>
      </w:r>
      <w:r>
        <w:rPr>
          <w:rFonts w:ascii="Calibri" w:hAnsi="Calibri" w:cs="Calibri"/>
        </w:rPr>
        <w:t>₂</w:t>
      </w:r>
      <w:r>
        <w:t xml:space="preserve">O </w:t>
      </w:r>
      <w:r>
        <w:rPr>
          <w:rFonts w:ascii="Cambria Math" w:hAnsi="Cambria Math" w:cs="Cambria Math"/>
        </w:rPr>
        <w:t>⇌</w:t>
      </w:r>
      <w:r>
        <w:t xml:space="preserve"> CO + H</w:t>
      </w:r>
      <w:r>
        <w:rPr>
          <w:rFonts w:ascii="Calibri" w:hAnsi="Calibri" w:cs="Calibri"/>
        </w:rPr>
        <w:t>₂</w:t>
      </w:r>
      <w:r>
        <w:t>), water</w:t>
      </w:r>
      <w:r>
        <w:rPr>
          <w:rFonts w:ascii="Calibri" w:hAnsi="Calibri" w:cs="Calibri"/>
        </w:rPr>
        <w:t>–</w:t>
      </w:r>
      <w:r>
        <w:t xml:space="preserve">gas shift (CO + H₂O </w:t>
      </w:r>
      <w:r>
        <w:rPr>
          <w:rFonts w:ascii="Cambria Math" w:hAnsi="Cambria Math" w:cs="Cambria Math"/>
        </w:rPr>
        <w:t>⇌</w:t>
      </w:r>
      <w:r>
        <w:t xml:space="preserve"> CO</w:t>
      </w:r>
      <w:r>
        <w:rPr>
          <w:rFonts w:ascii="Calibri" w:hAnsi="Calibri" w:cs="Calibri"/>
        </w:rPr>
        <w:t>₂</w:t>
      </w:r>
      <w:r>
        <w:t xml:space="preserve"> + H</w:t>
      </w:r>
      <w:r>
        <w:rPr>
          <w:rFonts w:ascii="Calibri" w:hAnsi="Calibri" w:cs="Calibri"/>
        </w:rPr>
        <w:t>₂</w:t>
      </w:r>
      <w:r>
        <w:t xml:space="preserve">), low-level oxidation (C + </w:t>
      </w:r>
      <w:r>
        <w:rPr>
          <w:rFonts w:ascii="Calibri" w:hAnsi="Calibri" w:cs="Calibri"/>
        </w:rPr>
        <w:t>½</w:t>
      </w:r>
      <w:r>
        <w:t>O</w:t>
      </w:r>
      <w:r>
        <w:rPr>
          <w:rFonts w:ascii="Calibri" w:hAnsi="Calibri" w:cs="Calibri"/>
        </w:rPr>
        <w:t>₂</w:t>
      </w:r>
      <w:r>
        <w:t xml:space="preserve"> </w:t>
      </w:r>
      <w:r>
        <w:rPr>
          <w:rFonts w:ascii="Calibri" w:hAnsi="Calibri" w:cs="Calibri"/>
        </w:rPr>
        <w:t>→</w:t>
      </w:r>
      <w:r>
        <w:t xml:space="preserve"> CO/CO</w:t>
      </w:r>
      <w:r>
        <w:rPr>
          <w:rFonts w:ascii="Calibri" w:hAnsi="Calibri" w:cs="Calibri"/>
        </w:rPr>
        <w:t>₂</w:t>
      </w:r>
      <w:r>
        <w:t>), and hydrogenation/capping of surface radicals. Naturally occurring or ash-derived metals (e.g., K, Ca, Fe, Ni) can lower apparent temperatures and alter selectivity.</w:t>
      </w:r>
    </w:p>
    <w:p w14:paraId="5281A400" w14:textId="77777777" w:rsidR="00440349" w:rsidRDefault="00440349" w:rsidP="00440349">
      <w:r>
        <w:t>e. Porosity terminology. “SSA” denotes BET specific surface area; micro/mesoporosity follow IUPAC definitions (micro &lt;2 nm; meso 2–50 nm). Porosity changes arise from burn-off/etching, pore widening, and, at high severity, collapse/reordering.</w:t>
      </w:r>
    </w:p>
    <w:p w14:paraId="527D764E" w14:textId="77777777" w:rsidR="00440349" w:rsidRDefault="00440349" w:rsidP="00440349">
      <w:r>
        <w:t>f. Nitrogen functionalities. For NH₃ atmospheres, “N-doped char” indicates incorporation of pyridinic-, pyrrolic-, and graphitic/quaternary-N; distributions depend on temperature and residence time.</w:t>
      </w:r>
    </w:p>
    <w:p w14:paraId="3230742A" w14:textId="77777777" w:rsidR="00440349" w:rsidRDefault="00440349" w:rsidP="00440349">
      <w:r>
        <w:t>g. Methane caveat. CH₄ effects are generally minor under typical biochar conditions (≤800 °C) unless very high temperatures (≥900–1000 °C) or catalytic surfaces are present.</w:t>
      </w:r>
    </w:p>
    <w:p w14:paraId="58E56F3A" w14:textId="07E54355" w:rsidR="004476A3" w:rsidRDefault="00440349" w:rsidP="00440349">
      <w:r>
        <w:t>h. Scope. Table S1 summarises mechanistic expectations to orient readers; individual studies may deviate due to feedstock composition (cellulose/hemicellulose/lignin balance), mineralogy, and hydrodynamics.</w:t>
      </w:r>
    </w:p>
    <w:sectPr w:rsidR="004476A3" w:rsidSect="004403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59"/>
    <w:rsid w:val="00440349"/>
    <w:rsid w:val="004476A3"/>
    <w:rsid w:val="00E7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54BFB7"/>
  <w15:chartTrackingRefBased/>
  <w15:docId w15:val="{80EDA10E-E027-4D17-8594-3B2F6561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3100</Characters>
  <Application>Microsoft Office Word</Application>
  <DocSecurity>0</DocSecurity>
  <Lines>41</Lines>
  <Paragraphs>19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Masek</dc:creator>
  <cp:keywords/>
  <dc:description/>
  <cp:lastModifiedBy>Ondrej Masek</cp:lastModifiedBy>
  <cp:revision>2</cp:revision>
  <dcterms:created xsi:type="dcterms:W3CDTF">2025-09-12T11:06:00Z</dcterms:created>
  <dcterms:modified xsi:type="dcterms:W3CDTF">2025-09-12T11:08:00Z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1a62e6aa-9ee5-46e0-bbc7-a24a64a11a2b</vt:lpwstr>
  </property>
</Properties>
</file>