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CA4C32">
      <w:pPr>
        <w:spacing w:line="48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Supplementary Material</w:t>
      </w:r>
    </w:p>
    <w:p w14:paraId="2614093E">
      <w:pPr>
        <w:spacing w:line="480" w:lineRule="auto"/>
        <w:jc w:val="center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Long-term b</w:t>
      </w:r>
      <w:r>
        <w:rPr>
          <w:rFonts w:ascii="Times New Roman" w:hAnsi="Times New Roman"/>
          <w:b/>
          <w:bCs/>
          <w:sz w:val="24"/>
        </w:rPr>
        <w:t>iochar a</w:t>
      </w:r>
      <w:r>
        <w:rPr>
          <w:rFonts w:hint="eastAsia" w:ascii="Times New Roman" w:hAnsi="Times New Roman"/>
          <w:b/>
          <w:bCs/>
          <w:sz w:val="24"/>
        </w:rPr>
        <w:t>mendment increased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hint="eastAsia" w:ascii="Times New Roman" w:hAnsi="Times New Roman"/>
          <w:b/>
          <w:bCs/>
          <w:sz w:val="24"/>
        </w:rPr>
        <w:t>dissimilatory nitrate reduction to ammonium</w:t>
      </w:r>
      <w:r>
        <w:rPr>
          <w:rFonts w:ascii="Times New Roman" w:hAnsi="Times New Roman"/>
          <w:b/>
          <w:bCs/>
          <w:sz w:val="24"/>
        </w:rPr>
        <w:t xml:space="preserve"> concomitantly suppressing denitrification and </w:t>
      </w:r>
      <w:r>
        <w:rPr>
          <w:rFonts w:hint="eastAsia" w:ascii="Times New Roman" w:hAnsi="Times New Roman"/>
          <w:b/>
          <w:bCs/>
          <w:sz w:val="24"/>
        </w:rPr>
        <w:t>anaerobic ammonium oxidation in deep alkaline paddy soil</w:t>
      </w:r>
    </w:p>
    <w:p w14:paraId="7135330B">
      <w:pPr>
        <w:spacing w:line="480" w:lineRule="auto"/>
        <w:rPr>
          <w:rFonts w:ascii="Times New Roman" w:hAnsi="Times New Roman"/>
          <w:vertAlign w:val="superscript"/>
        </w:rPr>
      </w:pPr>
      <w:r>
        <w:rPr>
          <w:rFonts w:hint="eastAsia" w:ascii="Times New Roman" w:hAnsi="Times New Roman"/>
        </w:rPr>
        <w:t>Qiannan Yang</w:t>
      </w:r>
      <w:r>
        <w:rPr>
          <w:rFonts w:hint="eastAsia" w:ascii="Times New Roman" w:hAnsi="Times New Roman"/>
          <w:vertAlign w:val="superscript"/>
        </w:rPr>
        <w:t>1</w:t>
      </w:r>
      <w:r>
        <w:rPr>
          <w:rFonts w:hint="eastAsia" w:ascii="Times New Roman" w:hAnsi="Times New Roman"/>
        </w:rPr>
        <w:t>, Guilong Zhang</w:t>
      </w:r>
      <w:r>
        <w:rPr>
          <w:rFonts w:hint="eastAsia" w:ascii="Times New Roman" w:hAnsi="Times New Roman"/>
          <w:vertAlign w:val="superscript"/>
        </w:rPr>
        <w:t>1</w:t>
      </w:r>
      <w:r>
        <w:rPr>
          <w:rFonts w:hint="eastAsia" w:ascii="Times New Roman" w:hAnsi="Times New Roman"/>
        </w:rPr>
        <w:t>, Jie Li</w:t>
      </w:r>
      <w:r>
        <w:rPr>
          <w:rFonts w:hint="eastAsia" w:ascii="Times New Roman" w:hAnsi="Times New Roman"/>
          <w:vertAlign w:val="superscript"/>
        </w:rPr>
        <w:t>1</w:t>
      </w:r>
      <w:r>
        <w:rPr>
          <w:rFonts w:hint="eastAsia" w:ascii="Times New Roman" w:hAnsi="Times New Roman"/>
        </w:rPr>
        <w:t>, Hu Li</w:t>
      </w:r>
      <w:r>
        <w:rPr>
          <w:rFonts w:hint="eastAsia" w:ascii="Times New Roman" w:hAnsi="Times New Roman"/>
          <w:vertAlign w:val="superscript"/>
        </w:rPr>
        <w:t>2</w:t>
      </w:r>
      <w:r>
        <w:rPr>
          <w:rFonts w:hint="eastAsia" w:ascii="Times New Roman" w:hAnsi="Times New Roman"/>
        </w:rPr>
        <w:t>, Lukas Van Zwieten</w:t>
      </w:r>
      <w:r>
        <w:rPr>
          <w:rFonts w:hint="eastAsia" w:ascii="Times New Roman" w:hAnsi="Times New Roman"/>
          <w:vertAlign w:val="superscript"/>
        </w:rPr>
        <w:t xml:space="preserve">3 </w:t>
      </w:r>
      <w:r>
        <w:rPr>
          <w:rFonts w:hint="eastAsia" w:ascii="Times New Roman" w:hAnsi="Times New Roman"/>
        </w:rPr>
        <w:t>and</w:t>
      </w:r>
      <w:r>
        <w:rPr>
          <w:rFonts w:hint="eastAsia" w:ascii="Times New Roman" w:hAnsi="Times New Roman"/>
          <w:vertAlign w:val="superscript"/>
        </w:rPr>
        <w:t xml:space="preserve"> </w:t>
      </w:r>
      <w:r>
        <w:rPr>
          <w:rFonts w:hint="eastAsia" w:ascii="Times New Roman" w:hAnsi="Times New Roman"/>
        </w:rPr>
        <w:t>Lili Wang</w:t>
      </w:r>
      <w:r>
        <w:rPr>
          <w:rFonts w:hint="eastAsia" w:ascii="Times New Roman" w:hAnsi="Times New Roman"/>
          <w:vertAlign w:val="superscript"/>
        </w:rPr>
        <w:t>1,</w:t>
      </w:r>
      <w:r>
        <w:rPr>
          <w:rFonts w:ascii="Times New Roman" w:hAnsi="Times New Roman"/>
          <w:vertAlign w:val="superscript"/>
        </w:rPr>
        <w:t>*</w:t>
      </w:r>
    </w:p>
    <w:p w14:paraId="0365AAF8">
      <w:pPr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vertAlign w:val="superscript"/>
        </w:rPr>
        <w:t>1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Agro-Environmental Protection Institute, Ministry of Agriculture and Rural Affairs, Tianjin, China</w:t>
      </w:r>
    </w:p>
    <w:p w14:paraId="2FF08E59">
      <w:pPr>
        <w:spacing w:line="48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  <w:vertAlign w:val="superscript"/>
        </w:rPr>
        <w:t>2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State Key Laboratory of Efficient Utilization of Arable Land in China, Institute of Agricultural Resources and Regional Planning, Chinese Academy of Agricultural Sciences, Beijing, China</w:t>
      </w:r>
    </w:p>
    <w:p w14:paraId="36E6B4E0"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szCs w:val="21"/>
          <w:vertAlign w:val="superscript"/>
        </w:rPr>
        <w:t xml:space="preserve">3 </w:t>
      </w:r>
      <w:r>
        <w:rPr>
          <w:rFonts w:hint="eastAsia" w:ascii="Times New Roman" w:hAnsi="Times New Roman"/>
          <w:szCs w:val="21"/>
        </w:rPr>
        <w:t>NSW Department of Primary Industries, Wollongbar Primary Industries Institute, Wollongbar, NSW, Australia</w:t>
      </w:r>
    </w:p>
    <w:p w14:paraId="1D55D84A"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</w:rPr>
        <w:t>*Corresponding authors: Lili Wang</w:t>
      </w:r>
    </w:p>
    <w:p w14:paraId="77875185">
      <w:pPr>
        <w:spacing w:line="480" w:lineRule="auto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</w:rPr>
        <w:t xml:space="preserve">E-mail address: </w:t>
      </w:r>
      <w:r>
        <w:fldChar w:fldCharType="begin"/>
      </w:r>
      <w:r>
        <w:instrText xml:space="preserve"> HYPERLINK "mailto:lili0229ok@126.com" </w:instrText>
      </w:r>
      <w:r>
        <w:fldChar w:fldCharType="separate"/>
      </w:r>
      <w:r>
        <w:rPr>
          <w:rStyle w:val="6"/>
          <w:rFonts w:hint="eastAsia" w:ascii="Times New Roman" w:hAnsi="Times New Roman"/>
          <w:color w:val="0070C0"/>
        </w:rPr>
        <w:t>lili0229ok@126.com</w:t>
      </w:r>
      <w:r>
        <w:rPr>
          <w:rStyle w:val="6"/>
          <w:rFonts w:hint="eastAsia" w:ascii="Times New Roman" w:hAnsi="Times New Roman"/>
          <w:color w:val="0070C0"/>
        </w:rPr>
        <w:fldChar w:fldCharType="end"/>
      </w:r>
      <w:r>
        <w:rPr>
          <w:rFonts w:hint="eastAsia" w:ascii="Times New Roman" w:hAnsi="Times New Roman"/>
        </w:rPr>
        <w:t xml:space="preserve"> (Lili Wang) </w:t>
      </w:r>
    </w:p>
    <w:p w14:paraId="5A4C1967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Number of Pages: </w:t>
      </w:r>
      <w:r>
        <w:rPr>
          <w:rFonts w:hint="eastAsia" w:ascii="Times New Roman" w:hAnsi="Times New Roman"/>
          <w:b/>
          <w:bCs/>
        </w:rPr>
        <w:t>9</w:t>
      </w:r>
    </w:p>
    <w:p w14:paraId="2409B1C1">
      <w:pPr>
        <w:spacing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Number of </w:t>
      </w:r>
      <w:r>
        <w:rPr>
          <w:rFonts w:hint="eastAsia" w:ascii="Times New Roman" w:hAnsi="Times New Roman"/>
          <w:b/>
          <w:bCs/>
        </w:rPr>
        <w:t>Figures</w:t>
      </w:r>
      <w:r>
        <w:rPr>
          <w:rFonts w:ascii="Times New Roman" w:hAnsi="Times New Roman"/>
          <w:b/>
          <w:bCs/>
        </w:rPr>
        <w:t xml:space="preserve">: </w:t>
      </w:r>
      <w:r>
        <w:rPr>
          <w:rFonts w:hint="eastAsia" w:ascii="Times New Roman" w:hAnsi="Times New Roman"/>
          <w:b/>
          <w:bCs/>
        </w:rPr>
        <w:t>4</w:t>
      </w:r>
    </w:p>
    <w:p w14:paraId="27B2D379">
      <w:pPr>
        <w:spacing w:line="480" w:lineRule="auto"/>
      </w:pPr>
      <w:r>
        <w:rPr>
          <w:rFonts w:ascii="Times New Roman" w:hAnsi="Times New Roman"/>
          <w:b/>
          <w:bCs/>
        </w:rPr>
        <w:t xml:space="preserve">Number of </w:t>
      </w:r>
      <w:r>
        <w:rPr>
          <w:rFonts w:hint="eastAsia" w:ascii="Times New Roman" w:hAnsi="Times New Roman"/>
          <w:b/>
          <w:bCs/>
        </w:rPr>
        <w:t>Table</w:t>
      </w:r>
      <w:r>
        <w:rPr>
          <w:rFonts w:ascii="Times New Roman" w:hAnsi="Times New Roman"/>
          <w:b/>
          <w:bCs/>
        </w:rPr>
        <w:t xml:space="preserve">s: </w:t>
      </w:r>
      <w:r>
        <w:rPr>
          <w:rFonts w:hint="eastAsia" w:ascii="Times New Roman" w:hAnsi="Times New Roman"/>
          <w:b/>
          <w:bCs/>
        </w:rPr>
        <w:t>3</w:t>
      </w:r>
      <w:r>
        <w:br w:type="page"/>
      </w:r>
    </w:p>
    <w:p w14:paraId="2CB02A26">
      <w:pPr>
        <w:jc w:val="center"/>
      </w:pPr>
    </w:p>
    <w:p w14:paraId="54A7F518">
      <w:pPr>
        <w:jc w:val="center"/>
      </w:pPr>
      <w:r>
        <w:rPr>
          <w:lang w:val="en-IN" w:eastAsia="en-IN"/>
        </w:rPr>
        <w:drawing>
          <wp:inline distT="0" distB="0" distL="0" distR="0">
            <wp:extent cx="4886325" cy="4138930"/>
            <wp:effectExtent l="0" t="0" r="5715" b="6350"/>
            <wp:docPr id="12417173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17392" name="图片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6325" cy="413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037DC6">
      <w:pPr>
        <w:spacing w:line="440" w:lineRule="exact"/>
        <w:rPr>
          <w:rFonts w:ascii="Times New Roman" w:hAnsi="Times New Roman"/>
          <w:b/>
          <w:bCs/>
        </w:rPr>
      </w:pPr>
    </w:p>
    <w:p w14:paraId="4D538552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b/>
          <w:bCs/>
        </w:rPr>
        <w:t>Fig</w:t>
      </w:r>
      <w:r>
        <w:rPr>
          <w:rFonts w:hint="eastAsia"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S</w:t>
      </w:r>
      <w:r>
        <w:rPr>
          <w:rFonts w:hint="eastAsia" w:ascii="Times New Roman" w:hAnsi="Times New Roman"/>
          <w:b/>
          <w:bCs/>
        </w:rPr>
        <w:t xml:space="preserve">1 </w:t>
      </w:r>
      <w:r>
        <w:rPr>
          <w:rFonts w:hint="eastAsia" w:ascii="Times New Roman" w:hAnsi="Times New Roman"/>
        </w:rPr>
        <w:t>Results o</w:t>
      </w:r>
      <w:r>
        <w:rPr>
          <w:rFonts w:hint="eastAsia" w:ascii="Times New Roman" w:hAnsi="Times New Roman"/>
          <w:szCs w:val="21"/>
        </w:rPr>
        <w:t xml:space="preserve">f full (A), </w:t>
      </w:r>
      <w:r>
        <w:rPr>
          <w:rFonts w:ascii="Times New Roman" w:hAnsi="Times New Roman"/>
          <w:szCs w:val="21"/>
        </w:rPr>
        <w:t>C</w:t>
      </w:r>
      <w:r>
        <w:rPr>
          <w:rFonts w:hint="eastAsia" w:ascii="Times New Roman" w:hAnsi="Times New Roman"/>
          <w:szCs w:val="21"/>
        </w:rPr>
        <w:t xml:space="preserve"> </w:t>
      </w:r>
      <w:r>
        <w:rPr>
          <w:rFonts w:ascii="Times New Roman" w:hAnsi="Times New Roman"/>
          <w:szCs w:val="21"/>
        </w:rPr>
        <w:t>1s</w:t>
      </w:r>
      <w:r>
        <w:rPr>
          <w:rFonts w:hint="eastAsia" w:ascii="Times New Roman" w:hAnsi="Times New Roman"/>
          <w:szCs w:val="21"/>
        </w:rPr>
        <w:t xml:space="preserve"> (B), N 1</w:t>
      </w:r>
      <w:r>
        <w:rPr>
          <w:rFonts w:ascii="Times New Roman" w:hAnsi="Times New Roman"/>
          <w:szCs w:val="21"/>
        </w:rPr>
        <w:t>s</w:t>
      </w:r>
      <w:r>
        <w:rPr>
          <w:rFonts w:hint="eastAsia" w:ascii="Times New Roman" w:hAnsi="Times New Roman"/>
          <w:szCs w:val="21"/>
        </w:rPr>
        <w:t xml:space="preserve"> (C) and O 1</w:t>
      </w:r>
      <w:r>
        <w:rPr>
          <w:rFonts w:ascii="Times New Roman" w:hAnsi="Times New Roman"/>
          <w:szCs w:val="21"/>
        </w:rPr>
        <w:t>s</w:t>
      </w:r>
      <w:r>
        <w:rPr>
          <w:rFonts w:hint="eastAsia" w:ascii="Times New Roman" w:hAnsi="Times New Roman"/>
          <w:szCs w:val="21"/>
        </w:rPr>
        <w:t xml:space="preserve"> (D) spectrum </w:t>
      </w:r>
      <w:r>
        <w:rPr>
          <w:rFonts w:hint="eastAsia" w:ascii="Times New Roman" w:hAnsi="Times New Roman"/>
        </w:rPr>
        <w:t xml:space="preserve">of the rice biochar. </w:t>
      </w:r>
    </w:p>
    <w:p w14:paraId="5C1B9CBB">
      <w:pPr>
        <w:spacing w:line="440" w:lineRule="exact"/>
        <w:rPr>
          <w:rFonts w:ascii="Times New Roman" w:hAnsi="Times New Roma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425" w:num="1"/>
          <w:docGrid w:type="lines" w:linePitch="312" w:charSpace="0"/>
        </w:sectPr>
      </w:pPr>
    </w:p>
    <w:p w14:paraId="2DE735C1">
      <w:pPr>
        <w:jc w:val="center"/>
        <w:rPr>
          <w:rFonts w:ascii="Times New Roman" w:hAnsi="Times New Roman"/>
          <w:b/>
          <w:bCs/>
        </w:rPr>
      </w:pPr>
      <w:r>
        <w:rPr>
          <w:rFonts w:hint="eastAsia" w:ascii="Times New Roman" w:hAnsi="Times New Roman"/>
          <w:b/>
          <w:bCs/>
          <w:lang w:val="en-IN" w:eastAsia="en-IN"/>
        </w:rPr>
        <w:drawing>
          <wp:inline distT="0" distB="0" distL="114300" distR="114300">
            <wp:extent cx="4824730" cy="7306945"/>
            <wp:effectExtent l="0" t="0" r="6350" b="8255"/>
            <wp:docPr id="6" name="图片 6" descr="Fig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4"/>
                    <pic:cNvPicPr>
                      <a:picLocks noChangeAspect="1"/>
                    </pic:cNvPicPr>
                  </pic:nvPicPr>
                  <pic:blipFill>
                    <a:blip r:embed="rId5"/>
                    <a:srcRect r="8081" b="3626"/>
                    <a:stretch>
                      <a:fillRect/>
                    </a:stretch>
                  </pic:blipFill>
                  <pic:spPr>
                    <a:xfrm>
                      <a:off x="0" y="0"/>
                      <a:ext cx="4824730" cy="730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EEFFA">
      <w:pPr>
        <w:spacing w:line="360" w:lineRule="auto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>Fig. S2</w:t>
      </w:r>
      <w:r>
        <w:rPr>
          <w:rFonts w:hint="eastAsia" w:ascii="Times New Roman" w:hAnsi="Times New Roman"/>
        </w:rPr>
        <w:t xml:space="preserve"> Differences in the denitrification microbial community. The significant genera of the </w:t>
      </w:r>
      <w:r>
        <w:rPr>
          <w:rFonts w:hint="eastAsia" w:ascii="Times New Roman" w:hAnsi="Times New Roman"/>
          <w:i/>
          <w:iCs/>
        </w:rPr>
        <w:t>nirK</w:t>
      </w:r>
      <w:r>
        <w:rPr>
          <w:rFonts w:hint="eastAsia" w:ascii="Times New Roman" w:hAnsi="Times New Roman"/>
        </w:rPr>
        <w:t xml:space="preserve"> (a), </w:t>
      </w:r>
      <w:r>
        <w:rPr>
          <w:rFonts w:hint="eastAsia" w:ascii="Times New Roman" w:hAnsi="Times New Roman"/>
          <w:i/>
          <w:iCs/>
        </w:rPr>
        <w:t>nirS</w:t>
      </w:r>
      <w:r>
        <w:rPr>
          <w:rFonts w:hint="eastAsia" w:ascii="Times New Roman" w:hAnsi="Times New Roman"/>
        </w:rPr>
        <w:t xml:space="preserve"> (b) and </w:t>
      </w:r>
      <w:r>
        <w:rPr>
          <w:rFonts w:hint="eastAsia" w:ascii="Times New Roman" w:hAnsi="Times New Roman"/>
          <w:i/>
          <w:iCs/>
        </w:rPr>
        <w:t xml:space="preserve">nosZ </w:t>
      </w:r>
      <w:r>
        <w:rPr>
          <w:rFonts w:hint="eastAsia" w:ascii="Times New Roman" w:hAnsi="Times New Roman"/>
        </w:rPr>
        <w:t xml:space="preserve">(c) phyla </w:t>
      </w:r>
      <w:r>
        <w:rPr>
          <w:rFonts w:ascii="Times New Roman" w:hAnsi="Times New Roman"/>
        </w:rPr>
        <w:t xml:space="preserve">under </w:t>
      </w:r>
      <w:r>
        <w:rPr>
          <w:rFonts w:hint="eastAsia" w:ascii="Times New Roman" w:hAnsi="Times New Roman"/>
        </w:rPr>
        <w:t>CK</w:t>
      </w:r>
      <w:r>
        <w:rPr>
          <w:rFonts w:ascii="Times New Roman" w:hAnsi="Times New Roman"/>
        </w:rPr>
        <w:t xml:space="preserve"> and biochar </w:t>
      </w:r>
      <w:r>
        <w:rPr>
          <w:rFonts w:hint="eastAsia" w:ascii="Times New Roman" w:hAnsi="Times New Roman"/>
        </w:rPr>
        <w:t xml:space="preserve">treatment </w:t>
      </w:r>
      <w:r>
        <w:rPr>
          <w:rFonts w:ascii="Times New Roman" w:hAnsi="Times New Roman"/>
        </w:rPr>
        <w:t>in different depths</w:t>
      </w:r>
      <w:r>
        <w:rPr>
          <w:rFonts w:hint="eastAsia" w:ascii="Times New Roman" w:hAnsi="Times New Roman"/>
        </w:rPr>
        <w:t xml:space="preserve"> as determined by Welch</w:t>
      </w:r>
      <w:r>
        <w:rPr>
          <w:rFonts w:ascii="Times New Roman" w:hAnsi="Times New Roman"/>
        </w:rPr>
        <w:t>’</w:t>
      </w:r>
      <w:r>
        <w:rPr>
          <w:rFonts w:hint="eastAsia" w:ascii="Times New Roman" w:hAnsi="Times New Roman"/>
        </w:rPr>
        <w:t>s t-test at 95% confidence interval (</w:t>
      </w:r>
      <w:r>
        <w:rPr>
          <w:rFonts w:hint="eastAsia" w:ascii="Times New Roman" w:hAnsi="Times New Roman"/>
          <w:i/>
          <w:iCs/>
        </w:rPr>
        <w:t>P</w:t>
      </w:r>
      <w:r>
        <w:rPr>
          <w:rFonts w:hint="eastAsia" w:ascii="Times New Roman" w:hAnsi="Times New Roman"/>
        </w:rPr>
        <w:t xml:space="preserve"> &lt; 0.05, n = 3) , and the significant genera relative to CK and BC treatment with merged depths. C: CK of 0- 80 cm; B: Biochar amendment of 0-80 cm.</w:t>
      </w:r>
    </w:p>
    <w:p w14:paraId="0BC7AB21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IN" w:eastAsia="en-IN"/>
        </w:rPr>
        <w:drawing>
          <wp:inline distT="0" distB="0" distL="114300" distR="114300">
            <wp:extent cx="6228080" cy="3122295"/>
            <wp:effectExtent l="0" t="0" r="5080" b="1905"/>
            <wp:docPr id="2" name="图片 2" descr="Fig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2808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621B3">
      <w:pPr>
        <w:rPr>
          <w:rFonts w:ascii="Times New Roman" w:hAnsi="Times New Roman"/>
          <w:b/>
          <w:bCs/>
        </w:rPr>
      </w:pPr>
    </w:p>
    <w:p w14:paraId="6C0B54C3">
      <w:pPr>
        <w:spacing w:line="360" w:lineRule="auto"/>
        <w:rPr>
          <w:rFonts w:ascii="Times New Roman" w:hAnsi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ascii="Times New Roman" w:hAnsi="Times New Roman"/>
          <w:b/>
          <w:bCs/>
        </w:rPr>
        <w:t>Fig</w:t>
      </w:r>
      <w:r>
        <w:rPr>
          <w:rFonts w:hint="eastAsia"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hint="eastAsia" w:ascii="Times New Roman" w:hAnsi="Times New Roman"/>
          <w:b/>
          <w:bCs/>
        </w:rPr>
        <w:t xml:space="preserve">S3 </w:t>
      </w:r>
      <w:r>
        <w:rPr>
          <w:rFonts w:hint="eastAsia" w:ascii="Times New Roman" w:hAnsi="Times New Roman"/>
        </w:rPr>
        <w:t>C</w:t>
      </w:r>
      <w:r>
        <w:rPr>
          <w:rFonts w:ascii="Times New Roman" w:hAnsi="Times New Roman"/>
        </w:rPr>
        <w:t xml:space="preserve">orrelations between the relative abundance of keystone orders encoded by </w:t>
      </w:r>
      <w:r>
        <w:rPr>
          <w:rFonts w:ascii="Times New Roman" w:hAnsi="Times New Roman"/>
          <w:i/>
          <w:iCs/>
        </w:rPr>
        <w:t>nirS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i/>
          <w:iCs/>
        </w:rPr>
        <w:t>nirK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  <w:iCs/>
        </w:rPr>
        <w:t>nosZ</w:t>
      </w:r>
      <w:r>
        <w:rPr>
          <w:rFonts w:ascii="Times New Roman" w:hAnsi="Times New Roman"/>
        </w:rPr>
        <w:t xml:space="preserve"> genes and N transformation rates [DNRA, denitrification, anammox rate, relative contribution (%)</w:t>
      </w:r>
      <w:r>
        <w:rPr>
          <w:rFonts w:hint="eastAsia" w:ascii="Times New Roman" w:hAnsi="Times New Roman"/>
        </w:rPr>
        <w:t xml:space="preserve"> and related gene abundances</w:t>
      </w:r>
      <w:r>
        <w:rPr>
          <w:rFonts w:ascii="Times New Roman" w:hAnsi="Times New Roman"/>
        </w:rPr>
        <w:t>]</w:t>
      </w:r>
      <w:r>
        <w:rPr>
          <w:rFonts w:hint="eastAsia" w:ascii="Times New Roman" w:hAnsi="Times New Roman"/>
        </w:rPr>
        <w:t xml:space="preserve"> in different depths of paddy soil</w:t>
      </w:r>
      <w:r>
        <w:rPr>
          <w:rFonts w:ascii="Times New Roman" w:hAnsi="Times New Roman"/>
        </w:rPr>
        <w:t>. The color gradient and square denote correlation coef</w:t>
      </w:r>
      <w:r>
        <w:rPr>
          <w:rFonts w:hint="eastAsia" w:ascii="Times New Roman" w:hAnsi="Times New Roman"/>
        </w:rPr>
        <w:t>fi</w:t>
      </w:r>
      <w:r>
        <w:rPr>
          <w:rFonts w:ascii="Times New Roman" w:hAnsi="Times New Roman"/>
        </w:rPr>
        <w:t xml:space="preserve">cients. Statistical significance with significance levels represent the significance at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 xml:space="preserve"> &lt; 0.001 (***) ,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 xml:space="preserve"> &lt; 0.01 (**), and </w:t>
      </w:r>
      <w:r>
        <w:rPr>
          <w:rFonts w:ascii="Times New Roman" w:hAnsi="Times New Roman"/>
          <w:i/>
          <w:iCs/>
        </w:rPr>
        <w:t>P</w:t>
      </w:r>
      <w:r>
        <w:rPr>
          <w:rFonts w:ascii="Times New Roman" w:hAnsi="Times New Roman"/>
        </w:rPr>
        <w:t xml:space="preserve"> &lt; 0.05 (*). </w:t>
      </w:r>
    </w:p>
    <w:p w14:paraId="62F2C003">
      <w:pPr>
        <w:jc w:val="center"/>
        <w:rPr>
          <w:rFonts w:eastAsiaTheme="minorEastAsia"/>
        </w:rPr>
      </w:pPr>
      <w:r>
        <w:rPr>
          <w:rFonts w:hint="eastAsia" w:eastAsiaTheme="minorEastAsia"/>
          <w:lang w:val="en-IN" w:eastAsia="en-IN"/>
        </w:rPr>
        <w:drawing>
          <wp:inline distT="0" distB="0" distL="114300" distR="114300">
            <wp:extent cx="5760085" cy="3988435"/>
            <wp:effectExtent l="0" t="0" r="635" b="4445"/>
            <wp:docPr id="13" name="图片 13" descr="Figure 6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6s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98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77D78">
      <w:pPr>
        <w:jc w:val="center"/>
        <w:rPr>
          <w:rFonts w:eastAsiaTheme="minorEastAsia"/>
        </w:rPr>
      </w:pPr>
    </w:p>
    <w:p w14:paraId="62CD1067">
      <w:pPr>
        <w:spacing w:line="360" w:lineRule="auto"/>
        <w:jc w:val="left"/>
        <w:rPr>
          <w:rFonts w:ascii="Times New Roman" w:hAnsi="Times New Roman" w:eastAsiaTheme="minorEastAsia"/>
        </w:rPr>
      </w:pPr>
      <w:r>
        <w:rPr>
          <w:rFonts w:ascii="Times New Roman" w:hAnsi="Times New Roman" w:eastAsiaTheme="minorEastAsia"/>
          <w:b/>
          <w:bCs/>
        </w:rPr>
        <w:t>Fig</w:t>
      </w:r>
      <w:r>
        <w:rPr>
          <w:rFonts w:hint="eastAsia" w:ascii="Times New Roman" w:hAnsi="Times New Roman" w:eastAsiaTheme="minorEastAsia"/>
          <w:b/>
          <w:bCs/>
        </w:rPr>
        <w:t>.</w:t>
      </w:r>
      <w:r>
        <w:rPr>
          <w:rFonts w:ascii="Times New Roman" w:hAnsi="Times New Roman" w:eastAsiaTheme="minorEastAsia"/>
          <w:b/>
          <w:bCs/>
        </w:rPr>
        <w:t xml:space="preserve"> S</w:t>
      </w:r>
      <w:r>
        <w:rPr>
          <w:rFonts w:hint="eastAsia" w:ascii="Times New Roman" w:hAnsi="Times New Roman" w:eastAsiaTheme="minorEastAsia"/>
          <w:b/>
          <w:bCs/>
        </w:rPr>
        <w:t>4</w:t>
      </w:r>
      <w:r>
        <w:rPr>
          <w:rFonts w:ascii="Times New Roman" w:hAnsi="Times New Roman" w:eastAsiaTheme="minorEastAsia"/>
        </w:rPr>
        <w:t xml:space="preserve"> Pearson’s correlations between the relative abundance of keystone orders encoded by </w:t>
      </w:r>
      <w:r>
        <w:rPr>
          <w:rFonts w:ascii="Times New Roman" w:hAnsi="Times New Roman" w:eastAsiaTheme="minorEastAsia"/>
          <w:i/>
          <w:iCs/>
        </w:rPr>
        <w:t>nirS</w:t>
      </w:r>
      <w:r>
        <w:rPr>
          <w:rFonts w:ascii="Times New Roman" w:hAnsi="Times New Roman" w:eastAsiaTheme="minorEastAsia"/>
        </w:rPr>
        <w:t xml:space="preserve">, </w:t>
      </w:r>
      <w:r>
        <w:rPr>
          <w:rFonts w:ascii="Times New Roman" w:hAnsi="Times New Roman" w:eastAsiaTheme="minorEastAsia"/>
          <w:i/>
          <w:iCs/>
        </w:rPr>
        <w:t>nirK</w:t>
      </w:r>
      <w:r>
        <w:rPr>
          <w:rFonts w:ascii="Times New Roman" w:hAnsi="Times New Roman" w:eastAsiaTheme="minorEastAsia"/>
        </w:rPr>
        <w:t xml:space="preserve"> and </w:t>
      </w:r>
      <w:r>
        <w:rPr>
          <w:rFonts w:ascii="Times New Roman" w:hAnsi="Times New Roman" w:eastAsiaTheme="minorEastAsia"/>
          <w:i/>
          <w:iCs/>
        </w:rPr>
        <w:t>nosZ</w:t>
      </w:r>
      <w:r>
        <w:rPr>
          <w:rFonts w:ascii="Times New Roman" w:hAnsi="Times New Roman" w:eastAsiaTheme="minorEastAsia"/>
        </w:rPr>
        <w:t xml:space="preserve"> genes and N transformation rates [DNRA, denitrification, anammox rate, relative contribution (%) and related gene abundance</w:t>
      </w:r>
      <w:r>
        <w:rPr>
          <w:rFonts w:hint="eastAsia" w:ascii="Times New Roman" w:hAnsi="Times New Roman" w:eastAsiaTheme="minorEastAsia"/>
        </w:rPr>
        <w:t>s</w:t>
      </w:r>
      <w:r>
        <w:rPr>
          <w:rFonts w:ascii="Times New Roman" w:hAnsi="Times New Roman" w:eastAsiaTheme="minorEastAsia"/>
        </w:rPr>
        <w:t xml:space="preserve">] </w:t>
      </w:r>
      <w:r>
        <w:rPr>
          <w:rFonts w:hint="eastAsia" w:ascii="Times New Roman" w:hAnsi="Times New Roman" w:eastAsiaTheme="minorEastAsia"/>
        </w:rPr>
        <w:t xml:space="preserve">in </w:t>
      </w:r>
      <w:r>
        <w:rPr>
          <w:rFonts w:ascii="Times New Roman" w:hAnsi="Times New Roman" w:eastAsiaTheme="minorEastAsia"/>
        </w:rPr>
        <w:t>different depth</w:t>
      </w:r>
      <w:r>
        <w:rPr>
          <w:rFonts w:hint="eastAsia" w:ascii="Times New Roman" w:hAnsi="Times New Roman" w:eastAsiaTheme="minorEastAsia"/>
        </w:rPr>
        <w:t>s</w:t>
      </w:r>
      <w:r>
        <w:rPr>
          <w:rFonts w:ascii="Times New Roman" w:hAnsi="Times New Roman" w:eastAsiaTheme="minorEastAsia"/>
        </w:rPr>
        <w:t xml:space="preserve"> </w:t>
      </w:r>
      <w:r>
        <w:rPr>
          <w:rFonts w:hint="eastAsia" w:ascii="Times New Roman" w:hAnsi="Times New Roman"/>
        </w:rPr>
        <w:t>combined (0-80 cm) of</w:t>
      </w:r>
      <w:r>
        <w:rPr>
          <w:rFonts w:hint="eastAsia" w:ascii="Times New Roman" w:hAnsi="Times New Roman" w:eastAsiaTheme="minorEastAsia"/>
        </w:rPr>
        <w:t xml:space="preserve"> </w:t>
      </w:r>
      <w:r>
        <w:rPr>
          <w:rFonts w:ascii="Times New Roman" w:hAnsi="Times New Roman" w:eastAsiaTheme="minorEastAsia"/>
        </w:rPr>
        <w:t xml:space="preserve">paddy soil. The color gradient and square denote Pearson’s correlation coefficients. Statistical significance with significance levels represent the significance at </w:t>
      </w:r>
      <w:r>
        <w:rPr>
          <w:rFonts w:ascii="Times New Roman" w:hAnsi="Times New Roman" w:eastAsiaTheme="minorEastAsia"/>
          <w:i/>
          <w:iCs/>
        </w:rPr>
        <w:t>P</w:t>
      </w:r>
      <w:r>
        <w:rPr>
          <w:rFonts w:ascii="Times New Roman" w:hAnsi="Times New Roman" w:eastAsiaTheme="minorEastAsia"/>
        </w:rPr>
        <w:t xml:space="preserve"> &lt; 0.001 (***) , </w:t>
      </w:r>
      <w:r>
        <w:rPr>
          <w:rFonts w:ascii="Times New Roman" w:hAnsi="Times New Roman" w:eastAsiaTheme="minorEastAsia"/>
          <w:i/>
          <w:iCs/>
        </w:rPr>
        <w:t>P</w:t>
      </w:r>
      <w:r>
        <w:rPr>
          <w:rFonts w:ascii="Times New Roman" w:hAnsi="Times New Roman" w:eastAsiaTheme="minorEastAsia"/>
        </w:rPr>
        <w:t xml:space="preserve"> &lt; 0.01 (**), and</w:t>
      </w:r>
      <w:r>
        <w:rPr>
          <w:rFonts w:ascii="Times New Roman" w:hAnsi="Times New Roman" w:eastAsiaTheme="minorEastAsia"/>
          <w:i/>
          <w:iCs/>
        </w:rPr>
        <w:t xml:space="preserve"> P</w:t>
      </w:r>
      <w:r>
        <w:rPr>
          <w:rFonts w:ascii="Times New Roman" w:hAnsi="Times New Roman" w:eastAsiaTheme="minorEastAsia"/>
        </w:rPr>
        <w:t xml:space="preserve"> &lt; 0.05 (*). </w:t>
      </w:r>
    </w:p>
    <w:p w14:paraId="77DEFA75">
      <w:pPr>
        <w:spacing w:line="440" w:lineRule="exact"/>
        <w:jc w:val="left"/>
        <w:rPr>
          <w:rFonts w:ascii="Times New Roman" w:hAnsi="Times New Roman"/>
          <w:b/>
          <w:bCs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6DCCB1C">
      <w:pPr>
        <w:spacing w:line="360" w:lineRule="auto"/>
        <w:jc w:val="left"/>
        <w:rPr>
          <w:rFonts w:hint="eastAsia" w:ascii="Times New Roman" w:hAnsi="Times New Roman"/>
          <w:b/>
          <w:bCs/>
        </w:rPr>
      </w:pPr>
    </w:p>
    <w:p w14:paraId="2D612678">
      <w:pPr>
        <w:spacing w:line="360" w:lineRule="auto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  <w:b/>
          <w:bCs/>
        </w:rPr>
        <w:t xml:space="preserve">Table S1 </w:t>
      </w:r>
      <w:r>
        <w:rPr>
          <w:rFonts w:hint="eastAsia" w:ascii="Times New Roman" w:hAnsi="Times New Roman"/>
        </w:rPr>
        <w:t>Basic properties of the biochar added in the field</w:t>
      </w:r>
    </w:p>
    <w:tbl>
      <w:tblPr>
        <w:tblStyle w:val="4"/>
        <w:tblW w:w="14495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748"/>
        <w:gridCol w:w="968"/>
        <w:gridCol w:w="750"/>
        <w:gridCol w:w="788"/>
        <w:gridCol w:w="1144"/>
        <w:gridCol w:w="850"/>
        <w:gridCol w:w="1266"/>
        <w:gridCol w:w="1610"/>
        <w:gridCol w:w="1520"/>
        <w:gridCol w:w="1641"/>
        <w:gridCol w:w="1641"/>
      </w:tblGrid>
      <w:tr w14:paraId="5475AB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718610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Treatments</w:t>
            </w:r>
          </w:p>
        </w:tc>
        <w:tc>
          <w:tcPr>
            <w:tcW w:w="74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04B99C3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pH</w:t>
            </w:r>
          </w:p>
        </w:tc>
        <w:tc>
          <w:tcPr>
            <w:tcW w:w="96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64465A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EC (</w:t>
            </w:r>
            <w:r>
              <w:rPr>
                <w:rFonts w:ascii="Times New Roman" w:hAnsi="Times New Roman" w:eastAsia="等线"/>
                <w:szCs w:val="21"/>
              </w:rPr>
              <w:t>µ</w:t>
            </w:r>
            <w:r>
              <w:rPr>
                <w:rFonts w:ascii="Times New Roman" w:hAnsi="Times New Roman"/>
                <w:szCs w:val="21"/>
              </w:rPr>
              <w:t>s/cm)</w:t>
            </w:r>
          </w:p>
        </w:tc>
        <w:tc>
          <w:tcPr>
            <w:tcW w:w="75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A9D10E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 (%)</w:t>
            </w:r>
          </w:p>
        </w:tc>
        <w:tc>
          <w:tcPr>
            <w:tcW w:w="78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5AA342F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 (%)</w:t>
            </w:r>
          </w:p>
        </w:tc>
        <w:tc>
          <w:tcPr>
            <w:tcW w:w="1144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2D3909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 xml:space="preserve">molar H/C ratio 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9B1FF0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O</w:t>
            </w:r>
          </w:p>
          <w:p w14:paraId="0E0E0ED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(%)</w:t>
            </w:r>
          </w:p>
        </w:tc>
        <w:tc>
          <w:tcPr>
            <w:tcW w:w="1266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06D81851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N</w:t>
            </w:r>
            <w:r>
              <w:rPr>
                <w:rFonts w:ascii="Times New Roman" w:hAnsi="Times New Roman"/>
                <w:szCs w:val="21"/>
              </w:rPr>
              <w:t xml:space="preserve"> (%)</w:t>
            </w:r>
          </w:p>
        </w:tc>
        <w:tc>
          <w:tcPr>
            <w:tcW w:w="161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8B01AA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Specific </w:t>
            </w:r>
          </w:p>
          <w:p w14:paraId="3274D5E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surface area</w:t>
            </w:r>
            <w:r>
              <w:rPr>
                <w:rFonts w:ascii="Times New Roman" w:hAnsi="Times New Roman"/>
                <w:szCs w:val="21"/>
                <w:vertAlign w:val="superscript"/>
              </w:rPr>
              <w:t>[a]</w:t>
            </w:r>
          </w:p>
          <w:p w14:paraId="31864194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(m</w:t>
            </w:r>
            <w:r>
              <w:rPr>
                <w:rFonts w:ascii="Times New Roman" w:hAnsi="Times New Roman"/>
                <w:szCs w:val="21"/>
                <w:vertAlign w:val="superscript"/>
              </w:rPr>
              <w:t>2</w:t>
            </w:r>
            <w:r>
              <w:rPr>
                <w:rFonts w:ascii="Times New Roman" w:hAnsi="Times New Roman"/>
                <w:szCs w:val="21"/>
              </w:rPr>
              <w:t>/g)</w:t>
            </w:r>
          </w:p>
        </w:tc>
        <w:tc>
          <w:tcPr>
            <w:tcW w:w="152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63C7AB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Total pore volume</w:t>
            </w:r>
            <w:r>
              <w:rPr>
                <w:rFonts w:ascii="Times New Roman" w:hAnsi="Times New Roman"/>
                <w:szCs w:val="21"/>
                <w:vertAlign w:val="superscript"/>
              </w:rPr>
              <w:t>[b]</w:t>
            </w:r>
          </w:p>
          <w:p w14:paraId="6ED056BA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(cm</w:t>
            </w:r>
            <w:r>
              <w:rPr>
                <w:rFonts w:ascii="Times New Roman" w:hAnsi="Times New Roman"/>
                <w:szCs w:val="21"/>
                <w:vertAlign w:val="superscript"/>
              </w:rPr>
              <w:t>3</w:t>
            </w:r>
            <w:r>
              <w:rPr>
                <w:rFonts w:ascii="Times New Roman" w:hAnsi="Times New Roman"/>
                <w:szCs w:val="21"/>
              </w:rPr>
              <w:t>/g)</w:t>
            </w:r>
          </w:p>
        </w:tc>
        <w:tc>
          <w:tcPr>
            <w:tcW w:w="1641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05D82439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Micropore volume</w:t>
            </w:r>
            <w:r>
              <w:rPr>
                <w:rFonts w:ascii="Times New Roman" w:hAnsi="Times New Roman"/>
                <w:szCs w:val="21"/>
                <w:vertAlign w:val="superscript"/>
              </w:rPr>
              <w:t>[c]</w:t>
            </w:r>
          </w:p>
          <w:p w14:paraId="4C7EF929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(cm</w:t>
            </w:r>
            <w:r>
              <w:rPr>
                <w:rFonts w:ascii="Times New Roman" w:hAnsi="Times New Roman"/>
                <w:szCs w:val="21"/>
                <w:vertAlign w:val="superscript"/>
              </w:rPr>
              <w:t>3</w:t>
            </w:r>
            <w:r>
              <w:rPr>
                <w:rFonts w:ascii="Times New Roman" w:hAnsi="Times New Roman"/>
                <w:szCs w:val="21"/>
              </w:rPr>
              <w:t>/g)</w:t>
            </w:r>
          </w:p>
        </w:tc>
        <w:tc>
          <w:tcPr>
            <w:tcW w:w="1641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62334A7E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Mesopore volume</w:t>
            </w:r>
            <w:r>
              <w:rPr>
                <w:rFonts w:ascii="Times New Roman" w:hAnsi="Times New Roman"/>
                <w:szCs w:val="21"/>
                <w:vertAlign w:val="superscript"/>
              </w:rPr>
              <w:t>[d]</w:t>
            </w:r>
            <w:r>
              <w:rPr>
                <w:rFonts w:ascii="Times New Roman" w:hAnsi="Times New Roman"/>
                <w:szCs w:val="21"/>
              </w:rPr>
              <w:t xml:space="preserve"> </w:t>
            </w:r>
          </w:p>
          <w:p w14:paraId="5D45BFE4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(cm</w:t>
            </w:r>
            <w:r>
              <w:rPr>
                <w:rFonts w:ascii="Times New Roman" w:hAnsi="Times New Roman"/>
                <w:szCs w:val="21"/>
                <w:vertAlign w:val="superscript"/>
              </w:rPr>
              <w:t>3</w:t>
            </w:r>
            <w:r>
              <w:rPr>
                <w:rFonts w:ascii="Times New Roman" w:hAnsi="Times New Roman"/>
                <w:szCs w:val="21"/>
              </w:rPr>
              <w:t>/g)</w:t>
            </w:r>
          </w:p>
        </w:tc>
      </w:tr>
      <w:tr w14:paraId="123C334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9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EDE5C9E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Biochar</w:t>
            </w:r>
          </w:p>
        </w:tc>
        <w:tc>
          <w:tcPr>
            <w:tcW w:w="74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21F1BA21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10.72</w:t>
            </w:r>
          </w:p>
        </w:tc>
        <w:tc>
          <w:tcPr>
            <w:tcW w:w="96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EF6ADB7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1067</w:t>
            </w:r>
          </w:p>
        </w:tc>
        <w:tc>
          <w:tcPr>
            <w:tcW w:w="75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4913ED4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50.07</w:t>
            </w:r>
          </w:p>
        </w:tc>
        <w:tc>
          <w:tcPr>
            <w:tcW w:w="788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20F8B9B5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0.88</w:t>
            </w:r>
          </w:p>
        </w:tc>
        <w:tc>
          <w:tcPr>
            <w:tcW w:w="1144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3A3ACAF2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0.018</w:t>
            </w:r>
          </w:p>
        </w:tc>
        <w:tc>
          <w:tcPr>
            <w:tcW w:w="85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5BD767D1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7.17</w:t>
            </w:r>
          </w:p>
        </w:tc>
        <w:tc>
          <w:tcPr>
            <w:tcW w:w="1266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780CCC10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0.43</w:t>
            </w:r>
          </w:p>
        </w:tc>
        <w:tc>
          <w:tcPr>
            <w:tcW w:w="161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A2EF244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 w:eastAsiaTheme="minorEastAsia"/>
                <w:szCs w:val="21"/>
              </w:rPr>
              <w:t>226.30</w:t>
            </w:r>
          </w:p>
        </w:tc>
        <w:tc>
          <w:tcPr>
            <w:tcW w:w="1520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D1019BB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0.12</w:t>
            </w:r>
          </w:p>
        </w:tc>
        <w:tc>
          <w:tcPr>
            <w:tcW w:w="1641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0C7B1DCE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0.07</w:t>
            </w:r>
          </w:p>
        </w:tc>
        <w:tc>
          <w:tcPr>
            <w:tcW w:w="1641" w:type="dxa"/>
            <w:tcBorders>
              <w:top w:val="single" w:color="000000" w:sz="8" w:space="0"/>
              <w:bottom w:val="single" w:color="000000" w:sz="8" w:space="0"/>
            </w:tcBorders>
            <w:vAlign w:val="center"/>
          </w:tcPr>
          <w:p w14:paraId="1CCD75E1">
            <w:pPr>
              <w:jc w:val="center"/>
              <w:rPr>
                <w:rFonts w:ascii="Times New Roman" w:hAnsi="Times New Roman" w:eastAsiaTheme="minorEastAsia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0.04</w:t>
            </w:r>
          </w:p>
        </w:tc>
      </w:tr>
    </w:tbl>
    <w:p w14:paraId="28A07D30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a</w:t>
      </w:r>
      <w:r>
        <w:rPr>
          <w:rFonts w:ascii="Times New Roman" w:hAnsi="Times New Roman"/>
          <w:szCs w:val="21"/>
        </w:rPr>
        <w:t xml:space="preserve"> Specific surface area calculated by BET method</w:t>
      </w:r>
    </w:p>
    <w:p w14:paraId="50B8DF71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b</w:t>
      </w:r>
      <w:r>
        <w:rPr>
          <w:rFonts w:ascii="Times New Roman" w:hAnsi="Times New Roman"/>
          <w:szCs w:val="21"/>
        </w:rPr>
        <w:t xml:space="preserve"> Total pore volume at P/P</w:t>
      </w:r>
      <w:r>
        <w:rPr>
          <w:rFonts w:ascii="Times New Roman" w:hAnsi="Times New Roman"/>
          <w:szCs w:val="21"/>
          <w:vertAlign w:val="subscript"/>
        </w:rPr>
        <w:t>0</w:t>
      </w:r>
      <w:r>
        <w:rPr>
          <w:rFonts w:ascii="Times New Roman" w:hAnsi="Times New Roman"/>
          <w:szCs w:val="21"/>
        </w:rPr>
        <w:t>=0.99</w:t>
      </w:r>
    </w:p>
    <w:p w14:paraId="13BD5889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c</w:t>
      </w:r>
      <w:r>
        <w:rPr>
          <w:rFonts w:ascii="Times New Roman" w:hAnsi="Times New Roman"/>
          <w:szCs w:val="21"/>
        </w:rPr>
        <w:t xml:space="preserve"> Micropore volume is calculated by using the t-plot method</w:t>
      </w:r>
    </w:p>
    <w:p w14:paraId="5FC78240">
      <w:pPr>
        <w:spacing w:line="360" w:lineRule="auto"/>
        <w:rPr>
          <w:rFonts w:ascii="Times New Roman" w:hAnsi="Times New Roman"/>
          <w:szCs w:val="21"/>
        </w:rPr>
      </w:pPr>
      <w:r>
        <w:rPr>
          <w:rFonts w:ascii="Times New Roman" w:hAnsi="Times New Roman"/>
          <w:szCs w:val="21"/>
          <w:vertAlign w:val="superscript"/>
        </w:rPr>
        <w:t>d</w:t>
      </w:r>
      <w:r>
        <w:rPr>
          <w:rFonts w:ascii="Times New Roman" w:hAnsi="Times New Roman"/>
          <w:szCs w:val="21"/>
        </w:rPr>
        <w:t xml:space="preserve"> Mesopore volume is calculated by subtracting the micropore volume from the total pore volume</w:t>
      </w:r>
    </w:p>
    <w:p w14:paraId="0E6C5818">
      <w:pPr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br w:type="page"/>
      </w:r>
    </w:p>
    <w:p w14:paraId="20826CF4"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 xml:space="preserve">Table S2 </w:t>
      </w:r>
      <w:r>
        <w:rPr>
          <w:rFonts w:hint="eastAsia" w:ascii="Times New Roman" w:hAnsi="Times New Roman"/>
          <w:szCs w:val="21"/>
        </w:rPr>
        <w:t>Calculations of denitrification, anammox and DNRA rates</w:t>
      </w:r>
      <w:r>
        <w:rPr>
          <w:rFonts w:hint="eastAsia"/>
        </w:rPr>
        <w:t xml:space="preserve"> </w:t>
      </w:r>
      <w:r>
        <w:rPr>
          <w:rFonts w:hint="eastAsia" w:ascii="Times New Roman" w:hAnsi="Times New Roman"/>
        </w:rPr>
        <w:t>using</w:t>
      </w:r>
      <w:r>
        <w:rPr>
          <w:rFonts w:ascii="Times New Roman" w:hAnsi="Times New Roman"/>
        </w:rPr>
        <w:t xml:space="preserve"> </w:t>
      </w:r>
      <w:r>
        <w:rPr>
          <w:rFonts w:hint="eastAsia" w:ascii="Times New Roman" w:hAnsi="Times New Roman"/>
        </w:rPr>
        <w:t xml:space="preserve">slurry-based </w:t>
      </w:r>
      <w:r>
        <w:rPr>
          <w:rFonts w:hint="eastAsia" w:ascii="Times New Roman" w:hAnsi="Times New Roman"/>
          <w:vertAlign w:val="superscript"/>
        </w:rPr>
        <w:t>15</w:t>
      </w:r>
      <w:r>
        <w:rPr>
          <w:rFonts w:hint="eastAsia" w:ascii="Times New Roman" w:hAnsi="Times New Roman"/>
        </w:rPr>
        <w:t>N tracer pairing technique and membrane inlet mass spectrometry (MIMS)</w:t>
      </w:r>
    </w:p>
    <w:tbl>
      <w:tblPr>
        <w:tblStyle w:val="4"/>
        <w:tblW w:w="784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7230"/>
      </w:tblGrid>
      <w:tr w14:paraId="58F7B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17" w:type="dxa"/>
            <w:vAlign w:val="center"/>
          </w:tcPr>
          <w:p w14:paraId="18DA2236">
            <w:pPr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(1)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01EDA823">
            <w:pPr>
              <w:spacing w:line="300" w:lineRule="auto"/>
              <w:ind w:firstLine="420" w:firstLineChars="200"/>
              <w:rPr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30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/>
                  <w:rPr>
                    <w:rFonts w:ascii="Cambria Math" w:hAnsi="Cambria Math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szCs w:val="21"/>
                      </w:rPr>
                      <m:t>30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</m:oMath>
            </m:oMathPara>
          </w:p>
        </w:tc>
      </w:tr>
      <w:tr w14:paraId="63C58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617" w:type="dxa"/>
            <w:vAlign w:val="center"/>
          </w:tcPr>
          <w:p w14:paraId="351E78AA">
            <w:pPr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(2)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D5C26EB">
            <w:pPr>
              <w:spacing w:line="300" w:lineRule="auto"/>
              <w:ind w:firstLine="420" w:firstLineChars="200"/>
              <w:rPr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29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=2×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30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  <m:sup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-1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p>
                </m:sSubSup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×(1-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  <m:sup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-1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p>
                </m:sSubSup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)</m:t>
                </m:r>
              </m:oMath>
            </m:oMathPara>
          </w:p>
        </w:tc>
      </w:tr>
      <w:tr w14:paraId="7BACC4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exact"/>
        </w:trPr>
        <w:tc>
          <w:tcPr>
            <w:tcW w:w="617" w:type="dxa"/>
            <w:vAlign w:val="center"/>
          </w:tcPr>
          <w:p w14:paraId="47E2CE40">
            <w:pPr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(3)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2F00C387">
            <w:pPr>
              <w:spacing w:line="300" w:lineRule="auto"/>
              <w:ind w:firstLine="420" w:firstLineChars="200"/>
              <w:rPr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p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30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  <m:sup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-2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p>
                </m:sSubSup>
              </m:oMath>
            </m:oMathPara>
          </w:p>
        </w:tc>
      </w:tr>
      <w:tr w14:paraId="08177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</w:trPr>
        <w:tc>
          <w:tcPr>
            <w:tcW w:w="617" w:type="dxa"/>
            <w:vAlign w:val="center"/>
          </w:tcPr>
          <w:p w14:paraId="76FAC9A0">
            <w:pPr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(4)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4C1908BF">
            <w:pPr>
              <w:spacing w:line="300" w:lineRule="auto"/>
              <w:ind w:firstLine="420" w:firstLineChars="200"/>
              <w:rPr>
                <w:sz w:val="24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A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p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29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D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29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29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-2×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Y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30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</m:sSub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×(1-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  <m:sup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-1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p>
                </m:sSubSup>
                <m:r>
                  <m:rPr>
                    <m:nor/>
                    <m:sty m:val="p"/>
                  </m:rPr>
                  <w:rPr>
                    <w:rFonts w:ascii="Cambria Math" w:hAnsi="Cambria Math"/>
                    <w:b w:val="0"/>
                    <w:i w:val="0"/>
                    <w:szCs w:val="21"/>
                  </w:rPr>
                  <m:t>)×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SubSupPr>
                  <m:e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F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e>
                  <m:sub>
                    <m:r>
                      <m:rPr>
                        <m:nor/>
                      </m:rPr>
                      <w:rPr>
                        <w:rFonts w:ascii="Cambria Math" w:hAnsi="Cambria Math"/>
                        <w:i/>
                        <w:szCs w:val="21"/>
                      </w:rPr>
                      <m:t>N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b>
                  <m:sup>
                    <m:r>
                      <m:rPr>
                        <m:nor/>
                        <m:sty m:val="p"/>
                      </m:rPr>
                      <w:rPr>
                        <w:rFonts w:ascii="Cambria Math" w:hAnsi="Cambria Math"/>
                        <w:b w:val="0"/>
                        <w:i w:val="0"/>
                        <w:szCs w:val="21"/>
                      </w:rPr>
                      <m:t>-1</m:t>
                    </m:r>
                    <m:ctrlPr>
                      <w:rPr>
                        <w:rFonts w:ascii="Cambria Math" w:hAnsi="Cambria Math"/>
                        <w:i/>
                        <w:szCs w:val="21"/>
                      </w:rPr>
                    </m:ctrlPr>
                  </m:sup>
                </m:sSubSup>
              </m:oMath>
            </m:oMathPara>
          </w:p>
        </w:tc>
      </w:tr>
      <w:tr w14:paraId="1EF89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exact"/>
        </w:trPr>
        <w:tc>
          <w:tcPr>
            <w:tcW w:w="617" w:type="dxa"/>
            <w:vAlign w:val="center"/>
          </w:tcPr>
          <w:p w14:paraId="263116E1">
            <w:pPr>
              <w:spacing w:line="300" w:lineRule="auto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(5)</w:t>
            </w:r>
          </w:p>
        </w:tc>
        <w:tc>
          <w:tcPr>
            <w:tcW w:w="7230" w:type="dxa"/>
            <w:shd w:val="clear" w:color="auto" w:fill="auto"/>
            <w:vAlign w:val="center"/>
          </w:tcPr>
          <w:p w14:paraId="7903E6DF">
            <w:pPr>
              <w:rPr>
                <w:rFonts w:ascii="Cambria Math" w:hAnsi="Cambria Math"/>
                <w:sz w:val="24"/>
                <w:oMath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bPr>
                  <m:e>
                    <m:r>
                      <m:rPr/>
                      <w:rPr>
                        <w:rFonts w:ascii="Cambria Math" w:hAnsi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R</m:t>
                    </m: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b>
                    <m:r>
                      <m:rPr/>
                      <w:rPr>
                        <w:rFonts w:ascii="Cambria Math" w:hAnsi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DNRA</m:t>
                    </m: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b>
                </m:sSub>
                <m:sSup>
                  <m:sSupPr>
                    <m:ctrlPr>
                      <w:rPr>
                        <w:rFonts w:ascii="Cambria Math" w:hAnsi="Cambria Math" w:eastAsia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eastAsia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=</m:t>
                    </m:r>
                    <m:d>
                      <m:dPr>
                        <m:ctrlPr>
                          <w:rPr>
                            <w:rFonts w:ascii="Cambria Math" w:hAnsi="Cambria Math" w:eastAsia="Cambria Math"/>
                            <w:i/>
                            <w:i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eastAsia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C</m:t>
                            </m:r>
                            <m:ctrlPr>
                              <w:rPr>
                                <w:rFonts w:ascii="Cambria Math" w:hAnsi="Cambria Math" w:eastAsia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 w:eastAsia="Cambria Math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2</m:t>
                            </m:r>
                            <m:ctrlPr>
                              <w:rPr>
                                <w:rFonts w:ascii="Cambria Math" w:hAnsi="Cambria Math" w:eastAsia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SubPr>
                          <m:e>
                            <m:r>
                              <m:rPr/>
                              <w:rPr>
                                <w:rFonts w:ascii="Cambria Math" w:hAnsi="Cambria Math" w:eastAsia="Cambria Math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−</m:t>
                            </m:r>
                            <m:r>
                              <m:rPr/>
                              <w:rPr>
                                <w:rFonts w:ascii="Cambria Math" w:hAnsi="Cambria Math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C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e>
                          <m:sub>
                            <m:r>
                              <m:rPr/>
                              <w:rPr>
                                <w:rFonts w:ascii="Cambria Math" w:hAnsi="Cambria Math"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m:t>1</m:t>
                            </m: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szCs w:val="21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m:ctrlPr>
                          </m:sub>
                        </m:sSub>
                        <m:ctrlPr>
                          <w:rPr>
                            <w:rFonts w:ascii="Cambria Math" w:hAnsi="Cambria Math" w:eastAsia="Cambria Math"/>
                            <w:i/>
                            <w:iCs/>
                            <w:color w:val="000000" w:themeColor="text1"/>
                            <w:szCs w:val="21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m:ctrlPr>
                      </m:e>
                    </m:d>
                    <m:r>
                      <m:rPr/>
                      <w:rPr>
                        <w:rFonts w:ascii="Cambria Math" w:hAnsi="Cambria Math" w:eastAsia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×V×W</m:t>
                    </m:r>
                    <m:ctrlPr>
                      <w:rPr>
                        <w:rFonts w:ascii="Cambria Math" w:hAnsi="Cambria Math" w:eastAsia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eastAsia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−1</m:t>
                    </m:r>
                    <m:ctrlPr>
                      <w:rPr>
                        <w:rFonts w:ascii="Cambria Math" w:hAnsi="Cambria Math" w:eastAsia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  <m:sSup>
                  <m:sSupP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SupPr>
                  <m:e>
                    <m:r>
                      <m:rPr/>
                      <w:rPr>
                        <w:rFonts w:hint="eastAsia" w:ascii="Cambria Math" w:hAnsi="等线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×</m:t>
                    </m:r>
                    <m:r>
                      <m:rPr/>
                      <w:rPr>
                        <w:rFonts w:ascii="Cambria Math" w:hAnsi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T</m:t>
                    </m: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  <m:t>−1</m:t>
                    </m:r>
                    <m:ctrlPr>
                      <w:rPr>
                        <w:rFonts w:ascii="Cambria Math" w:hAnsi="Cambria Math"/>
                        <w:i/>
                        <w:iCs/>
                        <w:color w:val="000000" w:themeColor="text1"/>
                        <w:szCs w:val="21"/>
                        <w14:textFill>
                          <w14:solidFill>
                            <w14:schemeClr w14:val="tx1"/>
                          </w14:solidFill>
                        </w14:textFill>
                      </w:rPr>
                    </m:ctrlPr>
                  </m:sup>
                </m:sSup>
              </m:oMath>
            </m:oMathPara>
          </w:p>
        </w:tc>
      </w:tr>
    </w:tbl>
    <w:p w14:paraId="2B2EE467">
      <w:pPr>
        <w:spacing w:line="360" w:lineRule="auto"/>
        <w:rPr>
          <w:rFonts w:ascii="Times New Roman" w:hAnsi="Times New Roman"/>
          <w:szCs w:val="21"/>
        </w:rPr>
      </w:pPr>
      <w:r>
        <w:rPr>
          <w:rFonts w:hint="eastAsia" w:ascii="Times New Roman" w:hAnsi="Times New Roman"/>
          <w:szCs w:val="21"/>
        </w:rPr>
        <w:t xml:space="preserve">For the above equations, </w:t>
      </w:r>
      <w:r>
        <w:rPr>
          <w:rFonts w:hint="eastAsia" w:ascii="Times New Roman" w:hAnsi="Times New Roman"/>
          <w:i/>
          <w:iCs/>
          <w:szCs w:val="21"/>
        </w:rPr>
        <w:t>D</w:t>
      </w:r>
      <w:r>
        <w:rPr>
          <w:rFonts w:hint="eastAsia" w:ascii="Times New Roman" w:hAnsi="Times New Roman"/>
          <w:i/>
          <w:iCs/>
          <w:szCs w:val="21"/>
          <w:vertAlign w:val="subscript"/>
        </w:rPr>
        <w:t xml:space="preserve">p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>) represents the potential denitrification rate;</w:t>
      </w:r>
      <w:r>
        <w:rPr>
          <w:rFonts w:ascii="Times New Roman" w:hAnsi="Times New Roman"/>
          <w:i/>
          <w:iCs/>
          <w:szCs w:val="21"/>
        </w:rPr>
        <w:t xml:space="preserve"> D</w:t>
      </w:r>
      <w:r>
        <w:rPr>
          <w:rFonts w:ascii="Times New Roman" w:hAnsi="Times New Roman"/>
          <w:i/>
          <w:iCs/>
          <w:szCs w:val="21"/>
          <w:vertAlign w:val="subscript"/>
        </w:rPr>
        <w:t>30</w:t>
      </w:r>
      <w:r>
        <w:rPr>
          <w:rFonts w:hint="eastAsia" w:ascii="Times New Roman" w:hAnsi="Times New Roman"/>
          <w:i/>
          <w:iCs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</w:t>
      </w:r>
      <w:r>
        <w:rPr>
          <w:rFonts w:hint="eastAsia" w:ascii="Times New Roman" w:hAnsi="Times New Roman" w:eastAsia="等线"/>
          <w:kern w:val="0"/>
          <w:szCs w:val="21"/>
        </w:rPr>
        <w:t xml:space="preserve">is the 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30</w:t>
      </w:r>
      <w:r>
        <w:rPr>
          <w:rFonts w:hint="eastAsia" w:ascii="Times New Roman" w:hAnsi="Times New Roman" w:eastAsia="等线"/>
          <w:kern w:val="0"/>
          <w:szCs w:val="21"/>
        </w:rPr>
        <w:t>N</w:t>
      </w:r>
      <w:r>
        <w:rPr>
          <w:rFonts w:hint="eastAsia" w:ascii="Times New Roman" w:hAnsi="Times New Roman" w:eastAsia="等线"/>
          <w:kern w:val="0"/>
          <w:szCs w:val="21"/>
          <w:vertAlign w:val="subscript"/>
        </w:rPr>
        <w:t>2</w:t>
      </w:r>
      <w:r>
        <w:rPr>
          <w:rFonts w:hint="eastAsia" w:ascii="Times New Roman" w:hAnsi="Times New Roman" w:eastAsia="等线"/>
          <w:kern w:val="0"/>
          <w:szCs w:val="21"/>
        </w:rPr>
        <w:t xml:space="preserve"> production rate based denitrification during the incubation; </w:t>
      </w:r>
      <w:r>
        <w:rPr>
          <w:rFonts w:ascii="Times New Roman" w:hAnsi="Times New Roman"/>
          <w:i/>
          <w:iCs/>
          <w:szCs w:val="21"/>
        </w:rPr>
        <w:t>D</w:t>
      </w:r>
      <w:r>
        <w:rPr>
          <w:rFonts w:hint="eastAsia" w:ascii="Times New Roman" w:hAnsi="Times New Roman"/>
          <w:i/>
          <w:iCs/>
          <w:szCs w:val="21"/>
          <w:vertAlign w:val="subscript"/>
        </w:rPr>
        <w:t xml:space="preserve">29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</w:t>
      </w:r>
      <w:r>
        <w:rPr>
          <w:rFonts w:hint="eastAsia" w:ascii="Times New Roman" w:hAnsi="Times New Roman" w:eastAsia="等线"/>
          <w:kern w:val="0"/>
          <w:szCs w:val="21"/>
        </w:rPr>
        <w:t xml:space="preserve">is the 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29</w:t>
      </w:r>
      <w:r>
        <w:rPr>
          <w:rFonts w:hint="eastAsia" w:ascii="Times New Roman" w:hAnsi="Times New Roman" w:eastAsia="等线"/>
          <w:kern w:val="0"/>
          <w:szCs w:val="21"/>
        </w:rPr>
        <w:t>N</w:t>
      </w:r>
      <w:r>
        <w:rPr>
          <w:rFonts w:hint="eastAsia" w:ascii="Times New Roman" w:hAnsi="Times New Roman" w:eastAsia="等线"/>
          <w:kern w:val="0"/>
          <w:szCs w:val="21"/>
          <w:vertAlign w:val="subscript"/>
        </w:rPr>
        <w:t>2</w:t>
      </w:r>
      <w:r>
        <w:rPr>
          <w:rFonts w:hint="eastAsia" w:ascii="Times New Roman" w:hAnsi="Times New Roman" w:eastAsia="等线"/>
          <w:kern w:val="0"/>
          <w:szCs w:val="21"/>
        </w:rPr>
        <w:t xml:space="preserve"> production rate based denitrification during the incubation; </w:t>
      </w:r>
      <w:r>
        <w:rPr>
          <w:rFonts w:ascii="Times New Roman" w:hAnsi="Times New Roman"/>
          <w:i/>
          <w:iCs/>
          <w:szCs w:val="21"/>
        </w:rPr>
        <w:t>A</w:t>
      </w:r>
      <w:r>
        <w:rPr>
          <w:rFonts w:ascii="Times New Roman" w:hAnsi="Times New Roman"/>
          <w:i/>
          <w:iCs/>
          <w:szCs w:val="21"/>
          <w:vertAlign w:val="subscript"/>
        </w:rPr>
        <w:t>p</w:t>
      </w:r>
      <w:r>
        <w:rPr>
          <w:rFonts w:hint="eastAsia" w:ascii="Times New Roman" w:hAnsi="Times New Roman"/>
          <w:i/>
          <w:iCs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represents the potential anammox rate; </w:t>
      </w:r>
      <w:r>
        <w:rPr>
          <w:rFonts w:hint="eastAsia" w:ascii="Times New Roman" w:hAnsi="Times New Roman"/>
          <w:i/>
          <w:iCs/>
          <w:szCs w:val="21"/>
        </w:rPr>
        <w:t>Y</w:t>
      </w:r>
      <w:r>
        <w:rPr>
          <w:rFonts w:hint="eastAsia" w:ascii="Times New Roman" w:hAnsi="Times New Roman"/>
          <w:i/>
          <w:iCs/>
          <w:szCs w:val="21"/>
          <w:vertAlign w:val="subscript"/>
        </w:rPr>
        <w:t>29</w:t>
      </w:r>
      <w:r>
        <w:rPr>
          <w:rFonts w:hint="eastAsia" w:ascii="Times New Roman" w:hAnsi="Times New Roman"/>
          <w:i/>
          <w:i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and </w:t>
      </w:r>
      <w:r>
        <w:rPr>
          <w:rFonts w:hint="eastAsia" w:ascii="Times New Roman" w:hAnsi="Times New Roman"/>
          <w:i/>
          <w:iCs/>
          <w:szCs w:val="21"/>
        </w:rPr>
        <w:t>Y</w:t>
      </w:r>
      <w:r>
        <w:rPr>
          <w:rFonts w:hint="eastAsia" w:ascii="Times New Roman" w:hAnsi="Times New Roman"/>
          <w:i/>
          <w:iCs/>
          <w:szCs w:val="21"/>
          <w:vertAlign w:val="subscript"/>
        </w:rPr>
        <w:t>30</w:t>
      </w:r>
      <w:r>
        <w:rPr>
          <w:rFonts w:hint="eastAsia" w:ascii="Times New Roman" w:hAnsi="Times New Roman"/>
          <w:i/>
          <w:iCs/>
          <w:szCs w:val="21"/>
        </w:rPr>
        <w:t xml:space="preserve"> </w:t>
      </w:r>
      <w:r>
        <w:rPr>
          <w:rFonts w:hint="eastAsia" w:ascii="Times New Roman" w:hAnsi="Times New Roman"/>
          <w:szCs w:val="21"/>
        </w:rPr>
        <w:t>represent 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represent the 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29</w:t>
      </w:r>
      <w:r>
        <w:rPr>
          <w:rFonts w:hint="eastAsia" w:ascii="Times New Roman" w:hAnsi="Times New Roman" w:eastAsia="等线"/>
          <w:kern w:val="0"/>
          <w:szCs w:val="21"/>
        </w:rPr>
        <w:t>N</w:t>
      </w:r>
      <w:r>
        <w:rPr>
          <w:rFonts w:hint="eastAsia" w:ascii="Times New Roman" w:hAnsi="Times New Roman" w:eastAsia="等线"/>
          <w:kern w:val="0"/>
          <w:szCs w:val="21"/>
          <w:vertAlign w:val="subscript"/>
        </w:rPr>
        <w:t xml:space="preserve">2 </w:t>
      </w:r>
      <w:r>
        <w:rPr>
          <w:rFonts w:hint="eastAsia" w:ascii="Times New Roman" w:hAnsi="Times New Roman" w:eastAsia="等线"/>
          <w:kern w:val="0"/>
          <w:szCs w:val="21"/>
        </w:rPr>
        <w:t xml:space="preserve">and 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30</w:t>
      </w:r>
      <w:r>
        <w:rPr>
          <w:rFonts w:hint="eastAsia" w:ascii="Times New Roman" w:hAnsi="Times New Roman" w:eastAsia="等线"/>
          <w:kern w:val="0"/>
          <w:szCs w:val="21"/>
        </w:rPr>
        <w:t>N</w:t>
      </w:r>
      <w:r>
        <w:rPr>
          <w:rFonts w:hint="eastAsia" w:ascii="Times New Roman" w:hAnsi="Times New Roman" w:eastAsia="等线"/>
          <w:kern w:val="0"/>
          <w:szCs w:val="21"/>
          <w:vertAlign w:val="subscript"/>
        </w:rPr>
        <w:t xml:space="preserve">2 </w:t>
      </w:r>
      <w:r>
        <w:rPr>
          <w:rFonts w:hint="eastAsia" w:ascii="Times New Roman" w:hAnsi="Times New Roman" w:eastAsia="等线"/>
          <w:kern w:val="0"/>
          <w:szCs w:val="21"/>
        </w:rPr>
        <w:t xml:space="preserve">production rates during the incubation, respectively.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R</w:t>
      </w:r>
      <w:r>
        <w:rPr>
          <w:rFonts w:hint="eastAsia" w:ascii="Times New Roman" w:hAnsi="Times New Roman" w:eastAsia="等线"/>
          <w:i/>
          <w:iCs/>
          <w:kern w:val="0"/>
          <w:szCs w:val="21"/>
          <w:vertAlign w:val="subscript"/>
        </w:rPr>
        <w:t>DNRA</w:t>
      </w:r>
      <w:r>
        <w:rPr>
          <w:rFonts w:hint="eastAsia" w:ascii="Times New Roman" w:hAnsi="Times New Roman"/>
          <w:i/>
          <w:iCs/>
          <w:szCs w:val="21"/>
          <w:vertAlign w:val="subscript"/>
        </w:rPr>
        <w:t xml:space="preserve"> </w:t>
      </w:r>
      <w:r>
        <w:rPr>
          <w:rFonts w:hint="eastAsia" w:ascii="Times New Roman" w:hAnsi="Times New Roman"/>
          <w:szCs w:val="21"/>
        </w:rPr>
        <w:t>(n</w:t>
      </w:r>
      <w:r>
        <w:rPr>
          <w:rFonts w:ascii="Times New Roman" w:hAnsi="Times New Roman"/>
          <w:szCs w:val="21"/>
        </w:rPr>
        <w:t xml:space="preserve">mol N </w:t>
      </w:r>
      <w:r>
        <w:rPr>
          <w:rFonts w:hint="eastAsia" w:ascii="Times New Roman" w:hAnsi="Times New Roman"/>
          <w:szCs w:val="21"/>
        </w:rPr>
        <w:t>g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ascii="Times New Roman" w:hAnsi="Times New Roman"/>
          <w:szCs w:val="21"/>
        </w:rPr>
        <w:t xml:space="preserve"> h</w:t>
      </w:r>
      <w:r>
        <w:rPr>
          <w:rFonts w:ascii="Times New Roman" w:hAnsi="Times New Roman"/>
          <w:szCs w:val="21"/>
          <w:vertAlign w:val="superscript"/>
        </w:rPr>
        <w:t>–1</w:t>
      </w:r>
      <w:r>
        <w:rPr>
          <w:rFonts w:hint="eastAsia" w:ascii="Times New Roman" w:hAnsi="Times New Roman"/>
          <w:szCs w:val="21"/>
        </w:rPr>
        <w:t xml:space="preserve">) represents the potential DNRA rate;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C</w:t>
      </w:r>
      <w:r>
        <w:rPr>
          <w:rFonts w:hint="eastAsia" w:ascii="Times New Roman" w:hAnsi="Times New Roman" w:eastAsia="等线"/>
          <w:i/>
          <w:iCs/>
          <w:kern w:val="0"/>
          <w:szCs w:val="21"/>
          <w:vertAlign w:val="subscript"/>
        </w:rPr>
        <w:t>2</w:t>
      </w:r>
      <w:r>
        <w:rPr>
          <w:rFonts w:hint="eastAsia" w:ascii="Times New Roman" w:hAnsi="Times New Roman" w:eastAsia="等线"/>
          <w:kern w:val="0"/>
          <w:szCs w:val="21"/>
        </w:rPr>
        <w:t xml:space="preserve"> and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C</w:t>
      </w:r>
      <w:r>
        <w:rPr>
          <w:rFonts w:hint="eastAsia" w:ascii="Times New Roman" w:hAnsi="Times New Roman" w:eastAsia="等线"/>
          <w:i/>
          <w:iCs/>
          <w:kern w:val="0"/>
          <w:szCs w:val="21"/>
          <w:vertAlign w:val="subscript"/>
        </w:rPr>
        <w:t>1</w:t>
      </w:r>
      <w:r>
        <w:rPr>
          <w:rFonts w:hint="eastAsia" w:ascii="Times New Roman" w:hAnsi="Times New Roman" w:eastAsia="等线"/>
          <w:kern w:val="0"/>
          <w:szCs w:val="21"/>
        </w:rPr>
        <w:t xml:space="preserve"> are the concentrations of 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15</w:t>
      </w:r>
      <w:r>
        <w:rPr>
          <w:rFonts w:hint="eastAsia" w:ascii="Times New Roman" w:hAnsi="Times New Roman" w:eastAsia="等线"/>
          <w:kern w:val="0"/>
          <w:szCs w:val="21"/>
        </w:rPr>
        <w:t>NH</w:t>
      </w:r>
      <w:r>
        <w:rPr>
          <w:rFonts w:hint="eastAsia" w:ascii="Times New Roman" w:hAnsi="Times New Roman" w:eastAsia="等线"/>
          <w:kern w:val="0"/>
          <w:szCs w:val="21"/>
          <w:vertAlign w:val="subscript"/>
        </w:rPr>
        <w:t>4</w:t>
      </w:r>
      <w:r>
        <w:rPr>
          <w:rFonts w:hint="eastAsia" w:ascii="Times New Roman" w:hAnsi="Times New Roman" w:eastAsia="等线"/>
          <w:kern w:val="0"/>
          <w:szCs w:val="21"/>
          <w:vertAlign w:val="superscript"/>
        </w:rPr>
        <w:t>+</w:t>
      </w:r>
      <w:r>
        <w:rPr>
          <w:rFonts w:hint="eastAsia" w:ascii="Times New Roman" w:hAnsi="Times New Roman" w:eastAsia="等线"/>
          <w:kern w:val="0"/>
          <w:szCs w:val="21"/>
        </w:rPr>
        <w:t xml:space="preserve"> at the end and start of the slurry experiments,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V</w:t>
      </w:r>
      <w:r>
        <w:rPr>
          <w:rFonts w:hint="eastAsia" w:ascii="Times New Roman" w:hAnsi="Times New Roman" w:eastAsia="等线"/>
          <w:kern w:val="0"/>
          <w:szCs w:val="21"/>
        </w:rPr>
        <w:t xml:space="preserve"> is the volume of the vial,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W</w:t>
      </w:r>
      <w:r>
        <w:rPr>
          <w:rFonts w:hint="eastAsia" w:ascii="Times New Roman" w:hAnsi="Times New Roman" w:eastAsia="等线"/>
          <w:kern w:val="0"/>
          <w:szCs w:val="21"/>
        </w:rPr>
        <w:t xml:space="preserve"> is the dry weight of the soil, </w:t>
      </w:r>
      <w:r>
        <w:rPr>
          <w:rFonts w:hint="eastAsia" w:ascii="Times New Roman" w:hAnsi="Times New Roman" w:eastAsia="等线"/>
          <w:i/>
          <w:iCs/>
          <w:kern w:val="0"/>
          <w:szCs w:val="21"/>
        </w:rPr>
        <w:t>T</w:t>
      </w:r>
      <w:r>
        <w:rPr>
          <w:rFonts w:hint="eastAsia" w:ascii="Times New Roman" w:hAnsi="Times New Roman" w:eastAsia="等线"/>
          <w:kern w:val="0"/>
          <w:szCs w:val="21"/>
        </w:rPr>
        <w:t xml:space="preserve"> is the incubation time.</w:t>
      </w:r>
    </w:p>
    <w:p w14:paraId="3F2C1B29">
      <w:pPr>
        <w:spacing w:line="440" w:lineRule="exact"/>
        <w:rPr>
          <w:rFonts w:ascii="Times New Roman" w:hAnsi="Times New Roman"/>
          <w:szCs w:val="21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659117A4">
      <w:pPr>
        <w:spacing w:line="360" w:lineRule="auto"/>
        <w:rPr>
          <w:rFonts w:hint="eastAsia" w:ascii="Times New Roman" w:hAnsi="Times New Roman"/>
          <w:b/>
          <w:bCs/>
          <w:szCs w:val="21"/>
        </w:rPr>
      </w:pPr>
    </w:p>
    <w:p w14:paraId="77948D58">
      <w:pPr>
        <w:spacing w:line="360" w:lineRule="auto"/>
        <w:rPr>
          <w:rFonts w:ascii="Times New Roman" w:hAnsi="Times New Roman"/>
          <w:b/>
          <w:bCs/>
          <w:szCs w:val="21"/>
        </w:rPr>
      </w:pPr>
      <w:r>
        <w:rPr>
          <w:rFonts w:hint="eastAsia" w:ascii="Times New Roman" w:hAnsi="Times New Roman"/>
          <w:b/>
          <w:bCs/>
          <w:szCs w:val="21"/>
        </w:rPr>
        <w:t xml:space="preserve">Table S3 </w:t>
      </w:r>
      <w:r>
        <w:rPr>
          <w:rFonts w:hint="eastAsia" w:ascii="Times New Roman" w:hAnsi="Times New Roman"/>
          <w:szCs w:val="21"/>
        </w:rPr>
        <w:t>Primers and PCR conditions used in this study</w:t>
      </w:r>
    </w:p>
    <w:tbl>
      <w:tblPr>
        <w:tblStyle w:val="4"/>
        <w:tblW w:w="1523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700"/>
        <w:gridCol w:w="3700"/>
        <w:gridCol w:w="6030"/>
        <w:gridCol w:w="2270"/>
      </w:tblGrid>
      <w:tr w14:paraId="29A3B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55D1ADCD">
            <w:pPr>
              <w:spacing w:line="44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 w:eastAsia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Target gene</w:t>
            </w:r>
          </w:p>
        </w:tc>
        <w:tc>
          <w:tcPr>
            <w:tcW w:w="17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B5CED9E">
            <w:pPr>
              <w:spacing w:line="44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Primers</w:t>
            </w:r>
          </w:p>
        </w:tc>
        <w:tc>
          <w:tcPr>
            <w:tcW w:w="37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3C0A07F3">
            <w:pPr>
              <w:spacing w:line="44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Primer sequenc</w:t>
            </w:r>
            <w:r>
              <w:rPr>
                <w:rFonts w:hint="eastAsia" w:ascii="Times New Roman" w:hAnsi="Times New Roman"/>
                <w:bCs/>
                <w:szCs w:val="21"/>
              </w:rPr>
              <w:t>e</w:t>
            </w:r>
            <w:r>
              <w:rPr>
                <w:rFonts w:ascii="Times New Roman" w:hAnsi="Times New Roman"/>
                <w:bCs/>
                <w:szCs w:val="21"/>
              </w:rPr>
              <w:t xml:space="preserve"> (5'-3')</w:t>
            </w:r>
          </w:p>
        </w:tc>
        <w:tc>
          <w:tcPr>
            <w:tcW w:w="603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6FD527D6">
            <w:pPr>
              <w:spacing w:line="44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ascii="Times New Roman" w:hAnsi="Times New Roman"/>
                <w:bCs/>
                <w:szCs w:val="21"/>
              </w:rPr>
              <w:t>PCR conditions</w:t>
            </w:r>
          </w:p>
        </w:tc>
        <w:tc>
          <w:tcPr>
            <w:tcW w:w="227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630135C3">
            <w:pPr>
              <w:spacing w:line="440" w:lineRule="exact"/>
              <w:jc w:val="center"/>
              <w:rPr>
                <w:rFonts w:ascii="Times New Roman" w:hAnsi="Times New Roman"/>
                <w:bCs/>
                <w:szCs w:val="21"/>
              </w:rPr>
            </w:pPr>
            <w:r>
              <w:rPr>
                <w:rFonts w:hint="eastAsia" w:ascii="Times New Roman" w:hAnsi="Times New Roman"/>
                <w:bCs/>
                <w:szCs w:val="21"/>
              </w:rPr>
              <w:t>Reference</w:t>
            </w:r>
          </w:p>
        </w:tc>
      </w:tr>
      <w:tr w14:paraId="71E4F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532" w:type="dxa"/>
            <w:vMerge w:val="restart"/>
            <w:tcBorders>
              <w:top w:val="single" w:color="000000" w:sz="8" w:space="0"/>
              <w:left w:val="nil"/>
              <w:right w:val="nil"/>
            </w:tcBorders>
            <w:vAlign w:val="center"/>
          </w:tcPr>
          <w:p w14:paraId="54480542">
            <w:pPr>
              <w:spacing w:line="4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ascii="Times New Roman" w:hAnsi="Times New Roman"/>
                <w:i/>
                <w:iCs/>
                <w:szCs w:val="21"/>
              </w:rPr>
              <w:t>napA</w:t>
            </w:r>
          </w:p>
        </w:tc>
        <w:tc>
          <w:tcPr>
            <w:tcW w:w="170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7AF6598F">
            <w:pPr>
              <w:spacing w:line="4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eastAsia="等线"/>
                <w:szCs w:val="21"/>
              </w:rPr>
              <w:t>3</w:t>
            </w:r>
            <w:r>
              <w:rPr>
                <w:rFonts w:ascii="Times New Roman" w:hAnsi="Times New Roman" w:eastAsia="等线"/>
                <w:szCs w:val="21"/>
              </w:rPr>
              <w:t>F</w:t>
            </w:r>
          </w:p>
        </w:tc>
        <w:tc>
          <w:tcPr>
            <w:tcW w:w="3700" w:type="dxa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3C0A35B8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CCCAATGCTCGCCACTG</w:t>
            </w:r>
          </w:p>
        </w:tc>
        <w:tc>
          <w:tcPr>
            <w:tcW w:w="60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195C80E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 min of denaturation at 94 °C, 30 cycles of 30 s at 94 °C, 45 s of annealing at 60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°C, and 1.5 min of elongation at 72 °C</w:t>
            </w:r>
          </w:p>
        </w:tc>
        <w:tc>
          <w:tcPr>
            <w:tcW w:w="227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vAlign w:val="center"/>
          </w:tcPr>
          <w:p w14:paraId="26F2E001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FF"/>
                <w:szCs w:val="21"/>
              </w:rPr>
              <w:t>Smith Cindy et al. 2007</w:t>
            </w:r>
          </w:p>
        </w:tc>
      </w:tr>
      <w:tr w14:paraId="4EFEE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left w:val="nil"/>
              <w:bottom w:val="nil"/>
              <w:right w:val="nil"/>
            </w:tcBorders>
          </w:tcPr>
          <w:p w14:paraId="5C0038C6">
            <w:pPr>
              <w:spacing w:line="440" w:lineRule="exact"/>
              <w:jc w:val="center"/>
              <w:rPr>
                <w:rFonts w:ascii="Times New Roman" w:hAnsi="Times New Roman"/>
                <w:b/>
                <w:bCs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3AC704F3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3R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79FC5F7F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CATGTTKGAGCCCCACAG</w:t>
            </w:r>
          </w:p>
        </w:tc>
        <w:tc>
          <w:tcPr>
            <w:tcW w:w="603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7CD4A09C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0" w:type="dxa"/>
            <w:vMerge w:val="continue"/>
            <w:tcBorders>
              <w:top w:val="single" w:color="000000" w:sz="8" w:space="0"/>
              <w:left w:val="nil"/>
              <w:bottom w:val="nil"/>
              <w:right w:val="nil"/>
            </w:tcBorders>
          </w:tcPr>
          <w:p w14:paraId="1A2FEFE8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25AAE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F50EA9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hint="eastAsia" w:ascii="Times New Roman" w:hAnsi="Times New Roman"/>
                <w:i/>
                <w:iCs/>
                <w:szCs w:val="21"/>
              </w:rPr>
              <w:t>nirK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B2CDAEE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F</w:t>
            </w:r>
            <w:r>
              <w:rPr>
                <w:rFonts w:ascii="Times New Roman" w:hAnsi="Times New Roman"/>
                <w:szCs w:val="21"/>
                <w:vertAlign w:val="subscript"/>
              </w:rPr>
              <w:t>1a</w:t>
            </w:r>
            <w:r>
              <w:rPr>
                <w:rFonts w:ascii="Times New Roman" w:hAnsi="Times New Roman"/>
                <w:szCs w:val="21"/>
              </w:rPr>
              <w:t>CuF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7921DF79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ATCATGGTSCTGCCGCG</w:t>
            </w:r>
          </w:p>
        </w:tc>
        <w:tc>
          <w:tcPr>
            <w:tcW w:w="60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C691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5 min of denaturation at 95 °C, 35 cycles of 30 s at 94 °C, 1 min of annealing at 51 °C, and 1 min of elongation at 72 °C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FBE28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FF"/>
                <w:szCs w:val="21"/>
              </w:rPr>
              <w:t>Throbäck et al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FF"/>
                <w:szCs w:val="21"/>
              </w:rPr>
              <w:t>2004</w:t>
            </w:r>
          </w:p>
        </w:tc>
      </w:tr>
      <w:tr w14:paraId="76D2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left w:val="nil"/>
              <w:bottom w:val="nil"/>
              <w:right w:val="nil"/>
            </w:tcBorders>
          </w:tcPr>
          <w:p w14:paraId="3E895E9D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063C5BA1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</w:t>
            </w:r>
            <w:r>
              <w:rPr>
                <w:rFonts w:ascii="Times New Roman" w:hAnsi="Times New Roman"/>
                <w:szCs w:val="21"/>
                <w:vertAlign w:val="subscript"/>
              </w:rPr>
              <w:t>3</w:t>
            </w:r>
            <w:r>
              <w:rPr>
                <w:rFonts w:ascii="Times New Roman" w:hAnsi="Times New Roman"/>
                <w:szCs w:val="21"/>
              </w:rPr>
              <w:t>CuR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77215393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GCCTCGATCAGGTTGTGGTT</w:t>
            </w:r>
          </w:p>
        </w:tc>
        <w:tc>
          <w:tcPr>
            <w:tcW w:w="603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6F5226AB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92299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6302A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160462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hint="eastAsia" w:ascii="Times New Roman" w:hAnsi="Times New Roman"/>
                <w:i/>
                <w:iCs/>
                <w:szCs w:val="21"/>
              </w:rPr>
              <w:t>nirS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E21F08C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cd3aF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174ADEA5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GTSAACGTSAAGGARACSGG</w:t>
            </w:r>
          </w:p>
        </w:tc>
        <w:tc>
          <w:tcPr>
            <w:tcW w:w="603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5C5D0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2 min of denaturation at 94 °C, 6 cycles of 30 s at 94 °C, 30 s of annealing at 57 °C, and 45 s of elongation at 72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°C; 30 cycles of 30 s at 94 °C, 30 s of annealing at 52 °C, and 45 s of elongation at 72 °C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25A0E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FF"/>
                <w:szCs w:val="21"/>
              </w:rPr>
              <w:t>Michotey et al. 2000</w:t>
            </w:r>
          </w:p>
        </w:tc>
      </w:tr>
      <w:tr w14:paraId="5E357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left w:val="nil"/>
              <w:bottom w:val="nil"/>
              <w:right w:val="nil"/>
            </w:tcBorders>
          </w:tcPr>
          <w:p w14:paraId="15D4C5BA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579AA355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R3cd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000CE281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GASTTCGGRTGSGTCTTGA</w:t>
            </w:r>
          </w:p>
        </w:tc>
        <w:tc>
          <w:tcPr>
            <w:tcW w:w="6030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 w14:paraId="5C60EDF2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240F49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 w14:paraId="38CDB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94FBCB4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  <w:r>
              <w:rPr>
                <w:rFonts w:hint="eastAsia" w:ascii="Times New Roman" w:hAnsi="Times New Roman"/>
                <w:i/>
                <w:iCs/>
                <w:szCs w:val="21"/>
              </w:rPr>
              <w:t>nosZ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</w:tcPr>
          <w:p w14:paraId="4445C51D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Z</w:t>
            </w:r>
            <w:r>
              <w:rPr>
                <w:rFonts w:ascii="Times New Roman" w:hAnsi="Times New Roman"/>
                <w:szCs w:val="21"/>
              </w:rPr>
              <w:t>F</w:t>
            </w:r>
          </w:p>
        </w:tc>
        <w:tc>
          <w:tcPr>
            <w:tcW w:w="3700" w:type="dxa"/>
            <w:tcBorders>
              <w:top w:val="nil"/>
              <w:left w:val="nil"/>
              <w:bottom w:val="nil"/>
              <w:right w:val="nil"/>
            </w:tcBorders>
          </w:tcPr>
          <w:p w14:paraId="52FF4A13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CGCRACGGCAASAAGGTSMSSGT</w:t>
            </w:r>
          </w:p>
        </w:tc>
        <w:tc>
          <w:tcPr>
            <w:tcW w:w="603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2C939DCC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10 min of denaturation at 95 °C, 50 cycles of 30 s at 95 °C, 15 s of annealing at 62 °C, and 30 s of elongation at 72 °C</w:t>
            </w:r>
          </w:p>
        </w:tc>
        <w:tc>
          <w:tcPr>
            <w:tcW w:w="2270" w:type="dxa"/>
            <w:vMerge w:val="restart"/>
            <w:tcBorders>
              <w:top w:val="nil"/>
              <w:left w:val="nil"/>
              <w:bottom w:val="single" w:color="000000" w:sz="8" w:space="0"/>
              <w:right w:val="nil"/>
            </w:tcBorders>
            <w:vAlign w:val="center"/>
          </w:tcPr>
          <w:p w14:paraId="02AAD16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color w:val="0000FF"/>
                <w:szCs w:val="21"/>
              </w:rPr>
              <w:t>Mohan et al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 xml:space="preserve">. </w:t>
            </w:r>
            <w:r>
              <w:rPr>
                <w:rFonts w:ascii="Times New Roman" w:hAnsi="Times New Roman"/>
                <w:color w:val="0000FF"/>
                <w:szCs w:val="21"/>
              </w:rPr>
              <w:t>200</w:t>
            </w:r>
            <w:r>
              <w:rPr>
                <w:rFonts w:hint="eastAsia" w:ascii="Times New Roman" w:hAnsi="Times New Roman"/>
                <w:color w:val="0000FF"/>
                <w:szCs w:val="21"/>
              </w:rPr>
              <w:t>4</w:t>
            </w:r>
          </w:p>
        </w:tc>
      </w:tr>
      <w:tr w14:paraId="48928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2" w:type="dxa"/>
            <w:vMerge w:val="continue"/>
            <w:tcBorders>
              <w:left w:val="nil"/>
              <w:bottom w:val="single" w:color="000000" w:sz="8" w:space="0"/>
              <w:right w:val="nil"/>
            </w:tcBorders>
            <w:vAlign w:val="center"/>
          </w:tcPr>
          <w:p w14:paraId="58AE0EC2">
            <w:pPr>
              <w:spacing w:line="440" w:lineRule="exact"/>
              <w:jc w:val="center"/>
              <w:rPr>
                <w:rFonts w:ascii="Times New Roman" w:hAnsi="Times New Roman"/>
                <w:i/>
                <w:iCs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0297336D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Z</w:t>
            </w:r>
            <w:r>
              <w:rPr>
                <w:rFonts w:ascii="Times New Roman" w:hAnsi="Times New Roman"/>
                <w:szCs w:val="21"/>
              </w:rPr>
              <w:t>R</w:t>
            </w:r>
          </w:p>
        </w:tc>
        <w:tc>
          <w:tcPr>
            <w:tcW w:w="3700" w:type="dxa"/>
            <w:tcBorders>
              <w:top w:val="nil"/>
              <w:left w:val="nil"/>
              <w:bottom w:val="single" w:color="000000" w:sz="8" w:space="0"/>
              <w:right w:val="nil"/>
            </w:tcBorders>
          </w:tcPr>
          <w:p w14:paraId="3626D48A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CAKRTGCAKSGCRTGGCAGAA</w:t>
            </w:r>
          </w:p>
        </w:tc>
        <w:tc>
          <w:tcPr>
            <w:tcW w:w="60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19E994BF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27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</w:tcPr>
          <w:p w14:paraId="79AEE687">
            <w:pPr>
              <w:spacing w:line="440" w:lineRule="exact"/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 w14:paraId="7FC3C7E6">
      <w:pPr>
        <w:rPr>
          <w:rFonts w:ascii="Times New Roman" w:hAnsi="Times New Roman"/>
          <w:b/>
          <w:bCs/>
        </w:rPr>
      </w:pPr>
    </w:p>
    <w:p w14:paraId="1CA49650">
      <w:pPr>
        <w:rPr>
          <w:rFonts w:ascii="Times New Roman" w:hAnsi="Times New Roman"/>
          <w:b/>
          <w:bCs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269E448A">
      <w:pPr>
        <w:spacing w:line="360" w:lineRule="auto"/>
        <w:jc w:val="left"/>
        <w:rPr>
          <w:rFonts w:ascii="Times New Roman" w:hAnsi="Times New Roman"/>
          <w:b/>
          <w:bCs/>
          <w:sz w:val="24"/>
        </w:rPr>
      </w:pPr>
      <w:r>
        <w:rPr>
          <w:rFonts w:hint="eastAsia" w:ascii="Times New Roman" w:hAnsi="Times New Roman"/>
          <w:b/>
          <w:bCs/>
          <w:sz w:val="24"/>
        </w:rPr>
        <w:t>References</w:t>
      </w:r>
    </w:p>
    <w:p w14:paraId="77FC69B2">
      <w:pPr>
        <w:spacing w:line="440" w:lineRule="exact"/>
        <w:ind w:left="420" w:hanging="420" w:hangingChars="20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Smith Cindy J, Nedwell David B, Dong Liang F, Osborn AM </w:t>
      </w:r>
      <w:r>
        <w:rPr>
          <w:rFonts w:hint="eastAsia" w:ascii="Times New Roman" w:hAnsi="Times New Roman"/>
        </w:rPr>
        <w:t>(</w:t>
      </w:r>
      <w:r>
        <w:rPr>
          <w:rFonts w:ascii="Times New Roman" w:hAnsi="Times New Roman"/>
        </w:rPr>
        <w:t>2007</w:t>
      </w:r>
      <w:r>
        <w:rPr>
          <w:rFonts w:hint="eastAsia" w:ascii="Times New Roman" w:hAnsi="Times New Roman"/>
        </w:rPr>
        <w:t>)</w:t>
      </w:r>
      <w:r>
        <w:rPr>
          <w:rFonts w:ascii="Times New Roman" w:hAnsi="Times New Roman"/>
        </w:rPr>
        <w:t xml:space="preserve"> Diversity and abundance of nitrate reductase genes (</w:t>
      </w:r>
      <w:r>
        <w:rPr>
          <w:rFonts w:ascii="Times New Roman" w:hAnsi="Times New Roman"/>
          <w:i/>
          <w:iCs/>
        </w:rPr>
        <w:t>narG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  <w:iCs/>
        </w:rPr>
        <w:t>napA</w:t>
      </w:r>
      <w:r>
        <w:rPr>
          <w:rFonts w:ascii="Times New Roman" w:hAnsi="Times New Roman"/>
        </w:rPr>
        <w:t>), nitrite reductase genes (</w:t>
      </w:r>
      <w:r>
        <w:rPr>
          <w:rFonts w:ascii="Times New Roman" w:hAnsi="Times New Roman"/>
          <w:i/>
          <w:iCs/>
        </w:rPr>
        <w:t>nirS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i/>
          <w:iCs/>
        </w:rPr>
        <w:t>nrfA</w:t>
      </w:r>
      <w:r>
        <w:rPr>
          <w:rFonts w:ascii="Times New Roman" w:hAnsi="Times New Roman"/>
        </w:rPr>
        <w:t xml:space="preserve">), and their transcripts in estuarine sediments. </w:t>
      </w:r>
      <w:r>
        <w:rPr>
          <w:rFonts w:hint="eastAsia" w:ascii="Times New Roman" w:hAnsi="Times New Roman"/>
        </w:rPr>
        <w:t>Appl Environ Microbiol</w:t>
      </w:r>
      <w:r>
        <w:rPr>
          <w:rFonts w:ascii="Times New Roman" w:hAnsi="Times New Roman"/>
        </w:rPr>
        <w:t xml:space="preserve"> 73</w:t>
      </w:r>
      <w:r>
        <w:rPr>
          <w:rFonts w:hint="eastAsia" w:ascii="Times New Roman" w:hAnsi="Times New Roman"/>
        </w:rPr>
        <w:t>:</w:t>
      </w:r>
      <w:r>
        <w:rPr>
          <w:rFonts w:ascii="Times New Roman" w:hAnsi="Times New Roman"/>
        </w:rPr>
        <w:t>3612–3622</w:t>
      </w:r>
      <w:r>
        <w:rPr>
          <w:rFonts w:hint="eastAsia" w:ascii="Times New Roman" w:hAnsi="Times New Roman"/>
        </w:rPr>
        <w:t xml:space="preserve">. </w:t>
      </w:r>
      <w:r>
        <w:fldChar w:fldCharType="begin"/>
      </w:r>
      <w:r>
        <w:instrText xml:space="preserve"> HYPERLINK "https://doi.org/10.1128/AEM.02894-06" </w:instrText>
      </w:r>
      <w:r>
        <w:fldChar w:fldCharType="separate"/>
      </w:r>
      <w:r>
        <w:rPr>
          <w:rStyle w:val="6"/>
          <w:rFonts w:hint="eastAsia" w:ascii="Times New Roman" w:hAnsi="Times New Roman"/>
          <w:u w:val="none"/>
        </w:rPr>
        <w:t>https://doi.org/10.1128/AEM.02894-06</w:t>
      </w:r>
      <w:r>
        <w:rPr>
          <w:rStyle w:val="6"/>
          <w:rFonts w:hint="eastAsia" w:ascii="Times New Roman" w:hAnsi="Times New Roman"/>
          <w:u w:val="none"/>
        </w:rPr>
        <w:fldChar w:fldCharType="end"/>
      </w:r>
    </w:p>
    <w:p w14:paraId="07319DEF">
      <w:pPr>
        <w:spacing w:line="440" w:lineRule="exact"/>
        <w:ind w:left="420" w:hanging="420" w:hangingChars="200"/>
        <w:jc w:val="left"/>
        <w:rPr>
          <w:rFonts w:ascii="Times New Roman" w:hAnsi="Times New Roman"/>
          <w:color w:val="0070C0"/>
        </w:rPr>
      </w:pPr>
      <w:r>
        <w:rPr>
          <w:rFonts w:hint="eastAsia" w:ascii="Times New Roman" w:hAnsi="Times New Roman"/>
        </w:rPr>
        <w:t xml:space="preserve">Throbäck IN, Enwall K, Jarvis Å, Hallin S (2004) Reassessing PCR primers targeting </w:t>
      </w:r>
      <w:r>
        <w:rPr>
          <w:rFonts w:hint="eastAsia" w:ascii="Times New Roman" w:hAnsi="Times New Roman"/>
          <w:i/>
          <w:iCs/>
        </w:rPr>
        <w:t>nirS</w:t>
      </w:r>
      <w:r>
        <w:rPr>
          <w:rFonts w:hint="eastAsia" w:ascii="Times New Roman" w:hAnsi="Times New Roman"/>
        </w:rPr>
        <w:t xml:space="preserve">, </w:t>
      </w:r>
      <w:r>
        <w:rPr>
          <w:rFonts w:hint="eastAsia" w:ascii="Times New Roman" w:hAnsi="Times New Roman"/>
          <w:i/>
          <w:iCs/>
        </w:rPr>
        <w:t>nirK</w:t>
      </w:r>
      <w:r>
        <w:rPr>
          <w:rFonts w:hint="eastAsia" w:ascii="Times New Roman" w:hAnsi="Times New Roman"/>
        </w:rPr>
        <w:t xml:space="preserve"> and </w:t>
      </w:r>
      <w:r>
        <w:rPr>
          <w:rFonts w:hint="eastAsia" w:ascii="Times New Roman" w:hAnsi="Times New Roman"/>
          <w:i/>
          <w:iCs/>
        </w:rPr>
        <w:t>nosZ</w:t>
      </w:r>
      <w:r>
        <w:rPr>
          <w:rFonts w:hint="eastAsia" w:ascii="Times New Roman" w:hAnsi="Times New Roman"/>
        </w:rPr>
        <w:t xml:space="preserve"> genes for community surveys of denitrifying bacteria with DGGE. FEMS Microbiol Ecol 49:401</w:t>
      </w:r>
      <w:r>
        <w:rPr>
          <w:rFonts w:ascii="Times New Roman" w:hAnsi="Times New Roman"/>
        </w:rPr>
        <w:t>–</w:t>
      </w:r>
      <w:r>
        <w:rPr>
          <w:rFonts w:hint="eastAsia" w:ascii="Times New Roman" w:hAnsi="Times New Roman"/>
        </w:rPr>
        <w:t xml:space="preserve">417. </w:t>
      </w:r>
      <w:r>
        <w:fldChar w:fldCharType="begin"/>
      </w:r>
      <w:r>
        <w:instrText xml:space="preserve"> HYPERLINK "https://doi.org/10.1016/j.femsec.2004.04.011" </w:instrText>
      </w:r>
      <w:r>
        <w:fldChar w:fldCharType="separate"/>
      </w:r>
      <w:r>
        <w:rPr>
          <w:rStyle w:val="6"/>
          <w:rFonts w:hint="eastAsia" w:ascii="Times New Roman" w:hAnsi="Times New Roman"/>
          <w:u w:val="none"/>
        </w:rPr>
        <w:t>https://doi.org/10.1016/j.femsec.2004.04.011</w:t>
      </w:r>
      <w:r>
        <w:rPr>
          <w:rStyle w:val="6"/>
          <w:rFonts w:hint="eastAsia" w:ascii="Times New Roman" w:hAnsi="Times New Roman"/>
          <w:u w:val="none"/>
        </w:rPr>
        <w:fldChar w:fldCharType="end"/>
      </w:r>
    </w:p>
    <w:p w14:paraId="4A232870">
      <w:pPr>
        <w:spacing w:line="440" w:lineRule="exact"/>
        <w:ind w:left="420" w:hanging="420" w:hangingChars="200"/>
        <w:jc w:val="left"/>
        <w:rPr>
          <w:rFonts w:ascii="Times New Roman" w:hAnsi="Times New Roman"/>
          <w:color w:val="0070C0"/>
        </w:rPr>
      </w:pPr>
      <w:r>
        <w:rPr>
          <w:rFonts w:hint="eastAsia" w:ascii="Times New Roman" w:hAnsi="Times New Roman"/>
        </w:rPr>
        <w:t>Michotey V, Méjean V, Bonin P (2000) Comparison of methods for quantification of cytochrome cd1-denitrifying bacteria in environmental marine samples. Appl Environ Microbiol 66:1564</w:t>
      </w:r>
      <w:r>
        <w:rPr>
          <w:rFonts w:ascii="Times New Roman" w:hAnsi="Times New Roman"/>
        </w:rPr>
        <w:t>–</w:t>
      </w:r>
      <w:r>
        <w:rPr>
          <w:rFonts w:hint="eastAsia" w:ascii="Times New Roman" w:hAnsi="Times New Roman"/>
        </w:rPr>
        <w:t xml:space="preserve">1571. </w:t>
      </w:r>
      <w:r>
        <w:fldChar w:fldCharType="begin"/>
      </w:r>
      <w:r>
        <w:instrText xml:space="preserve"> HYPERLINK "https://doi.org/10.1128/AEM.66.4.1564-1571.2000" </w:instrText>
      </w:r>
      <w:r>
        <w:fldChar w:fldCharType="separate"/>
      </w:r>
      <w:r>
        <w:rPr>
          <w:rStyle w:val="6"/>
          <w:rFonts w:hint="eastAsia" w:ascii="Times New Roman" w:hAnsi="Times New Roman"/>
          <w:u w:val="none"/>
        </w:rPr>
        <w:t>https://doi.org/10.1128/AEM.66.4.1564-1571.2000</w:t>
      </w:r>
      <w:r>
        <w:rPr>
          <w:rStyle w:val="6"/>
          <w:rFonts w:hint="eastAsia" w:ascii="Times New Roman" w:hAnsi="Times New Roman"/>
          <w:u w:val="none"/>
        </w:rPr>
        <w:fldChar w:fldCharType="end"/>
      </w:r>
    </w:p>
    <w:p w14:paraId="7EA9039D">
      <w:pPr>
        <w:spacing w:line="440" w:lineRule="exact"/>
        <w:ind w:left="420" w:hanging="420" w:hangingChars="200"/>
        <w:jc w:val="left"/>
        <w:rPr>
          <w:rFonts w:ascii="Times New Roman" w:hAnsi="Times New Roman"/>
        </w:rPr>
      </w:pPr>
      <w:r>
        <w:rPr>
          <w:rFonts w:hint="eastAsia" w:ascii="Times New Roman" w:hAnsi="Times New Roman"/>
        </w:rPr>
        <w:t xml:space="preserve">Mohan SB, Schmid M, Jetten M, Cole J (2004) Detection and widespread distribution of the </w:t>
      </w:r>
      <w:r>
        <w:rPr>
          <w:rFonts w:hint="eastAsia" w:ascii="Times New Roman" w:hAnsi="Times New Roman"/>
          <w:i/>
          <w:iCs/>
        </w:rPr>
        <w:t xml:space="preserve">nrfA </w:t>
      </w:r>
      <w:r>
        <w:rPr>
          <w:rFonts w:hint="eastAsia" w:ascii="Times New Roman" w:hAnsi="Times New Roman"/>
        </w:rPr>
        <w:t>gene encoding nitrite reduction to ammonia, a short circuit in the biological nitrogen cycle that competes with denitrification. FEMS Microbiol Ecol 49:433</w:t>
      </w:r>
      <w:r>
        <w:rPr>
          <w:rFonts w:ascii="Times New Roman" w:hAnsi="Times New Roman"/>
        </w:rPr>
        <w:t>–</w:t>
      </w:r>
      <w:r>
        <w:rPr>
          <w:rFonts w:hint="eastAsia" w:ascii="Times New Roman" w:hAnsi="Times New Roman"/>
        </w:rPr>
        <w:t xml:space="preserve">443. </w:t>
      </w:r>
      <w:r>
        <w:fldChar w:fldCharType="begin"/>
      </w:r>
      <w:r>
        <w:instrText xml:space="preserve"> HYPERLINK "https://doi.org/10.1016/j.femsec.2004.04.012" </w:instrText>
      </w:r>
      <w:r>
        <w:fldChar w:fldCharType="separate"/>
      </w:r>
      <w:r>
        <w:rPr>
          <w:rStyle w:val="6"/>
          <w:rFonts w:hint="eastAsia" w:ascii="Times New Roman" w:hAnsi="Times New Roman"/>
          <w:u w:val="none"/>
        </w:rPr>
        <w:t>https://doi.org/10.1016/j.femsec.2004.04.012</w:t>
      </w:r>
      <w:r>
        <w:rPr>
          <w:rStyle w:val="6"/>
          <w:rFonts w:hint="eastAsia" w:ascii="Times New Roman" w:hAnsi="Times New Roman"/>
          <w:u w:val="none"/>
        </w:rPr>
        <w:fldChar w:fldCharType="end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30"/>
  <w:embedSystemFonts/>
  <w:bordersDoNotSurroundHeader w:val="1"/>
  <w:bordersDoNotSurroundFooter w:val="1"/>
  <w:revisionView w:markup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536"/>
    <w:rsid w:val="003F23CE"/>
    <w:rsid w:val="00975923"/>
    <w:rsid w:val="00B73536"/>
    <w:rsid w:val="01E71AC0"/>
    <w:rsid w:val="0227263C"/>
    <w:rsid w:val="02E35293"/>
    <w:rsid w:val="048476B9"/>
    <w:rsid w:val="05087233"/>
    <w:rsid w:val="0585481F"/>
    <w:rsid w:val="06063EE2"/>
    <w:rsid w:val="0607573C"/>
    <w:rsid w:val="06E65352"/>
    <w:rsid w:val="07195D48"/>
    <w:rsid w:val="07C11740"/>
    <w:rsid w:val="07EA2833"/>
    <w:rsid w:val="0B704170"/>
    <w:rsid w:val="0C0A1AE2"/>
    <w:rsid w:val="0DBA723F"/>
    <w:rsid w:val="0DC966AA"/>
    <w:rsid w:val="0FAE6C29"/>
    <w:rsid w:val="102A3260"/>
    <w:rsid w:val="11BE5EDC"/>
    <w:rsid w:val="12ED7A68"/>
    <w:rsid w:val="144455AF"/>
    <w:rsid w:val="15704FA4"/>
    <w:rsid w:val="161F262E"/>
    <w:rsid w:val="167F700F"/>
    <w:rsid w:val="16CB00C0"/>
    <w:rsid w:val="17976192"/>
    <w:rsid w:val="17BD7948"/>
    <w:rsid w:val="18807567"/>
    <w:rsid w:val="1A105A29"/>
    <w:rsid w:val="1AEB0D31"/>
    <w:rsid w:val="1BBE6445"/>
    <w:rsid w:val="1C4C57FF"/>
    <w:rsid w:val="1C672639"/>
    <w:rsid w:val="1D3F269C"/>
    <w:rsid w:val="1EAE2F32"/>
    <w:rsid w:val="1F310789"/>
    <w:rsid w:val="1FB437F6"/>
    <w:rsid w:val="20C75D9C"/>
    <w:rsid w:val="214967B1"/>
    <w:rsid w:val="22AC06A2"/>
    <w:rsid w:val="24FB4266"/>
    <w:rsid w:val="25236AF2"/>
    <w:rsid w:val="27010907"/>
    <w:rsid w:val="275E288B"/>
    <w:rsid w:val="27AB0D5B"/>
    <w:rsid w:val="282A7530"/>
    <w:rsid w:val="2B164DBC"/>
    <w:rsid w:val="2BFA7026"/>
    <w:rsid w:val="2DA52FC1"/>
    <w:rsid w:val="2DE95E97"/>
    <w:rsid w:val="2E356201"/>
    <w:rsid w:val="3171522B"/>
    <w:rsid w:val="319871AB"/>
    <w:rsid w:val="32351DC9"/>
    <w:rsid w:val="33AB3A5C"/>
    <w:rsid w:val="340F3735"/>
    <w:rsid w:val="35762F3F"/>
    <w:rsid w:val="35EF74CF"/>
    <w:rsid w:val="36AC4974"/>
    <w:rsid w:val="3768578B"/>
    <w:rsid w:val="38262686"/>
    <w:rsid w:val="39F63B7A"/>
    <w:rsid w:val="3A86374B"/>
    <w:rsid w:val="3B9A0687"/>
    <w:rsid w:val="3BB014AF"/>
    <w:rsid w:val="3D2C3719"/>
    <w:rsid w:val="3DD60F75"/>
    <w:rsid w:val="41393CF5"/>
    <w:rsid w:val="41AF7C4F"/>
    <w:rsid w:val="43BD6E5F"/>
    <w:rsid w:val="443F1622"/>
    <w:rsid w:val="45C049E4"/>
    <w:rsid w:val="45E36925"/>
    <w:rsid w:val="462705C0"/>
    <w:rsid w:val="475B2D06"/>
    <w:rsid w:val="476B0980"/>
    <w:rsid w:val="4B69167A"/>
    <w:rsid w:val="4EEE70A9"/>
    <w:rsid w:val="50120532"/>
    <w:rsid w:val="51B71320"/>
    <w:rsid w:val="52274F8F"/>
    <w:rsid w:val="52614E59"/>
    <w:rsid w:val="54C87412"/>
    <w:rsid w:val="54D73FB5"/>
    <w:rsid w:val="55B51ECC"/>
    <w:rsid w:val="560501F2"/>
    <w:rsid w:val="56A51D38"/>
    <w:rsid w:val="577473DD"/>
    <w:rsid w:val="58860D44"/>
    <w:rsid w:val="58B2640F"/>
    <w:rsid w:val="58D77FCD"/>
    <w:rsid w:val="5A430C03"/>
    <w:rsid w:val="5B7B51DE"/>
    <w:rsid w:val="5CBE3448"/>
    <w:rsid w:val="5E17366D"/>
    <w:rsid w:val="5E1D3D69"/>
    <w:rsid w:val="5EC56770"/>
    <w:rsid w:val="5F1C4E60"/>
    <w:rsid w:val="5FEB66AA"/>
    <w:rsid w:val="60210D80"/>
    <w:rsid w:val="6099784B"/>
    <w:rsid w:val="614F069C"/>
    <w:rsid w:val="61866C22"/>
    <w:rsid w:val="63E21C26"/>
    <w:rsid w:val="64C8110F"/>
    <w:rsid w:val="64DA6F7A"/>
    <w:rsid w:val="67336FF9"/>
    <w:rsid w:val="67A6044B"/>
    <w:rsid w:val="67C12948"/>
    <w:rsid w:val="6C1A10E1"/>
    <w:rsid w:val="6CED7E7A"/>
    <w:rsid w:val="6CFD28C2"/>
    <w:rsid w:val="6D1B5985"/>
    <w:rsid w:val="6DB151A6"/>
    <w:rsid w:val="705A394D"/>
    <w:rsid w:val="7099229E"/>
    <w:rsid w:val="72B702E3"/>
    <w:rsid w:val="72CE3026"/>
    <w:rsid w:val="73547EAB"/>
    <w:rsid w:val="73DB0736"/>
    <w:rsid w:val="75220020"/>
    <w:rsid w:val="77000F3F"/>
    <w:rsid w:val="77013AD6"/>
    <w:rsid w:val="78FB3062"/>
    <w:rsid w:val="79B002F1"/>
    <w:rsid w:val="79D20267"/>
    <w:rsid w:val="7A8E67CA"/>
    <w:rsid w:val="7C887605"/>
    <w:rsid w:val="7DE72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F4A4B4-62EB-418D-AF96-50FDF51BBD3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939</Words>
  <Characters>4968</Characters>
  <Lines>44</Lines>
  <Paragraphs>12</Paragraphs>
  <TotalTime>3</TotalTime>
  <ScaleCrop>false</ScaleCrop>
  <LinksUpToDate>false</LinksUpToDate>
  <CharactersWithSpaces>5795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2026-03-16T02:17:00Z</dcterms:created>
  <dc:creator>YQN</dc:creator>
  <cp:lastModifiedBy>chilli</cp:lastModifiedBy>
  <dcterms:modified xsi:type="dcterms:W3CDTF">2026-07-13T08:27:29Z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eyJoZGlkIjoiNjA5YmIyMThkMmQ2MjJmZmFkMWFlZWI2NDM4YmM4MDEiLCJ1c2VySWQiOiI0MTQyODQ4NDQifQ==</vt:lpwstr>
  </property>
  <property fmtid="{D5CDD505-2E9C-101B-9397-08002B2CF9AE}" pid="4" name="ICV">
    <vt:lpwstr>FCCE635EC7034B24AFAEC971B968EB10_12</vt:lpwstr>
  </property>
</Properties>
</file>