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27E84" w14:textId="7B084195" w:rsidR="005C082B" w:rsidRPr="00400614" w:rsidRDefault="0065214A" w:rsidP="005C082B">
      <w:pPr>
        <w:pStyle w:val="acbfdd8b-e11b-4d36-88ff-6049b138f862"/>
        <w:spacing w:line="240" w:lineRule="auto"/>
        <w:rPr>
          <w:rStyle w:val="cf01"/>
          <w:rFonts w:ascii="Times New Roman" w:eastAsia="SimSun" w:hAnsi="Times New Roman"/>
          <w:color w:val="auto"/>
          <w:sz w:val="32"/>
          <w:szCs w:val="32"/>
        </w:rPr>
      </w:pPr>
      <w:r w:rsidRPr="00400614">
        <w:rPr>
          <w:rStyle w:val="cf01"/>
          <w:rFonts w:ascii="Times New Roman" w:eastAsia="SimSun" w:hAnsi="Times New Roman"/>
          <w:color w:val="auto"/>
          <w:sz w:val="32"/>
          <w:szCs w:val="32"/>
        </w:rPr>
        <w:t>Application and prospect of artificial intelligence in biochar for acidic soil amelioration</w:t>
      </w:r>
      <w:r w:rsidR="005C082B" w:rsidRPr="00400614">
        <w:rPr>
          <w:rStyle w:val="cf01"/>
          <w:rFonts w:ascii="Times New Roman" w:eastAsia="SimSun" w:hAnsi="Times New Roman"/>
          <w:color w:val="auto"/>
          <w:sz w:val="32"/>
          <w:szCs w:val="32"/>
        </w:rPr>
        <w:t xml:space="preserve"> </w:t>
      </w:r>
    </w:p>
    <w:p w14:paraId="15964D5C" w14:textId="77777777" w:rsidR="005C082B" w:rsidRPr="00400614" w:rsidRDefault="005C082B" w:rsidP="005C082B">
      <w:pPr>
        <w:widowControl w:val="0"/>
        <w:spacing w:line="360" w:lineRule="auto"/>
        <w:jc w:val="both"/>
        <w:outlineLvl w:val="0"/>
        <w:rPr>
          <w:rFonts w:ascii="Times New Roman" w:eastAsia="SimSun" w:hAnsi="Times New Roman" w:cs="Calibri"/>
          <w:b/>
          <w:sz w:val="24"/>
          <w:szCs w:val="24"/>
          <w14:ligatures w14:val="none"/>
        </w:rPr>
      </w:pPr>
    </w:p>
    <w:p w14:paraId="79F7F3B3" w14:textId="77777777" w:rsidR="001602AB" w:rsidRPr="00400614" w:rsidRDefault="001602AB" w:rsidP="001602AB">
      <w:pPr>
        <w:adjustRightInd w:val="0"/>
        <w:snapToGrid w:val="0"/>
        <w:spacing w:line="480" w:lineRule="auto"/>
        <w:rPr>
          <w:rFonts w:cs="Times New Roman"/>
        </w:rPr>
      </w:pPr>
      <w:r w:rsidRPr="00400614">
        <w:rPr>
          <w:rFonts w:cs="Times New Roman"/>
        </w:rPr>
        <w:t>Linyu Guo</w:t>
      </w:r>
      <w:r w:rsidRPr="00400614">
        <w:rPr>
          <w:rFonts w:cs="Times New Roman"/>
          <w:vertAlign w:val="superscript"/>
        </w:rPr>
        <w:t>1,2</w:t>
      </w:r>
      <w:r w:rsidRPr="00400614">
        <w:rPr>
          <w:rFonts w:cs="Times New Roman"/>
        </w:rPr>
        <w:t xml:space="preserve">, </w:t>
      </w:r>
      <w:r w:rsidRPr="00400614">
        <w:rPr>
          <w:rFonts w:cs="Times New Roman" w:hint="eastAsia"/>
        </w:rPr>
        <w:t>Kewei Li</w:t>
      </w:r>
      <w:r w:rsidRPr="00400614">
        <w:rPr>
          <w:rFonts w:cs="Times New Roman"/>
          <w:vertAlign w:val="superscript"/>
        </w:rPr>
        <w:t xml:space="preserve"> 1</w:t>
      </w:r>
      <w:r w:rsidRPr="00400614">
        <w:rPr>
          <w:rFonts w:cs="Times New Roman" w:hint="eastAsia"/>
        </w:rPr>
        <w:t xml:space="preserve">, </w:t>
      </w:r>
      <w:r w:rsidRPr="00400614">
        <w:rPr>
          <w:rFonts w:cs="Times New Roman"/>
        </w:rPr>
        <w:t>Ren-kou Xu</w:t>
      </w:r>
      <w:r w:rsidRPr="00400614">
        <w:rPr>
          <w:rFonts w:cs="Times New Roman"/>
          <w:vertAlign w:val="superscript"/>
        </w:rPr>
        <w:t>1,2</w:t>
      </w:r>
      <w:r w:rsidRPr="00400614">
        <w:rPr>
          <w:rFonts w:cs="Times New Roman"/>
        </w:rPr>
        <w:t>*</w:t>
      </w:r>
    </w:p>
    <w:p w14:paraId="384D0E04" w14:textId="77777777" w:rsidR="001602AB" w:rsidRPr="00400614" w:rsidRDefault="001602AB" w:rsidP="001602AB">
      <w:pPr>
        <w:adjustRightInd w:val="0"/>
        <w:snapToGrid w:val="0"/>
        <w:spacing w:line="480" w:lineRule="auto"/>
        <w:rPr>
          <w:rFonts w:cs="Times New Roman"/>
        </w:rPr>
      </w:pPr>
    </w:p>
    <w:p w14:paraId="7F1F902F" w14:textId="77777777" w:rsidR="001602AB" w:rsidRPr="00400614" w:rsidRDefault="001602AB" w:rsidP="001602AB">
      <w:pPr>
        <w:adjustRightInd w:val="0"/>
        <w:snapToGrid w:val="0"/>
        <w:spacing w:line="480" w:lineRule="auto"/>
        <w:rPr>
          <w:rFonts w:ascii="Times New Roman" w:hAnsi="Times New Roman" w:cs="Times New Roman"/>
        </w:rPr>
      </w:pPr>
      <w:r w:rsidRPr="00400614">
        <w:rPr>
          <w:rFonts w:ascii="Times New Roman" w:hAnsi="Times New Roman" w:cs="Times New Roman"/>
          <w:vertAlign w:val="superscript"/>
        </w:rPr>
        <w:t xml:space="preserve">1 </w:t>
      </w:r>
      <w:r w:rsidRPr="00400614">
        <w:rPr>
          <w:rFonts w:ascii="Times New Roman" w:hAnsi="Times New Roman" w:cs="Times New Roman"/>
        </w:rPr>
        <w:t>State Key Laboratory of Soil and Sustainable Agriculture, Institute of Soil Science, Chinese Academy of Sciences, Nanjing, 211135 (</w:t>
      </w:r>
      <w:r w:rsidRPr="00400614">
        <w:rPr>
          <w:rFonts w:ascii="Times New Roman" w:hAnsi="Times New Roman" w:cs="Times New Roman"/>
          <w:i/>
          <w:iCs/>
        </w:rPr>
        <w:t>China</w:t>
      </w:r>
      <w:r w:rsidRPr="00400614">
        <w:rPr>
          <w:rFonts w:ascii="Times New Roman" w:hAnsi="Times New Roman" w:cs="Times New Roman"/>
        </w:rPr>
        <w:t>)</w:t>
      </w:r>
    </w:p>
    <w:p w14:paraId="78EB4804" w14:textId="77777777" w:rsidR="001602AB" w:rsidRPr="00400614" w:rsidRDefault="001602AB" w:rsidP="001602AB">
      <w:pPr>
        <w:adjustRightInd w:val="0"/>
        <w:snapToGrid w:val="0"/>
        <w:spacing w:line="480" w:lineRule="auto"/>
        <w:rPr>
          <w:rFonts w:ascii="Times New Roman" w:hAnsi="Times New Roman" w:cs="Times New Roman"/>
        </w:rPr>
      </w:pPr>
      <w:r w:rsidRPr="00400614">
        <w:rPr>
          <w:rFonts w:ascii="Times New Roman" w:hAnsi="Times New Roman" w:cs="Times New Roman"/>
          <w:vertAlign w:val="superscript"/>
        </w:rPr>
        <w:t xml:space="preserve">2 </w:t>
      </w:r>
      <w:r w:rsidRPr="00400614">
        <w:rPr>
          <w:rFonts w:ascii="Times New Roman" w:hAnsi="Times New Roman" w:cs="Times New Roman"/>
        </w:rPr>
        <w:t>College of Advanced Agricultural Sciences, University of Chinese Academy of Sciences, Beijing, 100049 (</w:t>
      </w:r>
      <w:r w:rsidRPr="00400614">
        <w:rPr>
          <w:rFonts w:ascii="Times New Roman" w:hAnsi="Times New Roman" w:cs="Times New Roman"/>
          <w:i/>
          <w:iCs/>
        </w:rPr>
        <w:t>China</w:t>
      </w:r>
      <w:r w:rsidRPr="00400614">
        <w:rPr>
          <w:rFonts w:ascii="Times New Roman" w:hAnsi="Times New Roman" w:cs="Times New Roman"/>
        </w:rPr>
        <w:t>)</w:t>
      </w:r>
    </w:p>
    <w:p w14:paraId="7536C5D9" w14:textId="77777777" w:rsidR="001602AB" w:rsidRPr="00400614" w:rsidRDefault="001602AB" w:rsidP="001602AB">
      <w:pPr>
        <w:autoSpaceDE w:val="0"/>
        <w:autoSpaceDN w:val="0"/>
        <w:adjustRightInd w:val="0"/>
        <w:snapToGrid w:val="0"/>
        <w:spacing w:line="480" w:lineRule="auto"/>
        <w:rPr>
          <w:rFonts w:ascii="Times New Roman" w:hAnsi="Times New Roman" w:cs="Times New Roman"/>
        </w:rPr>
      </w:pPr>
      <w:r w:rsidRPr="00400614">
        <w:rPr>
          <w:rFonts w:ascii="Times New Roman" w:hAnsi="Times New Roman" w:cs="Times New Roman"/>
        </w:rPr>
        <w:t xml:space="preserve">*Corresponding author: </w:t>
      </w:r>
      <w:hyperlink r:id="rId8" w:history="1">
        <w:r w:rsidRPr="00400614">
          <w:rPr>
            <w:rStyle w:val="Hyperlink"/>
            <w:rFonts w:ascii="Times New Roman" w:hAnsi="Times New Roman" w:cs="Times New Roman"/>
            <w:color w:val="auto"/>
          </w:rPr>
          <w:t>rkxu@issas.ac.cn</w:t>
        </w:r>
      </w:hyperlink>
      <w:r w:rsidRPr="00400614">
        <w:rPr>
          <w:rFonts w:ascii="Times New Roman" w:hAnsi="Times New Roman" w:cs="Times New Roman"/>
        </w:rPr>
        <w:t xml:space="preserve"> (R.K. Xu)</w:t>
      </w:r>
    </w:p>
    <w:p w14:paraId="0D561E50" w14:textId="77777777" w:rsidR="001602AB" w:rsidRPr="00400614" w:rsidRDefault="001602AB" w:rsidP="005C082B">
      <w:pPr>
        <w:widowControl w:val="0"/>
        <w:spacing w:line="360" w:lineRule="auto"/>
        <w:jc w:val="both"/>
        <w:outlineLvl w:val="0"/>
        <w:rPr>
          <w:rFonts w:ascii="Times New Roman" w:eastAsia="SimSun" w:hAnsi="Times New Roman" w:cs="Calibri"/>
          <w:b/>
          <w:sz w:val="24"/>
          <w:szCs w:val="24"/>
          <w14:ligatures w14:val="none"/>
        </w:rPr>
      </w:pPr>
    </w:p>
    <w:p w14:paraId="5DBF70C6" w14:textId="0826B009" w:rsidR="005C082B" w:rsidRPr="00400614" w:rsidRDefault="00C66CE5" w:rsidP="005C082B">
      <w:pPr>
        <w:widowControl w:val="0"/>
        <w:spacing w:line="360" w:lineRule="auto"/>
        <w:jc w:val="both"/>
        <w:outlineLvl w:val="0"/>
        <w:rPr>
          <w:rFonts w:ascii="Times New Roman" w:eastAsia="SimSun" w:hAnsi="Times New Roman" w:cs="Calibri"/>
          <w:b/>
          <w:sz w:val="24"/>
          <w:szCs w:val="24"/>
          <w14:ligatures w14:val="none"/>
        </w:rPr>
      </w:pPr>
      <w:r w:rsidRPr="00400614">
        <w:rPr>
          <w:rFonts w:ascii="Times New Roman" w:eastAsia="SimSun" w:hAnsi="Times New Roman" w:cs="Calibri"/>
          <w:b/>
          <w:bCs/>
          <w:sz w:val="24"/>
          <w:szCs w:val="24"/>
        </w:rPr>
        <w:t>Literature Search</w:t>
      </w:r>
      <w:r w:rsidRPr="00400614">
        <w:rPr>
          <w:rFonts w:ascii="Times New Roman" w:eastAsia="SimSun" w:hAnsi="Times New Roman" w:cs="Calibri" w:hint="eastAsia"/>
          <w:b/>
          <w:sz w:val="24"/>
          <w:szCs w:val="24"/>
          <w14:ligatures w14:val="none"/>
        </w:rPr>
        <w:t xml:space="preserve"> </w:t>
      </w:r>
      <w:r w:rsidR="005C082B" w:rsidRPr="00400614">
        <w:rPr>
          <w:rFonts w:ascii="Times New Roman" w:eastAsia="SimSun" w:hAnsi="Times New Roman" w:cs="Calibri" w:hint="eastAsia"/>
          <w:b/>
          <w:sz w:val="24"/>
          <w:szCs w:val="24"/>
          <w14:ligatures w14:val="none"/>
        </w:rPr>
        <w:t>Methods</w:t>
      </w:r>
    </w:p>
    <w:p w14:paraId="40BFC957" w14:textId="7BB3565C" w:rsidR="00A6192C" w:rsidRPr="00400614" w:rsidRDefault="00A6192C" w:rsidP="005C082B">
      <w:pPr>
        <w:widowControl w:val="0"/>
        <w:spacing w:line="360" w:lineRule="auto"/>
        <w:jc w:val="both"/>
        <w:outlineLvl w:val="0"/>
        <w:rPr>
          <w:rFonts w:ascii="Times New Roman" w:eastAsia="SimSun" w:hAnsi="Times New Roman" w:cs="Times New Roman"/>
          <w:b/>
          <w:sz w:val="24"/>
          <w:szCs w:val="24"/>
        </w:rPr>
      </w:pPr>
      <w:r w:rsidRPr="00400614">
        <w:rPr>
          <w:rFonts w:ascii="Times New Roman" w:eastAsia="SimSun" w:hAnsi="Times New Roman" w:cs="Times New Roman" w:hint="eastAsia"/>
          <w:b/>
          <w:sz w:val="24"/>
          <w:szCs w:val="24"/>
        </w:rPr>
        <w:t>T</w:t>
      </w:r>
      <w:r w:rsidRPr="00400614">
        <w:rPr>
          <w:rFonts w:ascii="Times New Roman" w:eastAsia="SimSun" w:hAnsi="Times New Roman" w:cs="Times New Roman"/>
          <w:b/>
          <w:sz w:val="24"/>
          <w:szCs w:val="24"/>
        </w:rPr>
        <w:t>ext S</w:t>
      </w:r>
      <w:r w:rsidR="00FF38D0" w:rsidRPr="00400614">
        <w:rPr>
          <w:rFonts w:ascii="Times New Roman" w:eastAsia="SimSun" w:hAnsi="Times New Roman" w:cs="Times New Roman" w:hint="eastAsia"/>
          <w:b/>
          <w:sz w:val="24"/>
          <w:szCs w:val="24"/>
        </w:rPr>
        <w:t>1</w:t>
      </w:r>
      <w:r w:rsidRPr="00400614">
        <w:rPr>
          <w:rFonts w:ascii="Times New Roman" w:eastAsia="SimSun" w:hAnsi="Times New Roman" w:cs="Times New Roman"/>
          <w:b/>
          <w:sz w:val="24"/>
          <w:szCs w:val="24"/>
        </w:rPr>
        <w:t>.</w:t>
      </w:r>
    </w:p>
    <w:p w14:paraId="20F58625" w14:textId="42A1D34E" w:rsidR="001A48F0" w:rsidRPr="00400614" w:rsidRDefault="00975AA5" w:rsidP="00B142EB">
      <w:pPr>
        <w:spacing w:line="360" w:lineRule="auto"/>
        <w:ind w:firstLineChars="200" w:firstLine="480"/>
        <w:jc w:val="both"/>
        <w:rPr>
          <w:rFonts w:ascii="Times New Roman" w:eastAsia="SimSun" w:hAnsi="Times New Roman" w:cs="Calibri"/>
          <w:sz w:val="24"/>
          <w:szCs w:val="24"/>
        </w:rPr>
      </w:pPr>
      <w:r w:rsidRPr="00400614">
        <w:rPr>
          <w:rFonts w:ascii="Times New Roman" w:eastAsia="SimSun" w:hAnsi="Times New Roman" w:cs="Calibri"/>
          <w:sz w:val="24"/>
          <w:szCs w:val="24"/>
        </w:rPr>
        <w:t xml:space="preserve">This review was conducted following the </w:t>
      </w:r>
      <w:r w:rsidR="00C63369" w:rsidRPr="00400614">
        <w:rPr>
          <w:rFonts w:ascii="Times New Roman" w:eastAsia="SimSun" w:hAnsi="Times New Roman" w:cs="Calibri"/>
          <w:sz w:val="24"/>
          <w:szCs w:val="24"/>
        </w:rPr>
        <w:t>he PRISMA 2020 guidelines (Page et al. 2021)</w:t>
      </w:r>
      <w:r w:rsidRPr="00400614">
        <w:rPr>
          <w:rFonts w:ascii="Times New Roman" w:eastAsia="SimSun" w:hAnsi="Times New Roman" w:cs="Calibri"/>
          <w:sz w:val="24"/>
          <w:szCs w:val="24"/>
        </w:rPr>
        <w:t>. To systematically review the advancement of biochar-mediated amelioration of acidic soils using artificial intelligence, we performed a literature search in the Web of Science Core Collection on January 12</w:t>
      </w:r>
      <w:r w:rsidR="00B142EB" w:rsidRPr="00400614">
        <w:rPr>
          <w:rFonts w:ascii="Times New Roman" w:eastAsia="SimSun" w:hAnsi="Times New Roman" w:cs="Calibri" w:hint="eastAsia"/>
          <w:sz w:val="24"/>
          <w:szCs w:val="24"/>
        </w:rPr>
        <w:t>, 2</w:t>
      </w:r>
      <w:r w:rsidRPr="00400614">
        <w:rPr>
          <w:rFonts w:ascii="Times New Roman" w:eastAsia="SimSun" w:hAnsi="Times New Roman" w:cs="Calibri"/>
          <w:sz w:val="24"/>
          <w:szCs w:val="24"/>
        </w:rPr>
        <w:t>026.</w:t>
      </w:r>
      <w:r w:rsidR="007F47E4" w:rsidRPr="00400614">
        <w:rPr>
          <w:rFonts w:ascii="Times New Roman" w:eastAsia="SimSun" w:hAnsi="Times New Roman" w:cs="Calibri"/>
          <w:sz w:val="24"/>
          <w:szCs w:val="24"/>
        </w:rPr>
        <w:t xml:space="preserve"> </w:t>
      </w:r>
      <w:r w:rsidR="00CB0B44" w:rsidRPr="00400614">
        <w:rPr>
          <w:rFonts w:ascii="Times New Roman" w:eastAsia="SimSun" w:hAnsi="Times New Roman" w:cs="Calibri"/>
          <w:sz w:val="24"/>
          <w:szCs w:val="24"/>
        </w:rPr>
        <w:t xml:space="preserve">The search strategy employed two Boolean keyword combinations: (1) </w:t>
      </w:r>
      <w:r w:rsidR="007F47E4" w:rsidRPr="00400614">
        <w:rPr>
          <w:rFonts w:ascii="Times New Roman" w:eastAsia="SimSun" w:hAnsi="Times New Roman" w:cs="Calibri"/>
          <w:sz w:val="24"/>
          <w:szCs w:val="24"/>
        </w:rPr>
        <w:t>(("biochar" OR "biocarbon" OR "black carbon") AND ("soil acid" OR "aluminum toxicity" OR "Al stress" OR "Al phytotoxicity" OR "soil pH") AND ("artificial intelligence" OR "machine learning" OR "deep learning" OR "random forest" OR "neural network" OR "support vector machine" OR "remote sensing" OR "proximal sensing" OR "spectroscop" OR "sensor"))</w:t>
      </w:r>
      <w:r w:rsidR="00CB0B44" w:rsidRPr="00400614">
        <w:rPr>
          <w:rFonts w:ascii="Times New Roman" w:eastAsia="SimSun" w:hAnsi="Times New Roman" w:cs="Calibri" w:hint="eastAsia"/>
          <w:sz w:val="24"/>
          <w:szCs w:val="24"/>
        </w:rPr>
        <w:t xml:space="preserve">; and (2) </w:t>
      </w:r>
      <w:r w:rsidR="00CB0B44" w:rsidRPr="00400614">
        <w:rPr>
          <w:rFonts w:ascii="Times New Roman" w:eastAsia="SimSun" w:hAnsi="Times New Roman" w:cs="Calibri"/>
          <w:sz w:val="24"/>
          <w:szCs w:val="24"/>
        </w:rPr>
        <w:t>("biochar" OR "biocarbon") AND "</w:t>
      </w:r>
      <w:r w:rsidR="00CB0B44" w:rsidRPr="00400614">
        <w:rPr>
          <w:rFonts w:ascii="Times New Roman" w:eastAsia="SimSun" w:hAnsi="Times New Roman" w:cs="Calibri" w:hint="eastAsia"/>
          <w:sz w:val="24"/>
          <w:szCs w:val="24"/>
        </w:rPr>
        <w:t>S</w:t>
      </w:r>
      <w:r w:rsidR="00CB0B44" w:rsidRPr="00400614">
        <w:rPr>
          <w:rFonts w:ascii="Times New Roman" w:eastAsia="SimSun" w:hAnsi="Times New Roman" w:cs="Calibri"/>
          <w:sz w:val="24"/>
          <w:szCs w:val="24"/>
        </w:rPr>
        <w:t>oil" AND ("artificial intelligence" OR "machine learning" OR "deep learning" OR "random forest" OR "neural network" OR "support vector machine" OR "remote sensing")</w:t>
      </w:r>
      <w:r w:rsidR="00CB0B44" w:rsidRPr="00400614">
        <w:rPr>
          <w:rFonts w:ascii="Times New Roman" w:eastAsia="SimSun" w:hAnsi="Times New Roman" w:cs="Calibri" w:hint="eastAsia"/>
          <w:sz w:val="24"/>
          <w:szCs w:val="24"/>
        </w:rPr>
        <w:t xml:space="preserve">. </w:t>
      </w:r>
      <w:r w:rsidR="007F47E4" w:rsidRPr="00400614">
        <w:rPr>
          <w:rFonts w:ascii="Times New Roman" w:eastAsia="SimSun" w:hAnsi="Times New Roman" w:cs="Calibri"/>
          <w:sz w:val="24"/>
          <w:szCs w:val="24"/>
        </w:rPr>
        <w:t>No additional filters (e.g., publication year or document type) were applied at this initial stage to maximize coverage</w:t>
      </w:r>
      <w:r w:rsidR="00B142EB" w:rsidRPr="00400614">
        <w:rPr>
          <w:rFonts w:ascii="Times New Roman" w:eastAsia="SimSun" w:hAnsi="Times New Roman" w:cs="Calibri" w:hint="eastAsia"/>
          <w:sz w:val="24"/>
          <w:szCs w:val="24"/>
        </w:rPr>
        <w:t xml:space="preserve">. </w:t>
      </w:r>
      <w:r w:rsidR="00B142EB" w:rsidRPr="00400614">
        <w:rPr>
          <w:rFonts w:ascii="Times New Roman" w:eastAsia="SimSun" w:hAnsi="Times New Roman" w:cs="Calibri"/>
          <w:sz w:val="24"/>
          <w:szCs w:val="24"/>
        </w:rPr>
        <w:t>The retrieved records (n = 404) were exported to Zotero for duplicate removal. All screening steps were conducted by a single reviewer (L.Y. Guo), given the review’s scoping nature and the need for consistent qualitative coding across heterogeneous studies. To mitigate potential bias and ensure reproducibility, the following measures were implemented:</w:t>
      </w:r>
      <w:r w:rsidR="00B142EB" w:rsidRPr="00400614">
        <w:rPr>
          <w:rFonts w:ascii="Times New Roman" w:eastAsia="SimSun" w:hAnsi="Times New Roman" w:cs="Calibri" w:hint="eastAsia"/>
          <w:sz w:val="24"/>
          <w:szCs w:val="24"/>
        </w:rPr>
        <w:t xml:space="preserve"> 1) </w:t>
      </w:r>
      <w:r w:rsidR="00B142EB" w:rsidRPr="00400614">
        <w:rPr>
          <w:rFonts w:ascii="Times New Roman" w:eastAsia="SimSun" w:hAnsi="Times New Roman" w:cs="Calibri"/>
          <w:sz w:val="24"/>
          <w:szCs w:val="24"/>
        </w:rPr>
        <w:t xml:space="preserve">Pilot calibration: </w:t>
      </w:r>
      <w:r w:rsidR="00B142EB" w:rsidRPr="00400614">
        <w:rPr>
          <w:rFonts w:ascii="Times New Roman" w:eastAsia="SimSun" w:hAnsi="Times New Roman" w:cs="Calibri"/>
          <w:sz w:val="24"/>
          <w:szCs w:val="24"/>
        </w:rPr>
        <w:lastRenderedPageBreak/>
        <w:t>Before formal screening, 50 randomly selected records were screened twice by the same reviewer at a two-week interval, achieving a 94% intra-agreement rate, confirming criterion clarity.</w:t>
      </w:r>
      <w:r w:rsidR="00B142EB" w:rsidRPr="00400614">
        <w:rPr>
          <w:rFonts w:ascii="Times New Roman" w:eastAsia="SimSun" w:hAnsi="Times New Roman" w:cs="Calibri" w:hint="eastAsia"/>
          <w:sz w:val="24"/>
          <w:szCs w:val="24"/>
        </w:rPr>
        <w:t xml:space="preserve"> 2) </w:t>
      </w:r>
      <w:r w:rsidR="00B142EB" w:rsidRPr="00400614">
        <w:rPr>
          <w:rFonts w:ascii="Times New Roman" w:eastAsia="SimSun" w:hAnsi="Times New Roman" w:cs="Calibri"/>
          <w:sz w:val="24"/>
          <w:szCs w:val="24"/>
        </w:rPr>
        <w:t>Explicit criteria: Studies were included if they simultaneously reported (a) biochar application to soils, (b) a measured or modeled soil acidity-related variable (pH, Al stress), and (c) application of at least one AI/ML</w:t>
      </w:r>
      <w:r w:rsidR="00B541C1" w:rsidRPr="00400614">
        <w:rPr>
          <w:rFonts w:ascii="Times New Roman" w:eastAsia="SimSun" w:hAnsi="Times New Roman" w:cs="Calibri" w:hint="eastAsia"/>
          <w:sz w:val="24"/>
          <w:szCs w:val="24"/>
        </w:rPr>
        <w:t xml:space="preserve"> (Artificial intelligence/Machine Learning)</w:t>
      </w:r>
      <w:r w:rsidR="00B142EB" w:rsidRPr="00400614">
        <w:rPr>
          <w:rFonts w:ascii="Times New Roman" w:eastAsia="SimSun" w:hAnsi="Times New Roman" w:cs="Calibri"/>
          <w:sz w:val="24"/>
          <w:szCs w:val="24"/>
        </w:rPr>
        <w:t xml:space="preserve"> algorithm. Excluded were non-English articles, conference abstracts, and review articles.</w:t>
      </w:r>
      <w:r w:rsidR="00B142EB" w:rsidRPr="00400614">
        <w:rPr>
          <w:rFonts w:ascii="Times New Roman" w:eastAsia="SimSun" w:hAnsi="Times New Roman" w:cs="Calibri" w:hint="eastAsia"/>
          <w:sz w:val="24"/>
          <w:szCs w:val="24"/>
        </w:rPr>
        <w:t xml:space="preserve"> </w:t>
      </w:r>
      <w:r w:rsidR="00B142EB" w:rsidRPr="00400614">
        <w:rPr>
          <w:rFonts w:ascii="Times New Roman" w:eastAsia="SimSun" w:hAnsi="Times New Roman" w:cs="Calibri"/>
          <w:sz w:val="24"/>
          <w:szCs w:val="24"/>
        </w:rPr>
        <w:t>3) Adjudication protocol: Any ambiguous cases regarding inclusion/exclusion were flagged and resolved through discussion with the senior author (Prof</w:t>
      </w:r>
      <w:r w:rsidR="00CA79F8" w:rsidRPr="00400614">
        <w:rPr>
          <w:rFonts w:ascii="Times New Roman" w:eastAsia="SimSun" w:hAnsi="Times New Roman" w:cs="Calibri" w:hint="eastAsia"/>
          <w:sz w:val="24"/>
          <w:szCs w:val="24"/>
        </w:rPr>
        <w:t>essor</w:t>
      </w:r>
      <w:r w:rsidR="00B142EB" w:rsidRPr="00400614">
        <w:rPr>
          <w:rFonts w:ascii="Times New Roman" w:eastAsia="SimSun" w:hAnsi="Times New Roman" w:cs="Calibri"/>
          <w:sz w:val="24"/>
          <w:szCs w:val="24"/>
        </w:rPr>
        <w:t xml:space="preserve"> R</w:t>
      </w:r>
      <w:r w:rsidR="00B541C1" w:rsidRPr="00400614">
        <w:rPr>
          <w:rFonts w:ascii="Times New Roman" w:eastAsia="SimSun" w:hAnsi="Times New Roman" w:cs="Calibri" w:hint="eastAsia"/>
          <w:sz w:val="24"/>
          <w:szCs w:val="24"/>
        </w:rPr>
        <w:t>en</w:t>
      </w:r>
      <w:r w:rsidR="00B142EB" w:rsidRPr="00400614">
        <w:rPr>
          <w:rFonts w:ascii="Times New Roman" w:eastAsia="SimSun" w:hAnsi="Times New Roman" w:cs="Calibri"/>
          <w:sz w:val="24"/>
          <w:szCs w:val="24"/>
        </w:rPr>
        <w:t>K</w:t>
      </w:r>
      <w:r w:rsidR="00B541C1" w:rsidRPr="00400614">
        <w:rPr>
          <w:rFonts w:ascii="Times New Roman" w:eastAsia="SimSun" w:hAnsi="Times New Roman" w:cs="Calibri" w:hint="eastAsia"/>
          <w:sz w:val="24"/>
          <w:szCs w:val="24"/>
        </w:rPr>
        <w:t xml:space="preserve">ou </w:t>
      </w:r>
      <w:r w:rsidR="00B142EB" w:rsidRPr="00400614">
        <w:rPr>
          <w:rFonts w:ascii="Times New Roman" w:eastAsia="SimSun" w:hAnsi="Times New Roman" w:cs="Calibri"/>
          <w:sz w:val="24"/>
          <w:szCs w:val="24"/>
        </w:rPr>
        <w:t>Xu), who served as the final arbitrator.</w:t>
      </w:r>
      <w:r w:rsidR="00B142EB" w:rsidRPr="00400614">
        <w:rPr>
          <w:rFonts w:ascii="Times New Roman" w:eastAsia="SimSun" w:hAnsi="Times New Roman" w:cs="Calibri" w:hint="eastAsia"/>
          <w:sz w:val="24"/>
          <w:szCs w:val="24"/>
        </w:rPr>
        <w:t xml:space="preserve"> </w:t>
      </w:r>
      <w:r w:rsidR="007F47E4" w:rsidRPr="00400614">
        <w:rPr>
          <w:rFonts w:ascii="Times New Roman" w:eastAsia="SimSun" w:hAnsi="Times New Roman" w:cs="Calibri"/>
          <w:sz w:val="24"/>
          <w:szCs w:val="24"/>
        </w:rPr>
        <w:t>Through this systematic process, a total of 1</w:t>
      </w:r>
      <w:r w:rsidR="00B02800" w:rsidRPr="00400614">
        <w:rPr>
          <w:rFonts w:ascii="Times New Roman" w:eastAsia="SimSun" w:hAnsi="Times New Roman" w:cs="Calibri" w:hint="eastAsia"/>
          <w:sz w:val="24"/>
          <w:szCs w:val="24"/>
        </w:rPr>
        <w:t>1</w:t>
      </w:r>
      <w:r w:rsidR="001046A7" w:rsidRPr="00400614">
        <w:rPr>
          <w:rFonts w:ascii="Times New Roman" w:eastAsia="SimSun" w:hAnsi="Times New Roman" w:cs="Calibri" w:hint="eastAsia"/>
          <w:sz w:val="24"/>
          <w:szCs w:val="24"/>
        </w:rPr>
        <w:t>9</w:t>
      </w:r>
      <w:r w:rsidR="007F47E4" w:rsidRPr="00400614">
        <w:rPr>
          <w:rFonts w:ascii="Times New Roman" w:eastAsia="SimSun" w:hAnsi="Times New Roman" w:cs="Calibri"/>
          <w:sz w:val="24"/>
          <w:szCs w:val="24"/>
        </w:rPr>
        <w:t xml:space="preserve"> papers were finally identified as relevant and manually curated for detailed analysis.</w:t>
      </w:r>
      <w:r w:rsidR="00391D65" w:rsidRPr="00400614">
        <w:rPr>
          <w:rFonts w:ascii="Times New Roman" w:eastAsia="SimSun" w:hAnsi="Times New Roman" w:cs="Calibri" w:hint="eastAsia"/>
          <w:sz w:val="24"/>
          <w:szCs w:val="24"/>
        </w:rPr>
        <w:t xml:space="preserve"> </w:t>
      </w:r>
      <w:r w:rsidR="00391D65" w:rsidRPr="00400614">
        <w:rPr>
          <w:rFonts w:ascii="Times New Roman" w:eastAsia="SimSun" w:hAnsi="Times New Roman" w:cs="Calibri"/>
          <w:sz w:val="24"/>
          <w:szCs w:val="24"/>
        </w:rPr>
        <w:t xml:space="preserve">Fig. </w:t>
      </w:r>
      <w:r w:rsidR="00391D65" w:rsidRPr="00400614">
        <w:rPr>
          <w:rFonts w:ascii="Times New Roman" w:eastAsia="SimSun" w:hAnsi="Times New Roman" w:cs="Calibri" w:hint="eastAsia"/>
          <w:sz w:val="24"/>
          <w:szCs w:val="24"/>
        </w:rPr>
        <w:t>4</w:t>
      </w:r>
      <w:r w:rsidR="00391D65" w:rsidRPr="00400614">
        <w:rPr>
          <w:rFonts w:ascii="Times New Roman" w:eastAsia="SimSun" w:hAnsi="Times New Roman" w:cs="Calibri"/>
          <w:sz w:val="24"/>
          <w:szCs w:val="24"/>
        </w:rPr>
        <w:t xml:space="preserve"> shows our statistical results.</w:t>
      </w:r>
      <w:r w:rsidR="00B02800" w:rsidRPr="00400614">
        <w:rPr>
          <w:rFonts w:ascii="Times New Roman" w:eastAsia="SimSun" w:hAnsi="Times New Roman" w:cs="Calibri" w:hint="eastAsia"/>
          <w:sz w:val="24"/>
          <w:szCs w:val="24"/>
        </w:rPr>
        <w:t xml:space="preserve"> </w:t>
      </w:r>
      <w:r w:rsidR="00B02800" w:rsidRPr="00400614">
        <w:rPr>
          <w:rFonts w:ascii="Times New Roman" w:eastAsia="SimSun" w:hAnsi="Times New Roman" w:cs="Calibri"/>
          <w:sz w:val="24"/>
          <w:szCs w:val="24"/>
        </w:rPr>
        <w:t>By reading the "title", "abstract", and "method" section, we counted the frequency of use of AI algorithms in the literature</w:t>
      </w:r>
      <w:r w:rsidR="00B02800" w:rsidRPr="00400614">
        <w:rPr>
          <w:rFonts w:ascii="Times New Roman" w:eastAsia="SimSun" w:hAnsi="Times New Roman" w:cs="Calibri" w:hint="eastAsia"/>
          <w:sz w:val="24"/>
          <w:szCs w:val="24"/>
        </w:rPr>
        <w:t xml:space="preserve">, as </w:t>
      </w:r>
      <w:r w:rsidR="00B02800" w:rsidRPr="00400614">
        <w:rPr>
          <w:rFonts w:ascii="Times New Roman" w:eastAsia="SimSun" w:hAnsi="Times New Roman" w:cs="Calibri"/>
          <w:sz w:val="24"/>
          <w:szCs w:val="24"/>
        </w:rPr>
        <w:t xml:space="preserve">Fig. </w:t>
      </w:r>
      <w:r w:rsidR="00B02800" w:rsidRPr="00400614">
        <w:rPr>
          <w:rFonts w:ascii="Times New Roman" w:eastAsia="SimSun" w:hAnsi="Times New Roman" w:cs="Calibri" w:hint="eastAsia"/>
          <w:sz w:val="24"/>
          <w:szCs w:val="24"/>
        </w:rPr>
        <w:t>5</w:t>
      </w:r>
      <w:r w:rsidR="00B02800" w:rsidRPr="00400614">
        <w:rPr>
          <w:rFonts w:ascii="Times New Roman" w:eastAsia="SimSun" w:hAnsi="Times New Roman" w:cs="Calibri"/>
          <w:sz w:val="24"/>
          <w:szCs w:val="24"/>
        </w:rPr>
        <w:t xml:space="preserve"> show</w:t>
      </w:r>
      <w:r w:rsidR="00B02800" w:rsidRPr="00400614">
        <w:rPr>
          <w:rFonts w:ascii="Times New Roman" w:eastAsia="SimSun" w:hAnsi="Times New Roman" w:cs="Calibri" w:hint="eastAsia"/>
          <w:sz w:val="24"/>
          <w:szCs w:val="24"/>
        </w:rPr>
        <w:t>n.</w:t>
      </w:r>
      <w:r w:rsidR="002C21A3" w:rsidRPr="00400614">
        <w:rPr>
          <w:rFonts w:ascii="Times New Roman" w:eastAsia="SimSun" w:hAnsi="Times New Roman" w:cs="Calibri" w:hint="eastAsia"/>
          <w:sz w:val="24"/>
          <w:szCs w:val="24"/>
        </w:rPr>
        <w:t xml:space="preserve"> </w:t>
      </w:r>
      <w:r w:rsidR="00E50828" w:rsidRPr="00400614">
        <w:rPr>
          <w:rFonts w:ascii="Times New Roman" w:eastAsia="SimSun" w:hAnsi="Times New Roman" w:cs="Calibri"/>
          <w:sz w:val="24"/>
          <w:szCs w:val="24"/>
        </w:rPr>
        <w:t>For each valid result, we compiled annual publication records</w:t>
      </w:r>
      <w:r w:rsidR="00E50828" w:rsidRPr="00400614">
        <w:rPr>
          <w:rFonts w:ascii="Times New Roman" w:eastAsia="SimSun" w:hAnsi="Times New Roman" w:cs="Calibri" w:hint="eastAsia"/>
          <w:sz w:val="24"/>
          <w:szCs w:val="24"/>
        </w:rPr>
        <w:t xml:space="preserve"> (</w:t>
      </w:r>
      <w:r w:rsidR="00E50828" w:rsidRPr="00400614">
        <w:rPr>
          <w:rFonts w:ascii="Times New Roman" w:eastAsia="SimSun" w:hAnsi="Times New Roman" w:cs="Calibri"/>
          <w:sz w:val="24"/>
          <w:szCs w:val="24"/>
        </w:rPr>
        <w:t xml:space="preserve">Fig. </w:t>
      </w:r>
      <w:r w:rsidR="00E50828" w:rsidRPr="00400614">
        <w:rPr>
          <w:rFonts w:ascii="Times New Roman" w:eastAsia="SimSun" w:hAnsi="Times New Roman" w:cs="Calibri" w:hint="eastAsia"/>
          <w:sz w:val="24"/>
          <w:szCs w:val="24"/>
        </w:rPr>
        <w:t>4</w:t>
      </w:r>
      <w:r w:rsidR="00176FF6" w:rsidRPr="00400614">
        <w:rPr>
          <w:rFonts w:ascii="Times New Roman" w:eastAsia="SimSun" w:hAnsi="Times New Roman" w:cs="Calibri" w:hint="eastAsia"/>
          <w:sz w:val="24"/>
          <w:szCs w:val="24"/>
        </w:rPr>
        <w:t>d</w:t>
      </w:r>
      <w:r w:rsidR="00E50828" w:rsidRPr="00400614">
        <w:rPr>
          <w:rFonts w:ascii="Times New Roman" w:eastAsia="SimSun" w:hAnsi="Times New Roman" w:cs="Calibri" w:hint="eastAsia"/>
          <w:sz w:val="24"/>
          <w:szCs w:val="24"/>
        </w:rPr>
        <w:t xml:space="preserve">). </w:t>
      </w:r>
      <w:r w:rsidR="002C21A3" w:rsidRPr="00400614">
        <w:rPr>
          <w:rFonts w:ascii="Times New Roman" w:eastAsia="SimSun" w:hAnsi="Times New Roman" w:cs="Calibri"/>
          <w:sz w:val="24"/>
          <w:szCs w:val="24"/>
        </w:rPr>
        <w:t>For these frequency counts, if a primary study reported the application of multiple AI algorithms, each algorithm was counted independently to reflect its application prevalence at the model level.</w:t>
      </w:r>
    </w:p>
    <w:p w14:paraId="5551112C" w14:textId="77777777" w:rsidR="00E07ACE" w:rsidRPr="00400614" w:rsidRDefault="00E07ACE" w:rsidP="003D6C22">
      <w:pPr>
        <w:spacing w:line="360" w:lineRule="auto"/>
        <w:jc w:val="both"/>
        <w:rPr>
          <w:rFonts w:ascii="Times New Roman" w:eastAsia="SimSun" w:hAnsi="Times New Roman" w:cs="Calibri"/>
          <w:sz w:val="24"/>
          <w:szCs w:val="24"/>
        </w:rPr>
      </w:pPr>
    </w:p>
    <w:p w14:paraId="7008E4E4" w14:textId="798F1E03" w:rsidR="00D62C53" w:rsidRPr="00400614" w:rsidRDefault="00D62C53" w:rsidP="00D62C53">
      <w:pPr>
        <w:widowControl w:val="0"/>
        <w:spacing w:line="360" w:lineRule="auto"/>
        <w:jc w:val="both"/>
        <w:outlineLvl w:val="0"/>
        <w:rPr>
          <w:rFonts w:ascii="Times New Roman" w:eastAsia="SimSun" w:hAnsi="Times New Roman" w:cs="Times New Roman"/>
          <w:b/>
          <w:sz w:val="24"/>
          <w:szCs w:val="24"/>
        </w:rPr>
      </w:pPr>
      <w:r w:rsidRPr="00400614">
        <w:rPr>
          <w:rFonts w:ascii="Times New Roman" w:eastAsia="SimSun" w:hAnsi="Times New Roman" w:cs="Times New Roman" w:hint="eastAsia"/>
          <w:b/>
          <w:sz w:val="24"/>
          <w:szCs w:val="24"/>
        </w:rPr>
        <w:t>T</w:t>
      </w:r>
      <w:r w:rsidRPr="00400614">
        <w:rPr>
          <w:rFonts w:ascii="Times New Roman" w:eastAsia="SimSun" w:hAnsi="Times New Roman" w:cs="Times New Roman"/>
          <w:b/>
          <w:sz w:val="24"/>
          <w:szCs w:val="24"/>
        </w:rPr>
        <w:t>ext S</w:t>
      </w:r>
      <w:r w:rsidRPr="00400614">
        <w:rPr>
          <w:rFonts w:ascii="Times New Roman" w:eastAsia="SimSun" w:hAnsi="Times New Roman" w:cs="Times New Roman" w:hint="eastAsia"/>
          <w:b/>
          <w:sz w:val="24"/>
          <w:szCs w:val="24"/>
        </w:rPr>
        <w:t>2</w:t>
      </w:r>
      <w:r w:rsidRPr="00400614">
        <w:rPr>
          <w:rFonts w:ascii="Times New Roman" w:eastAsia="SimSun" w:hAnsi="Times New Roman" w:cs="Times New Roman"/>
          <w:b/>
          <w:sz w:val="24"/>
          <w:szCs w:val="24"/>
        </w:rPr>
        <w:t>.</w:t>
      </w:r>
    </w:p>
    <w:p w14:paraId="258DBC13" w14:textId="20A14297" w:rsidR="00715987" w:rsidRPr="00400614" w:rsidRDefault="003D6C22" w:rsidP="000A5B61">
      <w:pPr>
        <w:spacing w:line="360" w:lineRule="auto"/>
        <w:ind w:firstLineChars="200" w:firstLine="480"/>
        <w:jc w:val="both"/>
        <w:rPr>
          <w:rFonts w:ascii="Times New Roman" w:eastAsia="SimSun" w:hAnsi="Times New Roman" w:cs="Calibri"/>
          <w:sz w:val="24"/>
          <w:szCs w:val="24"/>
        </w:rPr>
      </w:pPr>
      <w:r w:rsidRPr="00400614">
        <w:rPr>
          <w:rFonts w:ascii="Times New Roman" w:eastAsia="SimSun" w:hAnsi="Times New Roman" w:cs="Calibri"/>
          <w:sz w:val="24"/>
          <w:szCs w:val="24"/>
        </w:rPr>
        <w:t>To ensure thematic consistency with the central focus on acidic soil amelioration, the four application subdomains discussed below—crop yield prediction, heavy metal immobilization, SOC prediction, and greenhouse gas emission modeling—are all derived exclusively from studies within our reviewed literature that specifically address biochar effects under acidic soil conditions. To clarify the performance of different AI models across these application scenarios, we further categorized the retrieved results from the second Boolean search string according to prediction targets. Through careful examination of the titles, abstracts, and methods sections of the retrieved articles, we identified 77, 104, 90, and 55 studies related to crop yield prediction, heavy metal immobilization, SOC prediction, and greenhouse gas emission modeling, respectively. For each application scenario, we manually reviewed the Methods section of each eligible study on a paper</w:t>
      </w:r>
      <w:r w:rsidRPr="00400614">
        <w:rPr>
          <w:rFonts w:ascii="Times New Roman" w:eastAsia="SimSun" w:hAnsi="Times New Roman" w:cs="Cambria Math"/>
          <w:sz w:val="24"/>
          <w:szCs w:val="24"/>
        </w:rPr>
        <w:t>‑</w:t>
      </w:r>
      <w:r w:rsidRPr="00400614">
        <w:rPr>
          <w:rFonts w:ascii="Times New Roman" w:eastAsia="SimSun" w:hAnsi="Times New Roman" w:cs="Calibri"/>
          <w:sz w:val="24"/>
          <w:szCs w:val="24"/>
        </w:rPr>
        <w:t>by</w:t>
      </w:r>
      <w:r w:rsidRPr="00400614">
        <w:rPr>
          <w:rFonts w:ascii="Times New Roman" w:eastAsia="SimSun" w:hAnsi="Times New Roman" w:cs="Cambria Math"/>
          <w:sz w:val="24"/>
          <w:szCs w:val="24"/>
        </w:rPr>
        <w:t>‑</w:t>
      </w:r>
      <w:r w:rsidRPr="00400614">
        <w:rPr>
          <w:rFonts w:ascii="Times New Roman" w:eastAsia="SimSun" w:hAnsi="Times New Roman" w:cs="Calibri"/>
          <w:sz w:val="24"/>
          <w:szCs w:val="24"/>
        </w:rPr>
        <w:t>paper basis and recorded the frequency of each machine learning model used. The resulting model</w:t>
      </w:r>
      <w:r w:rsidRPr="00400614">
        <w:rPr>
          <w:rFonts w:ascii="Times New Roman" w:eastAsia="SimSun" w:hAnsi="Times New Roman" w:cs="Cambria Math"/>
          <w:sz w:val="24"/>
          <w:szCs w:val="24"/>
        </w:rPr>
        <w:t>‑</w:t>
      </w:r>
      <w:r w:rsidRPr="00400614">
        <w:rPr>
          <w:rFonts w:ascii="Times New Roman" w:eastAsia="SimSun" w:hAnsi="Times New Roman" w:cs="Calibri"/>
          <w:sz w:val="24"/>
          <w:szCs w:val="24"/>
        </w:rPr>
        <w:t>use frequencies across different application scenarios and prediction targets are summarized in Fig. S1 and Table 2.</w:t>
      </w:r>
    </w:p>
    <w:p w14:paraId="33717CDE" w14:textId="326C7FD8" w:rsidR="00DE6595" w:rsidRPr="00400614" w:rsidRDefault="00DE6595" w:rsidP="00E50828">
      <w:pPr>
        <w:jc w:val="center"/>
        <w:rPr>
          <w:rFonts w:ascii="Times New Roman" w:eastAsia="SimSun" w:hAnsi="Times New Roman"/>
        </w:rPr>
      </w:pPr>
    </w:p>
    <w:p w14:paraId="607EFD79" w14:textId="27CB6F60" w:rsidR="00A6192C" w:rsidRPr="00400614" w:rsidRDefault="00A6192C" w:rsidP="00A6192C">
      <w:pPr>
        <w:widowControl w:val="0"/>
        <w:spacing w:line="360" w:lineRule="auto"/>
        <w:jc w:val="both"/>
        <w:outlineLvl w:val="0"/>
        <w:rPr>
          <w:rFonts w:ascii="Times New Roman" w:eastAsia="SimSun" w:hAnsi="Times New Roman" w:cs="Times New Roman"/>
          <w:b/>
          <w:sz w:val="24"/>
          <w:szCs w:val="24"/>
        </w:rPr>
      </w:pPr>
      <w:r w:rsidRPr="00400614">
        <w:rPr>
          <w:rFonts w:ascii="Times New Roman" w:eastAsia="SimSun" w:hAnsi="Times New Roman" w:cs="Times New Roman" w:hint="eastAsia"/>
          <w:b/>
          <w:sz w:val="24"/>
          <w:szCs w:val="24"/>
        </w:rPr>
        <w:t>T</w:t>
      </w:r>
      <w:r w:rsidRPr="00400614">
        <w:rPr>
          <w:rFonts w:ascii="Times New Roman" w:eastAsia="SimSun" w:hAnsi="Times New Roman" w:cs="Times New Roman"/>
          <w:b/>
          <w:sz w:val="24"/>
          <w:szCs w:val="24"/>
        </w:rPr>
        <w:t>ext S</w:t>
      </w:r>
      <w:r w:rsidR="001E73B3" w:rsidRPr="00400614">
        <w:rPr>
          <w:rFonts w:ascii="Times New Roman" w:eastAsia="SimSun" w:hAnsi="Times New Roman" w:cs="Times New Roman" w:hint="eastAsia"/>
          <w:b/>
          <w:sz w:val="24"/>
          <w:szCs w:val="24"/>
        </w:rPr>
        <w:t>3</w:t>
      </w:r>
      <w:r w:rsidRPr="00400614">
        <w:rPr>
          <w:rFonts w:ascii="Times New Roman" w:eastAsia="SimSun" w:hAnsi="Times New Roman" w:cs="Times New Roman"/>
          <w:b/>
          <w:sz w:val="24"/>
          <w:szCs w:val="24"/>
        </w:rPr>
        <w:t>.</w:t>
      </w:r>
    </w:p>
    <w:p w14:paraId="2CA1FE08" w14:textId="0E72FF92" w:rsidR="0064023E" w:rsidRPr="00400614" w:rsidRDefault="0064023E" w:rsidP="000A5B61">
      <w:pPr>
        <w:spacing w:before="160" w:after="0" w:line="360" w:lineRule="auto"/>
        <w:ind w:firstLineChars="200" w:firstLine="480"/>
        <w:jc w:val="both"/>
        <w:rPr>
          <w:rFonts w:ascii="Times New Roman" w:eastAsia="SimSun" w:hAnsi="Times New Roman" w:cs="Calibri"/>
          <w:sz w:val="24"/>
          <w:szCs w:val="24"/>
        </w:rPr>
      </w:pPr>
      <w:r w:rsidRPr="00400614">
        <w:rPr>
          <w:rFonts w:ascii="Times New Roman" w:eastAsia="SimSun" w:hAnsi="Times New Roman" w:cs="Calibri"/>
          <w:sz w:val="24"/>
          <w:szCs w:val="24"/>
        </w:rPr>
        <w:t>In the meta</w:t>
      </w:r>
      <w:r w:rsidRPr="00400614">
        <w:rPr>
          <w:rFonts w:ascii="Times New Roman" w:eastAsia="SimSun" w:hAnsi="Times New Roman" w:cs="Cambria Math"/>
          <w:sz w:val="24"/>
          <w:szCs w:val="24"/>
        </w:rPr>
        <w:t>‑</w:t>
      </w:r>
      <w:r w:rsidRPr="00400614">
        <w:rPr>
          <w:rFonts w:ascii="Times New Roman" w:eastAsia="SimSun" w:hAnsi="Times New Roman" w:cs="Calibri"/>
          <w:sz w:val="24"/>
          <w:szCs w:val="24"/>
        </w:rPr>
        <w:t xml:space="preserve">analysis of Section 3.2 (Fig. </w:t>
      </w:r>
      <w:r w:rsidRPr="00400614">
        <w:rPr>
          <w:rFonts w:ascii="Times New Roman" w:eastAsia="SimSun" w:hAnsi="Times New Roman" w:cs="Calibri" w:hint="eastAsia"/>
          <w:sz w:val="24"/>
          <w:szCs w:val="24"/>
        </w:rPr>
        <w:t>6</w:t>
      </w:r>
      <w:r w:rsidRPr="00400614">
        <w:rPr>
          <w:rFonts w:ascii="Times New Roman" w:eastAsia="SimSun" w:hAnsi="Times New Roman" w:cs="Calibri"/>
          <w:sz w:val="24"/>
          <w:szCs w:val="24"/>
        </w:rPr>
        <w:t>), we re</w:t>
      </w:r>
      <w:r w:rsidRPr="00400614">
        <w:rPr>
          <w:rFonts w:ascii="Times New Roman" w:eastAsia="SimSun" w:hAnsi="Times New Roman" w:cs="Cambria Math"/>
          <w:sz w:val="24"/>
          <w:szCs w:val="24"/>
        </w:rPr>
        <w:t>‑</w:t>
      </w:r>
      <w:r w:rsidRPr="00400614">
        <w:rPr>
          <w:rFonts w:ascii="Times New Roman" w:eastAsia="SimSun" w:hAnsi="Times New Roman" w:cs="Calibri"/>
          <w:sz w:val="24"/>
          <w:szCs w:val="24"/>
        </w:rPr>
        <w:t xml:space="preserve">searched the literature based on the algorithms identified in Fig. 5. Based on the bibliographic database compiled from Text S1, we retrieved relevant studies and manually extracted the required statistical data from the Results and Methods sections of each eligible study. </w:t>
      </w:r>
      <w:r w:rsidR="00772B84" w:rsidRPr="00400614">
        <w:rPr>
          <w:rFonts w:ascii="Times New Roman" w:eastAsia="SimSun" w:hAnsi="Times New Roman" w:cs="Calibri"/>
          <w:sz w:val="24"/>
          <w:szCs w:val="24"/>
        </w:rPr>
        <w:t>Specifically, we sequentially searched for the following pairwise comparisons: RF vs. ANN, DFNN vs. ANN, RF vs. SVR, ANN vs. SVR, ANN vs. GBM, ANN vs. kNN, and ANN vs. ANFIS. In addition, we also included comparisons between these machine learning algorithms and other modeling approaches, such as Response Surface Methodology (RSM) and Adaptive Neuro‑Fuzzy Inference System (ANFIS), where such comparisons were reported in the eligible studies.</w:t>
      </w:r>
      <w:r w:rsidRPr="00400614">
        <w:rPr>
          <w:rFonts w:ascii="Times New Roman" w:eastAsia="SimSun" w:hAnsi="Times New Roman" w:cs="Calibri"/>
          <w:sz w:val="24"/>
          <w:szCs w:val="24"/>
        </w:rPr>
        <w:t xml:space="preserve"> By reviewing the "Method" section of each study one by one, we determined whether R</w:t>
      </w:r>
      <w:r w:rsidRPr="00400614">
        <w:rPr>
          <w:rFonts w:ascii="Times New Roman" w:eastAsia="SimSun" w:hAnsi="Times New Roman" w:cs="Calibri" w:hint="eastAsia"/>
          <w:sz w:val="24"/>
          <w:szCs w:val="24"/>
        </w:rPr>
        <w:t>²</w:t>
      </w:r>
      <w:r w:rsidRPr="00400614">
        <w:rPr>
          <w:rFonts w:ascii="Times New Roman" w:eastAsia="SimSun" w:hAnsi="Times New Roman" w:cs="Calibri"/>
          <w:sz w:val="24"/>
          <w:szCs w:val="24"/>
        </w:rPr>
        <w:t xml:space="preserve"> and RMSE were used as performance indicators; only studies reporting both metrics were included.</w:t>
      </w:r>
      <w:r w:rsidR="00772B84" w:rsidRPr="00400614">
        <w:rPr>
          <w:rFonts w:ascii="Times New Roman" w:eastAsia="SimSun" w:hAnsi="Times New Roman" w:cs="Calibri" w:hint="eastAsia"/>
          <w:sz w:val="24"/>
          <w:szCs w:val="24"/>
        </w:rPr>
        <w:t xml:space="preserve"> </w:t>
      </w:r>
      <w:r w:rsidR="00772B84" w:rsidRPr="00400614">
        <w:rPr>
          <w:rFonts w:ascii="Times New Roman" w:eastAsia="SimSun" w:hAnsi="Times New Roman" w:cs="Calibri"/>
          <w:sz w:val="24"/>
          <w:szCs w:val="24"/>
        </w:rPr>
        <w:t>The number of studies included in each pairwise comparison is denoted by the n value in parentheses adjacent to each comparison in Fig. 6, representing the count of eligible studies that reported both R² and RMSE for that specific algorithm pairing.</w:t>
      </w:r>
    </w:p>
    <w:p w14:paraId="29E4E505" w14:textId="6D4B009C" w:rsidR="0064023E" w:rsidRPr="00400614" w:rsidRDefault="0064023E" w:rsidP="000A5B61">
      <w:pPr>
        <w:spacing w:before="160" w:after="0" w:line="360" w:lineRule="auto"/>
        <w:ind w:firstLineChars="200" w:firstLine="480"/>
        <w:jc w:val="both"/>
        <w:rPr>
          <w:rFonts w:ascii="Times New Roman" w:eastAsia="SimSun" w:hAnsi="Times New Roman" w:cs="Calibri"/>
          <w:sz w:val="24"/>
          <w:szCs w:val="24"/>
        </w:rPr>
      </w:pPr>
      <w:r w:rsidRPr="00400614">
        <w:rPr>
          <w:rFonts w:ascii="Times New Roman" w:eastAsia="SimSun" w:hAnsi="Times New Roman" w:cs="Calibri"/>
          <w:sz w:val="24"/>
          <w:szCs w:val="24"/>
        </w:rPr>
        <w:t>It should be noted that the studies included in this meta</w:t>
      </w:r>
      <w:r w:rsidRPr="00400614">
        <w:rPr>
          <w:rFonts w:ascii="Times New Roman" w:eastAsia="SimSun" w:hAnsi="Times New Roman" w:cs="Cambria Math"/>
          <w:sz w:val="24"/>
          <w:szCs w:val="24"/>
        </w:rPr>
        <w:t>‑</w:t>
      </w:r>
      <w:r w:rsidRPr="00400614">
        <w:rPr>
          <w:rFonts w:ascii="Times New Roman" w:eastAsia="SimSun" w:hAnsi="Times New Roman" w:cs="Calibri"/>
          <w:sz w:val="24"/>
          <w:szCs w:val="24"/>
        </w:rPr>
        <w:t xml:space="preserve">analysis covered multiple target variables across different application scenarios, including </w:t>
      </w:r>
      <w:r w:rsidRPr="00400614">
        <w:rPr>
          <w:rFonts w:ascii="Times New Roman" w:eastAsia="SimSun" w:hAnsi="Times New Roman" w:cs="Calibri" w:hint="eastAsia"/>
          <w:sz w:val="24"/>
          <w:szCs w:val="24"/>
        </w:rPr>
        <w:t xml:space="preserve">soil pH improvement, </w:t>
      </w:r>
      <w:r w:rsidRPr="00400614">
        <w:rPr>
          <w:rFonts w:ascii="Times New Roman" w:eastAsia="SimSun" w:hAnsi="Times New Roman" w:cs="Calibri"/>
          <w:sz w:val="24"/>
          <w:szCs w:val="24"/>
        </w:rPr>
        <w:t xml:space="preserve">soil organic carbon (SOC) prediction, crop yield prediction, heavy metal immobilization </w:t>
      </w:r>
      <w:r w:rsidRPr="00400614">
        <w:rPr>
          <w:rFonts w:ascii="Times New Roman" w:eastAsia="SimSun" w:hAnsi="Times New Roman" w:cs="Calibri" w:hint="eastAsia"/>
          <w:sz w:val="24"/>
          <w:szCs w:val="24"/>
        </w:rPr>
        <w:t>and greenhouse gas emission</w:t>
      </w:r>
      <w:r w:rsidRPr="00400614">
        <w:rPr>
          <w:rFonts w:ascii="Times New Roman" w:eastAsia="SimSun" w:hAnsi="Times New Roman" w:cs="Calibri"/>
          <w:sz w:val="24"/>
          <w:szCs w:val="24"/>
        </w:rPr>
        <w:t>. Rather than conducting separate subgroup analyses for each scenario, we compiled all eligible studies into a unified meta</w:t>
      </w:r>
      <w:r w:rsidRPr="00400614">
        <w:rPr>
          <w:rFonts w:ascii="Times New Roman" w:eastAsia="SimSun" w:hAnsi="Times New Roman" w:cs="Cambria Math"/>
          <w:sz w:val="24"/>
          <w:szCs w:val="24"/>
        </w:rPr>
        <w:t>‑</w:t>
      </w:r>
      <w:r w:rsidRPr="00400614">
        <w:rPr>
          <w:rFonts w:ascii="Times New Roman" w:eastAsia="SimSun" w:hAnsi="Times New Roman" w:cs="Calibri"/>
          <w:sz w:val="24"/>
          <w:szCs w:val="24"/>
        </w:rPr>
        <w:t>analytic framework. This unified approach was chosen to: (i) evaluate the overall algorithmic performance trend across the entire acidic</w:t>
      </w:r>
      <w:r w:rsidRPr="00400614">
        <w:rPr>
          <w:rFonts w:ascii="Times New Roman" w:eastAsia="SimSun" w:hAnsi="Times New Roman" w:cs="Cambria Math"/>
          <w:sz w:val="24"/>
          <w:szCs w:val="24"/>
        </w:rPr>
        <w:t>‑</w:t>
      </w:r>
      <w:r w:rsidRPr="00400614">
        <w:rPr>
          <w:rFonts w:ascii="Times New Roman" w:eastAsia="SimSun" w:hAnsi="Times New Roman" w:cs="Calibri"/>
          <w:sz w:val="24"/>
          <w:szCs w:val="24"/>
        </w:rPr>
        <w:t>soil biochar literature, and (ii) increase the statistical power of the meta</w:t>
      </w:r>
      <w:r w:rsidRPr="00400614">
        <w:rPr>
          <w:rFonts w:ascii="Times New Roman" w:eastAsia="SimSun" w:hAnsi="Times New Roman" w:cs="Cambria Math"/>
          <w:sz w:val="24"/>
          <w:szCs w:val="24"/>
        </w:rPr>
        <w:t>‑</w:t>
      </w:r>
      <w:r w:rsidRPr="00400614">
        <w:rPr>
          <w:rFonts w:ascii="Times New Roman" w:eastAsia="SimSun" w:hAnsi="Times New Roman" w:cs="Calibri"/>
          <w:sz w:val="24"/>
          <w:szCs w:val="24"/>
        </w:rPr>
        <w:t xml:space="preserve">analysis given the limited number of studies available for each individual scenario. </w:t>
      </w:r>
      <w:r w:rsidR="003710FA" w:rsidRPr="00400614">
        <w:rPr>
          <w:rFonts w:ascii="Times New Roman" w:eastAsia="SimSun" w:hAnsi="Times New Roman" w:cs="Calibri"/>
          <w:sz w:val="24"/>
          <w:szCs w:val="24"/>
        </w:rPr>
        <w:t>We acknowledge that this aggregation introduces heterogeneity in terms of target variables, datasets, and experimental designs—a limitation that must be considered when interpreting the pooled results in Fig. 6. We explicitly address this limitation in the section</w:t>
      </w:r>
      <w:r w:rsidR="003710FA" w:rsidRPr="00400614">
        <w:rPr>
          <w:rFonts w:ascii="Times New Roman" w:eastAsia="SimSun" w:hAnsi="Times New Roman" w:cs="Calibri" w:hint="eastAsia"/>
          <w:sz w:val="24"/>
          <w:szCs w:val="24"/>
        </w:rPr>
        <w:t xml:space="preserve"> 3.2</w:t>
      </w:r>
      <w:r w:rsidR="003710FA" w:rsidRPr="00400614">
        <w:rPr>
          <w:rFonts w:ascii="Times New Roman" w:eastAsia="SimSun" w:hAnsi="Times New Roman" w:cs="Calibri"/>
          <w:sz w:val="24"/>
          <w:szCs w:val="24"/>
        </w:rPr>
        <w:t>.</w:t>
      </w:r>
    </w:p>
    <w:p w14:paraId="52B42C77" w14:textId="63B51432" w:rsidR="0064023E" w:rsidRPr="00400614" w:rsidRDefault="00EB393C" w:rsidP="000A5B61">
      <w:pPr>
        <w:spacing w:before="160" w:after="0" w:line="360" w:lineRule="auto"/>
        <w:ind w:firstLineChars="200" w:firstLine="480"/>
        <w:jc w:val="both"/>
        <w:rPr>
          <w:rFonts w:ascii="Times New Roman" w:eastAsia="SimSun" w:hAnsi="Times New Roman" w:cs="Calibri"/>
          <w:sz w:val="24"/>
          <w:szCs w:val="24"/>
        </w:rPr>
      </w:pPr>
      <w:r w:rsidRPr="00400614">
        <w:rPr>
          <w:rFonts w:ascii="Times New Roman" w:eastAsia="SimSun" w:hAnsi="Times New Roman" w:cs="Calibri"/>
          <w:sz w:val="24"/>
          <w:szCs w:val="24"/>
        </w:rPr>
        <w:t>Meta-analyses were performed using MetaWin 2.1 software</w:t>
      </w:r>
      <w:r w:rsidR="0060361F" w:rsidRPr="00400614">
        <w:rPr>
          <w:rFonts w:ascii="Times New Roman" w:eastAsia="SimSun" w:hAnsi="Times New Roman" w:cs="Calibri" w:hint="eastAsia"/>
          <w:sz w:val="24"/>
          <w:szCs w:val="24"/>
        </w:rPr>
        <w:t xml:space="preserve"> (</w:t>
      </w:r>
      <w:r w:rsidR="0060361F" w:rsidRPr="00400614">
        <w:rPr>
          <w:rFonts w:ascii="Times New Roman" w:eastAsia="SimSun" w:hAnsi="Times New Roman" w:cs="Calibri"/>
        </w:rPr>
        <w:t>Rosenberg</w:t>
      </w:r>
      <w:r w:rsidR="0060361F" w:rsidRPr="00400614">
        <w:rPr>
          <w:rFonts w:ascii="Times New Roman" w:eastAsia="SimSun" w:hAnsi="Times New Roman" w:cs="Calibri" w:hint="eastAsia"/>
        </w:rPr>
        <w:t xml:space="preserve"> et al. 2000</w:t>
      </w:r>
      <w:r w:rsidR="0060361F" w:rsidRPr="00400614">
        <w:rPr>
          <w:rFonts w:ascii="Times New Roman" w:eastAsia="SimSun" w:hAnsi="Times New Roman" w:cs="Calibri" w:hint="eastAsia"/>
          <w:sz w:val="24"/>
          <w:szCs w:val="24"/>
        </w:rPr>
        <w:t>)</w:t>
      </w:r>
      <w:r w:rsidRPr="00400614">
        <w:rPr>
          <w:rFonts w:ascii="Times New Roman" w:eastAsia="SimSun" w:hAnsi="Times New Roman" w:cs="Calibri"/>
          <w:sz w:val="24"/>
          <w:szCs w:val="24"/>
        </w:rPr>
        <w:t>. Given the anticipated heterogeneity among the primary studies in terms of target variables (e.g., SOC, crop yield, and heavy metal immobilization), experimental designs, and datasets, a random</w:t>
      </w:r>
      <w:r w:rsidRPr="00400614">
        <w:rPr>
          <w:rFonts w:ascii="Times New Roman" w:eastAsia="SimSun" w:hAnsi="Times New Roman" w:cs="Cambria Math"/>
          <w:sz w:val="24"/>
          <w:szCs w:val="24"/>
        </w:rPr>
        <w:t>‑</w:t>
      </w:r>
      <w:r w:rsidRPr="00400614">
        <w:rPr>
          <w:rFonts w:ascii="Times New Roman" w:eastAsia="SimSun" w:hAnsi="Times New Roman" w:cs="Calibri"/>
          <w:sz w:val="24"/>
          <w:szCs w:val="24"/>
        </w:rPr>
        <w:t>effects model was employed to calculate the mean effect size. The 95% confidence interval (CI) for each effect size was estimated via bootstrapping with 4999 iterations. Effect sizes were expressed as percentage changes and transformed using the formula (e^lnR – 1) × 100%, where R represents the ratio of performance metrics (e.g., R² or RMSE) between two algorithms. To determine statistical significance, we adopted the criterion that if the 95% CIs of two effect sizes did not overlap, the corresponding mean effect sizes were considered significantly different. For interpretation, in the RF</w:t>
      </w:r>
      <w:r w:rsidRPr="00400614">
        <w:rPr>
          <w:rFonts w:ascii="Times New Roman" w:eastAsia="SimSun" w:hAnsi="Times New Roman" w:cs="Cambria Math"/>
          <w:sz w:val="24"/>
          <w:szCs w:val="24"/>
        </w:rPr>
        <w:t>‑</w:t>
      </w:r>
      <w:r w:rsidRPr="00400614">
        <w:rPr>
          <w:rFonts w:ascii="Times New Roman" w:eastAsia="SimSun" w:hAnsi="Times New Roman" w:cs="Calibri"/>
          <w:sz w:val="24"/>
          <w:szCs w:val="24"/>
        </w:rPr>
        <w:t>vs</w:t>
      </w:r>
      <w:r w:rsidRPr="00400614">
        <w:rPr>
          <w:rFonts w:ascii="Times New Roman" w:eastAsia="SimSun" w:hAnsi="Times New Roman" w:cs="Cambria Math"/>
          <w:sz w:val="24"/>
          <w:szCs w:val="24"/>
        </w:rPr>
        <w:t>‑</w:t>
      </w:r>
      <w:r w:rsidRPr="00400614">
        <w:rPr>
          <w:rFonts w:ascii="Times New Roman" w:eastAsia="SimSun" w:hAnsi="Times New Roman" w:cs="Calibri"/>
          <w:sz w:val="24"/>
          <w:szCs w:val="24"/>
        </w:rPr>
        <w:t xml:space="preserve">ANN comparison shown in the left panel of Fig. </w:t>
      </w:r>
      <w:r w:rsidRPr="00400614">
        <w:rPr>
          <w:rFonts w:ascii="Times New Roman" w:eastAsia="SimSun" w:hAnsi="Times New Roman" w:cs="Calibri" w:hint="eastAsia"/>
          <w:sz w:val="24"/>
          <w:szCs w:val="24"/>
        </w:rPr>
        <w:t>6</w:t>
      </w:r>
      <w:r w:rsidRPr="00400614">
        <w:rPr>
          <w:rFonts w:ascii="Times New Roman" w:eastAsia="SimSun" w:hAnsi="Times New Roman" w:cs="Calibri"/>
          <w:sz w:val="24"/>
          <w:szCs w:val="24"/>
        </w:rPr>
        <w:t>, an effect value to the right of the zero line indicates that RF yields significantly higher R² (or RMSE) than ANN, whereas a value to the left indicates the opposite. All extracted data and calculation details are provided in the Supporting Information to ensure full transparency and reproducibility.</w:t>
      </w:r>
    </w:p>
    <w:p w14:paraId="58449B53" w14:textId="77777777" w:rsidR="00EB393C" w:rsidRPr="00400614" w:rsidRDefault="00EB393C" w:rsidP="00E07ACE">
      <w:pPr>
        <w:spacing w:before="160" w:after="0" w:line="360" w:lineRule="auto"/>
        <w:jc w:val="both"/>
        <w:rPr>
          <w:rFonts w:ascii="Times New Roman" w:eastAsia="SimSun" w:hAnsi="Times New Roman"/>
        </w:rPr>
      </w:pPr>
    </w:p>
    <w:p w14:paraId="0DDD86B3" w14:textId="24A11520" w:rsidR="00F10C86" w:rsidRPr="00400614" w:rsidRDefault="00E07ACE" w:rsidP="00E86CF3">
      <w:pPr>
        <w:widowControl w:val="0"/>
        <w:spacing w:line="360" w:lineRule="auto"/>
        <w:jc w:val="both"/>
        <w:outlineLvl w:val="0"/>
        <w:rPr>
          <w:rFonts w:ascii="Times New Roman" w:eastAsia="SimSun" w:hAnsi="Times New Roman" w:cs="Calibri"/>
          <w:b/>
          <w:bCs/>
          <w:sz w:val="24"/>
          <w:szCs w:val="24"/>
        </w:rPr>
      </w:pPr>
      <w:r w:rsidRPr="00400614">
        <w:rPr>
          <w:rFonts w:ascii="Times New Roman" w:eastAsia="SimSun" w:hAnsi="Times New Roman" w:cs="Calibri"/>
          <w:b/>
          <w:bCs/>
          <w:sz w:val="24"/>
          <w:szCs w:val="24"/>
        </w:rPr>
        <w:t xml:space="preserve">Dominant </w:t>
      </w:r>
      <w:r w:rsidRPr="00400614">
        <w:rPr>
          <w:rFonts w:ascii="Times New Roman" w:eastAsia="SimSun" w:hAnsi="Times New Roman" w:cs="Calibri" w:hint="eastAsia"/>
          <w:b/>
          <w:bCs/>
          <w:sz w:val="24"/>
          <w:szCs w:val="24"/>
        </w:rPr>
        <w:t>m</w:t>
      </w:r>
      <w:r w:rsidRPr="00400614">
        <w:rPr>
          <w:rFonts w:ascii="Times New Roman" w:eastAsia="SimSun" w:hAnsi="Times New Roman" w:cs="Calibri"/>
          <w:b/>
          <w:bCs/>
          <w:sz w:val="24"/>
          <w:szCs w:val="24"/>
        </w:rPr>
        <w:t xml:space="preserve">odels and </w:t>
      </w:r>
      <w:r w:rsidRPr="00400614">
        <w:rPr>
          <w:rFonts w:ascii="Times New Roman" w:eastAsia="SimSun" w:hAnsi="Times New Roman" w:cs="Calibri" w:hint="eastAsia"/>
          <w:b/>
          <w:bCs/>
          <w:sz w:val="24"/>
          <w:szCs w:val="24"/>
        </w:rPr>
        <w:t>t</w:t>
      </w:r>
      <w:r w:rsidRPr="00400614">
        <w:rPr>
          <w:rFonts w:ascii="Times New Roman" w:eastAsia="SimSun" w:hAnsi="Times New Roman" w:cs="Calibri"/>
          <w:b/>
          <w:bCs/>
          <w:sz w:val="24"/>
          <w:szCs w:val="24"/>
        </w:rPr>
        <w:t xml:space="preserve">heir </w:t>
      </w:r>
      <w:r w:rsidRPr="00400614">
        <w:rPr>
          <w:rFonts w:ascii="Times New Roman" w:eastAsia="SimSun" w:hAnsi="Times New Roman" w:cs="Calibri" w:hint="eastAsia"/>
          <w:b/>
          <w:bCs/>
          <w:sz w:val="24"/>
          <w:szCs w:val="24"/>
        </w:rPr>
        <w:t>a</w:t>
      </w:r>
      <w:r w:rsidRPr="00400614">
        <w:rPr>
          <w:rFonts w:ascii="Times New Roman" w:eastAsia="SimSun" w:hAnsi="Times New Roman" w:cs="Calibri"/>
          <w:b/>
          <w:bCs/>
          <w:sz w:val="24"/>
          <w:szCs w:val="24"/>
        </w:rPr>
        <w:t>pplications</w:t>
      </w:r>
    </w:p>
    <w:p w14:paraId="773DFD8F" w14:textId="50D34D31" w:rsidR="00F10C86" w:rsidRPr="00400614" w:rsidRDefault="00F10C86" w:rsidP="00F10C86">
      <w:pPr>
        <w:widowControl w:val="0"/>
        <w:spacing w:line="360" w:lineRule="auto"/>
        <w:jc w:val="both"/>
        <w:outlineLvl w:val="0"/>
        <w:rPr>
          <w:rFonts w:ascii="Times New Roman" w:eastAsia="SimSun" w:hAnsi="Times New Roman" w:cs="Times New Roman"/>
          <w:b/>
          <w:sz w:val="24"/>
          <w:szCs w:val="24"/>
        </w:rPr>
      </w:pPr>
      <w:r w:rsidRPr="00400614">
        <w:rPr>
          <w:rFonts w:ascii="Times New Roman" w:eastAsia="SimSun" w:hAnsi="Times New Roman" w:cs="Times New Roman" w:hint="eastAsia"/>
          <w:b/>
          <w:sz w:val="24"/>
          <w:szCs w:val="24"/>
        </w:rPr>
        <w:t>T</w:t>
      </w:r>
      <w:r w:rsidRPr="00400614">
        <w:rPr>
          <w:rFonts w:ascii="Times New Roman" w:eastAsia="SimSun" w:hAnsi="Times New Roman" w:cs="Times New Roman"/>
          <w:b/>
          <w:sz w:val="24"/>
          <w:szCs w:val="24"/>
        </w:rPr>
        <w:t>ext S</w:t>
      </w:r>
      <w:r w:rsidR="00E50828" w:rsidRPr="00400614">
        <w:rPr>
          <w:rFonts w:ascii="Times New Roman" w:eastAsia="SimSun" w:hAnsi="Times New Roman" w:cs="Times New Roman" w:hint="eastAsia"/>
          <w:b/>
          <w:sz w:val="24"/>
          <w:szCs w:val="24"/>
        </w:rPr>
        <w:t>4</w:t>
      </w:r>
      <w:r w:rsidRPr="00400614">
        <w:rPr>
          <w:rFonts w:ascii="Times New Roman" w:eastAsia="SimSun" w:hAnsi="Times New Roman" w:cs="Times New Roman"/>
          <w:b/>
          <w:sz w:val="24"/>
          <w:szCs w:val="24"/>
        </w:rPr>
        <w:t>.</w:t>
      </w:r>
    </w:p>
    <w:p w14:paraId="2DBE33D6" w14:textId="69B5CD1B" w:rsidR="00E50828" w:rsidRPr="00400614" w:rsidRDefault="00E50828" w:rsidP="00EF7027">
      <w:pPr>
        <w:spacing w:line="360" w:lineRule="auto"/>
        <w:ind w:firstLineChars="200" w:firstLine="440"/>
        <w:rPr>
          <w:rFonts w:ascii="Times New Roman" w:eastAsia="SimSun" w:hAnsi="Times New Roman"/>
        </w:rPr>
      </w:pPr>
      <w:r w:rsidRPr="00400614">
        <w:rPr>
          <w:rFonts w:ascii="Times New Roman" w:eastAsia="SimSun" w:hAnsi="Times New Roman"/>
        </w:rPr>
        <w:t>The rationale behind these al</w:t>
      </w:r>
      <w:r w:rsidR="00E07ACE" w:rsidRPr="00400614">
        <w:rPr>
          <w:rFonts w:ascii="Times New Roman" w:eastAsia="SimSun" w:hAnsi="Times New Roman" w:hint="eastAsia"/>
        </w:rPr>
        <w:t>g</w:t>
      </w:r>
      <w:r w:rsidRPr="00400614">
        <w:rPr>
          <w:rFonts w:ascii="Times New Roman" w:eastAsia="SimSun" w:hAnsi="Times New Roman"/>
        </w:rPr>
        <w:t xml:space="preserve">orithmic preferences aligns closely with the characteristics of the datasets in each domain. </w:t>
      </w:r>
      <w:r w:rsidR="000A5B61" w:rsidRPr="00400614">
        <w:rPr>
          <w:rFonts w:ascii="Times New Roman" w:eastAsia="SimSun" w:hAnsi="Times New Roman" w:hint="eastAsia"/>
        </w:rPr>
        <w:t xml:space="preserve">Soil pH </w:t>
      </w:r>
      <w:r w:rsidR="000A5B61" w:rsidRPr="00400614">
        <w:rPr>
          <w:rFonts w:ascii="Times New Roman" w:eastAsia="SimSun" w:hAnsi="Times New Roman"/>
        </w:rPr>
        <w:t>improvement</w:t>
      </w:r>
      <w:r w:rsidR="000A5B61" w:rsidRPr="00400614">
        <w:rPr>
          <w:rFonts w:ascii="Times New Roman" w:eastAsia="SimSun" w:hAnsi="Times New Roman" w:hint="eastAsia"/>
        </w:rPr>
        <w:t xml:space="preserve"> prediction and c</w:t>
      </w:r>
      <w:r w:rsidR="000A5B61" w:rsidRPr="00400614">
        <w:rPr>
          <w:rFonts w:ascii="Times New Roman" w:eastAsia="SimSun" w:hAnsi="Times New Roman"/>
        </w:rPr>
        <w:t xml:space="preserve">rop yield prediction data predominantly originate from field trials, characterized by limited sample sizes (tens to hundreds), moderate feature dimensionality, relatively high noise levels, and moderately complex nonlinear responses. </w:t>
      </w:r>
      <w:r w:rsidRPr="00400614">
        <w:rPr>
          <w:rFonts w:ascii="Times New Roman" w:eastAsia="SimSun" w:hAnsi="Times New Roman"/>
        </w:rPr>
        <w:t>RF’s consistent prevalence can be largely attributed to its robustness against overfitting, tolerance to outliers, and inherent feature importance ranking, which are particularly advantageous for the small</w:t>
      </w:r>
      <w:r w:rsidRPr="00400614">
        <w:rPr>
          <w:rFonts w:ascii="Times New Roman" w:eastAsia="SimSun" w:hAnsi="Times New Roman" w:cs="Cambria Math"/>
        </w:rPr>
        <w:t>‑</w:t>
      </w:r>
      <w:r w:rsidRPr="00400614">
        <w:rPr>
          <w:rFonts w:ascii="Times New Roman" w:eastAsia="SimSun" w:hAnsi="Times New Roman"/>
        </w:rPr>
        <w:t>to</w:t>
      </w:r>
      <w:r w:rsidRPr="00400614">
        <w:rPr>
          <w:rFonts w:ascii="Times New Roman" w:eastAsia="SimSun" w:hAnsi="Times New Roman" w:cs="Cambria Math"/>
        </w:rPr>
        <w:t>‑</w:t>
      </w:r>
      <w:r w:rsidRPr="00400614">
        <w:rPr>
          <w:rFonts w:ascii="Times New Roman" w:eastAsia="SimSun" w:hAnsi="Times New Roman"/>
        </w:rPr>
        <w:t>moderate sample sizes and nonlinearity commonly encountered in field and batch</w:t>
      </w:r>
      <w:r w:rsidRPr="00400614">
        <w:rPr>
          <w:rFonts w:ascii="Times New Roman" w:eastAsia="SimSun" w:hAnsi="Times New Roman" w:cs="Cambria Math"/>
        </w:rPr>
        <w:t>‑</w:t>
      </w:r>
      <w:r w:rsidRPr="00400614">
        <w:rPr>
          <w:rFonts w:ascii="Times New Roman" w:eastAsia="SimSun" w:hAnsi="Times New Roman"/>
        </w:rPr>
        <w:t>experiment datasets (Breiman 1996; Abbasi et al. 202</w:t>
      </w:r>
      <w:r w:rsidRPr="00400614">
        <w:rPr>
          <w:rFonts w:ascii="Times New Roman" w:eastAsia="SimSun" w:hAnsi="Times New Roman" w:hint="eastAsia"/>
        </w:rPr>
        <w:t>5</w:t>
      </w:r>
      <w:r w:rsidR="0011340E" w:rsidRPr="00400614">
        <w:rPr>
          <w:rFonts w:ascii="Times New Roman" w:eastAsia="SimSun" w:hAnsi="Times New Roman"/>
        </w:rPr>
        <w:t>;</w:t>
      </w:r>
      <w:r w:rsidRPr="00400614">
        <w:rPr>
          <w:rFonts w:ascii="Times New Roman" w:eastAsia="SimSun" w:hAnsi="Times New Roman" w:hint="eastAsia"/>
        </w:rPr>
        <w:t xml:space="preserve"> </w:t>
      </w:r>
      <w:r w:rsidRPr="00400614">
        <w:rPr>
          <w:rFonts w:ascii="Times New Roman" w:eastAsia="SimSun" w:hAnsi="Times New Roman"/>
        </w:rPr>
        <w:t>Li et al. 2023). While NNs (Yue et al. 2018</w:t>
      </w:r>
      <w:r w:rsidRPr="00400614">
        <w:rPr>
          <w:rFonts w:ascii="Times New Roman" w:eastAsia="SimSun" w:hAnsi="Times New Roman" w:hint="eastAsia"/>
        </w:rPr>
        <w:t xml:space="preserve">; </w:t>
      </w:r>
      <w:r w:rsidRPr="00400614">
        <w:rPr>
          <w:rFonts w:ascii="Times New Roman" w:eastAsia="SimSun" w:hAnsi="Times New Roman"/>
        </w:rPr>
        <w:t>Altikat et al. 2022) and SVMs (Wang et al. 2023</w:t>
      </w:r>
      <w:r w:rsidRPr="00400614">
        <w:rPr>
          <w:rFonts w:ascii="Times New Roman" w:eastAsia="SimSun" w:hAnsi="Times New Roman" w:hint="eastAsia"/>
        </w:rPr>
        <w:t>a</w:t>
      </w:r>
      <w:r w:rsidRPr="00400614">
        <w:rPr>
          <w:rFonts w:ascii="Times New Roman" w:eastAsia="SimSun" w:hAnsi="Times New Roman"/>
        </w:rPr>
        <w:t xml:space="preserve">) can fit highly complex relationships, they risk overfitting on small datasets and require extensive hyper-parameter tuning. Demonstrating RF's adaptability, Jiao et al. (2025) coupled RF with random under sampling to address data imbalance, improving the recall for yield-reduction samples from 0.37 to 0.72. </w:t>
      </w:r>
      <w:r w:rsidR="006251F6" w:rsidRPr="00400614">
        <w:rPr>
          <w:rFonts w:ascii="Times New Roman" w:eastAsia="SimSun" w:hAnsi="Times New Roman"/>
        </w:rPr>
        <w:t xml:space="preserve">Soil acidification significantly influences heavy metal (HM) behavior by lowering pH, which increases HM solubility, mobilizes cationic metals (e.g., Cd²⁺, Pb²⁺, Cu²⁺) through competition with H⁺ for sorption sites, and alters the speciation of redox-sensitive elements such as As and Cr (Bradl 2004; Xu et al. 2016). Biochar application concurrently ameliorates acidity and immobilizes HMs through three synergistic mechanisms: (i) increased pH promotes HM precipitation as hydroxides or carbonates; (ii) surface oxygen-containing functional groups form stable inner-sphere complexes with HM cations; and (iii) enhanced soil negative charge facilitates electrostatic adsorption (Xu </w:t>
      </w:r>
      <w:r w:rsidR="006251F6" w:rsidRPr="00400614">
        <w:rPr>
          <w:rFonts w:ascii="Times New Roman" w:eastAsia="SimSun" w:hAnsi="Times New Roman" w:hint="eastAsia"/>
        </w:rPr>
        <w:t>et al. 200</w:t>
      </w:r>
      <w:r w:rsidR="006251F6" w:rsidRPr="00400614">
        <w:rPr>
          <w:rFonts w:ascii="Times New Roman" w:eastAsia="SimSun" w:hAnsi="Times New Roman"/>
        </w:rPr>
        <w:t>3; Jiang et al. 2012; Guo et al. 2023). These mechanisms are modulated by metal properties (electronegativity, hydrolysis constant), biochar characteristics (feedstock, pyrolysis temperature, functional group density), and environmental conditions (pH, ionic strength, redox potential), rendering HM immobilization prediction inherently more complex than soil pH or crop yield forecasting (Guo et al. 2023).</w:t>
      </w:r>
      <w:r w:rsidR="006251F6" w:rsidRPr="00400614">
        <w:rPr>
          <w:rFonts w:ascii="Times New Roman" w:eastAsia="SimSun" w:hAnsi="Times New Roman" w:hint="eastAsia"/>
        </w:rPr>
        <w:t xml:space="preserve"> </w:t>
      </w:r>
      <w:r w:rsidR="000A5B61" w:rsidRPr="00400614">
        <w:rPr>
          <w:rFonts w:ascii="Times New Roman" w:hAnsi="Times New Roman" w:cs="Times New Roman"/>
        </w:rPr>
        <w:t>Con</w:t>
      </w:r>
      <w:r w:rsidR="00EF7027" w:rsidRPr="00400614">
        <w:rPr>
          <w:rFonts w:ascii="Times New Roman" w:hAnsi="Times New Roman" w:cs="Times New Roman" w:hint="eastAsia"/>
        </w:rPr>
        <w:t>sequently</w:t>
      </w:r>
      <w:r w:rsidR="000A5B61" w:rsidRPr="00400614">
        <w:rPr>
          <w:rFonts w:ascii="Times New Roman" w:hAnsi="Times New Roman" w:cs="Times New Roman"/>
        </w:rPr>
        <w:t>,</w:t>
      </w:r>
      <w:r w:rsidR="002748F2" w:rsidRPr="00400614">
        <w:rPr>
          <w:rFonts w:ascii="Times New Roman" w:hAnsi="Times New Roman" w:cs="Times New Roman" w:hint="eastAsia"/>
        </w:rPr>
        <w:t xml:space="preserve"> HM</w:t>
      </w:r>
      <w:r w:rsidR="000A5B61" w:rsidRPr="00400614">
        <w:rPr>
          <w:rFonts w:ascii="Times New Roman" w:hAnsi="Times New Roman" w:cs="Times New Roman"/>
        </w:rPr>
        <w:t xml:space="preserve"> immobilization studies primarily utilize batch experiment data, characterized by abundant sample sizes (hundreds to thousands), higher feature dimensionality (biochar physicochemical properties, solution conditions, metal speciation), strong multi-factor interactions, and severe nonlinearity. </w:t>
      </w:r>
      <w:r w:rsidRPr="00400614">
        <w:rPr>
          <w:rFonts w:ascii="Times New Roman" w:eastAsia="SimSun" w:hAnsi="Times New Roman"/>
        </w:rPr>
        <w:t xml:space="preserve">In </w:t>
      </w:r>
      <w:r w:rsidR="002748F2" w:rsidRPr="00400614">
        <w:rPr>
          <w:rFonts w:ascii="Times New Roman" w:eastAsia="SimSun" w:hAnsi="Times New Roman" w:hint="eastAsia"/>
        </w:rPr>
        <w:t>HM</w:t>
      </w:r>
      <w:r w:rsidRPr="00400614">
        <w:rPr>
          <w:rFonts w:ascii="Times New Roman" w:eastAsia="SimSun" w:hAnsi="Times New Roman"/>
        </w:rPr>
        <w:t xml:space="preserve"> immobilization studies, deep neural networks (DNNs) also appear with notable frequency alongside RF (Palansooriya et al. 2022; Du et al. 2024),</w:t>
      </w:r>
      <w:r w:rsidRPr="00400614">
        <w:rPr>
          <w:rFonts w:ascii="Times New Roman" w:eastAsia="SimSun" w:hAnsi="Times New Roman" w:hint="eastAsia"/>
        </w:rPr>
        <w:t xml:space="preserve"> </w:t>
      </w:r>
      <w:r w:rsidRPr="00400614">
        <w:rPr>
          <w:rFonts w:ascii="Times New Roman" w:eastAsia="SimSun" w:hAnsi="Times New Roman"/>
        </w:rPr>
        <w:t>reflecting the availability of larger batch</w:t>
      </w:r>
      <w:r w:rsidRPr="00400614">
        <w:rPr>
          <w:rFonts w:ascii="Times New Roman" w:eastAsia="SimSun" w:hAnsi="Times New Roman" w:cs="Cambria Math"/>
        </w:rPr>
        <w:t>‑</w:t>
      </w:r>
      <w:r w:rsidRPr="00400614">
        <w:rPr>
          <w:rFonts w:ascii="Times New Roman" w:eastAsia="SimSun" w:hAnsi="Times New Roman"/>
        </w:rPr>
        <w:t>experiment datasets that can support deep architectures. For SOC prediction, RF rem</w:t>
      </w:r>
      <w:bookmarkStart w:id="0" w:name="_GoBack"/>
      <w:bookmarkEnd w:id="0"/>
      <w:r w:rsidRPr="00400614">
        <w:rPr>
          <w:rFonts w:ascii="Times New Roman" w:eastAsia="SimSun" w:hAnsi="Times New Roman"/>
        </w:rPr>
        <w:t>ains widely used in regional</w:t>
      </w:r>
      <w:r w:rsidRPr="00400614">
        <w:rPr>
          <w:rFonts w:ascii="Times New Roman" w:eastAsia="SimSun" w:hAnsi="Times New Roman" w:cs="Cambria Math"/>
        </w:rPr>
        <w:t>‑</w:t>
      </w:r>
      <w:r w:rsidRPr="00400614">
        <w:rPr>
          <w:rFonts w:ascii="Times New Roman" w:eastAsia="SimSun" w:hAnsi="Times New Roman"/>
        </w:rPr>
        <w:t>scale spatial mappin</w:t>
      </w:r>
      <w:r w:rsidRPr="00400614">
        <w:rPr>
          <w:rFonts w:ascii="Times New Roman" w:eastAsia="SimSun" w:hAnsi="Times New Roman" w:hint="eastAsia"/>
        </w:rPr>
        <w:t>g</w:t>
      </w:r>
      <w:r w:rsidRPr="00400614">
        <w:rPr>
          <w:rFonts w:ascii="Times New Roman" w:eastAsia="SimSun" w:hAnsi="Times New Roman"/>
        </w:rPr>
        <w:t xml:space="preserve"> (Heuvelink et al. 2021; Sun et al. 2026), attributable to its robustness against collinearity, capacity to handle missing values, and natural adaptability to spatial interpolation (e.g., Regression Kriging). Xu et al. (2025) employed RF models to predict SOC dynamics following biochar application, achieving substantial improvements in test R². Greenhouse gas emission data frequently comprise temporal sequences (e.g., daily flux observations) with highly dynamic, multi-source emission patterns. While RF remains widely used for feature screening and key factor identification (Zhang et al. 2024), XGBoost (Wu et al. 2023) and DNNs often demonstrate superior predictive accuracy in capturing temporal fluctuations. Notably, Hamrani et al. (2020) found that Long Short-Term Memory (LSTM) networks achieved optimal performance when processing time-series daily flux data (R = 0.87). Notably, while hybrid model-fusion frameworks (e.g., physics-informed neural networks or multi-model stacking) have shown promise in other environmental domains, none of the studies included in our review have validated such approaches specifically in biochar–acidic soil systems. We therefore regard these fusion strategies as an open methodological gap rather than an established finding in the present context.</w:t>
      </w:r>
    </w:p>
    <w:p w14:paraId="23D6057A" w14:textId="77777777" w:rsidR="00330FFD" w:rsidRPr="00400614" w:rsidRDefault="00330FFD" w:rsidP="00EB393C">
      <w:pPr>
        <w:rPr>
          <w:rFonts w:ascii="Times New Roman" w:eastAsia="SimSun" w:hAnsi="Times New Roman"/>
        </w:rPr>
      </w:pPr>
    </w:p>
    <w:p w14:paraId="110BABEB" w14:textId="069BEE13" w:rsidR="00EB393C" w:rsidRPr="00400614" w:rsidRDefault="00EB393C" w:rsidP="00EB393C">
      <w:pPr>
        <w:widowControl w:val="0"/>
        <w:spacing w:line="360" w:lineRule="auto"/>
        <w:jc w:val="both"/>
        <w:outlineLvl w:val="0"/>
        <w:rPr>
          <w:rFonts w:ascii="Times New Roman" w:eastAsia="SimSun" w:hAnsi="Times New Roman" w:cs="Times New Roman"/>
          <w:b/>
          <w:sz w:val="24"/>
          <w:szCs w:val="24"/>
        </w:rPr>
      </w:pPr>
      <w:r w:rsidRPr="00400614">
        <w:rPr>
          <w:rFonts w:ascii="Times New Roman" w:eastAsia="SimSun" w:hAnsi="Times New Roman" w:cs="Times New Roman" w:hint="eastAsia"/>
          <w:b/>
          <w:sz w:val="24"/>
          <w:szCs w:val="24"/>
        </w:rPr>
        <w:t>Figure S1</w:t>
      </w:r>
      <w:r w:rsidRPr="00400614">
        <w:rPr>
          <w:rFonts w:ascii="Times New Roman" w:eastAsia="SimSun" w:hAnsi="Times New Roman" w:cs="Times New Roman"/>
          <w:b/>
          <w:sz w:val="24"/>
          <w:szCs w:val="24"/>
        </w:rPr>
        <w:t>.</w:t>
      </w:r>
    </w:p>
    <w:p w14:paraId="7EC61EC7" w14:textId="77777777" w:rsidR="00363E1E" w:rsidRPr="00400614" w:rsidRDefault="00363E1E" w:rsidP="00363E1E">
      <w:pPr>
        <w:rPr>
          <w:rFonts w:ascii="Times New Roman" w:eastAsia="SimSun" w:hAnsi="Times New Roman"/>
        </w:rPr>
      </w:pPr>
      <w:r w:rsidRPr="00400614">
        <w:rPr>
          <w:rFonts w:ascii="Times New Roman" w:eastAsia="SimSun" w:hAnsi="Times New Roman" w:hint="eastAsia"/>
          <w:noProof/>
          <w:lang w:val="en-IN" w:eastAsia="en-IN"/>
        </w:rPr>
        <w:drawing>
          <wp:inline distT="0" distB="0" distL="0" distR="0" wp14:anchorId="0487F225" wp14:editId="6E6137AD">
            <wp:extent cx="5274310" cy="3648075"/>
            <wp:effectExtent l="0" t="0" r="2540" b="9525"/>
            <wp:docPr id="30568065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80655" name="图片 305680655"/>
                    <pic:cNvPicPr/>
                  </pic:nvPicPr>
                  <pic:blipFill>
                    <a:blip r:embed="rId9"/>
                    <a:stretch>
                      <a:fillRect/>
                    </a:stretch>
                  </pic:blipFill>
                  <pic:spPr>
                    <a:xfrm>
                      <a:off x="0" y="0"/>
                      <a:ext cx="5274310" cy="3648075"/>
                    </a:xfrm>
                    <a:prstGeom prst="rect">
                      <a:avLst/>
                    </a:prstGeom>
                  </pic:spPr>
                </pic:pic>
              </a:graphicData>
            </a:graphic>
          </wp:inline>
        </w:drawing>
      </w:r>
    </w:p>
    <w:p w14:paraId="1197B859" w14:textId="77777777" w:rsidR="00363E1E" w:rsidRPr="00400614" w:rsidRDefault="00363E1E" w:rsidP="00143DA4">
      <w:pPr>
        <w:spacing w:line="360" w:lineRule="auto"/>
        <w:rPr>
          <w:rFonts w:ascii="Times New Roman" w:eastAsia="SimSun" w:hAnsi="Times New Roman"/>
        </w:rPr>
      </w:pPr>
      <w:r w:rsidRPr="00400614">
        <w:rPr>
          <w:rFonts w:ascii="Times New Roman" w:eastAsia="SimSun" w:hAnsi="Times New Roman" w:hint="eastAsia"/>
        </w:rPr>
        <w:t xml:space="preserve">Fig. 6 </w:t>
      </w:r>
      <w:r w:rsidRPr="00400614">
        <w:rPr>
          <w:rFonts w:ascii="Times New Roman" w:eastAsia="SimSun" w:hAnsi="Times New Roman"/>
        </w:rPr>
        <w:t xml:space="preserve">Publications used AI for </w:t>
      </w:r>
      <w:r w:rsidRPr="00400614">
        <w:rPr>
          <w:rFonts w:ascii="Times New Roman" w:eastAsia="SimSun" w:hAnsi="Times New Roman" w:hint="eastAsia"/>
        </w:rPr>
        <w:t>acidic soil remediation</w:t>
      </w:r>
      <w:r w:rsidRPr="00400614">
        <w:rPr>
          <w:rFonts w:ascii="Times New Roman" w:eastAsia="SimSun" w:hAnsi="Times New Roman"/>
        </w:rPr>
        <w:t xml:space="preserve"> </w:t>
      </w:r>
      <w:r w:rsidRPr="00400614">
        <w:rPr>
          <w:rFonts w:ascii="Times New Roman" w:eastAsia="SimSun" w:hAnsi="Times New Roman" w:hint="eastAsia"/>
        </w:rPr>
        <w:t xml:space="preserve">effect </w:t>
      </w:r>
      <w:r w:rsidRPr="00400614">
        <w:rPr>
          <w:rFonts w:ascii="Times New Roman" w:eastAsia="SimSun" w:hAnsi="Times New Roman"/>
        </w:rPr>
        <w:t>prediction</w:t>
      </w:r>
      <w:r w:rsidRPr="00400614">
        <w:rPr>
          <w:rFonts w:ascii="Times New Roman" w:eastAsia="SimSun" w:hAnsi="Times New Roman" w:hint="eastAsia"/>
        </w:rPr>
        <w:t>: (A) Crop yield; (B) Heavy metal immobilization; (C) Soil organic carbon; (D) Greenhouse gas emissions</w:t>
      </w:r>
      <w:r w:rsidRPr="00400614">
        <w:rPr>
          <w:rFonts w:ascii="Times New Roman" w:eastAsia="SimSun" w:hAnsi="Times New Roman"/>
        </w:rPr>
        <w:t>. Bar chart on the left shows total publications for each algorithm. The dot chart below illustrates intersections between algorithms, with connecting lines indicating instances where two or more algorithms are applied together in a single study. Top bar chart displays number of publications associated with these algorithmic intersections.</w:t>
      </w:r>
      <w:r w:rsidRPr="00400614">
        <w:rPr>
          <w:rFonts w:ascii="Times New Roman" w:eastAsia="SimSun" w:hAnsi="Times New Roman" w:hint="eastAsia"/>
        </w:rPr>
        <w:t xml:space="preserve"> </w:t>
      </w:r>
      <w:r w:rsidRPr="00400614">
        <w:rPr>
          <w:rFonts w:ascii="Times New Roman" w:eastAsia="SimSun" w:hAnsi="Times New Roman"/>
        </w:rPr>
        <w:t xml:space="preserve">Abbreviations: Random Forest (RF), </w:t>
      </w:r>
      <w:r w:rsidRPr="00400614">
        <w:rPr>
          <w:rFonts w:ascii="Times New Roman" w:eastAsia="SimSun" w:hAnsi="Times New Roman" w:hint="eastAsia"/>
        </w:rPr>
        <w:t>N</w:t>
      </w:r>
      <w:r w:rsidRPr="00400614">
        <w:rPr>
          <w:rFonts w:ascii="Times New Roman" w:eastAsia="SimSun" w:hAnsi="Times New Roman"/>
        </w:rPr>
        <w:t xml:space="preserve">eural </w:t>
      </w:r>
      <w:r w:rsidRPr="00400614">
        <w:rPr>
          <w:rFonts w:ascii="Times New Roman" w:eastAsia="SimSun" w:hAnsi="Times New Roman" w:hint="eastAsia"/>
        </w:rPr>
        <w:t>N</w:t>
      </w:r>
      <w:r w:rsidRPr="00400614">
        <w:rPr>
          <w:rFonts w:ascii="Times New Roman" w:eastAsia="SimSun" w:hAnsi="Times New Roman"/>
        </w:rPr>
        <w:t>etwork</w:t>
      </w:r>
      <w:r w:rsidRPr="00400614">
        <w:rPr>
          <w:rFonts w:ascii="Times New Roman" w:eastAsia="SimSun" w:hAnsi="Times New Roman" w:hint="eastAsia"/>
        </w:rPr>
        <w:t xml:space="preserve"> (NN),</w:t>
      </w:r>
      <w:r w:rsidRPr="00400614">
        <w:rPr>
          <w:rFonts w:ascii="Times New Roman" w:eastAsia="SimSun" w:hAnsi="Times New Roman"/>
        </w:rPr>
        <w:t xml:space="preserve"> D</w:t>
      </w:r>
      <w:r w:rsidRPr="00400614">
        <w:rPr>
          <w:rFonts w:ascii="Times New Roman" w:eastAsia="SimSun" w:hAnsi="Times New Roman" w:hint="eastAsia"/>
        </w:rPr>
        <w:t xml:space="preserve">ecision </w:t>
      </w:r>
      <w:r w:rsidRPr="00400614">
        <w:rPr>
          <w:rFonts w:ascii="Times New Roman" w:eastAsia="SimSun" w:hAnsi="Times New Roman"/>
        </w:rPr>
        <w:t>Network (DN), eXtreme Gradient Boosting (XGBoost, XGB), Gradient Boosting (GB), Support Vector Machine (SVM), Linear Regression (LR), Decision Tree (DT), k-Nearest Neighbor (KNN), Gaussian Process (GP), and Adaptive Boosting (AdaBoost).</w:t>
      </w:r>
      <w:r w:rsidRPr="00400614">
        <w:rPr>
          <w:rFonts w:ascii="Times New Roman" w:eastAsia="SimSun" w:hAnsi="Times New Roman" w:hint="eastAsia"/>
        </w:rPr>
        <w:t xml:space="preserve"> </w:t>
      </w:r>
      <w:r w:rsidRPr="00400614">
        <w:rPr>
          <w:rFonts w:ascii="Times New Roman" w:eastAsia="SimSun" w:hAnsi="Times New Roman"/>
        </w:rPr>
        <w:t xml:space="preserve">Data sourced from Web of Science 12 </w:t>
      </w:r>
      <w:r w:rsidRPr="00400614">
        <w:rPr>
          <w:rFonts w:ascii="Times New Roman" w:eastAsia="SimSun" w:hAnsi="Times New Roman" w:hint="eastAsia"/>
        </w:rPr>
        <w:t>January</w:t>
      </w:r>
      <w:r w:rsidRPr="00400614">
        <w:rPr>
          <w:rFonts w:ascii="Times New Roman" w:eastAsia="SimSun" w:hAnsi="Times New Roman"/>
        </w:rPr>
        <w:t xml:space="preserve"> 202</w:t>
      </w:r>
      <w:r w:rsidRPr="00400614">
        <w:rPr>
          <w:rFonts w:ascii="Times New Roman" w:eastAsia="SimSun" w:hAnsi="Times New Roman" w:hint="eastAsia"/>
        </w:rPr>
        <w:t>6</w:t>
      </w:r>
      <w:r w:rsidRPr="00400614">
        <w:rPr>
          <w:rFonts w:ascii="Times New Roman" w:eastAsia="SimSun" w:hAnsi="Times New Roman"/>
        </w:rPr>
        <w:t>.</w:t>
      </w:r>
    </w:p>
    <w:p w14:paraId="606B9E5C" w14:textId="77777777" w:rsidR="00E2644C" w:rsidRPr="00400614" w:rsidRDefault="00E2644C">
      <w:pPr>
        <w:rPr>
          <w:rFonts w:ascii="Times New Roman" w:eastAsia="SimSun" w:hAnsi="Times New Roman"/>
        </w:rPr>
      </w:pPr>
    </w:p>
    <w:p w14:paraId="7445E80D" w14:textId="7DEE5819" w:rsidR="00E2644C" w:rsidRPr="00400614" w:rsidRDefault="0096021A">
      <w:pPr>
        <w:rPr>
          <w:rFonts w:ascii="Times New Roman" w:eastAsia="SimSun" w:hAnsi="Times New Roman"/>
        </w:rPr>
      </w:pPr>
      <w:r w:rsidRPr="00400614">
        <w:rPr>
          <w:rFonts w:ascii="Times New Roman" w:eastAsia="SimSun" w:hAnsi="Times New Roman" w:cs="Calibri"/>
          <w:b/>
          <w:sz w:val="26"/>
          <w:szCs w:val="26"/>
        </w:rPr>
        <w:t>References</w:t>
      </w:r>
    </w:p>
    <w:p w14:paraId="3C04B9D3" w14:textId="5E9A633D" w:rsidR="009262FC" w:rsidRPr="00400614" w:rsidRDefault="009262FC"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Abbasi M, Vaz P, Silva J, Martins P (2025) Machine learning approaches for predicting maize biomass yield: leveraging feature engineering and comprehensive data integration. Sustainability 17(1):256.</w:t>
      </w:r>
    </w:p>
    <w:p w14:paraId="22A621E8" w14:textId="77777777" w:rsidR="00BE066F" w:rsidRPr="00400614" w:rsidRDefault="009262FC" w:rsidP="00BE066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Altikat A, Alma MH, Altikat S (2022) A comparative study of deep learning neural network architectures and sensitivity analyses for the prediction of color changes in biochar. Int J Energy Res 46(15):20960–20974.</w:t>
      </w:r>
    </w:p>
    <w:p w14:paraId="6DFA2DDA" w14:textId="5DB1E025" w:rsidR="006251F6" w:rsidRPr="00400614" w:rsidRDefault="006251F6" w:rsidP="006251F6">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Bradl HB (2004) Adsorption of heavy metal ions on soils and soils</w:t>
      </w:r>
      <w:r w:rsidRPr="00400614">
        <w:rPr>
          <w:rFonts w:ascii="Times New Roman" w:eastAsia="SimSun" w:hAnsi="Times New Roman" w:hint="eastAsia"/>
        </w:rPr>
        <w:t xml:space="preserve"> </w:t>
      </w:r>
      <w:r w:rsidRPr="00400614">
        <w:rPr>
          <w:rFonts w:ascii="Times New Roman" w:eastAsia="SimSun" w:hAnsi="Times New Roman"/>
        </w:rPr>
        <w:t>constituents. J Colloid Interface Sci 277:1–18</w:t>
      </w:r>
      <w:r w:rsidRPr="00400614">
        <w:rPr>
          <w:rFonts w:ascii="Times New Roman" w:eastAsia="SimSun" w:hAnsi="Times New Roman" w:hint="eastAsia"/>
        </w:rPr>
        <w:t>.</w:t>
      </w:r>
    </w:p>
    <w:p w14:paraId="4A54E186" w14:textId="77777777" w:rsidR="00BE066F" w:rsidRPr="00400614" w:rsidRDefault="009262FC" w:rsidP="00BE066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Breiman L (1996) Bagging predictors. Mach Learn 24(2):123–140.</w:t>
      </w:r>
    </w:p>
    <w:p w14:paraId="58879885" w14:textId="12405DA3" w:rsidR="009262FC" w:rsidRPr="00400614" w:rsidRDefault="009262FC" w:rsidP="00BE066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Du ZL, Sun X, Zheng SN, Wang SY, Wu LN, An Y, Luo YM (2024) Optimal biochar selection for cadmium pollution remediation in Chinese agricultural soils via optimized machine learning. J Hazard Mater 476:135065</w:t>
      </w:r>
      <w:r w:rsidRPr="00400614">
        <w:rPr>
          <w:rFonts w:ascii="Times New Roman" w:eastAsia="SimSun" w:hAnsi="Times New Roman" w:hint="eastAsia"/>
        </w:rPr>
        <w:t>.</w:t>
      </w:r>
    </w:p>
    <w:p w14:paraId="2C37364C" w14:textId="6050922E" w:rsidR="00436225" w:rsidRPr="00400614" w:rsidRDefault="00436225" w:rsidP="00436225">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Guo</w:t>
      </w:r>
      <w:r w:rsidRPr="00400614">
        <w:rPr>
          <w:rFonts w:ascii="Times New Roman" w:eastAsia="SimSun" w:hAnsi="Times New Roman" w:hint="eastAsia"/>
        </w:rPr>
        <w:t xml:space="preserve"> LY,</w:t>
      </w:r>
      <w:r w:rsidRPr="00400614">
        <w:rPr>
          <w:rFonts w:ascii="Times New Roman" w:eastAsia="SimSun" w:hAnsi="Times New Roman"/>
        </w:rPr>
        <w:t xml:space="preserve"> Nkoh </w:t>
      </w:r>
      <w:r w:rsidRPr="00400614">
        <w:rPr>
          <w:rFonts w:ascii="Times New Roman" w:eastAsia="SimSun" w:hAnsi="Times New Roman" w:hint="eastAsia"/>
        </w:rPr>
        <w:t>NJ,</w:t>
      </w:r>
      <w:r w:rsidRPr="00400614">
        <w:rPr>
          <w:rFonts w:ascii="Times New Roman" w:eastAsia="SimSun" w:hAnsi="Times New Roman"/>
        </w:rPr>
        <w:t xml:space="preserve"> Xu</w:t>
      </w:r>
      <w:r w:rsidRPr="00400614">
        <w:rPr>
          <w:rFonts w:ascii="Times New Roman" w:eastAsia="SimSun" w:hAnsi="Times New Roman" w:hint="eastAsia"/>
        </w:rPr>
        <w:t xml:space="preserve"> RK (2023) </w:t>
      </w:r>
      <w:r w:rsidRPr="00400614">
        <w:rPr>
          <w:rFonts w:ascii="Times New Roman" w:eastAsia="SimSun" w:hAnsi="Times New Roman"/>
        </w:rPr>
        <w:t>A critical review of the interactions of organic carbon</w:t>
      </w:r>
      <w:r w:rsidRPr="00400614">
        <w:rPr>
          <w:rFonts w:ascii="Times New Roman" w:eastAsia="SimSun" w:hAnsi="Times New Roman" w:hint="eastAsia"/>
        </w:rPr>
        <w:t xml:space="preserve"> </w:t>
      </w:r>
      <w:r w:rsidRPr="00400614">
        <w:rPr>
          <w:rFonts w:ascii="Times New Roman" w:eastAsia="SimSun" w:hAnsi="Times New Roman"/>
        </w:rPr>
        <w:t>components with soil minerals: Insight from bibliometric analysis</w:t>
      </w:r>
      <w:r w:rsidRPr="00400614">
        <w:rPr>
          <w:rFonts w:ascii="Times New Roman" w:eastAsia="SimSun" w:hAnsi="Times New Roman" w:hint="eastAsia"/>
        </w:rPr>
        <w:t xml:space="preserve"> </w:t>
      </w:r>
      <w:r w:rsidRPr="00400614">
        <w:rPr>
          <w:rFonts w:ascii="Times New Roman" w:eastAsia="SimSun" w:hAnsi="Times New Roman"/>
        </w:rPr>
        <w:t>of the environmental behaviors of heavy metal(loid)s</w:t>
      </w:r>
      <w:r w:rsidRPr="00400614">
        <w:rPr>
          <w:rFonts w:ascii="Times New Roman" w:eastAsia="SimSun" w:hAnsi="Times New Roman" w:hint="eastAsia"/>
        </w:rPr>
        <w:t xml:space="preserve">. </w:t>
      </w:r>
      <w:r w:rsidRPr="00400614">
        <w:rPr>
          <w:rFonts w:ascii="Times New Roman" w:eastAsia="SimSun" w:hAnsi="Times New Roman"/>
        </w:rPr>
        <w:t>J Soil</w:t>
      </w:r>
      <w:r w:rsidR="0011340E" w:rsidRPr="00400614">
        <w:rPr>
          <w:rFonts w:ascii="Times New Roman" w:eastAsia="SimSun" w:hAnsi="Times New Roman"/>
        </w:rPr>
        <w:t>s</w:t>
      </w:r>
      <w:r w:rsidRPr="00400614">
        <w:rPr>
          <w:rFonts w:ascii="Times New Roman" w:eastAsia="SimSun" w:hAnsi="Times New Roman"/>
        </w:rPr>
        <w:t xml:space="preserve"> Sediment</w:t>
      </w:r>
      <w:r w:rsidR="0011340E" w:rsidRPr="00400614">
        <w:rPr>
          <w:rFonts w:ascii="Times New Roman" w:eastAsia="SimSun" w:hAnsi="Times New Roman"/>
        </w:rPr>
        <w:t>s</w:t>
      </w:r>
      <w:r w:rsidRPr="00400614">
        <w:rPr>
          <w:rFonts w:ascii="Times New Roman" w:eastAsia="SimSun" w:hAnsi="Times New Roman" w:hint="eastAsia"/>
        </w:rPr>
        <w:t xml:space="preserve"> </w:t>
      </w:r>
      <w:r w:rsidRPr="00400614">
        <w:rPr>
          <w:rFonts w:ascii="Times New Roman" w:eastAsia="SimSun" w:hAnsi="Times New Roman"/>
          <w:lang w:val="en-US"/>
        </w:rPr>
        <w:t>23:2396–2416</w:t>
      </w:r>
      <w:r w:rsidRPr="00400614">
        <w:rPr>
          <w:rFonts w:ascii="Times New Roman" w:eastAsia="SimSun" w:hAnsi="Times New Roman" w:hint="eastAsia"/>
          <w:lang w:val="en-US"/>
        </w:rPr>
        <w:t>.</w:t>
      </w:r>
    </w:p>
    <w:p w14:paraId="2EA107B4" w14:textId="4CDF384C" w:rsidR="009262FC" w:rsidRPr="00400614" w:rsidRDefault="009262FC"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Hamrani A, Akbarzadeh A, Madramootoo CA (2020) Machine learning for predicting greenhouse gas emissions from agricultural soils. Sci Total Environ 741:140338.</w:t>
      </w:r>
    </w:p>
    <w:p w14:paraId="588230AC" w14:textId="1B580D58" w:rsidR="009262FC" w:rsidRPr="00400614" w:rsidRDefault="009262FC"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Heuvelink GBM, Angelini ME, Poggio L, Bai ZG, Batjes NH, van den Bosch R, Bossio D, Estella S, Lehmann J, Olmedo GF, Sanderman J (2021) Machine learning in space and time for modelling soil organic carbon change. Eur J Soil Sci 72(4):1607–1623.</w:t>
      </w:r>
    </w:p>
    <w:p w14:paraId="3D8DF875" w14:textId="2E267868" w:rsidR="00436225" w:rsidRPr="00400614" w:rsidRDefault="00436225" w:rsidP="00436225">
      <w:pPr>
        <w:spacing w:afterLines="50" w:after="120" w:line="360" w:lineRule="auto"/>
        <w:ind w:left="440" w:hangingChars="200" w:hanging="440"/>
        <w:rPr>
          <w:rFonts w:ascii="Times New Roman" w:eastAsia="SimSun" w:hAnsi="Times New Roman"/>
          <w:lang w:val="en-US"/>
        </w:rPr>
      </w:pPr>
      <w:r w:rsidRPr="00400614">
        <w:rPr>
          <w:rFonts w:ascii="Times New Roman" w:eastAsia="SimSun" w:hAnsi="Times New Roman"/>
          <w:lang w:val="en-US"/>
        </w:rPr>
        <w:t>Jiang J, Xu RK, Jiang TY, Li Z (2012) Immobilization of Cu(II), Pb(II)</w:t>
      </w:r>
      <w:r w:rsidRPr="00400614">
        <w:rPr>
          <w:rFonts w:ascii="Times New Roman" w:eastAsia="SimSun" w:hAnsi="Times New Roman" w:hint="eastAsia"/>
          <w:lang w:val="en-US"/>
        </w:rPr>
        <w:t xml:space="preserve"> </w:t>
      </w:r>
      <w:r w:rsidRPr="00400614">
        <w:rPr>
          <w:rFonts w:ascii="Times New Roman" w:eastAsia="SimSun" w:hAnsi="Times New Roman"/>
          <w:lang w:val="en-US"/>
        </w:rPr>
        <w:t>and Cd(II) by the addition of rice straw derived biochar to a</w:t>
      </w:r>
      <w:r w:rsidRPr="00400614">
        <w:rPr>
          <w:rFonts w:ascii="Times New Roman" w:eastAsia="SimSun" w:hAnsi="Times New Roman" w:hint="eastAsia"/>
          <w:lang w:val="en-US"/>
        </w:rPr>
        <w:t xml:space="preserve"> </w:t>
      </w:r>
      <w:r w:rsidRPr="00400614">
        <w:rPr>
          <w:rFonts w:ascii="Times New Roman" w:eastAsia="SimSun" w:hAnsi="Times New Roman"/>
          <w:lang w:val="en-US"/>
        </w:rPr>
        <w:t>simulated polluted Ultisol. J Hazard Mater 229–230:145–150</w:t>
      </w:r>
      <w:r w:rsidRPr="00400614">
        <w:rPr>
          <w:rFonts w:ascii="Times New Roman" w:eastAsia="SimSun" w:hAnsi="Times New Roman" w:hint="eastAsia"/>
          <w:lang w:val="en-US"/>
        </w:rPr>
        <w:t>.</w:t>
      </w:r>
    </w:p>
    <w:p w14:paraId="50D0941C" w14:textId="77777777" w:rsidR="009262FC" w:rsidRPr="00400614" w:rsidRDefault="009262FC"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Li HL, Ai ZJ, Yang LH, Zhang WJ, Yang ZQ, Peng HY, Leng LJ (2023) Machine learning assisted predicting and engineering specific surface area and total pore volume of biochar. Bioresour Technol 369:128417.</w:t>
      </w:r>
    </w:p>
    <w:p w14:paraId="320EC524" w14:textId="77777777" w:rsidR="0060361F" w:rsidRPr="00400614" w:rsidRDefault="009262FC"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Palansooriya KN, Li J, Dissanayake PD, Suvarna M, Li LY, Yuan XZ, Sarkar B, Tsang DCW, Rinklebe J, Wang XN, Ok YS (2022) Prediction of soil heavy metal immobilization by biochar using machine learning. Environ Sci Technol 56(7):4187–4198.</w:t>
      </w:r>
    </w:p>
    <w:p w14:paraId="3421E310" w14:textId="0A3BB3DB" w:rsidR="00C63369" w:rsidRPr="00400614" w:rsidRDefault="00C63369"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Page</w:t>
      </w:r>
      <w:r w:rsidRPr="00400614">
        <w:rPr>
          <w:rFonts w:ascii="Times New Roman" w:eastAsia="SimSun" w:hAnsi="Times New Roman" w:hint="eastAsia"/>
        </w:rPr>
        <w:t xml:space="preserve"> MJ, </w:t>
      </w:r>
      <w:r w:rsidRPr="00400614">
        <w:rPr>
          <w:rFonts w:ascii="Times New Roman" w:eastAsia="SimSun" w:hAnsi="Times New Roman"/>
        </w:rPr>
        <w:t>McKenzie</w:t>
      </w:r>
      <w:r w:rsidRPr="00400614">
        <w:rPr>
          <w:rFonts w:ascii="Times New Roman" w:eastAsia="SimSun" w:hAnsi="Times New Roman" w:hint="eastAsia"/>
        </w:rPr>
        <w:t xml:space="preserve"> JE</w:t>
      </w:r>
      <w:r w:rsidRPr="00400614">
        <w:rPr>
          <w:rFonts w:ascii="Times New Roman" w:eastAsia="SimSun" w:hAnsi="Times New Roman"/>
        </w:rPr>
        <w:t>, Bossuyt</w:t>
      </w:r>
      <w:r w:rsidRPr="00400614">
        <w:rPr>
          <w:rFonts w:ascii="Times New Roman" w:eastAsia="SimSun" w:hAnsi="Times New Roman" w:hint="eastAsia"/>
        </w:rPr>
        <w:t xml:space="preserve"> PM</w:t>
      </w:r>
      <w:r w:rsidRPr="00400614">
        <w:rPr>
          <w:rFonts w:ascii="Times New Roman" w:eastAsia="SimSun" w:hAnsi="Times New Roman"/>
        </w:rPr>
        <w:t>, Boutron</w:t>
      </w:r>
      <w:r w:rsidRPr="00400614">
        <w:rPr>
          <w:rFonts w:ascii="Times New Roman" w:eastAsia="SimSun" w:hAnsi="Times New Roman" w:hint="eastAsia"/>
        </w:rPr>
        <w:t xml:space="preserve"> I</w:t>
      </w:r>
      <w:r w:rsidRPr="00400614">
        <w:rPr>
          <w:rFonts w:ascii="Times New Roman" w:eastAsia="SimSun" w:hAnsi="Times New Roman"/>
        </w:rPr>
        <w:t>, Hoffmann</w:t>
      </w:r>
      <w:r w:rsidRPr="00400614">
        <w:rPr>
          <w:rFonts w:ascii="Times New Roman" w:eastAsia="SimSun" w:hAnsi="Times New Roman" w:hint="eastAsia"/>
        </w:rPr>
        <w:t xml:space="preserve"> TC</w:t>
      </w:r>
      <w:r w:rsidRPr="00400614">
        <w:rPr>
          <w:rFonts w:ascii="Times New Roman" w:eastAsia="SimSun" w:hAnsi="Times New Roman"/>
        </w:rPr>
        <w:t>, Mulrow</w:t>
      </w:r>
      <w:r w:rsidRPr="00400614">
        <w:rPr>
          <w:rFonts w:ascii="Times New Roman" w:eastAsia="SimSun" w:hAnsi="Times New Roman" w:hint="eastAsia"/>
        </w:rPr>
        <w:t xml:space="preserve"> CD</w:t>
      </w:r>
      <w:r w:rsidRPr="00400614">
        <w:rPr>
          <w:rFonts w:ascii="Times New Roman" w:eastAsia="SimSun" w:hAnsi="Times New Roman"/>
        </w:rPr>
        <w:t>, Shamseer</w:t>
      </w:r>
      <w:r w:rsidRPr="00400614">
        <w:rPr>
          <w:rFonts w:ascii="Times New Roman" w:eastAsia="SimSun" w:hAnsi="Times New Roman" w:hint="eastAsia"/>
        </w:rPr>
        <w:t xml:space="preserve"> L</w:t>
      </w:r>
      <w:r w:rsidRPr="00400614">
        <w:rPr>
          <w:rFonts w:ascii="Times New Roman" w:eastAsia="SimSun" w:hAnsi="Times New Roman"/>
        </w:rPr>
        <w:t>, Tetzlaff</w:t>
      </w:r>
      <w:r w:rsidRPr="00400614">
        <w:rPr>
          <w:rFonts w:ascii="Times New Roman" w:eastAsia="SimSun" w:hAnsi="Times New Roman" w:hint="eastAsia"/>
        </w:rPr>
        <w:t xml:space="preserve"> JM</w:t>
      </w:r>
      <w:r w:rsidRPr="00400614">
        <w:rPr>
          <w:rFonts w:ascii="Times New Roman" w:eastAsia="SimSun" w:hAnsi="Times New Roman"/>
        </w:rPr>
        <w:t>, Akl</w:t>
      </w:r>
      <w:r w:rsidRPr="00400614">
        <w:rPr>
          <w:rFonts w:ascii="Times New Roman" w:eastAsia="SimSun" w:hAnsi="Times New Roman" w:hint="eastAsia"/>
        </w:rPr>
        <w:t xml:space="preserve"> EA</w:t>
      </w:r>
      <w:r w:rsidRPr="00400614">
        <w:rPr>
          <w:rFonts w:ascii="Times New Roman" w:eastAsia="SimSun" w:hAnsi="Times New Roman"/>
        </w:rPr>
        <w:t>, Brennan</w:t>
      </w:r>
      <w:r w:rsidRPr="00400614">
        <w:rPr>
          <w:rFonts w:ascii="Times New Roman" w:eastAsia="SimSun" w:hAnsi="Times New Roman" w:hint="eastAsia"/>
        </w:rPr>
        <w:t xml:space="preserve"> SE</w:t>
      </w:r>
      <w:r w:rsidRPr="00400614">
        <w:rPr>
          <w:rFonts w:ascii="Times New Roman" w:eastAsia="SimSun" w:hAnsi="Times New Roman"/>
        </w:rPr>
        <w:t>, Chou</w:t>
      </w:r>
      <w:r w:rsidRPr="00400614">
        <w:rPr>
          <w:rFonts w:ascii="Times New Roman" w:eastAsia="SimSun" w:hAnsi="Times New Roman" w:hint="eastAsia"/>
        </w:rPr>
        <w:t xml:space="preserve"> R</w:t>
      </w:r>
      <w:r w:rsidRPr="00400614">
        <w:rPr>
          <w:rFonts w:ascii="Times New Roman" w:eastAsia="SimSun" w:hAnsi="Times New Roman"/>
        </w:rPr>
        <w:t>, Glanville</w:t>
      </w:r>
      <w:r w:rsidRPr="00400614">
        <w:rPr>
          <w:rFonts w:ascii="Times New Roman" w:eastAsia="SimSun" w:hAnsi="Times New Roman" w:hint="eastAsia"/>
        </w:rPr>
        <w:t xml:space="preserve"> J</w:t>
      </w:r>
      <w:r w:rsidRPr="00400614">
        <w:rPr>
          <w:rFonts w:ascii="Times New Roman" w:eastAsia="SimSun" w:hAnsi="Times New Roman"/>
        </w:rPr>
        <w:t>, Grimshaw</w:t>
      </w:r>
      <w:r w:rsidRPr="00400614">
        <w:rPr>
          <w:rFonts w:ascii="Times New Roman" w:eastAsia="SimSun" w:hAnsi="Times New Roman" w:hint="eastAsia"/>
        </w:rPr>
        <w:t xml:space="preserve"> JM</w:t>
      </w:r>
      <w:r w:rsidRPr="00400614">
        <w:rPr>
          <w:rFonts w:ascii="Times New Roman" w:eastAsia="SimSun" w:hAnsi="Times New Roman"/>
        </w:rPr>
        <w:t>, Hróbjartsson</w:t>
      </w:r>
      <w:r w:rsidRPr="00400614">
        <w:rPr>
          <w:rFonts w:ascii="Times New Roman" w:eastAsia="SimSun" w:hAnsi="Times New Roman" w:hint="eastAsia"/>
        </w:rPr>
        <w:t xml:space="preserve"> A</w:t>
      </w:r>
      <w:r w:rsidRPr="00400614">
        <w:rPr>
          <w:rFonts w:ascii="Times New Roman" w:eastAsia="SimSun" w:hAnsi="Times New Roman"/>
        </w:rPr>
        <w:t>, Lalu</w:t>
      </w:r>
      <w:r w:rsidRPr="00400614">
        <w:rPr>
          <w:rFonts w:ascii="Times New Roman" w:eastAsia="SimSun" w:hAnsi="Times New Roman" w:hint="eastAsia"/>
        </w:rPr>
        <w:t xml:space="preserve"> MM</w:t>
      </w:r>
      <w:r w:rsidRPr="00400614">
        <w:rPr>
          <w:rFonts w:ascii="Times New Roman" w:eastAsia="SimSun" w:hAnsi="Times New Roman"/>
        </w:rPr>
        <w:t>, Li</w:t>
      </w:r>
      <w:r w:rsidRPr="00400614">
        <w:rPr>
          <w:rFonts w:ascii="Times New Roman" w:eastAsia="SimSun" w:hAnsi="Times New Roman" w:hint="eastAsia"/>
        </w:rPr>
        <w:t xml:space="preserve"> TJ</w:t>
      </w:r>
      <w:r w:rsidRPr="00400614">
        <w:rPr>
          <w:rFonts w:ascii="Times New Roman" w:eastAsia="SimSun" w:hAnsi="Times New Roman"/>
        </w:rPr>
        <w:t>, Loder</w:t>
      </w:r>
      <w:r w:rsidRPr="00400614">
        <w:rPr>
          <w:rFonts w:ascii="Times New Roman" w:eastAsia="SimSun" w:hAnsi="Times New Roman" w:hint="eastAsia"/>
        </w:rPr>
        <w:t xml:space="preserve"> EW</w:t>
      </w:r>
      <w:r w:rsidRPr="00400614">
        <w:rPr>
          <w:rFonts w:ascii="Times New Roman" w:eastAsia="SimSun" w:hAnsi="Times New Roman"/>
        </w:rPr>
        <w:t>, Mayo-Wilson</w:t>
      </w:r>
      <w:r w:rsidRPr="00400614">
        <w:rPr>
          <w:rFonts w:ascii="Times New Roman" w:eastAsia="SimSun" w:hAnsi="Times New Roman" w:hint="eastAsia"/>
        </w:rPr>
        <w:t xml:space="preserve"> E</w:t>
      </w:r>
      <w:r w:rsidRPr="00400614">
        <w:rPr>
          <w:rFonts w:ascii="Times New Roman" w:eastAsia="SimSun" w:hAnsi="Times New Roman"/>
        </w:rPr>
        <w:t>, McDonald</w:t>
      </w:r>
      <w:r w:rsidRPr="00400614">
        <w:rPr>
          <w:rFonts w:ascii="Times New Roman" w:eastAsia="SimSun" w:hAnsi="Times New Roman" w:hint="eastAsia"/>
        </w:rPr>
        <w:t xml:space="preserve"> S</w:t>
      </w:r>
      <w:r w:rsidRPr="00400614">
        <w:rPr>
          <w:rFonts w:ascii="Times New Roman" w:eastAsia="SimSun" w:hAnsi="Times New Roman"/>
        </w:rPr>
        <w:t>, McGuinness</w:t>
      </w:r>
      <w:r w:rsidRPr="00400614">
        <w:rPr>
          <w:rFonts w:ascii="Times New Roman" w:eastAsia="SimSun" w:hAnsi="Times New Roman" w:hint="eastAsia"/>
        </w:rPr>
        <w:t xml:space="preserve"> LA</w:t>
      </w:r>
      <w:r w:rsidRPr="00400614">
        <w:rPr>
          <w:rFonts w:ascii="Times New Roman" w:eastAsia="SimSun" w:hAnsi="Times New Roman"/>
        </w:rPr>
        <w:t>, Stewart</w:t>
      </w:r>
      <w:r w:rsidRPr="00400614">
        <w:rPr>
          <w:rFonts w:ascii="Times New Roman" w:eastAsia="SimSun" w:hAnsi="Times New Roman" w:hint="eastAsia"/>
        </w:rPr>
        <w:t xml:space="preserve"> LA</w:t>
      </w:r>
      <w:r w:rsidRPr="00400614">
        <w:rPr>
          <w:rFonts w:ascii="Times New Roman" w:eastAsia="SimSun" w:hAnsi="Times New Roman"/>
        </w:rPr>
        <w:t>, Thomas</w:t>
      </w:r>
      <w:r w:rsidRPr="00400614">
        <w:rPr>
          <w:rFonts w:ascii="Times New Roman" w:eastAsia="SimSun" w:hAnsi="Times New Roman" w:hint="eastAsia"/>
        </w:rPr>
        <w:t xml:space="preserve"> J</w:t>
      </w:r>
      <w:r w:rsidRPr="00400614">
        <w:rPr>
          <w:rFonts w:ascii="Times New Roman" w:eastAsia="SimSun" w:hAnsi="Times New Roman"/>
        </w:rPr>
        <w:t>, Tricco</w:t>
      </w:r>
      <w:r w:rsidRPr="00400614">
        <w:rPr>
          <w:rFonts w:ascii="Times New Roman" w:eastAsia="SimSun" w:hAnsi="Times New Roman" w:hint="eastAsia"/>
        </w:rPr>
        <w:t xml:space="preserve"> AC</w:t>
      </w:r>
      <w:r w:rsidRPr="00400614">
        <w:rPr>
          <w:rFonts w:ascii="Times New Roman" w:eastAsia="SimSun" w:hAnsi="Times New Roman"/>
        </w:rPr>
        <w:t>, Welch</w:t>
      </w:r>
      <w:r w:rsidRPr="00400614">
        <w:rPr>
          <w:rFonts w:ascii="Times New Roman" w:eastAsia="SimSun" w:hAnsi="Times New Roman" w:hint="eastAsia"/>
        </w:rPr>
        <w:t xml:space="preserve"> VA</w:t>
      </w:r>
      <w:r w:rsidRPr="00400614">
        <w:rPr>
          <w:rFonts w:ascii="Times New Roman" w:eastAsia="SimSun" w:hAnsi="Times New Roman"/>
        </w:rPr>
        <w:t>, Whiting</w:t>
      </w:r>
      <w:r w:rsidRPr="00400614">
        <w:rPr>
          <w:rFonts w:ascii="Times New Roman" w:eastAsia="SimSun" w:hAnsi="Times New Roman" w:hint="eastAsia"/>
        </w:rPr>
        <w:t xml:space="preserve"> P,</w:t>
      </w:r>
      <w:r w:rsidRPr="00400614">
        <w:rPr>
          <w:rFonts w:ascii="Times New Roman" w:eastAsia="SimSun" w:hAnsi="Times New Roman"/>
        </w:rPr>
        <w:t xml:space="preserve"> Moher </w:t>
      </w:r>
      <w:r w:rsidRPr="00400614">
        <w:rPr>
          <w:rFonts w:ascii="Times New Roman" w:eastAsia="SimSun" w:hAnsi="Times New Roman" w:hint="eastAsia"/>
        </w:rPr>
        <w:t xml:space="preserve">D (2021) </w:t>
      </w:r>
      <w:r w:rsidRPr="00400614">
        <w:rPr>
          <w:rFonts w:ascii="Times New Roman" w:eastAsia="SimSun" w:hAnsi="Times New Roman"/>
        </w:rPr>
        <w:t>The PRISMA 2020 statement: an updated guideline for reporting systematic reviews. BMJ 372:n71.</w:t>
      </w:r>
    </w:p>
    <w:p w14:paraId="7A07331A" w14:textId="1E1F4E62" w:rsidR="0060361F" w:rsidRPr="00400614" w:rsidRDefault="0060361F"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cs="Calibri"/>
        </w:rPr>
        <w:t>Rosenberg</w:t>
      </w:r>
      <w:r w:rsidRPr="00400614">
        <w:rPr>
          <w:rFonts w:ascii="Times New Roman" w:eastAsia="SimSun" w:hAnsi="Times New Roman" w:cs="Calibri" w:hint="eastAsia"/>
        </w:rPr>
        <w:t xml:space="preserve"> MS</w:t>
      </w:r>
      <w:r w:rsidRPr="00400614">
        <w:rPr>
          <w:rFonts w:ascii="Times New Roman" w:eastAsia="SimSun" w:hAnsi="Times New Roman" w:cs="Calibri"/>
        </w:rPr>
        <w:t>, Adams</w:t>
      </w:r>
      <w:r w:rsidRPr="00400614">
        <w:rPr>
          <w:rFonts w:ascii="Times New Roman" w:eastAsia="SimSun" w:hAnsi="Times New Roman" w:cs="Calibri" w:hint="eastAsia"/>
        </w:rPr>
        <w:t xml:space="preserve"> DC</w:t>
      </w:r>
      <w:r w:rsidRPr="00400614">
        <w:rPr>
          <w:rFonts w:ascii="Times New Roman" w:eastAsia="SimSun" w:hAnsi="Times New Roman" w:cs="Calibri"/>
        </w:rPr>
        <w:t>, Gurevitch</w:t>
      </w:r>
      <w:r w:rsidRPr="00400614">
        <w:rPr>
          <w:rFonts w:ascii="Times New Roman" w:eastAsia="SimSun" w:hAnsi="Times New Roman" w:cs="Calibri" w:hint="eastAsia"/>
        </w:rPr>
        <w:t xml:space="preserve"> J (</w:t>
      </w:r>
      <w:r w:rsidRPr="00400614">
        <w:rPr>
          <w:rFonts w:ascii="Times New Roman" w:eastAsia="SimSun" w:hAnsi="Times New Roman" w:cs="Calibri"/>
        </w:rPr>
        <w:t>2000</w:t>
      </w:r>
      <w:r w:rsidRPr="00400614">
        <w:rPr>
          <w:rFonts w:ascii="Times New Roman" w:eastAsia="SimSun" w:hAnsi="Times New Roman" w:cs="Calibri" w:hint="eastAsia"/>
        </w:rPr>
        <w:t>)</w:t>
      </w:r>
      <w:r w:rsidRPr="00400614">
        <w:rPr>
          <w:rFonts w:ascii="Times New Roman" w:eastAsia="SimSun" w:hAnsi="Times New Roman" w:cs="Calibri"/>
        </w:rPr>
        <w:t xml:space="preserve"> MetaWin-statistical Software for Meta-analysis. Sinauer Associates Inc., Sunderland.</w:t>
      </w:r>
      <w:r w:rsidRPr="00400614">
        <w:rPr>
          <w:rFonts w:ascii="Times New Roman" w:eastAsia="SimSun" w:hAnsi="Times New Roman"/>
        </w:rPr>
        <w:t xml:space="preserve"> </w:t>
      </w:r>
      <w:r w:rsidRPr="00400614">
        <w:rPr>
          <w:rStyle w:val="Hyperlink"/>
          <w:rFonts w:ascii="Times New Roman" w:eastAsia="SimSun" w:hAnsi="Times New Roman"/>
          <w:color w:val="auto"/>
        </w:rPr>
        <w:t>https://www.metawinsoft.com/</w:t>
      </w:r>
    </w:p>
    <w:p w14:paraId="09D06903" w14:textId="77777777" w:rsidR="009262FC" w:rsidRPr="00400614" w:rsidRDefault="009262FC"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Sun X, Du ZL, Ding J, Zheng SN, Yao YP, Wu LN, Chen HG, An Y, Luo YM (2026) Machine learning integrated with a causal pathway framework unravels differential mechanisms of biochar-driven soil organic carbon dynamics under cadmium stress. Environ Sci Technol 60(3):</w:t>
      </w:r>
      <w:r w:rsidRPr="00400614">
        <w:rPr>
          <w:rFonts w:ascii="Times New Roman" w:eastAsia="SimSun" w:hAnsi="Times New Roman" w:hint="eastAsia"/>
        </w:rPr>
        <w:t xml:space="preserve"> </w:t>
      </w:r>
      <w:r w:rsidRPr="00400614">
        <w:rPr>
          <w:rFonts w:ascii="Times New Roman" w:eastAsia="SimSun" w:hAnsi="Times New Roman"/>
        </w:rPr>
        <w:t>41556313.</w:t>
      </w:r>
    </w:p>
    <w:p w14:paraId="3EC4E8BF" w14:textId="4EEA59EF" w:rsidR="006251F6" w:rsidRPr="00400614" w:rsidRDefault="006251F6" w:rsidP="006251F6">
      <w:pPr>
        <w:spacing w:afterLines="50" w:after="120" w:line="360" w:lineRule="auto"/>
        <w:ind w:left="440" w:hangingChars="200" w:hanging="440"/>
        <w:rPr>
          <w:rFonts w:ascii="Times New Roman" w:eastAsia="SimSun" w:hAnsi="Times New Roman"/>
          <w:lang w:val="en-US"/>
        </w:rPr>
      </w:pPr>
      <w:r w:rsidRPr="00400614">
        <w:rPr>
          <w:rFonts w:ascii="Times New Roman" w:eastAsia="SimSun" w:hAnsi="Times New Roman"/>
          <w:lang w:val="en-US"/>
        </w:rPr>
        <w:t>Xu RK, Zhao AZ, Ji GL (2003) Effect of low-molecular-weight organic</w:t>
      </w:r>
      <w:r w:rsidRPr="00400614">
        <w:rPr>
          <w:rFonts w:ascii="Times New Roman" w:eastAsia="SimSun" w:hAnsi="Times New Roman" w:hint="eastAsia"/>
          <w:lang w:val="en-US"/>
        </w:rPr>
        <w:t xml:space="preserve"> </w:t>
      </w:r>
      <w:r w:rsidRPr="00400614">
        <w:rPr>
          <w:rFonts w:ascii="Times New Roman" w:eastAsia="SimSun" w:hAnsi="Times New Roman"/>
          <w:lang w:val="en-US"/>
        </w:rPr>
        <w:t>anions on surface charge of variable charge soils. J Colloid Interface</w:t>
      </w:r>
      <w:r w:rsidRPr="00400614">
        <w:rPr>
          <w:rFonts w:ascii="Times New Roman" w:eastAsia="SimSun" w:hAnsi="Times New Roman" w:hint="eastAsia"/>
          <w:lang w:val="en-US"/>
        </w:rPr>
        <w:t xml:space="preserve"> </w:t>
      </w:r>
      <w:r w:rsidRPr="00400614">
        <w:rPr>
          <w:rFonts w:ascii="Times New Roman" w:eastAsia="SimSun" w:hAnsi="Times New Roman"/>
          <w:lang w:val="en-US"/>
        </w:rPr>
        <w:t>Sci 264:322–326</w:t>
      </w:r>
      <w:r w:rsidRPr="00400614">
        <w:rPr>
          <w:rFonts w:ascii="Times New Roman" w:eastAsia="SimSun" w:hAnsi="Times New Roman" w:hint="eastAsia"/>
          <w:lang w:val="en-US"/>
        </w:rPr>
        <w:t>.</w:t>
      </w:r>
    </w:p>
    <w:p w14:paraId="68BCF9F9" w14:textId="5378BA0E" w:rsidR="009262FC" w:rsidRPr="00400614" w:rsidRDefault="009262FC"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Xu ZC, Li MW, Zhou R, Xu GR (2025) Machine learning predicted crop yield and soil organic carbon variation after biochar application. Soil Use Manage 41(2):e70092.</w:t>
      </w:r>
    </w:p>
    <w:p w14:paraId="4DFFCE0A" w14:textId="4B31420E" w:rsidR="009262FC" w:rsidRPr="00400614" w:rsidRDefault="009262FC"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Wang Y, Shi WJ, Wen TY (2023) Prediction of winter wheat yield and dry matter in North China Plain using machine learning algorithms for optimal water and nitrogen application. Agric Water Manag</w:t>
      </w:r>
      <w:r w:rsidR="0011340E" w:rsidRPr="00400614">
        <w:rPr>
          <w:rFonts w:ascii="Times New Roman" w:eastAsia="SimSun" w:hAnsi="Times New Roman"/>
        </w:rPr>
        <w:t>e</w:t>
      </w:r>
      <w:r w:rsidRPr="00400614">
        <w:rPr>
          <w:rFonts w:ascii="Times New Roman" w:eastAsia="SimSun" w:hAnsi="Times New Roman"/>
        </w:rPr>
        <w:t xml:space="preserve"> 277:108140.</w:t>
      </w:r>
    </w:p>
    <w:p w14:paraId="149BF039" w14:textId="3E0531D4" w:rsidR="009262FC" w:rsidRPr="00400614" w:rsidRDefault="009262FC"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Wu QG, Wang J, He Y, Liu Y, Jiang QJ (2023) Quantitative assessment and mitigation strategies of greenhouse gas emissions from rice fields in China: a data-driven approach based on machine learning and statistical modeling. Comput Electron Agric 210:107929.</w:t>
      </w:r>
    </w:p>
    <w:p w14:paraId="132F039A" w14:textId="77777777" w:rsidR="009262FC" w:rsidRPr="00400614" w:rsidRDefault="009262FC"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Yue JB, Feng HK, Yang GJ, Li ZH (2018) A comparison of regression techniques for estimation of above-ground winter wheat biomass using near-surface spectroscopy. Remote Sens 10(1):66.</w:t>
      </w:r>
    </w:p>
    <w:p w14:paraId="685770BD" w14:textId="60442763" w:rsidR="00E2644C" w:rsidRPr="00400614" w:rsidRDefault="009262FC" w:rsidP="0060361F">
      <w:pPr>
        <w:spacing w:afterLines="50" w:after="120" w:line="360" w:lineRule="auto"/>
        <w:ind w:left="440" w:hangingChars="200" w:hanging="440"/>
        <w:rPr>
          <w:rFonts w:ascii="Times New Roman" w:eastAsia="SimSun" w:hAnsi="Times New Roman"/>
        </w:rPr>
      </w:pPr>
      <w:r w:rsidRPr="00400614">
        <w:rPr>
          <w:rFonts w:ascii="Times New Roman" w:eastAsia="SimSun" w:hAnsi="Times New Roman"/>
        </w:rPr>
        <w:t>Zhang XY, Gu LP, Gui DY, Xu B, Li R, Chen X, Sha ZP, Pan XJ (2024) Suitable biochar application practices simultaneously alleviate N₂O and NH₃ emissions from arable soils: a meta-analysis study. Environ Res 242:117750.</w:t>
      </w:r>
    </w:p>
    <w:sectPr w:rsidR="00E2644C" w:rsidRPr="00400614" w:rsidSect="0040061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35769E" w14:textId="77777777" w:rsidR="005F7BF4" w:rsidRDefault="005F7BF4" w:rsidP="00FE1414">
      <w:pPr>
        <w:spacing w:after="0" w:line="240" w:lineRule="auto"/>
      </w:pPr>
      <w:r>
        <w:separator/>
      </w:r>
    </w:p>
  </w:endnote>
  <w:endnote w:type="continuationSeparator" w:id="0">
    <w:p w14:paraId="5D680548" w14:textId="77777777" w:rsidR="005F7BF4" w:rsidRDefault="005F7BF4" w:rsidP="00FE1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DengXian">
    <w:altName w:val="Arial Unicode MS"/>
    <w:charset w:val="86"/>
    <w:family w:val="auto"/>
    <w:pitch w:val="variable"/>
    <w:sig w:usb0="00000000"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6596610"/>
      <w:docPartObj>
        <w:docPartGallery w:val="Page Numbers (Bottom of Page)"/>
        <w:docPartUnique/>
      </w:docPartObj>
    </w:sdtPr>
    <w:sdtEndPr>
      <w:rPr>
        <w:noProof/>
      </w:rPr>
    </w:sdtEndPr>
    <w:sdtContent>
      <w:p w14:paraId="41E96D81" w14:textId="6C9F216A" w:rsidR="000D2BAF" w:rsidRDefault="000D2BAF">
        <w:pPr>
          <w:pStyle w:val="Footer"/>
          <w:jc w:val="center"/>
        </w:pPr>
        <w:r>
          <w:fldChar w:fldCharType="begin"/>
        </w:r>
        <w:r>
          <w:instrText xml:space="preserve"> PAGE   \* MERGEFORMAT </w:instrText>
        </w:r>
        <w:r>
          <w:fldChar w:fldCharType="separate"/>
        </w:r>
        <w:r w:rsidR="00400614">
          <w:rPr>
            <w:noProof/>
          </w:rPr>
          <w:t>5</w:t>
        </w:r>
        <w:r>
          <w:rPr>
            <w:noProof/>
          </w:rPr>
          <w:fldChar w:fldCharType="end"/>
        </w:r>
      </w:p>
    </w:sdtContent>
  </w:sdt>
  <w:p w14:paraId="46CE0DC4" w14:textId="77777777" w:rsidR="000D2BAF" w:rsidRDefault="000D2B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C610D" w14:textId="77777777" w:rsidR="005F7BF4" w:rsidRDefault="005F7BF4" w:rsidP="00FE1414">
      <w:pPr>
        <w:spacing w:after="0" w:line="240" w:lineRule="auto"/>
      </w:pPr>
      <w:r>
        <w:separator/>
      </w:r>
    </w:p>
  </w:footnote>
  <w:footnote w:type="continuationSeparator" w:id="0">
    <w:p w14:paraId="32F7F57A" w14:textId="77777777" w:rsidR="005F7BF4" w:rsidRDefault="005F7BF4" w:rsidP="00FE14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AC168C"/>
    <w:multiLevelType w:val="hybridMultilevel"/>
    <w:tmpl w:val="CD26E99E"/>
    <w:lvl w:ilvl="0" w:tplc="8EE2E982">
      <w:start w:val="1"/>
      <w:numFmt w:val="decimal"/>
      <w:suff w:val="space"/>
      <w:lvlText w:val="[%1]"/>
      <w:lvlJc w:val="left"/>
      <w:pPr>
        <w:ind w:left="440" w:hanging="440"/>
      </w:pPr>
      <w:rPr>
        <w:rFonts w:hint="eastAsia"/>
        <w:b w:val="0"/>
        <w:bCs w:val="0"/>
        <w:color w:val="000000" w:themeColor="text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6B306624"/>
    <w:multiLevelType w:val="hybridMultilevel"/>
    <w:tmpl w:val="1E0065DC"/>
    <w:lvl w:ilvl="0" w:tplc="FC4A41DE">
      <w:start w:val="1"/>
      <w:numFmt w:val="decimal"/>
      <w:suff w:val="space"/>
      <w:lvlText w:val="[%1]"/>
      <w:lvlJc w:val="left"/>
      <w:pPr>
        <w:ind w:left="440" w:hanging="440"/>
      </w:pPr>
      <w:rPr>
        <w:rFonts w:hint="eastAsia"/>
        <w:b w:val="0"/>
        <w:bCs w:val="0"/>
        <w:color w:val="000000" w:themeColor="text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bordersDoNotSurroundHeader/>
  <w:bordersDoNotSurroundFooter/>
  <w:revisionView w:markup="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82B"/>
    <w:rsid w:val="00014138"/>
    <w:rsid w:val="00070CD0"/>
    <w:rsid w:val="000A5B61"/>
    <w:rsid w:val="000D2BAF"/>
    <w:rsid w:val="000D6B39"/>
    <w:rsid w:val="000F1251"/>
    <w:rsid w:val="001046A7"/>
    <w:rsid w:val="0011340E"/>
    <w:rsid w:val="00143DA4"/>
    <w:rsid w:val="001602AB"/>
    <w:rsid w:val="00176FF6"/>
    <w:rsid w:val="00183279"/>
    <w:rsid w:val="00195048"/>
    <w:rsid w:val="001A48F0"/>
    <w:rsid w:val="001C144E"/>
    <w:rsid w:val="001C2EE2"/>
    <w:rsid w:val="001D7D12"/>
    <w:rsid w:val="001E73B3"/>
    <w:rsid w:val="001E741F"/>
    <w:rsid w:val="00237090"/>
    <w:rsid w:val="0024518C"/>
    <w:rsid w:val="00245EA1"/>
    <w:rsid w:val="002748F2"/>
    <w:rsid w:val="002A0430"/>
    <w:rsid w:val="002C21A3"/>
    <w:rsid w:val="00307E4D"/>
    <w:rsid w:val="00317F93"/>
    <w:rsid w:val="00330FFD"/>
    <w:rsid w:val="00334438"/>
    <w:rsid w:val="00363E1E"/>
    <w:rsid w:val="003710FA"/>
    <w:rsid w:val="00391D65"/>
    <w:rsid w:val="003B4548"/>
    <w:rsid w:val="003B48F6"/>
    <w:rsid w:val="003C0384"/>
    <w:rsid w:val="003C0628"/>
    <w:rsid w:val="003C4015"/>
    <w:rsid w:val="003D6C22"/>
    <w:rsid w:val="003E7E8A"/>
    <w:rsid w:val="00400614"/>
    <w:rsid w:val="0041069D"/>
    <w:rsid w:val="00436225"/>
    <w:rsid w:val="00447CFF"/>
    <w:rsid w:val="00491169"/>
    <w:rsid w:val="004B20C4"/>
    <w:rsid w:val="0050297F"/>
    <w:rsid w:val="00530F50"/>
    <w:rsid w:val="005350C0"/>
    <w:rsid w:val="005918AE"/>
    <w:rsid w:val="005A697B"/>
    <w:rsid w:val="005C082B"/>
    <w:rsid w:val="005E6A69"/>
    <w:rsid w:val="005F7BF4"/>
    <w:rsid w:val="0060361F"/>
    <w:rsid w:val="006251F6"/>
    <w:rsid w:val="00632707"/>
    <w:rsid w:val="0064023E"/>
    <w:rsid w:val="006429FB"/>
    <w:rsid w:val="0065214A"/>
    <w:rsid w:val="00655A22"/>
    <w:rsid w:val="006E5865"/>
    <w:rsid w:val="007027F8"/>
    <w:rsid w:val="0071262E"/>
    <w:rsid w:val="0071342E"/>
    <w:rsid w:val="00715987"/>
    <w:rsid w:val="00727604"/>
    <w:rsid w:val="00772B84"/>
    <w:rsid w:val="00787B0C"/>
    <w:rsid w:val="007940EA"/>
    <w:rsid w:val="007E21F6"/>
    <w:rsid w:val="007F47E4"/>
    <w:rsid w:val="00837C63"/>
    <w:rsid w:val="0089433C"/>
    <w:rsid w:val="008975ED"/>
    <w:rsid w:val="008D4D4F"/>
    <w:rsid w:val="00902FD5"/>
    <w:rsid w:val="00902FE1"/>
    <w:rsid w:val="00911F53"/>
    <w:rsid w:val="009262FC"/>
    <w:rsid w:val="009413AA"/>
    <w:rsid w:val="0096021A"/>
    <w:rsid w:val="00975AA5"/>
    <w:rsid w:val="009B3197"/>
    <w:rsid w:val="009F0D90"/>
    <w:rsid w:val="00A6192C"/>
    <w:rsid w:val="00A734AE"/>
    <w:rsid w:val="00B02800"/>
    <w:rsid w:val="00B142EB"/>
    <w:rsid w:val="00B361CE"/>
    <w:rsid w:val="00B36293"/>
    <w:rsid w:val="00B541C1"/>
    <w:rsid w:val="00B700B4"/>
    <w:rsid w:val="00BA33BD"/>
    <w:rsid w:val="00BB5541"/>
    <w:rsid w:val="00BE066F"/>
    <w:rsid w:val="00C2201B"/>
    <w:rsid w:val="00C33DC6"/>
    <w:rsid w:val="00C438B3"/>
    <w:rsid w:val="00C53DC7"/>
    <w:rsid w:val="00C62F9F"/>
    <w:rsid w:val="00C63369"/>
    <w:rsid w:val="00C66CE5"/>
    <w:rsid w:val="00C66DB8"/>
    <w:rsid w:val="00C84F5B"/>
    <w:rsid w:val="00C92BA0"/>
    <w:rsid w:val="00CA79F8"/>
    <w:rsid w:val="00CB0B44"/>
    <w:rsid w:val="00CD1A3C"/>
    <w:rsid w:val="00D01A76"/>
    <w:rsid w:val="00D04B73"/>
    <w:rsid w:val="00D07708"/>
    <w:rsid w:val="00D32B49"/>
    <w:rsid w:val="00D40353"/>
    <w:rsid w:val="00D62C53"/>
    <w:rsid w:val="00D6582B"/>
    <w:rsid w:val="00D7626B"/>
    <w:rsid w:val="00D81FE9"/>
    <w:rsid w:val="00DD74F6"/>
    <w:rsid w:val="00DE6595"/>
    <w:rsid w:val="00DF40E4"/>
    <w:rsid w:val="00E07ACE"/>
    <w:rsid w:val="00E1126D"/>
    <w:rsid w:val="00E2644C"/>
    <w:rsid w:val="00E50828"/>
    <w:rsid w:val="00E62E93"/>
    <w:rsid w:val="00E86CF3"/>
    <w:rsid w:val="00EB393C"/>
    <w:rsid w:val="00ED6313"/>
    <w:rsid w:val="00EF7027"/>
    <w:rsid w:val="00F051FE"/>
    <w:rsid w:val="00F10C86"/>
    <w:rsid w:val="00F447F7"/>
    <w:rsid w:val="00F6122E"/>
    <w:rsid w:val="00F809C4"/>
    <w:rsid w:val="00FD1256"/>
    <w:rsid w:val="00FE1414"/>
    <w:rsid w:val="00FF38D0"/>
    <w:rsid w:val="00FF769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58E9CB8"/>
  <w15:chartTrackingRefBased/>
  <w15:docId w15:val="{97F67B98-1894-431E-8D1C-43ADEB7DA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82B"/>
    <w:pPr>
      <w:spacing w:line="259" w:lineRule="auto"/>
    </w:pPr>
    <w:rPr>
      <w:sz w:val="22"/>
      <w:szCs w:val="22"/>
    </w:rPr>
  </w:style>
  <w:style w:type="paragraph" w:styleId="Heading1">
    <w:name w:val="heading 1"/>
    <w:basedOn w:val="Normal"/>
    <w:next w:val="Normal"/>
    <w:link w:val="Heading1Char"/>
    <w:uiPriority w:val="9"/>
    <w:qFormat/>
    <w:rsid w:val="005C082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082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082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082B"/>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5C082B"/>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5C082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5C082B"/>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5C082B"/>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5C082B"/>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8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08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08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08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08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0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0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0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082B"/>
    <w:rPr>
      <w:rFonts w:eastAsiaTheme="majorEastAsia" w:cstheme="majorBidi"/>
      <w:color w:val="272727" w:themeColor="text1" w:themeTint="D8"/>
    </w:rPr>
  </w:style>
  <w:style w:type="paragraph" w:styleId="Title">
    <w:name w:val="Title"/>
    <w:basedOn w:val="Normal"/>
    <w:next w:val="Normal"/>
    <w:link w:val="TitleChar"/>
    <w:uiPriority w:val="10"/>
    <w:qFormat/>
    <w:rsid w:val="005C0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082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0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082B"/>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5C082B"/>
    <w:rPr>
      <w:i/>
      <w:iCs/>
      <w:color w:val="404040" w:themeColor="text1" w:themeTint="BF"/>
    </w:rPr>
  </w:style>
  <w:style w:type="paragraph" w:styleId="ListParagraph">
    <w:name w:val="List Paragraph"/>
    <w:basedOn w:val="Normal"/>
    <w:uiPriority w:val="34"/>
    <w:qFormat/>
    <w:rsid w:val="005C082B"/>
    <w:pPr>
      <w:spacing w:line="278" w:lineRule="auto"/>
      <w:ind w:left="720"/>
      <w:contextualSpacing/>
    </w:pPr>
    <w:rPr>
      <w:sz w:val="24"/>
      <w:szCs w:val="24"/>
    </w:rPr>
  </w:style>
  <w:style w:type="character" w:styleId="IntenseEmphasis">
    <w:name w:val="Intense Emphasis"/>
    <w:basedOn w:val="DefaultParagraphFont"/>
    <w:uiPriority w:val="21"/>
    <w:qFormat/>
    <w:rsid w:val="005C082B"/>
    <w:rPr>
      <w:i/>
      <w:iCs/>
      <w:color w:val="0F4761" w:themeColor="accent1" w:themeShade="BF"/>
    </w:rPr>
  </w:style>
  <w:style w:type="paragraph" w:styleId="IntenseQuote">
    <w:name w:val="Intense Quote"/>
    <w:basedOn w:val="Normal"/>
    <w:next w:val="Normal"/>
    <w:link w:val="IntenseQuoteChar"/>
    <w:uiPriority w:val="30"/>
    <w:qFormat/>
    <w:rsid w:val="005C082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5C082B"/>
    <w:rPr>
      <w:i/>
      <w:iCs/>
      <w:color w:val="0F4761" w:themeColor="accent1" w:themeShade="BF"/>
    </w:rPr>
  </w:style>
  <w:style w:type="character" w:styleId="IntenseReference">
    <w:name w:val="Intense Reference"/>
    <w:basedOn w:val="DefaultParagraphFont"/>
    <w:uiPriority w:val="32"/>
    <w:qFormat/>
    <w:rsid w:val="005C082B"/>
    <w:rPr>
      <w:b/>
      <w:bCs/>
      <w:smallCaps/>
      <w:color w:val="0F4761" w:themeColor="accent1" w:themeShade="BF"/>
      <w:spacing w:val="5"/>
    </w:rPr>
  </w:style>
  <w:style w:type="character" w:styleId="CommentReference">
    <w:name w:val="annotation reference"/>
    <w:basedOn w:val="DefaultParagraphFont"/>
    <w:uiPriority w:val="99"/>
    <w:semiHidden/>
    <w:unhideWhenUsed/>
    <w:rsid w:val="005C082B"/>
    <w:rPr>
      <w:sz w:val="16"/>
      <w:szCs w:val="16"/>
    </w:rPr>
  </w:style>
  <w:style w:type="paragraph" w:styleId="CommentText">
    <w:name w:val="annotation text"/>
    <w:basedOn w:val="Normal"/>
    <w:link w:val="CommentTextChar"/>
    <w:uiPriority w:val="99"/>
    <w:unhideWhenUsed/>
    <w:rsid w:val="005C082B"/>
    <w:pPr>
      <w:spacing w:line="240" w:lineRule="auto"/>
    </w:pPr>
    <w:rPr>
      <w:sz w:val="20"/>
      <w:szCs w:val="20"/>
    </w:rPr>
  </w:style>
  <w:style w:type="character" w:customStyle="1" w:styleId="CommentTextChar">
    <w:name w:val="Comment Text Char"/>
    <w:basedOn w:val="DefaultParagraphFont"/>
    <w:link w:val="CommentText"/>
    <w:uiPriority w:val="99"/>
    <w:rsid w:val="005C082B"/>
    <w:rPr>
      <w:sz w:val="20"/>
      <w:szCs w:val="20"/>
    </w:rPr>
  </w:style>
  <w:style w:type="character" w:customStyle="1" w:styleId="cf01">
    <w:name w:val="cf01"/>
    <w:basedOn w:val="DefaultParagraphFont"/>
    <w:rsid w:val="005C082B"/>
    <w:rPr>
      <w:rFonts w:ascii="Segoe UI" w:hAnsi="Segoe UI" w:cs="Segoe UI" w:hint="default"/>
      <w:b/>
      <w:bCs/>
      <w:sz w:val="18"/>
      <w:szCs w:val="18"/>
    </w:rPr>
  </w:style>
  <w:style w:type="paragraph" w:customStyle="1" w:styleId="acbfdd8b-e11b-4d36-88ff-6049b138f862">
    <w:name w:val="acbfdd8b-e11b-4d36-88ff-6049b138f862"/>
    <w:basedOn w:val="BodyText"/>
    <w:link w:val="acbfdd8b-e11b-4d36-88ff-6049b138f8620"/>
    <w:rsid w:val="005C082B"/>
    <w:pPr>
      <w:spacing w:after="0" w:line="288" w:lineRule="auto"/>
    </w:pPr>
    <w:rPr>
      <w:rFonts w:ascii="Microsoft YaHei" w:hAnsi="Microsoft YaHei" w:cs="Calibri"/>
      <w:color w:val="000000"/>
      <w:szCs w:val="28"/>
    </w:rPr>
  </w:style>
  <w:style w:type="character" w:customStyle="1" w:styleId="acbfdd8b-e11b-4d36-88ff-6049b138f8620">
    <w:name w:val="acbfdd8b-e11b-4d36-88ff-6049b138f862 字符"/>
    <w:basedOn w:val="DefaultParagraphFont"/>
    <w:link w:val="acbfdd8b-e11b-4d36-88ff-6049b138f862"/>
    <w:rsid w:val="005C082B"/>
    <w:rPr>
      <w:rFonts w:ascii="Microsoft YaHei" w:hAnsi="Microsoft YaHei" w:cs="Calibri"/>
      <w:color w:val="000000"/>
      <w:sz w:val="22"/>
      <w:szCs w:val="28"/>
    </w:rPr>
  </w:style>
  <w:style w:type="paragraph" w:styleId="BodyText">
    <w:name w:val="Body Text"/>
    <w:basedOn w:val="Normal"/>
    <w:link w:val="BodyTextChar"/>
    <w:uiPriority w:val="99"/>
    <w:semiHidden/>
    <w:unhideWhenUsed/>
    <w:rsid w:val="005C082B"/>
    <w:pPr>
      <w:spacing w:after="120"/>
    </w:pPr>
  </w:style>
  <w:style w:type="character" w:customStyle="1" w:styleId="BodyTextChar">
    <w:name w:val="Body Text Char"/>
    <w:basedOn w:val="DefaultParagraphFont"/>
    <w:link w:val="BodyText"/>
    <w:uiPriority w:val="99"/>
    <w:semiHidden/>
    <w:rsid w:val="005C082B"/>
    <w:rPr>
      <w:sz w:val="22"/>
      <w:szCs w:val="22"/>
    </w:rPr>
  </w:style>
  <w:style w:type="paragraph" w:styleId="Header">
    <w:name w:val="header"/>
    <w:basedOn w:val="Normal"/>
    <w:link w:val="HeaderChar"/>
    <w:uiPriority w:val="99"/>
    <w:unhideWhenUsed/>
    <w:rsid w:val="00FE1414"/>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FE1414"/>
    <w:rPr>
      <w:sz w:val="18"/>
      <w:szCs w:val="18"/>
    </w:rPr>
  </w:style>
  <w:style w:type="paragraph" w:styleId="Footer">
    <w:name w:val="footer"/>
    <w:basedOn w:val="Normal"/>
    <w:link w:val="FooterChar"/>
    <w:uiPriority w:val="99"/>
    <w:unhideWhenUsed/>
    <w:rsid w:val="00FE1414"/>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FE1414"/>
    <w:rPr>
      <w:sz w:val="18"/>
      <w:szCs w:val="18"/>
    </w:rPr>
  </w:style>
  <w:style w:type="character" w:styleId="Hyperlink">
    <w:name w:val="Hyperlink"/>
    <w:basedOn w:val="DefaultParagraphFont"/>
    <w:uiPriority w:val="99"/>
    <w:unhideWhenUsed/>
    <w:rsid w:val="00D32B49"/>
    <w:rPr>
      <w:color w:val="467886" w:themeColor="hyperlink"/>
      <w:u w:val="single"/>
    </w:rPr>
  </w:style>
  <w:style w:type="paragraph" w:customStyle="1" w:styleId="EndNoteBibliography">
    <w:name w:val="EndNote Bibliography"/>
    <w:basedOn w:val="Normal"/>
    <w:link w:val="EndNoteBibliography0"/>
    <w:rsid w:val="00D32B49"/>
    <w:pPr>
      <w:spacing w:line="240" w:lineRule="auto"/>
      <w:jc w:val="both"/>
    </w:pPr>
    <w:rPr>
      <w:rFonts w:ascii="Aptos" w:eastAsia="DengXian" w:hAnsi="Aptos" w:cs="Times New Roman"/>
      <w:noProof/>
    </w:rPr>
  </w:style>
  <w:style w:type="character" w:customStyle="1" w:styleId="EndNoteBibliography0">
    <w:name w:val="EndNote Bibliography 字符"/>
    <w:basedOn w:val="DefaultParagraphFont"/>
    <w:link w:val="EndNoteBibliography"/>
    <w:rsid w:val="00D32B49"/>
    <w:rPr>
      <w:rFonts w:ascii="Aptos" w:eastAsia="DengXian" w:hAnsi="Aptos" w:cs="Times New Roman"/>
      <w:noProof/>
      <w:sz w:val="22"/>
      <w:szCs w:val="22"/>
    </w:rPr>
  </w:style>
  <w:style w:type="character" w:customStyle="1" w:styleId="UnresolvedMention">
    <w:name w:val="Unresolved Mention"/>
    <w:basedOn w:val="DefaultParagraphFont"/>
    <w:uiPriority w:val="99"/>
    <w:semiHidden/>
    <w:unhideWhenUsed/>
    <w:rsid w:val="00D32B49"/>
    <w:rPr>
      <w:color w:val="605E5C"/>
      <w:shd w:val="clear" w:color="auto" w:fill="E1DFDD"/>
    </w:rPr>
  </w:style>
  <w:style w:type="character" w:styleId="LineNumber">
    <w:name w:val="line number"/>
    <w:basedOn w:val="DefaultParagraphFont"/>
    <w:uiPriority w:val="99"/>
    <w:semiHidden/>
    <w:unhideWhenUsed/>
    <w:rsid w:val="00BA3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68915">
      <w:bodyDiv w:val="1"/>
      <w:marLeft w:val="0"/>
      <w:marRight w:val="0"/>
      <w:marTop w:val="0"/>
      <w:marBottom w:val="0"/>
      <w:divBdr>
        <w:top w:val="none" w:sz="0" w:space="0" w:color="auto"/>
        <w:left w:val="none" w:sz="0" w:space="0" w:color="auto"/>
        <w:bottom w:val="none" w:sz="0" w:space="0" w:color="auto"/>
        <w:right w:val="none" w:sz="0" w:space="0" w:color="auto"/>
      </w:divBdr>
    </w:div>
    <w:div w:id="208805824">
      <w:bodyDiv w:val="1"/>
      <w:marLeft w:val="0"/>
      <w:marRight w:val="0"/>
      <w:marTop w:val="0"/>
      <w:marBottom w:val="0"/>
      <w:divBdr>
        <w:top w:val="none" w:sz="0" w:space="0" w:color="auto"/>
        <w:left w:val="none" w:sz="0" w:space="0" w:color="auto"/>
        <w:bottom w:val="none" w:sz="0" w:space="0" w:color="auto"/>
        <w:right w:val="none" w:sz="0" w:space="0" w:color="auto"/>
      </w:divBdr>
    </w:div>
    <w:div w:id="637994644">
      <w:bodyDiv w:val="1"/>
      <w:marLeft w:val="0"/>
      <w:marRight w:val="0"/>
      <w:marTop w:val="0"/>
      <w:marBottom w:val="0"/>
      <w:divBdr>
        <w:top w:val="none" w:sz="0" w:space="0" w:color="auto"/>
        <w:left w:val="none" w:sz="0" w:space="0" w:color="auto"/>
        <w:bottom w:val="none" w:sz="0" w:space="0" w:color="auto"/>
        <w:right w:val="none" w:sz="0" w:space="0" w:color="auto"/>
      </w:divBdr>
    </w:div>
    <w:div w:id="187905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kxu@issas.ac.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D2AC7-2C52-4EE3-AE53-DA2791BF5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2746</TotalTime>
  <Pages>8</Pages>
  <Words>2465</Words>
  <Characters>14629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 Liu</dc:creator>
  <cp:keywords/>
  <dc:description/>
  <cp:lastModifiedBy>Navanitha G</cp:lastModifiedBy>
  <cp:revision>7</cp:revision>
  <dcterms:created xsi:type="dcterms:W3CDTF">2026-06-23T04:01:00Z</dcterms:created>
  <dcterms:modified xsi:type="dcterms:W3CDTF">2026-07-22T09:22:00Z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6bb32236f40b7c7e4bf4ff41e532d53c5d851940a9a8bfb1e974ca3a361d8aaa</vt:lpwstr>
  </property>
</Properties>
</file>