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00" w:line="276" w:lineRule="auto"/>
        <w:ind w:left="-270" w:firstLine="0"/>
        <w:rPr>
          <w:rFonts w:ascii="Palatino Linotype" w:cs="Palatino Linotype" w:eastAsia="Palatino Linotype" w:hAnsi="Palatino Linotype"/>
          <w:i w:val="1"/>
          <w:sz w:val="24"/>
          <w:szCs w:val="24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4"/>
          <w:szCs w:val="24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200" w:line="276" w:lineRule="auto"/>
        <w:ind w:left="-270" w:firstLine="0"/>
        <w:rPr>
          <w:rFonts w:ascii="Palatino Linotype" w:cs="Palatino Linotype" w:eastAsia="Palatino Linotype" w:hAnsi="Palatino Linotype"/>
          <w:b w:val="1"/>
          <w:sz w:val="32"/>
          <w:szCs w:val="32"/>
        </w:rPr>
      </w:pPr>
      <w:bookmarkStart w:colFirst="0" w:colLast="0" w:name="_3lgxf8pxdugg" w:id="0"/>
      <w:bookmarkEnd w:id="0"/>
      <w:r w:rsidDel="00000000" w:rsidR="00000000" w:rsidRPr="00000000">
        <w:rPr>
          <w:rFonts w:ascii="Palatino Linotype" w:cs="Palatino Linotype" w:eastAsia="Palatino Linotype" w:hAnsi="Palatino Linotype"/>
          <w:i w:val="1"/>
          <w:sz w:val="24"/>
          <w:szCs w:val="24"/>
          <w:rtl w:val="0"/>
        </w:rPr>
        <w:t xml:space="preserve">Supplementary materials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200" w:line="276" w:lineRule="auto"/>
        <w:ind w:left="-270" w:firstLine="0"/>
        <w:rPr>
          <w:rFonts w:ascii="Palatino Linotype" w:cs="Palatino Linotype" w:eastAsia="Palatino Linotype" w:hAnsi="Palatino Linotype"/>
          <w:sz w:val="24"/>
          <w:szCs w:val="24"/>
        </w:rPr>
      </w:pPr>
      <w:bookmarkStart w:colFirst="0" w:colLast="0" w:name="_g74zw1q2lrc8" w:id="1"/>
      <w:bookmarkEnd w:id="1"/>
      <w:r w:rsidDel="00000000" w:rsidR="00000000" w:rsidRPr="00000000">
        <w:rPr>
          <w:rFonts w:ascii="Palatino Linotype" w:cs="Palatino Linotype" w:eastAsia="Palatino Linotype" w:hAnsi="Palatino Linotype"/>
          <w:b w:val="1"/>
          <w:sz w:val="32"/>
          <w:szCs w:val="32"/>
          <w:rtl w:val="0"/>
        </w:rPr>
        <w:t xml:space="preserve">Water availability modulates maximum canopy heights of low-elevation Amazonian second-growth forests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rtl w:val="0"/>
        </w:rPr>
        <w:t xml:space="preserve">Midhun Mohan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vertAlign w:val="superscript"/>
          <w:rtl w:val="0"/>
        </w:rPr>
        <w:t xml:space="preserve">1,2*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rtl w:val="0"/>
        </w:rPr>
        <w:t xml:space="preserve">, Gilberto Z Pastorello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rtl w:val="0"/>
        </w:rPr>
        <w:t xml:space="preserve">, Yanlei Feng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vertAlign w:val="superscript"/>
          <w:rtl w:val="0"/>
        </w:rPr>
        <w:t xml:space="preserve">3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rtl w:val="0"/>
        </w:rPr>
        <w:t xml:space="preserve">, Esmaeel Adrah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vertAlign w:val="superscript"/>
          <w:rtl w:val="0"/>
        </w:rPr>
        <w:t xml:space="preserve">4,5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rtl w:val="0"/>
        </w:rPr>
        <w:t xml:space="preserve">, Michael Keller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vertAlign w:val="superscript"/>
          <w:rtl w:val="0"/>
        </w:rPr>
        <w:t xml:space="preserve">6,7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rtl w:val="0"/>
        </w:rPr>
        <w:t xml:space="preserve">, Ewane Basil Ewane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vertAlign w:val="superscript"/>
          <w:rtl w:val="0"/>
        </w:rPr>
        <w:t xml:space="preserve">8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rtl w:val="0"/>
        </w:rPr>
        <w:t xml:space="preserve">, Marcos Longo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rtl w:val="0"/>
        </w:rPr>
        <w:t xml:space="preserve">, Ovidiu Csillik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vertAlign w:val="superscript"/>
          <w:rtl w:val="0"/>
        </w:rPr>
        <w:t xml:space="preserve">7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rtl w:val="0"/>
        </w:rPr>
        <w:t xml:space="preserve">, Antonio Ferraz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vertAlign w:val="superscript"/>
          <w:rtl w:val="0"/>
        </w:rPr>
        <w:t xml:space="preserve">7,9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rtl w:val="0"/>
        </w:rPr>
        <w:t xml:space="preserve">, Abhilash Dutta Roy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vertAlign w:val="superscript"/>
          <w:rtl w:val="0"/>
        </w:rPr>
        <w:t xml:space="preserve">10,11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rtl w:val="0"/>
        </w:rPr>
        <w:t xml:space="preserve">, Lin Meng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vertAlign w:val="superscript"/>
          <w:rtl w:val="0"/>
        </w:rPr>
        <w:t xml:space="preserve">12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rtl w:val="0"/>
        </w:rPr>
        <w:t xml:space="preserve">, Jeffrey Q Chambers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vertAlign w:val="superscript"/>
          <w:rtl w:val="0"/>
        </w:rPr>
        <w:t xml:space="preserve">1,2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0" w:before="0" w:line="276" w:lineRule="auto"/>
        <w:ind w:left="-270" w:firstLine="0"/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bookmarkStart w:colFirst="0" w:colLast="0" w:name="_nulus6usmtpw" w:id="2"/>
      <w:bookmarkEnd w:id="2"/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Climate and Ecosystem Sciences Division, Lawrence Berkeley National Laboratory, 1 Cyclotron Rd, Berkeley, CA, 94720, USA </w:t>
      </w:r>
    </w:p>
    <w:p w:rsidR="00000000" w:rsidDel="00000000" w:rsidP="00000000" w:rsidRDefault="00000000" w:rsidRPr="00000000" w14:paraId="00000005">
      <w:pPr>
        <w:shd w:fill="ffffff" w:val="clear"/>
        <w:spacing w:after="0" w:before="0" w:line="276" w:lineRule="auto"/>
        <w:ind w:left="-270" w:firstLine="0"/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bookmarkStart w:colFirst="0" w:colLast="0" w:name="_asah0s1lyhcm" w:id="3"/>
      <w:bookmarkEnd w:id="3"/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Department of Geography, University of California – Berkeley, Berkeley, CA, United States mid_mohan@berkeley.edu (M.M.) </w:t>
      </w:r>
    </w:p>
    <w:p w:rsidR="00000000" w:rsidDel="00000000" w:rsidP="00000000" w:rsidRDefault="00000000" w:rsidRPr="00000000" w14:paraId="00000006">
      <w:pPr>
        <w:shd w:fill="ffffff" w:val="clear"/>
        <w:spacing w:after="0" w:before="0" w:line="276" w:lineRule="auto"/>
        <w:ind w:left="-270" w:firstLine="0"/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bookmarkStart w:colFirst="0" w:colLast="0" w:name="_kb3vc5d3cf4p" w:id="4"/>
      <w:bookmarkEnd w:id="4"/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superscript"/>
          <w:rtl w:val="0"/>
        </w:rPr>
        <w:t xml:space="preserve">3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Department of Civil and Environmental Engineering, MIT, USA</w:t>
      </w:r>
    </w:p>
    <w:p w:rsidR="00000000" w:rsidDel="00000000" w:rsidP="00000000" w:rsidRDefault="00000000" w:rsidRPr="00000000" w14:paraId="00000007">
      <w:pPr>
        <w:shd w:fill="ffffff" w:val="clear"/>
        <w:spacing w:after="0" w:before="0" w:line="276" w:lineRule="auto"/>
        <w:ind w:left="-270" w:firstLine="0"/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bookmarkStart w:colFirst="0" w:colLast="0" w:name="_bzyugaur5dsn" w:id="5"/>
      <w:bookmarkEnd w:id="5"/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superscript"/>
          <w:rtl w:val="0"/>
        </w:rPr>
        <w:t xml:space="preserve">4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Earth Observation Centre, Institute of Climate Change, Universiti Kebangsaan Malaysia, Bangi 43600, Selangor, Malaysia</w:t>
      </w:r>
    </w:p>
    <w:p w:rsidR="00000000" w:rsidDel="00000000" w:rsidP="00000000" w:rsidRDefault="00000000" w:rsidRPr="00000000" w14:paraId="00000008">
      <w:pPr>
        <w:shd w:fill="ffffff" w:val="clear"/>
        <w:spacing w:after="0" w:before="0" w:line="276" w:lineRule="auto"/>
        <w:ind w:left="-270" w:firstLine="0"/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bookmarkStart w:colFirst="0" w:colLast="0" w:name="_kipkwzynd0em" w:id="6"/>
      <w:bookmarkEnd w:id="6"/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superscript"/>
          <w:rtl w:val="0"/>
        </w:rPr>
        <w:t xml:space="preserve">5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Department of Geography, Kent State University, USA</w:t>
      </w:r>
    </w:p>
    <w:p w:rsidR="00000000" w:rsidDel="00000000" w:rsidP="00000000" w:rsidRDefault="00000000" w:rsidRPr="00000000" w14:paraId="00000009">
      <w:pPr>
        <w:shd w:fill="ffffff" w:val="clear"/>
        <w:spacing w:after="0" w:before="0" w:line="276" w:lineRule="auto"/>
        <w:ind w:left="-270" w:firstLine="0"/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bookmarkStart w:colFirst="0" w:colLast="0" w:name="_213saq16da85" w:id="7"/>
      <w:bookmarkEnd w:id="7"/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superscript"/>
          <w:rtl w:val="0"/>
        </w:rPr>
        <w:t xml:space="preserve">6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USDA Forest Service, International Institute of Tropical Forestry, Rio Piedras, Puerto Rico USA</w:t>
      </w:r>
    </w:p>
    <w:p w:rsidR="00000000" w:rsidDel="00000000" w:rsidP="00000000" w:rsidRDefault="00000000" w:rsidRPr="00000000" w14:paraId="0000000A">
      <w:pPr>
        <w:shd w:fill="ffffff" w:val="clear"/>
        <w:spacing w:after="0" w:before="0" w:line="276" w:lineRule="auto"/>
        <w:ind w:left="-270" w:firstLine="0"/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bookmarkStart w:colFirst="0" w:colLast="0" w:name="_i9izgmiauqms" w:id="8"/>
      <w:bookmarkEnd w:id="8"/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superscript"/>
          <w:rtl w:val="0"/>
        </w:rPr>
        <w:t xml:space="preserve">7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Jet Propulsion Laboratory, California Institute of Technology, Pasadena, CA, 91109, USA</w:t>
      </w:r>
    </w:p>
    <w:p w:rsidR="00000000" w:rsidDel="00000000" w:rsidP="00000000" w:rsidRDefault="00000000" w:rsidRPr="00000000" w14:paraId="0000000B">
      <w:pPr>
        <w:shd w:fill="ffffff" w:val="clear"/>
        <w:spacing w:after="0" w:before="0" w:line="276" w:lineRule="auto"/>
        <w:ind w:left="-270" w:firstLine="0"/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bookmarkStart w:colFirst="0" w:colLast="0" w:name="_e3bjyaxj9e73" w:id="9"/>
      <w:bookmarkEnd w:id="9"/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superscript"/>
          <w:rtl w:val="0"/>
        </w:rPr>
        <w:t xml:space="preserve">8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Department of Geography, Faculty of Social and Management Sciences, University of Buea, P.O. Box 63, Buea, Cameroon</w:t>
      </w:r>
    </w:p>
    <w:p w:rsidR="00000000" w:rsidDel="00000000" w:rsidP="00000000" w:rsidRDefault="00000000" w:rsidRPr="00000000" w14:paraId="0000000C">
      <w:pPr>
        <w:shd w:fill="ffffff" w:val="clear"/>
        <w:spacing w:after="0" w:before="0" w:line="276" w:lineRule="auto"/>
        <w:ind w:left="-270" w:firstLine="0"/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bookmarkStart w:colFirst="0" w:colLast="0" w:name="_y3mmtljjikiu" w:id="10"/>
      <w:bookmarkEnd w:id="10"/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superscript"/>
          <w:rtl w:val="0"/>
        </w:rPr>
        <w:t xml:space="preserve">9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University of California, Los Angeles, LaKretz Hall, 619 Charles E Young Dr E #300, Los Angeles, CA 90024, USA</w:t>
      </w:r>
    </w:p>
    <w:p w:rsidR="00000000" w:rsidDel="00000000" w:rsidP="00000000" w:rsidRDefault="00000000" w:rsidRPr="00000000" w14:paraId="0000000D">
      <w:pPr>
        <w:shd w:fill="ffffff" w:val="clear"/>
        <w:spacing w:after="0" w:before="0" w:line="276" w:lineRule="auto"/>
        <w:ind w:left="-270" w:firstLine="0"/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bookmarkStart w:colFirst="0" w:colLast="0" w:name="_qrq5xleumtbp" w:id="11"/>
      <w:bookmarkEnd w:id="11"/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superscript"/>
          <w:rtl w:val="0"/>
        </w:rPr>
        <w:t xml:space="preserve">10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Mediterranean Forestry and Natural Resources Management, School of Agriculture, University of Lisbon, Lisbon, Portugal</w:t>
      </w:r>
    </w:p>
    <w:p w:rsidR="00000000" w:rsidDel="00000000" w:rsidP="00000000" w:rsidRDefault="00000000" w:rsidRPr="00000000" w14:paraId="0000000E">
      <w:pPr>
        <w:shd w:fill="ffffff" w:val="clear"/>
        <w:spacing w:after="0" w:before="0" w:line="276" w:lineRule="auto"/>
        <w:ind w:left="-270" w:firstLine="0"/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bookmarkStart w:colFirst="0" w:colLast="0" w:name="_gqz4wfybhwhx" w:id="12"/>
      <w:bookmarkEnd w:id="12"/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superscript"/>
          <w:rtl w:val="0"/>
        </w:rPr>
        <w:t xml:space="preserve">11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School of Agrifood and Forestry Engineering and Veterinary Medicine, University of Lleida, Lleida, Spain</w:t>
      </w:r>
    </w:p>
    <w:p w:rsidR="00000000" w:rsidDel="00000000" w:rsidP="00000000" w:rsidRDefault="00000000" w:rsidRPr="00000000" w14:paraId="0000000F">
      <w:pPr>
        <w:shd w:fill="ffffff" w:val="clear"/>
        <w:spacing w:after="200" w:before="0" w:line="276" w:lineRule="auto"/>
        <w:ind w:left="-270" w:firstLine="0"/>
        <w:jc w:val="both"/>
        <w:rPr>
          <w:rFonts w:ascii="Palatino Linotype" w:cs="Palatino Linotype" w:eastAsia="Palatino Linotype" w:hAnsi="Palatino Linotype"/>
          <w:sz w:val="24"/>
          <w:szCs w:val="24"/>
        </w:rPr>
      </w:pPr>
      <w:bookmarkStart w:colFirst="0" w:colLast="0" w:name="_640kmjsht0iq" w:id="13"/>
      <w:bookmarkEnd w:id="13"/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superscript"/>
          <w:rtl w:val="0"/>
        </w:rPr>
        <w:t xml:space="preserve">12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Department of Earth and Environmental Sciences, Vanderbilt University, Nashville, USA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200" w:line="276" w:lineRule="auto"/>
        <w:ind w:left="-270" w:firstLine="0"/>
        <w:jc w:val="both"/>
        <w:rPr>
          <w:rFonts w:ascii="Palatino Linotype" w:cs="Palatino Linotype" w:eastAsia="Palatino Linotype" w:hAnsi="Palatino Linotype"/>
        </w:rPr>
      </w:pPr>
      <w:bookmarkStart w:colFirst="0" w:colLast="0" w:name="_k9e62xtif3uz" w:id="14"/>
      <w:bookmarkEnd w:id="14"/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*Author to whom any correspondence should be addressed.</w:t>
      </w:r>
    </w:p>
    <w:p w:rsidR="00000000" w:rsidDel="00000000" w:rsidP="00000000" w:rsidRDefault="00000000" w:rsidRPr="00000000" w14:paraId="00000011">
      <w:pPr>
        <w:shd w:fill="ffffff" w:val="clear"/>
        <w:spacing w:after="200" w:line="276" w:lineRule="auto"/>
        <w:ind w:left="-270" w:firstLine="0"/>
        <w:jc w:val="both"/>
        <w:rPr>
          <w:rFonts w:ascii="Palatino Linotype" w:cs="Palatino Linotype" w:eastAsia="Palatino Linotype" w:hAnsi="Palatino Linotype"/>
        </w:rPr>
      </w:pPr>
      <w:bookmarkStart w:colFirst="0" w:colLast="0" w:name="_kwvp3pwrdjh" w:id="15"/>
      <w:bookmarkEnd w:id="15"/>
      <w:r w:rsidDel="00000000" w:rsidR="00000000" w:rsidRPr="00000000">
        <w:rPr>
          <w:rFonts w:ascii="Palatino Linotype" w:cs="Palatino Linotype" w:eastAsia="Palatino Linotype" w:hAnsi="Palatino Linotype"/>
          <w:b w:val="1"/>
          <w:rtl w:val="0"/>
        </w:rPr>
        <w:t xml:space="preserve">E-mail:</w:t>
      </w: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 </w:t>
      </w:r>
      <w:hyperlink r:id="rId6">
        <w:r w:rsidDel="00000000" w:rsidR="00000000" w:rsidRPr="00000000">
          <w:rPr>
            <w:rFonts w:ascii="Palatino Linotype" w:cs="Palatino Linotype" w:eastAsia="Palatino Linotype" w:hAnsi="Palatino Linotype"/>
            <w:color w:val="0070c0"/>
            <w:u w:val="single"/>
            <w:rtl w:val="0"/>
          </w:rPr>
          <w:t xml:space="preserve">mikey@ecoresolve.eco</w:t>
        </w:r>
      </w:hyperlink>
      <w:r w:rsidDel="00000000" w:rsidR="00000000" w:rsidRPr="00000000">
        <w:rPr>
          <w:rFonts w:ascii="Palatino Linotype" w:cs="Palatino Linotype" w:eastAsia="Palatino Linotype" w:hAnsi="Palatino Linotype"/>
          <w:color w:val="0070c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200" w:line="276" w:lineRule="auto"/>
        <w:ind w:left="-270" w:firstLine="0"/>
        <w:rPr>
          <w:rFonts w:ascii="Palatino Linotype" w:cs="Palatino Linotype" w:eastAsia="Palatino Linotype" w:hAnsi="Palatino Linotype"/>
          <w:sz w:val="24"/>
          <w:szCs w:val="24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rtl w:val="0"/>
        </w:rPr>
        <w:t xml:space="preserve">Keywords</w:t>
      </w: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: forest regeneration; carbon sequestration; tropical forests; NASA GEDI; space-borne lidar; climate change impacts </w:t>
      </w:r>
      <w:r w:rsidDel="00000000" w:rsidR="00000000" w:rsidRPr="00000000">
        <w:rPr>
          <w:rFonts w:ascii="Palatino Linotype" w:cs="Palatino Linotype" w:eastAsia="Palatino Linotype" w:hAnsi="Palatino Linotype"/>
          <w:sz w:val="24"/>
          <w:szCs w:val="24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13">
      <w:pPr>
        <w:spacing w:after="200" w:before="240" w:line="276" w:lineRule="auto"/>
        <w:rPr>
          <w:rFonts w:ascii="Palatino Linotype" w:cs="Palatino Linotype" w:eastAsia="Palatino Linotype" w:hAnsi="Palatino Linotype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before="240" w:line="276" w:lineRule="auto"/>
        <w:rPr>
          <w:rFonts w:ascii="Palatino Linotype" w:cs="Palatino Linotype" w:eastAsia="Palatino Linotype" w:hAnsi="Palatino Linotype"/>
          <w:sz w:val="24"/>
          <w:szCs w:val="24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sz w:val="24"/>
          <w:szCs w:val="24"/>
          <w:rtl w:val="0"/>
        </w:rPr>
        <w:t xml:space="preserve">Supplementary Table S1:</w:t>
      </w:r>
      <w:r w:rsidDel="00000000" w:rsidR="00000000" w:rsidRPr="00000000">
        <w:rPr>
          <w:rFonts w:ascii="Palatino Linotype" w:cs="Palatino Linotype" w:eastAsia="Palatino Linotype" w:hAnsi="Palatino Linotype"/>
          <w:sz w:val="24"/>
          <w:szCs w:val="24"/>
          <w:rtl w:val="0"/>
        </w:rPr>
        <w:t xml:space="preserve"> Summarizing the key predictors of canopy height across the studied age cohorts (30-35 years).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80"/>
        <w:gridCol w:w="3030"/>
        <w:gridCol w:w="1935"/>
        <w:gridCol w:w="1815"/>
        <w:tblGridChange w:id="0">
          <w:tblGrid>
            <w:gridCol w:w="2580"/>
            <w:gridCol w:w="3030"/>
            <w:gridCol w:w="1935"/>
            <w:gridCol w:w="1815"/>
          </w:tblGrid>
        </w:tblGridChange>
      </w:tblGrid>
      <w:tr>
        <w:trPr>
          <w:cantSplit w:val="0"/>
          <w:trHeight w:val="75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after="0" w:before="0" w:line="240" w:lineRule="auto"/>
              <w:rPr>
                <w:rFonts w:ascii="Palatino Linotype" w:cs="Palatino Linotype" w:eastAsia="Palatino Linotype" w:hAnsi="Palatino Linotype"/>
                <w:b w:val="1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rtl w:val="0"/>
              </w:rPr>
              <w:t xml:space="preserve">Data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after="0" w:before="0" w:line="240" w:lineRule="auto"/>
              <w:rPr>
                <w:rFonts w:ascii="Palatino Linotype" w:cs="Palatino Linotype" w:eastAsia="Palatino Linotype" w:hAnsi="Palatino Linotype"/>
                <w:b w:val="1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rtl w:val="0"/>
              </w:rPr>
              <w:t xml:space="preserve">Description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after="0" w:before="0" w:line="240" w:lineRule="auto"/>
              <w:rPr>
                <w:rFonts w:ascii="Palatino Linotype" w:cs="Palatino Linotype" w:eastAsia="Palatino Linotype" w:hAnsi="Palatino Linotype"/>
                <w:b w:val="1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rtl w:val="0"/>
              </w:rPr>
              <w:t xml:space="preserve">Spatial Resolution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="240" w:lineRule="auto"/>
              <w:rPr>
                <w:rFonts w:ascii="Palatino Linotype" w:cs="Palatino Linotype" w:eastAsia="Palatino Linotype" w:hAnsi="Palatino Linotype"/>
                <w:b w:val="1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rtl w:val="0"/>
              </w:rPr>
              <w:t xml:space="preserve">Reference</w:t>
            </w:r>
          </w:p>
        </w:tc>
      </w:tr>
      <w:tr>
        <w:trPr>
          <w:cantSplit w:val="0"/>
          <w:trHeight w:val="563.61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rPr>
                <w:rFonts w:ascii="Palatino Linotype" w:cs="Palatino Linotype" w:eastAsia="Palatino Linotype" w:hAnsi="Palatino Linotyp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rtl w:val="0"/>
              </w:rPr>
              <w:t xml:space="preserve">GEDI L2A relative height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after="0" w:before="0" w:line="240" w:lineRule="auto"/>
              <w:rPr>
                <w:rFonts w:ascii="Palatino Linotype" w:cs="Palatino Linotype" w:eastAsia="Palatino Linotype" w:hAnsi="Palatino Linotyp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rtl w:val="0"/>
              </w:rPr>
              <w:t xml:space="preserve">Canopy height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after="0" w:before="0" w:line="240" w:lineRule="auto"/>
              <w:rPr>
                <w:rFonts w:ascii="Palatino Linotype" w:cs="Palatino Linotype" w:eastAsia="Palatino Linotype" w:hAnsi="Palatino Linotyp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rtl w:val="0"/>
              </w:rPr>
              <w:t xml:space="preserve">25 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="240" w:lineRule="auto"/>
              <w:rPr>
                <w:rFonts w:ascii="Palatino Linotype" w:cs="Palatino Linotype" w:eastAsia="Palatino Linotype" w:hAnsi="Palatino Linotype"/>
              </w:rPr>
            </w:pPr>
            <w:hyperlink r:id="rId7">
              <w:r w:rsidDel="00000000" w:rsidR="00000000" w:rsidRPr="00000000">
                <w:rPr>
                  <w:rFonts w:ascii="Palatino Linotype" w:cs="Palatino Linotype" w:eastAsia="Palatino Linotype" w:hAnsi="Palatino Linotype"/>
                  <w:rtl w:val="0"/>
                </w:rPr>
                <w:t xml:space="preserve">Dubayah et al., 2021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rPr>
                <w:rFonts w:ascii="Palatino Linotype" w:cs="Palatino Linotype" w:eastAsia="Palatino Linotype" w:hAnsi="Palatino Linotyp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rtl w:val="0"/>
              </w:rPr>
              <w:t xml:space="preserve">Elevation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rPr>
                <w:rFonts w:ascii="Palatino Linotype" w:cs="Palatino Linotype" w:eastAsia="Palatino Linotype" w:hAnsi="Palatino Linotyp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rtl w:val="0"/>
              </w:rPr>
              <w:t xml:space="preserve">Elevation based on Shuttle Radar Topographic Mission Digital Elevation Model (SRTM-DEM) data.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rFonts w:ascii="Palatino Linotype" w:cs="Palatino Linotype" w:eastAsia="Palatino Linotype" w:hAnsi="Palatino Linotyp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rtl w:val="0"/>
              </w:rPr>
              <w:t xml:space="preserve">90 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rFonts w:ascii="Palatino Linotype" w:cs="Palatino Linotype" w:eastAsia="Palatino Linotype" w:hAnsi="Palatino Linotyp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rtl w:val="0"/>
              </w:rPr>
              <w:t xml:space="preserve">Jarvis et al., 2008; Safanelli et al., 2020</w:t>
            </w:r>
          </w:p>
        </w:tc>
      </w:tr>
      <w:tr>
        <w:trPr>
          <w:cantSplit w:val="0"/>
          <w:trHeight w:val="778.61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rPr>
                <w:rFonts w:ascii="Palatino Linotype" w:cs="Palatino Linotype" w:eastAsia="Palatino Linotype" w:hAnsi="Palatino Linotype"/>
                <w:b w:val="1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rtl w:val="0"/>
              </w:rPr>
              <w:t xml:space="preserve">Annual precipitation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0" w:before="0" w:line="240" w:lineRule="auto"/>
              <w:rPr>
                <w:rFonts w:ascii="Palatino Linotype" w:cs="Palatino Linotype" w:eastAsia="Palatino Linotype" w:hAnsi="Palatino Linotyp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rtl w:val="0"/>
              </w:rPr>
              <w:t xml:space="preserve">Extracted monthly from the TerraClimate dataset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after="0" w:before="0" w:line="240" w:lineRule="auto"/>
              <w:rPr>
                <w:rFonts w:ascii="Palatino Linotype" w:cs="Palatino Linotype" w:eastAsia="Palatino Linotype" w:hAnsi="Palatino Linotyp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rtl w:val="0"/>
              </w:rPr>
              <w:t xml:space="preserve">5 km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rPr>
                <w:rFonts w:ascii="Palatino Linotype" w:cs="Palatino Linotype" w:eastAsia="Palatino Linotype" w:hAnsi="Palatino Linotyp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highlight w:val="white"/>
                <w:rtl w:val="0"/>
              </w:rPr>
              <w:t xml:space="preserve">Abatzoglou et al., 2018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rPr>
                <w:rFonts w:ascii="Palatino Linotype" w:cs="Palatino Linotype" w:eastAsia="Palatino Linotype" w:hAnsi="Palatino Linotype"/>
                <w:b w:val="1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rtl w:val="0"/>
              </w:rPr>
              <w:t xml:space="preserve">Annual potential evapotranspiration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0" w:before="0" w:line="240" w:lineRule="auto"/>
              <w:rPr>
                <w:rFonts w:ascii="Palatino Linotype" w:cs="Palatino Linotype" w:eastAsia="Palatino Linotype" w:hAnsi="Palatino Linotyp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rtl w:val="0"/>
              </w:rPr>
              <w:t xml:space="preserve">Extracted monthly from the TerraClimate dataset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after="0" w:before="0" w:line="240" w:lineRule="auto"/>
              <w:rPr>
                <w:rFonts w:ascii="Palatino Linotype" w:cs="Palatino Linotype" w:eastAsia="Palatino Linotype" w:hAnsi="Palatino Linotyp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rtl w:val="0"/>
              </w:rPr>
              <w:t xml:space="preserve">5 km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0" w:before="0" w:line="240" w:lineRule="auto"/>
              <w:rPr>
                <w:rFonts w:ascii="Palatino Linotype" w:cs="Palatino Linotype" w:eastAsia="Palatino Linotype" w:hAnsi="Palatino Linotyp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highlight w:val="white"/>
                <w:rtl w:val="0"/>
              </w:rPr>
              <w:t xml:space="preserve">Abatzoglou et al., 2018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before="240" w:line="276" w:lineRule="auto"/>
        <w:rPr>
          <w:rFonts w:ascii="Palatino Linotype" w:cs="Palatino Linotype" w:eastAsia="Palatino Linotype" w:hAnsi="Palatino Linotyp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spacing w:after="200" w:line="276" w:lineRule="auto"/>
        <w:ind w:left="-270" w:firstLine="0"/>
        <w:rPr>
          <w:rFonts w:ascii="Palatino Linotype" w:cs="Palatino Linotype" w:eastAsia="Palatino Linotype" w:hAnsi="Palatino Linotyp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="276" w:lineRule="auto"/>
        <w:ind w:firstLine="20"/>
        <w:jc w:val="center"/>
        <w:rPr>
          <w:rFonts w:ascii="Palatino Linotype" w:cs="Palatino Linotype" w:eastAsia="Palatino Linotype" w:hAnsi="Palatino Linotype"/>
          <w:i w:val="1"/>
          <w:color w:val="8eaadb"/>
        </w:rPr>
      </w:pPr>
      <w:r w:rsidDel="00000000" w:rsidR="00000000" w:rsidRPr="00000000">
        <w:rPr>
          <w:rFonts w:ascii="Palatino Linotype" w:cs="Palatino Linotype" w:eastAsia="Palatino Linotype" w:hAnsi="Palatino Linotype"/>
          <w:i w:val="1"/>
          <w:color w:val="8eaadb"/>
        </w:rPr>
        <w:drawing>
          <wp:inline distB="114300" distT="114300" distL="114300" distR="114300">
            <wp:extent cx="3224213" cy="293486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24213" cy="29348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="276" w:lineRule="auto"/>
        <w:ind w:firstLine="20"/>
        <w:jc w:val="both"/>
        <w:rPr>
          <w:rFonts w:ascii="Palatino Linotype" w:cs="Palatino Linotype" w:eastAsia="Palatino Linotype" w:hAnsi="Palatino Linotyp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rtl w:val="0"/>
        </w:rPr>
        <w:t xml:space="preserve">Supplementary Figure S1:</w:t>
      </w: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 The limited number of data points above the considered threshold and the multivariate relationship between canopy height of secondary forest aged 30-35 with, water availability, and elevation. </w:t>
      </w:r>
    </w:p>
    <w:p w:rsidR="00000000" w:rsidDel="00000000" w:rsidP="00000000" w:rsidRDefault="00000000" w:rsidRPr="00000000" w14:paraId="0000002D">
      <w:pPr>
        <w:spacing w:after="240" w:before="240" w:line="276" w:lineRule="auto"/>
        <w:ind w:firstLine="20"/>
        <w:jc w:val="center"/>
        <w:rPr>
          <w:rFonts w:ascii="Palatino Linotype" w:cs="Palatino Linotype" w:eastAsia="Palatino Linotype" w:hAnsi="Palatino Linotype"/>
          <w:i w:val="1"/>
          <w:color w:val="8eaadb"/>
        </w:rPr>
      </w:pPr>
      <w:r w:rsidDel="00000000" w:rsidR="00000000" w:rsidRPr="00000000">
        <w:rPr>
          <w:rFonts w:ascii="Palatino Linotype" w:cs="Palatino Linotype" w:eastAsia="Palatino Linotype" w:hAnsi="Palatino Linotype"/>
          <w:i w:val="1"/>
          <w:color w:val="8eaadb"/>
        </w:rPr>
        <w:drawing>
          <wp:inline distB="114300" distT="114300" distL="114300" distR="114300">
            <wp:extent cx="5338763" cy="2147483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8763" cy="21474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="276" w:lineRule="auto"/>
        <w:ind w:left="0" w:firstLine="0"/>
        <w:jc w:val="both"/>
        <w:rPr>
          <w:rFonts w:ascii="Palatino Linotype" w:cs="Palatino Linotype" w:eastAsia="Palatino Linotype" w:hAnsi="Palatino Linotyp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rtl w:val="0"/>
        </w:rPr>
        <w:t xml:space="preserve">Supplementary Figure S2:</w:t>
      </w: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 a) Canopy height of forest age 30-35 years below and above considered water availability threshold (1500 mm). b) Canopy height of forest age 30-35 years below and above the considered elevation threshold (500 m). Data points above the thresholds are only 109 (1.3%) data points.</w:t>
      </w:r>
    </w:p>
    <w:p w:rsidR="00000000" w:rsidDel="00000000" w:rsidP="00000000" w:rsidRDefault="00000000" w:rsidRPr="00000000" w14:paraId="0000002F">
      <w:pPr>
        <w:spacing w:before="240" w:line="276" w:lineRule="auto"/>
        <w:rPr>
          <w:rFonts w:ascii="Palatino Linotype" w:cs="Palatino Linotype" w:eastAsia="Palatino Linotype" w:hAnsi="Palatino Linotyp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="276" w:lineRule="auto"/>
        <w:ind w:firstLine="20"/>
        <w:jc w:val="both"/>
        <w:rPr>
          <w:rFonts w:ascii="Palatino Linotype" w:cs="Palatino Linotype" w:eastAsia="Palatino Linotype" w:hAnsi="Palatino Linotyp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hyperlink" Target="mailto:mikey@ecoresolve.eco" TargetMode="External"/><Relationship Id="rId7" Type="http://schemas.openxmlformats.org/officeDocument/2006/relationships/hyperlink" Target="https://www.zotero.org/google-docs/?XOMVXG" TargetMode="External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