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284" w:rsidRPr="003274FF" w:rsidRDefault="003274FF">
      <w:pPr>
        <w:spacing w:line="360" w:lineRule="auto"/>
        <w:jc w:val="both"/>
      </w:pPr>
      <w:bookmarkStart w:id="0" w:name="_GoBack"/>
      <w:r w:rsidRPr="003274FF">
        <w:t>Supporting information to the paper</w:t>
      </w:r>
    </w:p>
    <w:p w:rsidR="00BF0284" w:rsidRPr="003274FF" w:rsidRDefault="003274FF">
      <w:pPr>
        <w:spacing w:line="360" w:lineRule="auto"/>
        <w:jc w:val="both"/>
      </w:pPr>
      <w:r w:rsidRPr="003274FF">
        <w:t xml:space="preserve">La Montagna, D. et al. </w:t>
      </w:r>
      <w:r w:rsidRPr="003274FF">
        <w:rPr>
          <w:rFonts w:cs="Times New Roman"/>
        </w:rPr>
        <w:t xml:space="preserve">Square-grid sampling to address </w:t>
      </w:r>
      <w:r w:rsidRPr="003274FF">
        <w:rPr>
          <w:rFonts w:eastAsia="Calibri" w:cs="Times New Roman"/>
          <w:kern w:val="0"/>
          <w:lang w:val="en-GB" w:eastAsia="en-US" w:bidi="ar-SA"/>
        </w:rPr>
        <w:t>the vegetation patterns of decline</w:t>
      </w:r>
      <w:r w:rsidRPr="003274FF">
        <w:rPr>
          <w:rFonts w:cs="Times New Roman"/>
        </w:rPr>
        <w:t xml:space="preserve">d Mediterranean forest ecosystems. </w:t>
      </w:r>
      <w:r w:rsidRPr="003274FF">
        <w:rPr>
          <w:rFonts w:cs="Times New Roman"/>
          <w:i/>
          <w:iCs/>
        </w:rPr>
        <w:t>Community Ecology</w:t>
      </w:r>
    </w:p>
    <w:p w:rsidR="00BF0284" w:rsidRPr="003274FF" w:rsidRDefault="003274FF">
      <w:pPr>
        <w:spacing w:line="360" w:lineRule="auto"/>
        <w:jc w:val="both"/>
      </w:pPr>
      <w:r w:rsidRPr="003274FF">
        <w:rPr>
          <w:b/>
          <w:bCs/>
        </w:rPr>
        <w:t>Appendix S1</w:t>
      </w:r>
      <w:r w:rsidRPr="003274FF">
        <w:t>. Additional results figures and tables</w:t>
      </w: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BF0284">
      <w:pPr>
        <w:spacing w:line="360" w:lineRule="auto"/>
        <w:jc w:val="both"/>
      </w:pPr>
    </w:p>
    <w:p w:rsidR="00BF0284" w:rsidRPr="003274FF" w:rsidRDefault="003274FF">
      <w:pPr>
        <w:rPr>
          <w:b/>
          <w:bCs/>
        </w:rPr>
      </w:pPr>
      <w:r w:rsidRPr="003274FF">
        <w:rPr>
          <w:b/>
          <w:bCs/>
        </w:rPr>
        <w:lastRenderedPageBreak/>
        <w:t>RESULTS</w:t>
      </w:r>
    </w:p>
    <w:p w:rsidR="00BF0284" w:rsidRPr="003274FF" w:rsidRDefault="003274FF">
      <w:pPr>
        <w:spacing w:line="360" w:lineRule="auto"/>
        <w:jc w:val="both"/>
        <w:rPr>
          <w:shd w:val="clear" w:color="auto" w:fill="FFFF00"/>
        </w:rPr>
      </w:pPr>
      <w:r w:rsidRPr="003274FF">
        <w:rPr>
          <w:b/>
          <w:bCs/>
        </w:rPr>
        <w:t>Table 1:</w:t>
      </w:r>
      <w:r w:rsidRPr="003274FF">
        <w:t xml:space="preserve"> Synoptic table of the species with the identified clusters</w:t>
      </w:r>
    </w:p>
    <w:tbl>
      <w:tblPr>
        <w:tblW w:w="99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  <w:gridCol w:w="953"/>
        <w:gridCol w:w="947"/>
        <w:gridCol w:w="948"/>
        <w:gridCol w:w="947"/>
        <w:gridCol w:w="952"/>
        <w:gridCol w:w="947"/>
        <w:gridCol w:w="160"/>
      </w:tblGrid>
      <w:tr w:rsidR="00BF0284" w:rsidRPr="003274FF">
        <w:trPr>
          <w:trHeight w:val="458"/>
        </w:trPr>
        <w:tc>
          <w:tcPr>
            <w:tcW w:w="4074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Number of relevés</w:t>
            </w:r>
          </w:p>
        </w:tc>
        <w:tc>
          <w:tcPr>
            <w:tcW w:w="955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950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11</w:t>
            </w:r>
          </w:p>
        </w:tc>
        <w:tc>
          <w:tcPr>
            <w:tcW w:w="949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954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949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F0284" w:rsidRPr="003274FF" w:rsidRDefault="003274FF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134" w:type="dxa"/>
          </w:tcPr>
          <w:p w:rsidR="00BF0284" w:rsidRPr="003274FF" w:rsidRDefault="00BF0284">
            <w:pPr>
              <w:widowControl w:val="0"/>
              <w:spacing w:after="160"/>
            </w:pPr>
          </w:p>
        </w:tc>
      </w:tr>
      <w:tr w:rsidR="00BF0284" w:rsidRPr="003274FF">
        <w:trPr>
          <w:trHeight w:val="60"/>
        </w:trPr>
        <w:tc>
          <w:tcPr>
            <w:tcW w:w="4074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955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949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950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949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954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949" w:type="dxa"/>
            <w:vMerge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suppressAutoHyphens w:val="0"/>
              <w:spacing w:after="160" w:line="259" w:lineRule="auto"/>
            </w:pPr>
          </w:p>
        </w:tc>
        <w:tc>
          <w:tcPr>
            <w:tcW w:w="134" w:type="dxa"/>
            <w:vAlign w:val="bottom"/>
          </w:tcPr>
          <w:p w:rsidR="00BF0284" w:rsidRPr="003274FF" w:rsidRDefault="00BF0284">
            <w:pPr>
              <w:widowControl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15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Char Cluster 1</w:t>
            </w:r>
          </w:p>
        </w:tc>
        <w:tc>
          <w:tcPr>
            <w:tcW w:w="955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Arum italicum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Cardamine hirsuta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Euphorbia peplus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Erodium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moschatum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Euonymus europaeus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Geranium columbinum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Erodium malacoides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Geranium rotundifolium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Ornithopus compressus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Sisymbrium officinale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Trifolium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scabrum</w:t>
            </w:r>
          </w:p>
        </w:tc>
        <w:tc>
          <w:tcPr>
            <w:tcW w:w="9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Veronica cymbalaria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. cymbalaria</w:t>
            </w:r>
          </w:p>
        </w:tc>
        <w:tc>
          <w:tcPr>
            <w:tcW w:w="9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4015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E7E6E6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113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5" w:type="dxa"/>
            <w:tcBorders>
              <w:top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15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Char Cluster 2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Erodium cicutarium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Isoetes histrix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Kickxia commutata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. commutata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Kickxia elatine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Muscari comosum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Bellardia viscosa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Trifolium resupinatum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Festuca ligustica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Alopecurus myosuroides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Anisantha sterilis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Calendula arvensis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Trigonella smallii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Potentilla reptans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Trifolium nigrescens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. nigrescens</w:t>
            </w:r>
          </w:p>
        </w:tc>
        <w:tc>
          <w:tcPr>
            <w:tcW w:w="955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14487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113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tcBorders>
              <w:top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15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Char Cluster 3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Lychnis flos-cuculi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Holcus lanatus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Juncus effusus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Lythrum junceum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Prunella vulgaris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Rubus ulmifolius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Cyclamen repandum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Lythrum hyssopifolia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Arbutus unedo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Carex punctata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Ranunculus ophioglossifolius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Euphorbia amygdaloides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Isolepis cernua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Lythrum tribracteatum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Pulicaria dysenterica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Agrostis stolonifera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Erica arborea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Juncus conglomeratus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Betonica officinalis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A788E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113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tcBorders>
              <w:top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15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Char Cluster 4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Crataegus monogyna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45</w:t>
            </w:r>
          </w:p>
        </w:tc>
        <w:tc>
          <w:tcPr>
            <w:tcW w:w="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22A88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Carex depauperata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2A884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113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tcBorders>
              <w:top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15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lastRenderedPageBreak/>
              <w:t>Char Cluster 5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Thinopyrum junceum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Thinopyrum acutum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Anthemis maritima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Atriplex prostrata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Crithmum maritimum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Limbarda crithmoides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Lathyrus ochrus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Limonium narbonense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Opuntia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ficus-indica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Parietaria judaica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Phragmites australis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Plantago macrorhiza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Salsola tragus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AD151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113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tcBorders>
              <w:top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15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Char Cluster 6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Aira elegans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Avena sterilis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Centaurium pulchellum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Cerinthe major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Medicago murex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Serapias vomeracea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Silene gallica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Ervum gracile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Avena fatua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Galium parisiense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Ornithogalum narbonense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Trifolium subterraneum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Blackstonia perfoliata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Euphorbia exigua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Hypochoeris achyrophorus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Lotus tenuis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Pinus pinea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Prunella laciniata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Romulea rollii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Centaurea solstitialis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Linum trigynum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Malope malacoides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Phleum pratense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Thymelaea passerina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Tordylium apulum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Bidens frondosa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Bolboschoenus glaucus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Lysimachia nummularia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Parapholis pycnantha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Festuca fasciculata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right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725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tcBorders>
              <w:left w:val="single" w:sz="12" w:space="0" w:color="000000"/>
            </w:tcBorders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113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tcBorders>
              <w:top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300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Constant species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Helminthotheca echioides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Geranium purpureum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Trifolium campestre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Sherardia arvensis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Hypericum australe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Phillyrea latifolia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Dittrichia viscosa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Laurus nobilis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Ulmus minor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Pistacia lentiscus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Coleostephus myconis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Ranunculus bulbosus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. aleae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Daucus carota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Prunus spinosa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lastRenderedPageBreak/>
              <w:t>Rubia peregrina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Quercus cerris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Campanula rapunculus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Mentha pulegium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Smilax aspera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Allium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triquetrum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Urospermum dalechampii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Oenanthe pimpinelloides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Quercus ilex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Serapias lingua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Cichorium intybus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Linum bienne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Ranunculus velutinus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Jacobaea erratica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Rosa sempervirens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Asparagus acutifolius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Viburnum tinus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Carex flacca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. serrulata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Convolvulus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arvensis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Dasypyrum villosum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Dioscorea communis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Ruscus aculeatus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Plantago lanceolata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Lysimachia arvensis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Fraxinus angustifolia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.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oxycarpa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Medicago polymorpha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Vicia segetalis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Brachypodium sylvaticum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Macrobriza maxima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Bellis perennis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Centaurium erythraea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Ranunculus sardous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Silene latifolia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Lotus angustissimus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Gaudinia fragilis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Centaurea napifolia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Raphanus raphanistrum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Rumex sanguineus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Briza minor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Verbascum blattaria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Picris hieracioides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Poa trivialis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Stachys ocymastrum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Hypericum perforatum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Melica minuta </w:t>
            </w: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subsp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.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latifolia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Chamaerops humilis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Galium aparine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Centaurium tenuiflorum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Lathyrus aphaca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45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Hedera helix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Foeniculum vulgare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Myrtus </w:t>
            </w: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communis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Dactylis glomerata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Cynodon dactylon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Lathyrus annuus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Trifolium angustifolium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Oloptum miliaceum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Lotus ornithopodioides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Geranium molle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Hordeum bulbosum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Malva punctata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Euphorbia cuneifolia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Crepis vesicaria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Hyoseris radiata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lastRenderedPageBreak/>
              <w:t>Sixalix atropurpurea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Fumaria capreolata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Valerianella eriocarpa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Poa annua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Scorpiurus muricatus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Poterium sanguisorba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Anisantha diandra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67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Carex divulsa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18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17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Trifolium pratense</w:t>
            </w:r>
          </w:p>
        </w:tc>
        <w:tc>
          <w:tcPr>
            <w:tcW w:w="955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949" w:type="dxa"/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  <w:tr w:rsidR="00BF0284" w:rsidRPr="003274FF">
        <w:trPr>
          <w:trHeight w:val="227"/>
        </w:trPr>
        <w:tc>
          <w:tcPr>
            <w:tcW w:w="4074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it-IT" w:eastAsia="it-IT"/>
              </w:rPr>
              <w:t>Carex otrubae</w:t>
            </w:r>
          </w:p>
        </w:tc>
        <w:tc>
          <w:tcPr>
            <w:tcW w:w="955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949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0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949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954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949" w:type="dxa"/>
            <w:tcBorders>
              <w:bottom w:val="single" w:sz="12" w:space="0" w:color="000000"/>
            </w:tcBorders>
            <w:shd w:val="clear" w:color="auto" w:fill="FFFFFF"/>
            <w:vAlign w:val="bottom"/>
          </w:tcPr>
          <w:p w:rsidR="00BF0284" w:rsidRPr="003274FF" w:rsidRDefault="003274FF">
            <w:pPr>
              <w:widowControl w:val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3274FF">
              <w:rPr>
                <w:rFonts w:eastAsia="Times New Roman" w:cs="Times New Roman"/>
                <w:color w:val="000000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134" w:type="dxa"/>
            <w:vAlign w:val="center"/>
          </w:tcPr>
          <w:p w:rsidR="00BF0284" w:rsidRPr="003274FF" w:rsidRDefault="00BF0284">
            <w:pPr>
              <w:widowControl w:val="0"/>
              <w:rPr>
                <w:rFonts w:eastAsia="Times New Roman" w:cs="Times New Roman"/>
                <w:sz w:val="18"/>
                <w:szCs w:val="18"/>
                <w:lang w:val="it-IT" w:eastAsia="it-IT"/>
              </w:rPr>
            </w:pPr>
          </w:p>
        </w:tc>
      </w:tr>
    </w:tbl>
    <w:p w:rsidR="00BF0284" w:rsidRPr="003274FF" w:rsidRDefault="00BF0284"/>
    <w:p w:rsidR="00BF0284" w:rsidRPr="003274FF" w:rsidRDefault="00BF0284"/>
    <w:p w:rsidR="00BF0284" w:rsidRPr="003274FF" w:rsidRDefault="003274FF">
      <w:pPr>
        <w:rPr>
          <w:b/>
          <w:bCs/>
        </w:rPr>
      </w:pPr>
      <w:r w:rsidRPr="003274FF">
        <w:rPr>
          <w:b/>
          <w:bCs/>
        </w:rPr>
        <w:t xml:space="preserve">Table 2 </w:t>
      </w:r>
      <w:r w:rsidRPr="003274FF">
        <w:rPr>
          <w:szCs w:val="20"/>
        </w:rPr>
        <w:t>Values of the 'Dunn's post-hoc test showing the significant differences of each pairs of cluster</w:t>
      </w:r>
    </w:p>
    <w:p w:rsidR="00BF0284" w:rsidRPr="003274FF" w:rsidRDefault="00BF0284"/>
    <w:p w:rsidR="00BF0284" w:rsidRPr="003274FF" w:rsidRDefault="003274FF">
      <w:r w:rsidRPr="003274FF"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Pr="003274FF">
        <w:object w:dxaOrig="1440" w:dyaOrig="1440">
          <v:shape id="ole_rId2" o:spid="_x0000_s1026" type="#_x0000_tole_rId2" style="position:absolute;margin-left:.5pt;margin-top:0;width:480.9pt;height:409.5pt;z-index:251659264;mso-position-horizontal-relative:text;mso-position-vertical-relative:text" o:preferrelative="t" filled="f">
            <v:imagedata r:id="rId4" o:title=""/>
            <w10:wrap type="square" side="largest"/>
          </v:shape>
          <o:OLEObject Type="Embed" ProgID="Excel.Sheet.12" ShapeID="ole_rId2" DrawAspect="Content" ObjectID="_1777392027" r:id="rId5"/>
        </w:object>
      </w:r>
    </w:p>
    <w:p w:rsidR="00BF0284" w:rsidRPr="003274FF" w:rsidRDefault="003274FF">
      <w:r w:rsidRPr="003274FF">
        <w:rPr>
          <w:b/>
          <w:bCs/>
        </w:rPr>
        <w:t>Figure 1</w:t>
      </w:r>
      <w:r w:rsidRPr="003274FF">
        <w:t xml:space="preserve"> Shepard diagram with the two correlation-like statistics, explaining the goodness of fit of the observed dissimilarity against the ordination results from the NMDS.</w:t>
      </w:r>
    </w:p>
    <w:p w:rsidR="00BF0284" w:rsidRPr="003274FF" w:rsidRDefault="003274FF">
      <w:r w:rsidRPr="003274FF">
        <w:rPr>
          <w:noProof/>
          <w:lang w:val="en-IN" w:eastAsia="en-IN" w:bidi="ar-SA"/>
        </w:rPr>
        <w:lastRenderedPageBreak/>
        <w:drawing>
          <wp:anchor distT="0" distB="0" distL="0" distR="0" simplePos="0" relativeHeight="251656192" behindDoc="0" locked="0" layoutInCell="0" allowOverlap="1">
            <wp:simplePos x="0" y="0"/>
            <wp:positionH relativeFrom="column">
              <wp:posOffset>305435</wp:posOffset>
            </wp:positionH>
            <wp:positionV relativeFrom="paragraph">
              <wp:posOffset>168910</wp:posOffset>
            </wp:positionV>
            <wp:extent cx="5399405" cy="3599815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284" w:rsidRPr="003274FF" w:rsidRDefault="00BF0284"/>
    <w:p w:rsidR="00BF0284" w:rsidRDefault="003274FF">
      <w:pPr>
        <w:rPr>
          <w:b/>
          <w:bCs/>
        </w:rPr>
      </w:pPr>
      <w:r w:rsidRPr="003274FF">
        <w:rPr>
          <w:b/>
          <w:bCs/>
        </w:rPr>
        <w:t xml:space="preserve">Figure 2 </w:t>
      </w:r>
      <w:r w:rsidRPr="003274FF">
        <w:rPr>
          <w:noProof/>
          <w:lang w:val="en-IN" w:eastAsia="en-IN" w:bidi="ar-SA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822960</wp:posOffset>
            </wp:positionH>
            <wp:positionV relativeFrom="paragraph">
              <wp:posOffset>715010</wp:posOffset>
            </wp:positionV>
            <wp:extent cx="4441825" cy="3331210"/>
            <wp:effectExtent l="0" t="0" r="0" b="0"/>
            <wp:wrapTopAndBottom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74FF">
        <w:rPr>
          <w:color w:val="000000"/>
        </w:rPr>
        <w:t>Boxplots showing the signifi</w:t>
      </w:r>
      <w:r w:rsidRPr="003274FF">
        <w:rPr>
          <w:color w:val="000000"/>
        </w:rPr>
        <w:t>cative difference between the three forest-dominated cluster based on the dieback incidence values.</w:t>
      </w:r>
      <w:bookmarkEnd w:id="0"/>
    </w:p>
    <w:sectPr w:rsidR="00BF0284" w:rsidSect="003274FF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84"/>
    <w:rsid w:val="003274FF"/>
    <w:rsid w:val="00B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B207B487-0CCD-4D30-A498-E235C6F7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Microsoft_Excel_Worksheet1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1135</Words>
  <Characters>6476</Characters>
  <Application>Microsoft Office Word</Application>
  <DocSecurity>0</DocSecurity>
  <Lines>53</Lines>
  <Paragraphs>15</Paragraphs>
  <ScaleCrop>false</ScaleCrop>
  <Company>HP Inc.</Company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La Montagna</dc:creator>
  <dc:description/>
  <cp:lastModifiedBy>Sneha  Veerasamy</cp:lastModifiedBy>
  <cp:revision>4</cp:revision>
  <dcterms:created xsi:type="dcterms:W3CDTF">2023-10-23T14:17:00Z</dcterms:created>
  <dcterms:modified xsi:type="dcterms:W3CDTF">2024-05-16T13:44:00Z</dcterms:modified>
  <dc:language>en-US</dc:language>
</cp:coreProperties>
</file>